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BF" w:rsidRPr="00F3614F" w:rsidRDefault="00C671CF" w:rsidP="00F3614F">
      <w:pPr>
        <w:shd w:val="clear" w:color="auto" w:fill="FFFFFF"/>
        <w:spacing w:line="580" w:lineRule="exact"/>
        <w:ind w:left="0"/>
        <w:rPr>
          <w:rFonts w:ascii="仿宋_GB2312" w:eastAsia="仿宋_GB2312" w:hint="eastAsia"/>
          <w:color w:val="000000"/>
          <w:sz w:val="32"/>
          <w:szCs w:val="32"/>
        </w:rPr>
      </w:pPr>
      <w:r w:rsidRPr="00F3614F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</w:p>
    <w:p w:rsidR="00BC3DBF" w:rsidRDefault="00C671CF" w:rsidP="00F3614F">
      <w:pPr>
        <w:shd w:val="clear" w:color="auto" w:fill="FFFFFF"/>
        <w:spacing w:line="580" w:lineRule="exact"/>
        <w:ind w:left="0" w:firstLineChars="150" w:firstLine="540"/>
        <w:jc w:val="center"/>
        <w:rPr>
          <w:rFonts w:ascii="Times New Roman" w:eastAsia="方正小标宋_GBK" w:hAnsi="Times New Roman"/>
          <w:bCs/>
          <w:kern w:val="0"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常州市金坛区财政局</w:t>
      </w:r>
    </w:p>
    <w:p w:rsidR="00BC3DBF" w:rsidRDefault="00C671CF" w:rsidP="00F3614F">
      <w:pPr>
        <w:shd w:val="clear" w:color="auto" w:fill="FFFFFF"/>
        <w:spacing w:afterLines="50" w:line="580" w:lineRule="exact"/>
        <w:ind w:left="0" w:firstLineChars="150" w:firstLine="540"/>
        <w:jc w:val="center"/>
        <w:rPr>
          <w:rFonts w:ascii="Times New Roman" w:eastAsia="方正小标宋_GBK" w:hAnsi="Times New Roman" w:hint="eastAsia"/>
          <w:bCs/>
          <w:kern w:val="0"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2018</w:t>
      </w:r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年</w:t>
      </w:r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部门预决算信息公开工作方案</w:t>
      </w:r>
    </w:p>
    <w:p w:rsidR="00F3614F" w:rsidRDefault="00F3614F" w:rsidP="00F3614F">
      <w:pPr>
        <w:shd w:val="clear" w:color="auto" w:fill="FFFFFF"/>
        <w:spacing w:afterLines="50" w:line="580" w:lineRule="exact"/>
        <w:ind w:left="0" w:firstLineChars="150" w:firstLine="480"/>
        <w:jc w:val="center"/>
        <w:rPr>
          <w:rFonts w:ascii="宋体"/>
          <w:sz w:val="32"/>
          <w:szCs w:val="32"/>
        </w:rPr>
      </w:pP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为做好我</w:t>
      </w:r>
      <w:r>
        <w:rPr>
          <w:rFonts w:ascii="仿宋_GB2312" w:eastAsia="仿宋_GB2312" w:hAnsi="宋体" w:hint="eastAsia"/>
          <w:sz w:val="30"/>
          <w:szCs w:val="30"/>
        </w:rPr>
        <w:t>局</w:t>
      </w:r>
      <w:r>
        <w:rPr>
          <w:rFonts w:ascii="仿宋_GB2312" w:eastAsia="仿宋_GB2312" w:hAnsi="宋体" w:hint="eastAsia"/>
          <w:sz w:val="30"/>
          <w:szCs w:val="30"/>
        </w:rPr>
        <w:t>2018</w:t>
      </w:r>
      <w:r>
        <w:rPr>
          <w:rFonts w:ascii="仿宋_GB2312" w:eastAsia="仿宋_GB2312" w:hAnsi="宋体" w:hint="eastAsia"/>
          <w:sz w:val="30"/>
          <w:szCs w:val="30"/>
        </w:rPr>
        <w:t>年预决算公开工作，按照《中华人民共和国预算法》、《中华人民共和国政府信息公开条例》、《国务院关于深化预算管理制度改革的决定》、《中共中央办公厅、国务院办公厅关于进一步推进预算公开工作的意见》、《江苏省预决算信息公开管理暂行办法》以及财政部《地方预决算公开操作规程》相关规定，现将有关要求明确如下：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一、进一步加强对预决算公开工作重要性的认识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预决算公开是预算管理制度改革的核心要求，是现代财政制度基本特征，是实现国家治理体系和治理能力现代化的重要推动力。建立全面规范透明、标准科学、约束有力的预算制度，是</w:t>
      </w:r>
      <w:r>
        <w:rPr>
          <w:rFonts w:ascii="仿宋_GB2312" w:eastAsia="仿宋_GB2312" w:hAnsi="宋体" w:hint="eastAsia"/>
          <w:sz w:val="30"/>
          <w:szCs w:val="30"/>
        </w:rPr>
        <w:t>党的十九大提出的明确要求。深入贯彻落实中央、省、市和区委区政府关于预决算公开工作的有关要求，切实做好我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局</w:t>
      </w:r>
      <w:r>
        <w:rPr>
          <w:rFonts w:ascii="仿宋_GB2312" w:eastAsia="仿宋_GB2312" w:hAnsi="宋体" w:hint="eastAsia"/>
          <w:sz w:val="30"/>
          <w:szCs w:val="30"/>
        </w:rPr>
        <w:t>部门预决算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公开工作，是打造阳光财政重要保证。做好预决算公开工作，有助于促进依法行政、依法理财和民主理财，推进财政管理科学化规范化，提高财政资金使用效益。</w:t>
      </w:r>
      <w:r>
        <w:rPr>
          <w:rFonts w:ascii="仿宋_GB2312" w:eastAsia="仿宋_GB2312" w:hAnsi="宋体" w:hint="eastAsia"/>
          <w:sz w:val="30"/>
          <w:szCs w:val="30"/>
        </w:rPr>
        <w:t>各科室（中心）</w:t>
      </w:r>
      <w:r>
        <w:rPr>
          <w:rFonts w:ascii="仿宋_GB2312" w:eastAsia="仿宋_GB2312" w:hAnsi="宋体" w:hint="eastAsia"/>
          <w:sz w:val="30"/>
          <w:szCs w:val="30"/>
        </w:rPr>
        <w:t>一定要高度重视，充分认识预决算公开工作的重要性和紧迫性，认真</w:t>
      </w:r>
      <w:r>
        <w:rPr>
          <w:rFonts w:ascii="仿宋_GB2312" w:eastAsia="仿宋_GB2312" w:hAnsi="宋体" w:hint="eastAsia"/>
          <w:sz w:val="30"/>
          <w:szCs w:val="30"/>
        </w:rPr>
        <w:t>配合</w:t>
      </w:r>
      <w:r>
        <w:rPr>
          <w:rFonts w:ascii="仿宋_GB2312" w:eastAsia="仿宋_GB2312" w:hAnsi="宋体" w:hint="eastAsia"/>
          <w:sz w:val="30"/>
          <w:szCs w:val="30"/>
        </w:rPr>
        <w:t>做好</w:t>
      </w:r>
      <w:r>
        <w:rPr>
          <w:rFonts w:ascii="仿宋_GB2312" w:eastAsia="仿宋_GB2312" w:hAnsi="宋体" w:hint="eastAsia"/>
          <w:sz w:val="30"/>
          <w:szCs w:val="30"/>
        </w:rPr>
        <w:t>2018</w:t>
      </w:r>
      <w:r>
        <w:rPr>
          <w:rFonts w:ascii="仿宋_GB2312" w:eastAsia="仿宋_GB2312" w:hAnsi="宋体" w:hint="eastAsia"/>
          <w:sz w:val="30"/>
          <w:szCs w:val="30"/>
        </w:rPr>
        <w:t>年部门预决算公开工作。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二、工作要求</w:t>
      </w:r>
    </w:p>
    <w:p w:rsidR="00BC3DBF" w:rsidRDefault="00C671CF" w:rsidP="00F3614F">
      <w:pPr>
        <w:spacing w:line="580" w:lineRule="exact"/>
        <w:ind w:left="0"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（一）</w:t>
      </w:r>
      <w:r>
        <w:rPr>
          <w:rFonts w:ascii="楷体_GB2312" w:eastAsia="楷体_GB2312" w:hAnsi="宋体" w:hint="eastAsia"/>
          <w:b/>
          <w:sz w:val="30"/>
          <w:szCs w:val="30"/>
        </w:rPr>
        <w:t>公开主体：</w:t>
      </w:r>
      <w:r>
        <w:rPr>
          <w:rFonts w:ascii="仿宋_GB2312" w:eastAsia="仿宋_GB2312" w:hAnsi="宋体" w:hint="eastAsia"/>
          <w:sz w:val="30"/>
          <w:szCs w:val="30"/>
        </w:rPr>
        <w:t>常州市金坛区财政局。</w:t>
      </w:r>
    </w:p>
    <w:p w:rsidR="00BC3DBF" w:rsidRDefault="00C671CF" w:rsidP="00F3614F">
      <w:pPr>
        <w:spacing w:line="580" w:lineRule="exact"/>
        <w:ind w:left="0"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（二）公开内容：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）部门概况。按模板内容进行公开。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）部门预决算公开表。</w:t>
      </w:r>
      <w:r>
        <w:rPr>
          <w:rFonts w:ascii="仿宋_GB2312" w:eastAsia="仿宋_GB2312" w:hAnsi="宋体" w:hint="eastAsia"/>
          <w:sz w:val="30"/>
          <w:szCs w:val="30"/>
        </w:rPr>
        <w:t>2018</w:t>
      </w:r>
      <w:r>
        <w:rPr>
          <w:rFonts w:ascii="仿宋_GB2312" w:eastAsia="仿宋_GB2312" w:hAnsi="宋体" w:hint="eastAsia"/>
          <w:sz w:val="30"/>
          <w:szCs w:val="30"/>
        </w:rPr>
        <w:t>年部门预决算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公开表共</w:t>
      </w:r>
      <w:r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张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：部门收入支出总体情况表、部门收入总体情况表、部门支出总体情况表、财政拨款收入支出总表、财政拨款支出情况表（功能科目）、财政拨款基本支出表（经济科目）、一般公共预算财政拨款支出表、一般公共预算财政拨款基本支出表、一般公共预算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“三公”经费会议费培训费支出表、政府性基金预算财政拨款收入支出表（功能科目）、机关运行经费支出表、政府采购支出表。没有数据的空表，不得自行删除，应在表底用文字注明本部门无相关收支项目。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）部门预决算公开说明。</w:t>
      </w:r>
      <w:r>
        <w:rPr>
          <w:rFonts w:ascii="仿宋_GB2312" w:eastAsia="仿宋_GB2312" w:hAnsi="宋体" w:hint="eastAsia"/>
          <w:sz w:val="30"/>
          <w:szCs w:val="30"/>
        </w:rPr>
        <w:t>2018</w:t>
      </w:r>
      <w:r>
        <w:rPr>
          <w:rFonts w:ascii="仿宋_GB2312" w:eastAsia="仿宋_GB2312" w:hAnsi="宋体" w:hint="eastAsia"/>
          <w:sz w:val="30"/>
          <w:szCs w:val="30"/>
        </w:rPr>
        <w:t>年预算公</w:t>
      </w:r>
      <w:r>
        <w:rPr>
          <w:rFonts w:ascii="仿宋_GB2312" w:eastAsia="仿宋_GB2312" w:hAnsi="宋体" w:hint="eastAsia"/>
          <w:sz w:val="30"/>
          <w:szCs w:val="30"/>
        </w:rPr>
        <w:t>开说明事项共</w:t>
      </w:r>
      <w:r>
        <w:rPr>
          <w:rFonts w:ascii="仿宋_GB2312" w:eastAsia="仿宋_GB2312" w:hAnsi="宋体" w:hint="eastAsia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项、决算说明事项共</w:t>
      </w:r>
      <w:r>
        <w:rPr>
          <w:rFonts w:ascii="仿宋_GB2312" w:eastAsia="仿宋_GB2312" w:hAnsi="宋体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项。</w:t>
      </w:r>
      <w:bookmarkStart w:id="0" w:name="_GoBack"/>
      <w:bookmarkEnd w:id="0"/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部门预算公开说明事项包括：部门收入支出预算总体情况说明、部门收入预算情况说明、部门支出预算情况说明、财政拨款收入支出预算总体情况说明、财政拨款支出预算情况说明、财政拨款基本支出预算情况说明、一般公共预算财政拨款支出预算情况说明、一般公共预算财政拨款基本支出预算情况说明、一般公共预算财政拨款“三公”经费会议费培训费支出预算情况说明、政府性基金预算财政拨款收入支出预算情况说明、机关运行经费支出预算情况说明、政府采购支出预算情况说明、绩效预算情况说明、国有资本经营预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算收</w:t>
      </w:r>
      <w:r>
        <w:rPr>
          <w:rFonts w:ascii="仿宋_GB2312" w:eastAsia="仿宋_GB2312" w:hAnsi="宋体" w:hint="eastAsia"/>
          <w:sz w:val="30"/>
          <w:szCs w:val="30"/>
        </w:rPr>
        <w:t>支情况说明。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部门决算公开说明事项包括：部门收入支出决算总体情况说明、部门收入决算情况说明、部门支出决算情况说明、财政拨款收入支出决算总体情况说明、财政拨款支出决算情况说明、财政拨款基本支出决算情况说明、一般公共预算财政拨款支出决算情况说明、一般公共预算财政拨款基本支出决算情况说明、一般公共预算财政拨款“三公”经费会议费培训费支出决算情况说明、政府性基金预算财政拨款收入支出决算情况说明、机关运行经费支出决算情况说明、政府采购支出决算情况说明、预算绩效情况说明、国有资本经营预算收支决算情况说明、国有资产占用情</w:t>
      </w:r>
      <w:r>
        <w:rPr>
          <w:rFonts w:ascii="仿宋_GB2312" w:eastAsia="仿宋_GB2312" w:hAnsi="宋体" w:hint="eastAsia"/>
          <w:sz w:val="30"/>
          <w:szCs w:val="30"/>
        </w:rPr>
        <w:t>况说明。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其中，在公开“三公”经费、会议费、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培训费预决算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信息时，应包含以下内容：一般公共预算财政拨款安排的“三公”经费预决算总额和分项数额、会议费和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培训费预决算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总额，并对增减变化的原因进行说明。“公务用车购置和运行费”公开为“公务用车购置费”和“公务用车运行费”。“三公”经费决算公开要说明因公出国（境）团组数及人数，公务用车购置数及保有量，国内公务接待的批次、人数、经费总额以及“三公”经费增减变化原因等情况。会议费、培训费决算公开说明召开会议和组织培训的次数和人数等情况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）名词解释。对本部门预决算公开</w:t>
      </w:r>
      <w:r>
        <w:rPr>
          <w:rFonts w:ascii="仿宋_GB2312" w:eastAsia="仿宋_GB2312" w:hAnsi="宋体" w:hint="eastAsia"/>
          <w:sz w:val="30"/>
          <w:szCs w:val="30"/>
        </w:rPr>
        <w:t>中使用的专业性较强的名词进行解释。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以上部门预决算公开内容应严格按照公开模板进行规范化、标准化公开。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（</w:t>
      </w: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）专项资金公开。纳入区级专项资金管理清单的专项资金</w:t>
      </w:r>
      <w:r>
        <w:rPr>
          <w:rFonts w:ascii="仿宋_GB2312" w:eastAsia="仿宋_GB2312" w:hAnsi="宋体" w:hint="eastAsia"/>
          <w:sz w:val="30"/>
          <w:szCs w:val="30"/>
        </w:rPr>
        <w:t>均</w:t>
      </w:r>
      <w:r>
        <w:rPr>
          <w:rFonts w:ascii="仿宋_GB2312" w:eastAsia="仿宋_GB2312" w:hAnsi="宋体" w:hint="eastAsia"/>
          <w:sz w:val="30"/>
          <w:szCs w:val="30"/>
        </w:rPr>
        <w:t>公开相关资金分配等信息。对于实行因素法分配的项目，及时公开分配因素、权重及分配结果；对于实行申报制的项目，公开项目申报指南，分配结果等；</w:t>
      </w:r>
      <w:r>
        <w:rPr>
          <w:rFonts w:ascii="仿宋_GB2312" w:eastAsia="仿宋_GB2312" w:hAnsi="宋体" w:hint="eastAsia"/>
          <w:sz w:val="30"/>
          <w:szCs w:val="30"/>
        </w:rPr>
        <w:t>所有项目均按照序时进度及时公开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）部门政府采购信息公开。除在部门预决算中公开相关政府采购信息外，其他公开要求应按《转发财政部关于进一步做好政府采购信息公开工作有关事项的通知》（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苏财购〔</w:t>
      </w:r>
      <w:r>
        <w:rPr>
          <w:rFonts w:ascii="仿宋_GB2312" w:eastAsia="仿宋_GB2312" w:hAnsi="宋体" w:hint="eastAsia"/>
          <w:sz w:val="30"/>
          <w:szCs w:val="30"/>
        </w:rPr>
        <w:t>2017</w:t>
      </w:r>
      <w:r>
        <w:rPr>
          <w:rFonts w:ascii="仿宋_GB2312" w:eastAsia="仿宋_GB2312" w:hAnsi="宋体" w:hint="eastAsia"/>
          <w:sz w:val="30"/>
          <w:szCs w:val="30"/>
        </w:rPr>
        <w:t>〕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50</w:t>
      </w:r>
      <w:r>
        <w:rPr>
          <w:rFonts w:ascii="仿宋_GB2312" w:eastAsia="仿宋_GB2312" w:hAnsi="宋体" w:hint="eastAsia"/>
          <w:sz w:val="30"/>
          <w:szCs w:val="30"/>
        </w:rPr>
        <w:t>号）相关规定</w:t>
      </w:r>
      <w:r>
        <w:rPr>
          <w:rFonts w:ascii="仿宋_GB2312" w:eastAsia="仿宋_GB2312" w:hAnsi="宋体" w:hint="eastAsia"/>
          <w:sz w:val="30"/>
          <w:szCs w:val="30"/>
        </w:rPr>
        <w:t>执行。在采购活动开始前，在采购文件中公开项目采购预算，采购尚未确定项目预算金额的，可不公开具体预算金额；采购活动完成后，公开中标、成交结果和政府采购合同。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）资产管理信息公开。对占有使用国有资产的有关情况进行公开，包括车辆信息、</w:t>
      </w:r>
      <w:r>
        <w:rPr>
          <w:rFonts w:ascii="仿宋_GB2312" w:eastAsia="仿宋_GB2312" w:hAnsi="宋体" w:hint="eastAsia"/>
          <w:sz w:val="30"/>
          <w:szCs w:val="30"/>
        </w:rPr>
        <w:t>200</w:t>
      </w:r>
      <w:r>
        <w:rPr>
          <w:rFonts w:ascii="仿宋_GB2312" w:eastAsia="仿宋_GB2312" w:hAnsi="宋体" w:hint="eastAsia"/>
          <w:sz w:val="30"/>
          <w:szCs w:val="30"/>
        </w:rPr>
        <w:t>万元以上大型设备信息。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）预决算公开管理文件。</w:t>
      </w:r>
      <w:r>
        <w:rPr>
          <w:rFonts w:ascii="仿宋_GB2312" w:eastAsia="仿宋_GB2312" w:hAnsi="宋体" w:hint="eastAsia"/>
          <w:sz w:val="30"/>
          <w:szCs w:val="30"/>
        </w:rPr>
        <w:t>及时</w:t>
      </w:r>
      <w:r>
        <w:rPr>
          <w:rFonts w:ascii="仿宋_GB2312" w:eastAsia="仿宋_GB2312" w:hAnsi="宋体" w:hint="eastAsia"/>
          <w:sz w:val="30"/>
          <w:szCs w:val="30"/>
        </w:rPr>
        <w:t>公开预决算信息公开管理</w:t>
      </w:r>
      <w:r>
        <w:rPr>
          <w:rFonts w:ascii="仿宋_GB2312" w:eastAsia="仿宋_GB2312" w:hAnsi="宋体" w:hint="eastAsia"/>
          <w:sz w:val="30"/>
          <w:szCs w:val="30"/>
        </w:rPr>
        <w:t>暂行办法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BC3DBF" w:rsidRDefault="00C671CF" w:rsidP="00F3614F">
      <w:pPr>
        <w:spacing w:line="580" w:lineRule="exact"/>
        <w:ind w:left="0"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（三）公开时间：</w:t>
      </w:r>
      <w:r>
        <w:rPr>
          <w:rFonts w:ascii="仿宋_GB2312" w:eastAsia="仿宋_GB2312" w:hAnsi="宋体" w:hint="eastAsia"/>
          <w:sz w:val="30"/>
          <w:szCs w:val="30"/>
        </w:rPr>
        <w:t>区政府财政部门批复后</w:t>
      </w: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日（自然日）内向社会公开。</w:t>
      </w:r>
    </w:p>
    <w:p w:rsidR="00BC3DBF" w:rsidRDefault="00C671CF" w:rsidP="00F3614F">
      <w:pPr>
        <w:spacing w:line="580" w:lineRule="exact"/>
        <w:ind w:left="0"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（四）公开方式：</w:t>
      </w:r>
      <w:r>
        <w:rPr>
          <w:rFonts w:ascii="仿宋_GB2312" w:eastAsia="仿宋_GB2312" w:hAnsi="宋体" w:hint="eastAsia"/>
          <w:sz w:val="30"/>
          <w:szCs w:val="30"/>
        </w:rPr>
        <w:t>在江苏省预决算公开统一平台公开并在常州市金坛区人民政府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网设置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公开链接。</w:t>
      </w:r>
    </w:p>
    <w:p w:rsidR="00BC3DBF" w:rsidRDefault="00C671CF" w:rsidP="00F3614F">
      <w:pPr>
        <w:spacing w:line="580" w:lineRule="exact"/>
        <w:ind w:left="0"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三、强化公开保障</w:t>
      </w:r>
    </w:p>
    <w:p w:rsidR="00BC3DBF" w:rsidRDefault="00C671CF" w:rsidP="00F3614F">
      <w:pPr>
        <w:pStyle w:val="a5"/>
        <w:shd w:val="clear" w:color="auto" w:fill="FFFFFF"/>
        <w:spacing w:before="0" w:beforeAutospacing="0" w:after="0" w:afterAutospacing="0" w:line="580" w:lineRule="exact"/>
        <w:ind w:left="0" w:firstLineChars="200" w:firstLine="600"/>
        <w:jc w:val="both"/>
        <w:rPr>
          <w:rFonts w:ascii="仿宋_GB2312" w:eastAsia="仿宋_GB2312" w:cs="Times New Roman"/>
          <w:kern w:val="2"/>
          <w:sz w:val="30"/>
          <w:szCs w:val="30"/>
        </w:rPr>
      </w:pPr>
      <w:r>
        <w:rPr>
          <w:rFonts w:ascii="楷体_GB2312" w:eastAsia="楷体_GB2312" w:cs="Times New Roman" w:hint="eastAsia"/>
          <w:kern w:val="2"/>
          <w:sz w:val="30"/>
          <w:szCs w:val="30"/>
        </w:rPr>
        <w:t>（一）统一思想，加强组织领导。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预决算公开是依法行政的有力保障，要充分认识预决算公开的重要意义。要加强组织领导，按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lastRenderedPageBreak/>
        <w:t>照“方向明确、过程可控、结果可查、易于监督”的原则，严格划分责任分工，积极抓好工作落实。</w:t>
      </w:r>
    </w:p>
    <w:p w:rsidR="00BC3DBF" w:rsidRDefault="00C671CF" w:rsidP="00F3614F">
      <w:pPr>
        <w:pStyle w:val="a5"/>
        <w:shd w:val="clear" w:color="auto" w:fill="FFFFFF"/>
        <w:spacing w:before="0" w:beforeAutospacing="0" w:after="0" w:afterAutospacing="0" w:line="580" w:lineRule="exact"/>
        <w:ind w:left="0" w:firstLineChars="200" w:firstLine="600"/>
        <w:jc w:val="both"/>
        <w:rPr>
          <w:rFonts w:ascii="仿宋_GB2312" w:eastAsia="仿宋_GB2312" w:cs="Times New Roman"/>
          <w:kern w:val="2"/>
          <w:sz w:val="30"/>
          <w:szCs w:val="30"/>
        </w:rPr>
      </w:pPr>
      <w:r>
        <w:rPr>
          <w:rFonts w:ascii="楷体_GB2312" w:eastAsia="楷体_GB2312" w:cs="Times New Roman" w:hint="eastAsia"/>
          <w:kern w:val="2"/>
          <w:sz w:val="30"/>
          <w:szCs w:val="30"/>
        </w:rPr>
        <w:t>（二）强化监督，严肃公开纪律。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预决算公开是预算法等法律规定部门应当履行的法定义务，要依法及时公开相关预算信息。和单位要按时报送预决算公开完成情况，接受区财政局定期对预决算公开情况的检查监督，切实推动预决算公开依法有序进行。</w:t>
      </w:r>
    </w:p>
    <w:p w:rsidR="00BC3DBF" w:rsidRDefault="00C671CF" w:rsidP="00F3614F">
      <w:pPr>
        <w:pStyle w:val="a5"/>
        <w:shd w:val="clear" w:color="auto" w:fill="FFFFFF"/>
        <w:spacing w:before="0" w:beforeAutospacing="0" w:after="0" w:afterAutospacing="0" w:line="580" w:lineRule="exact"/>
        <w:ind w:left="0" w:firstLineChars="200" w:firstLine="600"/>
        <w:jc w:val="both"/>
        <w:rPr>
          <w:rFonts w:ascii="仿宋_GB2312" w:eastAsia="仿宋_GB2312" w:cs="Times New Roman"/>
          <w:kern w:val="2"/>
          <w:sz w:val="30"/>
          <w:szCs w:val="30"/>
        </w:rPr>
      </w:pPr>
      <w:r>
        <w:rPr>
          <w:rFonts w:ascii="楷体_GB2312" w:eastAsia="楷体_GB2312" w:cs="Times New Roman" w:hint="eastAsia"/>
          <w:kern w:val="2"/>
          <w:sz w:val="30"/>
          <w:szCs w:val="30"/>
        </w:rPr>
        <w:t>（三）加强引导，做好舆论宣传。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预决算公开社会关注度高，要加强社会反映评估和舆情引导，积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极与新闻媒体沟通，加强正面宣传和舆论引导，营造良好的预算公开氛围。对预算公开中涉及的重大事项，要做好对社会公众的解释说明工作，解释内容要做到通俗易懂。</w:t>
      </w:r>
    </w:p>
    <w:p w:rsidR="00BC3DBF" w:rsidRDefault="00C671CF" w:rsidP="00F3614F">
      <w:pPr>
        <w:pStyle w:val="a5"/>
        <w:shd w:val="clear" w:color="auto" w:fill="FFFFFF"/>
        <w:spacing w:before="0" w:beforeAutospacing="0" w:after="0" w:afterAutospacing="0" w:line="580" w:lineRule="exact"/>
        <w:ind w:left="0" w:firstLineChars="200" w:firstLine="600"/>
        <w:jc w:val="both"/>
        <w:rPr>
          <w:rFonts w:ascii="仿宋_GB2312" w:eastAsia="仿宋_GB2312"/>
          <w:color w:val="FF0000"/>
          <w:kern w:val="2"/>
          <w:sz w:val="30"/>
          <w:szCs w:val="30"/>
        </w:rPr>
      </w:pPr>
      <w:r>
        <w:rPr>
          <w:rFonts w:ascii="仿宋_GB2312" w:eastAsia="仿宋_GB2312"/>
          <w:kern w:val="2"/>
          <w:sz w:val="30"/>
          <w:szCs w:val="30"/>
        </w:rPr>
        <w:t xml:space="preserve">   </w:t>
      </w:r>
      <w:r>
        <w:rPr>
          <w:rFonts w:ascii="仿宋_GB2312" w:eastAsia="仿宋_GB2312"/>
          <w:color w:val="FF0000"/>
          <w:kern w:val="2"/>
          <w:sz w:val="30"/>
          <w:szCs w:val="30"/>
        </w:rPr>
        <w:t xml:space="preserve">      </w:t>
      </w:r>
    </w:p>
    <w:p w:rsidR="00BC3DBF" w:rsidRDefault="00BC3DBF" w:rsidP="00F3614F">
      <w:pPr>
        <w:spacing w:line="580" w:lineRule="exact"/>
      </w:pPr>
    </w:p>
    <w:sectPr w:rsidR="00BC3DBF" w:rsidSect="00BC3DB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14" w:right="1588" w:bottom="1985" w:left="1588" w:header="720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CF" w:rsidRDefault="00C671CF" w:rsidP="00BC3DBF">
      <w:pPr>
        <w:spacing w:line="240" w:lineRule="auto"/>
      </w:pPr>
      <w:r>
        <w:separator/>
      </w:r>
    </w:p>
  </w:endnote>
  <w:endnote w:type="continuationSeparator" w:id="0">
    <w:p w:rsidR="00C671CF" w:rsidRDefault="00C671CF" w:rsidP="00BC3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BF" w:rsidRDefault="00C671CF">
    <w:pPr>
      <w:pStyle w:val="a3"/>
      <w:framePr w:wrap="around" w:vAnchor="text" w:hAnchor="margin" w:xAlign="outside" w:y="1"/>
      <w:ind w:firstLineChars="95" w:firstLine="266"/>
      <w:rPr>
        <w:rStyle w:val="a6"/>
        <w:sz w:val="28"/>
        <w:szCs w:val="28"/>
      </w:rPr>
    </w:pPr>
    <w:r>
      <w:rPr>
        <w:rStyle w:val="a6"/>
        <w:sz w:val="28"/>
        <w:szCs w:val="28"/>
      </w:rPr>
      <w:t>—</w:t>
    </w:r>
    <w:r>
      <w:rPr>
        <w:rStyle w:val="a6"/>
        <w:rFonts w:ascii="Times New Roman" w:hAnsi="Times New Roman"/>
        <w:sz w:val="28"/>
        <w:szCs w:val="28"/>
      </w:rPr>
      <w:t xml:space="preserve"> </w:t>
    </w:r>
    <w:r w:rsidR="00BC3DBF">
      <w:rPr>
        <w:rStyle w:val="a6"/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 w:rsidR="00BC3DBF">
      <w:rPr>
        <w:rStyle w:val="a6"/>
        <w:rFonts w:ascii="Times New Roman" w:hAnsi="Times New Roman"/>
        <w:sz w:val="28"/>
        <w:szCs w:val="28"/>
      </w:rPr>
      <w:fldChar w:fldCharType="separate"/>
    </w:r>
    <w:r>
      <w:rPr>
        <w:rStyle w:val="a6"/>
        <w:rFonts w:ascii="Times New Roman" w:hAnsi="Times New Roman"/>
        <w:sz w:val="28"/>
        <w:szCs w:val="28"/>
      </w:rPr>
      <w:t>8</w:t>
    </w:r>
    <w:r w:rsidR="00BC3DBF"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</w:t>
    </w:r>
    <w:r>
      <w:rPr>
        <w:rStyle w:val="a6"/>
        <w:sz w:val="28"/>
        <w:szCs w:val="28"/>
      </w:rPr>
      <w:t>—</w:t>
    </w:r>
  </w:p>
  <w:p w:rsidR="00BC3DBF" w:rsidRDefault="00BC3DB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BF" w:rsidRDefault="00C671CF">
    <w:pPr>
      <w:pStyle w:val="a3"/>
      <w:framePr w:wrap="around" w:vAnchor="text" w:hAnchor="margin" w:xAlign="outside" w:y="1"/>
      <w:ind w:rightChars="132" w:right="277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>—</w:t>
    </w:r>
    <w:r>
      <w:rPr>
        <w:rStyle w:val="a6"/>
        <w:rFonts w:ascii="Times New Roman" w:hAnsi="Times New Roman"/>
        <w:sz w:val="28"/>
        <w:szCs w:val="28"/>
      </w:rPr>
      <w:t xml:space="preserve"> </w:t>
    </w:r>
    <w:r w:rsidR="00BC3DBF">
      <w:rPr>
        <w:rStyle w:val="a6"/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 w:rsidR="00BC3DBF">
      <w:rPr>
        <w:rStyle w:val="a6"/>
        <w:rFonts w:ascii="Times New Roman" w:hAnsi="Times New Roman"/>
        <w:sz w:val="28"/>
        <w:szCs w:val="28"/>
      </w:rPr>
      <w:fldChar w:fldCharType="separate"/>
    </w:r>
    <w:r w:rsidR="00F3614F">
      <w:rPr>
        <w:rStyle w:val="a6"/>
        <w:rFonts w:ascii="Times New Roman" w:hAnsi="Times New Roman"/>
        <w:noProof/>
        <w:sz w:val="28"/>
        <w:szCs w:val="28"/>
      </w:rPr>
      <w:t>1</w:t>
    </w:r>
    <w:r w:rsidR="00BC3DBF"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t>—</w:t>
    </w:r>
  </w:p>
  <w:p w:rsidR="00BC3DBF" w:rsidRDefault="00BC3DB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CF" w:rsidRDefault="00C671CF" w:rsidP="00BC3DBF">
      <w:pPr>
        <w:spacing w:line="240" w:lineRule="auto"/>
      </w:pPr>
      <w:r>
        <w:separator/>
      </w:r>
    </w:p>
  </w:footnote>
  <w:footnote w:type="continuationSeparator" w:id="0">
    <w:p w:rsidR="00C671CF" w:rsidRDefault="00C671CF" w:rsidP="00BC3D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BF" w:rsidRDefault="00BC3DB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BF" w:rsidRDefault="00BC3D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3776C5"/>
    <w:rsid w:val="00BC3DBF"/>
    <w:rsid w:val="00C671CF"/>
    <w:rsid w:val="00F3614F"/>
    <w:rsid w:val="2E383A87"/>
    <w:rsid w:val="403776C5"/>
    <w:rsid w:val="453F75D1"/>
    <w:rsid w:val="4882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DBF"/>
    <w:pPr>
      <w:widowControl w:val="0"/>
      <w:spacing w:line="560" w:lineRule="exact"/>
      <w:ind w:left="72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3DB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rsid w:val="00BC3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rsid w:val="00BC3D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BC3D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359</Words>
  <Characters>2047</Characters>
  <Application>Microsoft Office Word</Application>
  <DocSecurity>0</DocSecurity>
  <Lines>17</Lines>
  <Paragraphs>4</Paragraphs>
  <ScaleCrop>false</ScaleCrop>
  <Company>ICBCOA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钱亦程</cp:lastModifiedBy>
  <cp:revision>2</cp:revision>
  <cp:lastPrinted>2018-01-30T06:19:00Z</cp:lastPrinted>
  <dcterms:created xsi:type="dcterms:W3CDTF">2018-01-29T02:56:00Z</dcterms:created>
  <dcterms:modified xsi:type="dcterms:W3CDTF">2018-02-01T05:49:00Z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