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center"/>
        <w:rPr>
          <w:rFonts w:hint="eastAsia" w:ascii="方正小标宋_GBK" w:hAnsi="方正小标宋_GBK" w:eastAsia="方正小标宋_GBK" w:cs="方正小标宋_GBK"/>
          <w:b w:val="0"/>
          <w:bCs/>
          <w:w w:val="95"/>
          <w:sz w:val="44"/>
          <w:szCs w:val="44"/>
        </w:rPr>
      </w:pPr>
      <w:bookmarkStart w:id="4" w:name="_GoBack"/>
      <w:bookmarkEnd w:id="4"/>
      <w:r>
        <w:rPr>
          <w:rFonts w:hint="eastAsia" w:ascii="方正小标宋_GBK" w:hAnsi="方正小标宋_GBK" w:eastAsia="方正小标宋_GBK" w:cs="方正小标宋_GBK"/>
          <w:b w:val="0"/>
          <w:bCs/>
          <w:w w:val="95"/>
          <w:sz w:val="44"/>
          <w:szCs w:val="44"/>
          <w:lang w:eastAsia="zh-CN"/>
        </w:rPr>
        <w:t>金城镇开展</w:t>
      </w:r>
      <w:r>
        <w:rPr>
          <w:rFonts w:hint="eastAsia" w:ascii="方正小标宋_GBK" w:hAnsi="方正小标宋_GBK" w:eastAsia="方正小标宋_GBK" w:cs="方正小标宋_GBK"/>
          <w:b w:val="0"/>
          <w:bCs/>
          <w:w w:val="95"/>
          <w:sz w:val="44"/>
          <w:szCs w:val="44"/>
        </w:rPr>
        <w:t>“大棚房”问题专项清理整治行动</w:t>
      </w:r>
    </w:p>
    <w:p>
      <w:pPr>
        <w:adjustRightInd w:val="0"/>
        <w:snapToGrid w:val="0"/>
        <w:spacing w:line="700" w:lineRule="exact"/>
        <w:jc w:val="center"/>
        <w:rPr>
          <w:rFonts w:ascii="Times New Roman" w:hAnsi="华文仿宋" w:eastAsia="华文仿宋"/>
          <w:w w:val="95"/>
          <w:sz w:val="30"/>
          <w:szCs w:val="30"/>
        </w:rPr>
      </w:pPr>
      <w:r>
        <w:rPr>
          <w:rFonts w:hint="eastAsia" w:ascii="方正小标宋_GBK" w:hAnsi="方正小标宋_GBK" w:eastAsia="方正小标宋_GBK" w:cs="方正小标宋_GBK"/>
          <w:b w:val="0"/>
          <w:bCs/>
          <w:w w:val="95"/>
          <w:sz w:val="44"/>
          <w:szCs w:val="44"/>
        </w:rPr>
        <w:t>坚决遏制农地非农化实施方案</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耕地保护，坚决遏制农地非农化现象，按照全国、全省和全市召开的“大棚房”问题专项清理整治行动电视电话会议的部署要求，镇政府决定从今年9月至12月在全区范围内集中开展“大棚房”问题专项清理整治行动（以下简称专项行动），坚决遏制农地非农化。根据《农业农村部、自然资源部印发&lt;关于开展“大棚房”问题专项清理整治行动坚决遏制农地非农化的方案&gt;的通知》（农农发〔2018〕3号）、《省农委、省国土资源厅关于印发〈开展“大棚房”问题专项清理整治行动坚决遏制农地非农化的实施方案〉的通知》（苏农园〔2018〕4号）和《市农委、市国土资源局关于印发〈开展“大棚房”问题专项清理整治行动坚决遏制农地非农化的实施方案〉的通知》（常农发〔2018〕104号）等文件精神，结合我镇实际，制定全镇开展“大棚房”问题专项清理整治行动坚决遏制农地非农化的实施方案如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全面贯彻落实党的十九大和十九届二中、三中全会精神，以习近平新时代中国特色社会主义思想为指导，认真落实党中央、国务院和省委、省政府关于加强耕地保护、实施乡村振兴战略的决策部署，提高政治站</w:t>
      </w:r>
      <w:r>
        <w:rPr>
          <w:rFonts w:hint="eastAsia" w:ascii="仿宋_GB2312" w:hAnsi="仿宋_GB2312" w:eastAsia="仿宋_GB2312" w:cs="仿宋_GB2312"/>
          <w:spacing w:val="-6"/>
          <w:sz w:val="32"/>
          <w:szCs w:val="32"/>
        </w:rPr>
        <w:t>位，主动入位意识，迅速把思想和行动统一到党中央、国务院和省委、省政府的决策部署上来，旗帜鲜明、态度坚决地反对借设施农业之名占用耕地违法违规建设非农设施。坚持上下联动、属地管理，全面清理、彻底整治，标本兼治、务求实效的原则，集中开展“大棚房”问题专项清理整治行动，坚决遏制农地非农化，推动建立健全耕地保护监管与设施农业用地规范管理长效机制，严守耕地</w:t>
      </w:r>
      <w:r>
        <w:rPr>
          <w:rFonts w:hint="eastAsia" w:ascii="仿宋_GB2312" w:hAnsi="仿宋_GB2312" w:eastAsia="仿宋_GB2312" w:cs="仿宋_GB2312"/>
          <w:sz w:val="32"/>
          <w:szCs w:val="32"/>
        </w:rPr>
        <w:t>保护红线，为促进全镇现代农业高质量发展走在全省前列、推进乡村振兴战略实施营造良好环境。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二、清理整治范围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严守红线、突出重点、分类处置、集中打击的要求，对占用耕地特别是永久基本农田建设非农设施，改变土地性质和用途的违法违规建设行为，依法依规进行全面清理整治。重点清理整治工商资本和城市居民到农村非法占用耕地变相开发房地产和建设住房行为。清理整治范围主要包括以下三类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w:t>
      </w:r>
      <w:r>
        <w:rPr>
          <w:rFonts w:hint="eastAsia" w:ascii="仿宋_GB2312" w:hAnsi="仿宋_GB2312" w:eastAsia="仿宋_GB2312" w:cs="仿宋_GB2312"/>
          <w:sz w:val="32"/>
          <w:szCs w:val="32"/>
        </w:rPr>
        <w:t>在各类农业园区内占用耕地或直接在耕地上违法违规建设非农设施，特别是别墅、休闲度假设施等。</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w:t>
      </w:r>
      <w:r>
        <w:rPr>
          <w:rFonts w:hint="eastAsia" w:ascii="仿宋_GB2312" w:hAnsi="仿宋_GB2312" w:eastAsia="仿宋_GB2312" w:cs="仿宋_GB2312"/>
          <w:sz w:val="32"/>
          <w:szCs w:val="32"/>
        </w:rPr>
        <w:t>在农业大棚内违法违规占用耕地建设商品住宅。</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w:t>
      </w:r>
      <w:r>
        <w:rPr>
          <w:rFonts w:hint="eastAsia" w:ascii="仿宋_GB2312" w:hAnsi="仿宋_GB2312" w:eastAsia="仿宋_GB2312" w:cs="仿宋_GB2312"/>
          <w:sz w:val="32"/>
          <w:szCs w:val="32"/>
        </w:rPr>
        <w:t>建设农业大棚看护房严重超标准，甚至违法违规改变性质用途，进行住宅类经营性开发。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三、主要工作任务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（一）全面排查“大棚房”等问题。</w:t>
      </w:r>
      <w:r>
        <w:rPr>
          <w:rFonts w:hint="eastAsia" w:ascii="仿宋_GB2312" w:hAnsi="仿宋_GB2312" w:eastAsia="仿宋_GB2312" w:cs="仿宋_GB2312"/>
          <w:sz w:val="32"/>
          <w:szCs w:val="32"/>
        </w:rPr>
        <w:t>在全区开展拉网式、台账式等形式的排查清理，突出城市周边、风景名胜区、各类农业园区等重点区域，实行网格化管理、责任到人，逢棚必查、做到全覆盖、无遗漏，摸清底数、掌握实情。全面收集整理土地承包、流转、审批、备案等相关档案信息，找出问题节点，追查问题根源。对排查清理发现的违法违规占用耕地建设住房等非农设施的，逐一建立问题台账，由村委会（社区）主要负责同志签字背书，镇政府（街道办事处）主要负责同志审核把关，为清理整治整改奠定基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（二）坚决清理整治整改。</w:t>
      </w:r>
      <w:r>
        <w:rPr>
          <w:rFonts w:hint="eastAsia" w:ascii="仿宋_GB2312" w:hAnsi="仿宋_GB2312" w:eastAsia="仿宋_GB2312" w:cs="仿宋_GB2312"/>
          <w:sz w:val="32"/>
          <w:szCs w:val="32"/>
        </w:rPr>
        <w:t>根据排查结果，对发现的违法违规问题，区分类型，依法依规，整治整改。对在各类农业园区内占用耕地或直接在耕地上违法违规建设住房等非农设施的，以及在农业大棚内违法违规占用耕地建房等改变土地性质和用途的严重违法违规行为，要作为清理整治重点，坚决依法依规严厉打击，坚决退房还地，恢复生产；对农业大棚看护房等生产附属设施占地面积超标的，要区分情况，做过细工作，切实加以整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（三）严格执法惩治惩处。</w:t>
      </w:r>
      <w:r>
        <w:rPr>
          <w:rFonts w:hint="eastAsia" w:ascii="仿宋_GB2312" w:hAnsi="仿宋_GB2312" w:eastAsia="仿宋_GB2312" w:cs="仿宋_GB2312"/>
          <w:sz w:val="32"/>
          <w:szCs w:val="32"/>
        </w:rPr>
        <w:t>依照《中华人民共和国土地管理法》、《基本农田保护条例》等相关法律法规，以及国土资源执法监管共同责任机制要求，对违法违规建设“大棚房”等问题的责任主体，在政府组织领导下，国土资源部门要依法依规从严查处。对涉嫌犯罪的，移送公安、司法等部门，依法追究刑事责任。逐一排查“大棚房”是否享受财政补助情况，建立工作台账，对其中涉嫌骗取涉农资金补助、改变农业设施用途的，由相关项目主管部门、财政等部门坚决予以追回。对严重违法违规典型案件，要适时在媒体曝光，保持高压严打态势。</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（四）严肃执纪问责。</w:t>
      </w:r>
      <w:r>
        <w:rPr>
          <w:rFonts w:hint="eastAsia" w:ascii="仿宋_GB2312" w:hAnsi="仿宋_GB2312" w:eastAsia="仿宋_GB2312" w:cs="仿宋_GB2312"/>
          <w:sz w:val="32"/>
          <w:szCs w:val="32"/>
        </w:rPr>
        <w:t>依照《中国共产党纪律处分条例》、《中华人民共和国监察法》等法律法规，在清理整治违法违规建设“大棚房”等农地非农化问题中，发现存在不作为、乱作为、失职渎职的公职人员，要移交纪委监委严肃追责问责。对涉嫌有内外勾结、搞利益交换和谋取私利等腐败行为的，要依法依纪严肃处理。</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（五）尽快恢复耕地生产功能。</w:t>
      </w:r>
      <w:r>
        <w:rPr>
          <w:rFonts w:hint="eastAsia" w:ascii="仿宋_GB2312" w:hAnsi="仿宋_GB2312" w:eastAsia="仿宋_GB2312" w:cs="仿宋_GB2312"/>
          <w:sz w:val="32"/>
          <w:szCs w:val="32"/>
        </w:rPr>
        <w:t>对违法违规占用耕地建设的“大棚房”等非农设施，清理整治后，要按照“谁破坏、谁恢复”的原则，依据耕地质量标准，采取综合措施，尽快恢复农业生产。农业部门和国土资源部门，要主动作为，做好技术支撑和检查验收等相关工作。要加强对复垦大棚的生产指导，引导农民发展适销对路的品种，提高农业经营效益和农民收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（六）构建长效监管机制。</w:t>
      </w:r>
      <w:r>
        <w:rPr>
          <w:rFonts w:hint="eastAsia" w:ascii="仿宋_GB2312" w:hAnsi="仿宋_GB2312" w:eastAsia="仿宋_GB2312" w:cs="仿宋_GB2312"/>
          <w:sz w:val="32"/>
          <w:szCs w:val="32"/>
        </w:rPr>
        <w:t>以专项行动为契机，强化永久基本农田用途特殊管制措施，建立违法违规占用耕地有奖举报制度。注重标本兼治，进一步落实和完善政策规定，加强设施农业精细化管理，对设施大棚、温室等普遍建档立卡。加强对社会资本投资农业农村的规范管理，完善配套规章制度，强化流转土地用途管制，严防“资本下乡”以各种形式侵占耕地。根据实施乡村振兴战略的需要，抓紧研究制定完善农村一二三产业融合发展、乡村产业振兴和设施农业等用地政策和管理办法。</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四、责任分工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专</w:t>
      </w:r>
      <w:r>
        <w:rPr>
          <w:rFonts w:hint="eastAsia" w:ascii="仿宋_GB2312" w:hAnsi="仿宋_GB2312" w:eastAsia="仿宋_GB2312" w:cs="仿宋_GB2312"/>
          <w:spacing w:val="-6"/>
          <w:sz w:val="32"/>
          <w:szCs w:val="32"/>
        </w:rPr>
        <w:t>项行动在镇政府统一领导下，严格落实属地管理责任，实行镇级推进、村级负责的责任制和以村为主、部门协同的推进机制，逐级压实责任，切实把清理整治措施落到实处，确保取得实效。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（一）镇级推进。</w:t>
      </w:r>
      <w:r>
        <w:rPr>
          <w:rFonts w:hint="eastAsia" w:ascii="仿宋_GB2312" w:hAnsi="仿宋_GB2312" w:eastAsia="仿宋_GB2312" w:cs="仿宋_GB2312"/>
          <w:sz w:val="32"/>
          <w:szCs w:val="32"/>
        </w:rPr>
        <w:t>镇政府对专项行动负总责，对全镇耕地保护、遏制农地非农化负总责。成立由分管镇长任组长，农林科、国土分局等部门参加的专项行动领导小组，统筹协调推进专项行动，抓好目标确定、掌握政策、组织动员、清查整治、监督检查、调度通报进展情况等工作。领导小组下设办公室，办公室设在镇农林科，承担日常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（二）村级负责。</w:t>
      </w:r>
      <w:r>
        <w:rPr>
          <w:rFonts w:hint="eastAsia" w:ascii="仿宋_GB2312" w:hAnsi="仿宋_GB2312" w:eastAsia="仿宋_GB2312" w:cs="仿宋_GB2312"/>
          <w:sz w:val="32"/>
          <w:szCs w:val="32"/>
        </w:rPr>
        <w:t>各村承担实施专项行动的主体责任，村书记是第一责任人，负责专项行动组织落实，做好进度安排、任务落地、资源调配、整治整改、情况汇总报送等工作。清理排查和整治整改问题出在哪里，就由哪个地方负责解决。要将清理整治任务和责任落实到村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（三）农林、国土资源等部门在政府统一部署下，按照相关法律法规规定和职责分工，加强专项行动指导和督促，各尽其责、共同负责，加强配合、联合行动，落实专项行动各项措施。</w:t>
      </w:r>
      <w:r>
        <w:rPr>
          <w:rFonts w:hint="eastAsia" w:ascii="仿宋_GB2312" w:hAnsi="仿宋_GB2312" w:eastAsia="仿宋_GB2312" w:cs="仿宋_GB2312"/>
          <w:sz w:val="32"/>
          <w:szCs w:val="32"/>
        </w:rPr>
        <w:t>要建立健全信息共享、情况通报、联合查处、案件移送等机制，加强协调配合，形成工作合力。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五、工作步骤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各村要认真落实专项行动方案，明确目标任务，建立组织领导推进机制，细化相关部门、单位工作职责，迅速开展专项行动。</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（一）摸排清理阶段。</w:t>
      </w:r>
      <w:r>
        <w:rPr>
          <w:rFonts w:hint="eastAsia" w:ascii="仿宋_GB2312" w:hAnsi="仿宋_GB2312" w:eastAsia="仿宋_GB2312" w:cs="仿宋_GB2312"/>
          <w:sz w:val="32"/>
          <w:szCs w:val="32"/>
        </w:rPr>
        <w:t>即日起至10月上旬开展全面排查，坚持边查边改。各村逐个入园入棚现场核查，登记造册，建立问题台账，统计汇总各类违法违规情况，形成排查清理报告，10月8日前报镇专项行动领导小组。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（二）整治整改阶段。</w:t>
      </w:r>
      <w:r>
        <w:rPr>
          <w:rFonts w:hint="eastAsia" w:ascii="仿宋_GB2312" w:hAnsi="仿宋_GB2312" w:eastAsia="仿宋_GB2312" w:cs="仿宋_GB2312"/>
          <w:sz w:val="32"/>
          <w:szCs w:val="32"/>
        </w:rPr>
        <w:t>从10月中旬开始用两个月左右的时间，各村按照专项行动方案，组织开展整治整改。</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月底前，各村要在认真总结清理整治情况的基础上，形成专题报告，经村主要负责同志审核后，报镇专项行动领导小组。对工作不到位的环节和整治不彻底的区域进行补课，不达目的绝不收兵。对问题严重、整改不到位的，进行通报批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六、工作要求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“大棚房”问题清理整治事关耕地保护红线，事关粮食安全底线，事关农民权益乃至乡村振兴大局，是守红线、守底线的重大行动，也是一项政治任务。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（一）加强组织领导。</w:t>
      </w:r>
      <w:r>
        <w:rPr>
          <w:rFonts w:hint="eastAsia" w:ascii="仿宋_GB2312" w:hAnsi="仿宋_GB2312" w:eastAsia="仿宋_GB2312" w:cs="仿宋_GB2312"/>
          <w:sz w:val="32"/>
          <w:szCs w:val="32"/>
        </w:rPr>
        <w:t>各村要高度重视，充分认识清理整治“大棚房”问题的重要性、复杂性、艰巨性，统一思想认识，提高政治站位，严格属地管理，压实属地责任，切实履职尽责，确保专项行动取得实效和农村稳定。村书记要亲自挂帅，深入一线，靠前指挥，及时解决清理整治过程中出现的问题，为专项行动提供人力、资金和技术装备保障，切实把各项任务落到实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（二）严肃督导问责。</w:t>
      </w:r>
      <w:r>
        <w:rPr>
          <w:rFonts w:hint="eastAsia" w:ascii="仿宋_GB2312" w:hAnsi="仿宋_GB2312" w:eastAsia="仿宋_GB2312" w:cs="仿宋_GB2312"/>
          <w:sz w:val="32"/>
          <w:szCs w:val="32"/>
        </w:rPr>
        <w:t>各村对专项行动每一个环节，都要严肃认真督导。抓住一批典型案例，剖析问题根源，及时向社会通报。健全问责机制，对违法违规问题，要发现一起、查处一起，进行警示教育。</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（三）注意方式方法。</w:t>
      </w:r>
      <w:r>
        <w:rPr>
          <w:rFonts w:hint="eastAsia" w:ascii="仿宋_GB2312" w:hAnsi="仿宋_GB2312" w:eastAsia="仿宋_GB2312" w:cs="仿宋_GB2312"/>
          <w:sz w:val="32"/>
          <w:szCs w:val="32"/>
        </w:rPr>
        <w:t>严格依照法律法规和相关政策，严格遵守工作程序和工作纪律，扎实细致做好专项行动每一个环节、每一个步骤。改进工作作风，深入细致地做好政策法律解释工作，把握好坚持依法依规办事和防止矛盾激化、维护农村社会稳定大局之间的关系，有效疏导，缓解社会矛盾。加强宣传引导，及时回应社会关切。</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（四）定期上报信息。</w:t>
      </w:r>
      <w:r>
        <w:rPr>
          <w:rFonts w:hint="eastAsia" w:ascii="仿宋_GB2312" w:hAnsi="仿宋_GB2312" w:eastAsia="仿宋_GB2312" w:cs="仿宋_GB2312"/>
          <w:sz w:val="32"/>
          <w:szCs w:val="32"/>
        </w:rPr>
        <w:t>实行专项行动信息周报制度。各村要在加快工作进度的同时，及时调度汇总清理整治工作进展情况，定期向镇专项行动领导小组办公室报告本辖区清理整治情况。对清理整治中发现的重大情况随时上报。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sz w:val="32"/>
          <w:szCs w:val="32"/>
        </w:rPr>
        <w:t>（五）接受社会监督。</w:t>
      </w:r>
      <w:r>
        <w:rPr>
          <w:rFonts w:hint="eastAsia" w:ascii="仿宋_GB2312" w:hAnsi="仿宋_GB2312" w:eastAsia="仿宋_GB2312" w:cs="仿宋_GB2312"/>
          <w:sz w:val="32"/>
          <w:szCs w:val="32"/>
        </w:rPr>
        <w:t>在集中开展专项行动期间，设立举报电话，建立举报制度。镇设立群众有奖举报电话，接受群众举报，接受舆论监督。纪委监委部门接到的“大棚房”问题线索和群众举报，同时移交本地专项行动领导小组。</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“大棚房”问题专项清理整治行动领导小组举报电话：0519-82858562，82858531。</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eastAsia="zh-CN"/>
        </w:rPr>
        <w:t>金城镇</w:t>
      </w:r>
      <w:r>
        <w:rPr>
          <w:rFonts w:hint="eastAsia" w:ascii="仿宋_GB2312" w:hAnsi="仿宋_GB2312" w:eastAsia="仿宋_GB2312" w:cs="仿宋_GB2312"/>
          <w:spacing w:val="-6"/>
          <w:sz w:val="32"/>
          <w:szCs w:val="32"/>
        </w:rPr>
        <w:t>“大棚房”问题专项清理整治排查对象情况表（样表）</w:t>
      </w:r>
    </w:p>
    <w:p>
      <w:pPr>
        <w:keepNext w:val="0"/>
        <w:keepLines w:val="0"/>
        <w:pageBreakBefore w:val="0"/>
        <w:widowControl w:val="0"/>
        <w:kinsoku/>
        <w:wordWrap/>
        <w:overflowPunct/>
        <w:topLinePunct w:val="0"/>
        <w:autoSpaceDE/>
        <w:autoSpaceDN/>
        <w:bidi w:val="0"/>
        <w:adjustRightInd w:val="0"/>
        <w:snapToGrid w:val="0"/>
        <w:spacing w:line="540" w:lineRule="exact"/>
        <w:ind w:firstLine="616" w:firstLineChars="200"/>
        <w:textAlignment w:val="auto"/>
        <w:rPr>
          <w:rFonts w:hint="eastAsia" w:ascii="仿宋_GB2312" w:hAnsi="仿宋_GB2312" w:eastAsia="仿宋_GB2312" w:cs="仿宋_GB2312"/>
          <w:spacing w:val="-6"/>
          <w:sz w:val="32"/>
          <w:szCs w:val="32"/>
        </w:rPr>
        <w:sectPr>
          <w:footerReference r:id="rId3" w:type="default"/>
          <w:footerReference r:id="rId4" w:type="even"/>
          <w:pgSz w:w="11906" w:h="16838"/>
          <w:pgMar w:top="2098" w:right="1531" w:bottom="1871" w:left="1531" w:header="851" w:footer="1361" w:gutter="0"/>
          <w:pgNumType w:fmt="decimal" w:start="1"/>
          <w:cols w:space="0" w:num="1"/>
          <w:rtlGutter w:val="0"/>
          <w:docGrid w:type="lines" w:linePitch="574" w:charSpace="0"/>
        </w:sect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eastAsia="zh-CN"/>
        </w:rPr>
        <w:t>金城镇</w:t>
      </w:r>
      <w:r>
        <w:rPr>
          <w:rFonts w:hint="eastAsia" w:ascii="仿宋_GB2312" w:hAnsi="仿宋_GB2312" w:eastAsia="仿宋_GB2312" w:cs="仿宋_GB2312"/>
          <w:spacing w:val="-6"/>
          <w:sz w:val="32"/>
          <w:szCs w:val="32"/>
        </w:rPr>
        <w:t>“大棚房”问题专项清理整治违规项目情况表（样表）</w:t>
      </w:r>
    </w:p>
    <w:p>
      <w:pPr>
        <w:spacing w:line="60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附表1</w:t>
      </w:r>
    </w:p>
    <w:p>
      <w:pPr>
        <w:keepNext w:val="0"/>
        <w:keepLines w:val="0"/>
        <w:pageBreakBefore w:val="0"/>
        <w:widowControl w:val="0"/>
        <w:kinsoku/>
        <w:wordWrap/>
        <w:overflowPunct/>
        <w:topLinePunct w:val="0"/>
        <w:autoSpaceDE/>
        <w:autoSpaceDN/>
        <w:bidi w:val="0"/>
        <w:adjustRightInd/>
        <w:snapToGrid/>
        <w:spacing w:line="300" w:lineRule="exact"/>
        <w:textAlignment w:val="auto"/>
        <w:outlineLvl w:val="9"/>
        <w:rPr>
          <w:rFonts w:hint="eastAsia" w:ascii="Times New Roman" w:eastAsia="仿宋_GB2312"/>
          <w:sz w:val="32"/>
          <w:szCs w:val="32"/>
        </w:rPr>
      </w:pPr>
    </w:p>
    <w:p>
      <w:pPr>
        <w:spacing w:line="52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金城镇</w:t>
      </w:r>
      <w:r>
        <w:rPr>
          <w:rFonts w:hint="eastAsia" w:ascii="方正小标宋_GBK" w:hAnsi="方正小标宋_GBK" w:eastAsia="方正小标宋_GBK" w:cs="方正小标宋_GBK"/>
          <w:b w:val="0"/>
          <w:bCs w:val="0"/>
          <w:sz w:val="44"/>
          <w:szCs w:val="44"/>
        </w:rPr>
        <w:t>“大棚房”问题专项清理整治排查对象情况表（样表）</w:t>
      </w:r>
    </w:p>
    <w:p>
      <w:pPr>
        <w:spacing w:line="5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村                                                     单位：个、亩</w:t>
      </w:r>
    </w:p>
    <w:tbl>
      <w:tblPr>
        <w:tblStyle w:val="8"/>
        <w:tblW w:w="14034"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1418"/>
        <w:gridCol w:w="992"/>
        <w:gridCol w:w="1276"/>
        <w:gridCol w:w="992"/>
        <w:gridCol w:w="1276"/>
        <w:gridCol w:w="992"/>
        <w:gridCol w:w="992"/>
        <w:gridCol w:w="993"/>
        <w:gridCol w:w="992"/>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trPr>
        <w:tc>
          <w:tcPr>
            <w:tcW w:w="851" w:type="dxa"/>
            <w:vMerge w:val="restart"/>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992" w:type="dxa"/>
            <w:vMerge w:val="restart"/>
            <w:tcBorders>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行政村</w:t>
            </w:r>
          </w:p>
        </w:tc>
        <w:tc>
          <w:tcPr>
            <w:tcW w:w="1418" w:type="dxa"/>
            <w:vMerge w:val="restart"/>
            <w:tcBorders>
              <w:left w:val="single" w:color="auto" w:sz="4" w:space="0"/>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建设</w:t>
            </w:r>
          </w:p>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地点</w:t>
            </w:r>
          </w:p>
        </w:tc>
        <w:tc>
          <w:tcPr>
            <w:tcW w:w="992" w:type="dxa"/>
            <w:vMerge w:val="restart"/>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所有人</w:t>
            </w:r>
          </w:p>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姓名</w:t>
            </w:r>
          </w:p>
        </w:tc>
        <w:tc>
          <w:tcPr>
            <w:tcW w:w="3544" w:type="dxa"/>
            <w:gridSpan w:val="3"/>
            <w:tcBorders>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设施农业情况</w:t>
            </w:r>
          </w:p>
        </w:tc>
        <w:tc>
          <w:tcPr>
            <w:tcW w:w="992" w:type="dxa"/>
            <w:vMerge w:val="restart"/>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是否违</w:t>
            </w:r>
          </w:p>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法违规</w:t>
            </w:r>
          </w:p>
        </w:tc>
        <w:tc>
          <w:tcPr>
            <w:tcW w:w="2977" w:type="dxa"/>
            <w:gridSpan w:val="3"/>
            <w:tcBorders>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违法违规建设情况</w:t>
            </w:r>
          </w:p>
        </w:tc>
        <w:tc>
          <w:tcPr>
            <w:tcW w:w="2268" w:type="dxa"/>
            <w:gridSpan w:val="2"/>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违法违规占地面积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vMerge w:val="continue"/>
            <w:vAlign w:val="center"/>
          </w:tcPr>
          <w:p>
            <w:pPr>
              <w:adjustRightInd w:val="0"/>
              <w:snapToGrid w:val="0"/>
              <w:spacing w:line="400" w:lineRule="exact"/>
              <w:jc w:val="center"/>
              <w:rPr>
                <w:rFonts w:hint="eastAsia" w:ascii="仿宋_GB2312" w:hAnsi="仿宋_GB2312" w:eastAsia="仿宋_GB2312" w:cs="仿宋_GB2312"/>
                <w:b/>
                <w:bCs/>
                <w:sz w:val="24"/>
              </w:rPr>
            </w:pPr>
          </w:p>
        </w:tc>
        <w:tc>
          <w:tcPr>
            <w:tcW w:w="992" w:type="dxa"/>
            <w:vMerge w:val="continue"/>
            <w:tcBorders>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p>
        </w:tc>
        <w:tc>
          <w:tcPr>
            <w:tcW w:w="1418" w:type="dxa"/>
            <w:vMerge w:val="continue"/>
            <w:tcBorders>
              <w:left w:val="single" w:color="auto" w:sz="4" w:space="0"/>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p>
        </w:tc>
        <w:tc>
          <w:tcPr>
            <w:tcW w:w="992" w:type="dxa"/>
            <w:vMerge w:val="continue"/>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p>
        </w:tc>
        <w:tc>
          <w:tcPr>
            <w:tcW w:w="1276" w:type="dxa"/>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设施类型</w:t>
            </w:r>
          </w:p>
        </w:tc>
        <w:tc>
          <w:tcPr>
            <w:tcW w:w="992" w:type="dxa"/>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个数</w:t>
            </w:r>
          </w:p>
        </w:tc>
        <w:tc>
          <w:tcPr>
            <w:tcW w:w="1276" w:type="dxa"/>
            <w:tcBorders>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设施面积</w:t>
            </w:r>
          </w:p>
        </w:tc>
        <w:tc>
          <w:tcPr>
            <w:tcW w:w="992" w:type="dxa"/>
            <w:vMerge w:val="continue"/>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p>
        </w:tc>
        <w:tc>
          <w:tcPr>
            <w:tcW w:w="992" w:type="dxa"/>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类型</w:t>
            </w:r>
          </w:p>
        </w:tc>
        <w:tc>
          <w:tcPr>
            <w:tcW w:w="993" w:type="dxa"/>
            <w:tcBorders>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个数</w:t>
            </w:r>
          </w:p>
        </w:tc>
        <w:tc>
          <w:tcPr>
            <w:tcW w:w="992" w:type="dxa"/>
            <w:tcBorders>
              <w:left w:val="single" w:color="auto" w:sz="4" w:space="0"/>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面积</w:t>
            </w:r>
          </w:p>
        </w:tc>
        <w:tc>
          <w:tcPr>
            <w:tcW w:w="1134" w:type="dxa"/>
            <w:tcBorders>
              <w:left w:val="single" w:color="auto" w:sz="4" w:space="0"/>
              <w:righ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耕地</w:t>
            </w:r>
          </w:p>
        </w:tc>
        <w:tc>
          <w:tcPr>
            <w:tcW w:w="1134" w:type="dxa"/>
            <w:tcBorders>
              <w:left w:val="single" w:color="auto" w:sz="4" w:space="0"/>
            </w:tcBorders>
            <w:vAlign w:val="center"/>
          </w:tcPr>
          <w:p>
            <w:pPr>
              <w:adjustRightInd w:val="0"/>
              <w:snapToGrid w:val="0"/>
              <w:spacing w:line="4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其中永久基本农田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851" w:type="dxa"/>
            <w:vAlign w:val="center"/>
          </w:tcPr>
          <w:p>
            <w:pPr>
              <w:spacing w:line="276" w:lineRule="auto"/>
              <w:jc w:val="center"/>
              <w:rPr>
                <w:rFonts w:hint="eastAsia" w:ascii="仿宋_GB2312" w:hAnsi="仿宋_GB2312" w:eastAsia="仿宋_GB2312" w:cs="仿宋_GB2312"/>
                <w:b/>
                <w:bCs/>
                <w:sz w:val="24"/>
              </w:rPr>
            </w:pPr>
          </w:p>
        </w:tc>
        <w:tc>
          <w:tcPr>
            <w:tcW w:w="992" w:type="dxa"/>
            <w:tcBorders>
              <w:right w:val="single" w:color="auto" w:sz="4" w:space="0"/>
            </w:tcBorders>
            <w:vAlign w:val="center"/>
          </w:tcPr>
          <w:p>
            <w:pPr>
              <w:spacing w:line="276" w:lineRule="auto"/>
              <w:jc w:val="center"/>
              <w:rPr>
                <w:rFonts w:hint="eastAsia" w:ascii="仿宋_GB2312" w:hAnsi="仿宋_GB2312" w:eastAsia="仿宋_GB2312" w:cs="仿宋_GB2312"/>
                <w:b/>
                <w:bCs/>
                <w:sz w:val="24"/>
              </w:rPr>
            </w:pPr>
          </w:p>
        </w:tc>
        <w:tc>
          <w:tcPr>
            <w:tcW w:w="1418" w:type="dxa"/>
            <w:tcBorders>
              <w:left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bCs/>
                <w:sz w:val="24"/>
              </w:rPr>
            </w:pPr>
          </w:p>
        </w:tc>
        <w:tc>
          <w:tcPr>
            <w:tcW w:w="992" w:type="dxa"/>
            <w:tcBorders>
              <w:left w:val="single" w:color="auto" w:sz="4" w:space="0"/>
            </w:tcBorders>
            <w:vAlign w:val="center"/>
          </w:tcPr>
          <w:p>
            <w:pPr>
              <w:spacing w:line="276" w:lineRule="auto"/>
              <w:jc w:val="center"/>
              <w:rPr>
                <w:rFonts w:hint="eastAsia" w:ascii="仿宋_GB2312" w:hAnsi="仿宋_GB2312" w:eastAsia="仿宋_GB2312" w:cs="仿宋_GB2312"/>
                <w:b/>
                <w:bCs/>
                <w:sz w:val="24"/>
              </w:rPr>
            </w:pPr>
          </w:p>
        </w:tc>
        <w:tc>
          <w:tcPr>
            <w:tcW w:w="1276" w:type="dxa"/>
            <w:vAlign w:val="center"/>
          </w:tcPr>
          <w:p>
            <w:pPr>
              <w:spacing w:line="276" w:lineRule="auto"/>
              <w:jc w:val="center"/>
              <w:rPr>
                <w:rFonts w:hint="eastAsia" w:ascii="仿宋_GB2312" w:hAnsi="仿宋_GB2312" w:eastAsia="仿宋_GB2312" w:cs="仿宋_GB2312"/>
                <w:b/>
                <w:bCs/>
                <w:sz w:val="24"/>
              </w:rPr>
            </w:pPr>
          </w:p>
        </w:tc>
        <w:tc>
          <w:tcPr>
            <w:tcW w:w="992" w:type="dxa"/>
            <w:vAlign w:val="center"/>
          </w:tcPr>
          <w:p>
            <w:pPr>
              <w:spacing w:line="276" w:lineRule="auto"/>
              <w:jc w:val="center"/>
              <w:rPr>
                <w:rFonts w:hint="eastAsia" w:ascii="仿宋_GB2312" w:hAnsi="仿宋_GB2312" w:eastAsia="仿宋_GB2312" w:cs="仿宋_GB2312"/>
                <w:b/>
                <w:bCs/>
                <w:sz w:val="24"/>
              </w:rPr>
            </w:pPr>
          </w:p>
        </w:tc>
        <w:tc>
          <w:tcPr>
            <w:tcW w:w="1276" w:type="dxa"/>
            <w:tcBorders>
              <w:right w:val="single" w:color="auto" w:sz="4" w:space="0"/>
            </w:tcBorders>
            <w:vAlign w:val="center"/>
          </w:tcPr>
          <w:p>
            <w:pPr>
              <w:spacing w:line="276" w:lineRule="auto"/>
              <w:jc w:val="center"/>
              <w:rPr>
                <w:rFonts w:hint="eastAsia" w:ascii="仿宋_GB2312" w:hAnsi="仿宋_GB2312" w:eastAsia="仿宋_GB2312" w:cs="仿宋_GB2312"/>
                <w:b/>
                <w:bCs/>
                <w:sz w:val="24"/>
              </w:rPr>
            </w:pPr>
          </w:p>
        </w:tc>
        <w:tc>
          <w:tcPr>
            <w:tcW w:w="992" w:type="dxa"/>
            <w:tcBorders>
              <w:left w:val="single" w:color="auto" w:sz="4" w:space="0"/>
            </w:tcBorders>
            <w:vAlign w:val="center"/>
          </w:tcPr>
          <w:p>
            <w:pPr>
              <w:spacing w:line="276" w:lineRule="auto"/>
              <w:jc w:val="center"/>
              <w:rPr>
                <w:rFonts w:hint="eastAsia" w:ascii="仿宋_GB2312" w:hAnsi="仿宋_GB2312" w:eastAsia="仿宋_GB2312" w:cs="仿宋_GB2312"/>
                <w:b/>
                <w:bCs/>
                <w:sz w:val="24"/>
              </w:rPr>
            </w:pPr>
          </w:p>
        </w:tc>
        <w:tc>
          <w:tcPr>
            <w:tcW w:w="992" w:type="dxa"/>
            <w:vAlign w:val="center"/>
          </w:tcPr>
          <w:p>
            <w:pPr>
              <w:spacing w:line="276" w:lineRule="auto"/>
              <w:jc w:val="center"/>
              <w:rPr>
                <w:rFonts w:hint="eastAsia" w:ascii="仿宋_GB2312" w:hAnsi="仿宋_GB2312" w:eastAsia="仿宋_GB2312" w:cs="仿宋_GB2312"/>
                <w:b/>
                <w:bCs/>
                <w:sz w:val="24"/>
              </w:rPr>
            </w:pPr>
          </w:p>
        </w:tc>
        <w:tc>
          <w:tcPr>
            <w:tcW w:w="993" w:type="dxa"/>
            <w:tcBorders>
              <w:right w:val="single" w:color="auto" w:sz="4" w:space="0"/>
            </w:tcBorders>
            <w:vAlign w:val="center"/>
          </w:tcPr>
          <w:p>
            <w:pPr>
              <w:spacing w:line="276" w:lineRule="auto"/>
              <w:jc w:val="center"/>
              <w:rPr>
                <w:rFonts w:hint="eastAsia" w:ascii="仿宋_GB2312" w:hAnsi="仿宋_GB2312" w:eastAsia="仿宋_GB2312" w:cs="仿宋_GB2312"/>
                <w:b/>
                <w:bCs/>
                <w:sz w:val="24"/>
              </w:rPr>
            </w:pPr>
          </w:p>
        </w:tc>
        <w:tc>
          <w:tcPr>
            <w:tcW w:w="992" w:type="dxa"/>
            <w:tcBorders>
              <w:left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bCs/>
                <w:sz w:val="24"/>
              </w:rPr>
            </w:pPr>
          </w:p>
        </w:tc>
        <w:tc>
          <w:tcPr>
            <w:tcW w:w="1134" w:type="dxa"/>
            <w:tcBorders>
              <w:left w:val="single" w:color="auto" w:sz="4" w:space="0"/>
              <w:right w:val="single" w:color="auto" w:sz="4" w:space="0"/>
            </w:tcBorders>
            <w:vAlign w:val="center"/>
          </w:tcPr>
          <w:p>
            <w:pPr>
              <w:spacing w:line="276" w:lineRule="auto"/>
              <w:jc w:val="center"/>
              <w:rPr>
                <w:rFonts w:hint="eastAsia" w:ascii="仿宋_GB2312" w:hAnsi="仿宋_GB2312" w:eastAsia="仿宋_GB2312" w:cs="仿宋_GB2312"/>
                <w:b/>
                <w:bCs/>
                <w:sz w:val="24"/>
              </w:rPr>
            </w:pPr>
          </w:p>
        </w:tc>
        <w:tc>
          <w:tcPr>
            <w:tcW w:w="1134" w:type="dxa"/>
            <w:tcBorders>
              <w:left w:val="single" w:color="auto" w:sz="4" w:space="0"/>
            </w:tcBorders>
            <w:vAlign w:val="center"/>
          </w:tcPr>
          <w:p>
            <w:pPr>
              <w:spacing w:line="276" w:lineRule="auto"/>
              <w:jc w:val="center"/>
              <w:rPr>
                <w:rFonts w:hint="eastAsia" w:ascii="仿宋_GB2312" w:hAnsi="仿宋_GB2312" w:eastAsia="仿宋_GB2312" w:cs="仿宋_GB2312"/>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851" w:type="dxa"/>
            <w:vAlign w:val="center"/>
          </w:tcPr>
          <w:p>
            <w:pPr>
              <w:spacing w:line="276" w:lineRule="auto"/>
              <w:jc w:val="center"/>
              <w:rPr>
                <w:rFonts w:ascii="Times New Roman" w:hAnsi="华文仿宋" w:eastAsia="华文仿宋"/>
                <w:b/>
                <w:bCs/>
                <w:sz w:val="24"/>
              </w:rPr>
            </w:pPr>
          </w:p>
        </w:tc>
        <w:tc>
          <w:tcPr>
            <w:tcW w:w="992" w:type="dxa"/>
            <w:tcBorders>
              <w:right w:val="single" w:color="auto" w:sz="4" w:space="0"/>
            </w:tcBorders>
            <w:vAlign w:val="center"/>
          </w:tcPr>
          <w:p>
            <w:pPr>
              <w:spacing w:line="276" w:lineRule="auto"/>
              <w:jc w:val="center"/>
              <w:rPr>
                <w:rFonts w:ascii="Times New Roman" w:hAnsi="华文仿宋" w:eastAsia="华文仿宋"/>
                <w:b/>
                <w:bCs/>
                <w:sz w:val="24"/>
              </w:rPr>
            </w:pPr>
          </w:p>
        </w:tc>
        <w:tc>
          <w:tcPr>
            <w:tcW w:w="1418" w:type="dxa"/>
            <w:tcBorders>
              <w:left w:val="single" w:color="auto" w:sz="4" w:space="0"/>
              <w:right w:val="single" w:color="auto" w:sz="4" w:space="0"/>
            </w:tcBorders>
            <w:vAlign w:val="center"/>
          </w:tcPr>
          <w:p>
            <w:pPr>
              <w:spacing w:line="276" w:lineRule="auto"/>
              <w:jc w:val="center"/>
              <w:rPr>
                <w:rFonts w:ascii="Times New Roman" w:hAnsi="华文仿宋" w:eastAsia="华文仿宋"/>
                <w:b/>
                <w:bCs/>
                <w:sz w:val="24"/>
              </w:rPr>
            </w:pPr>
          </w:p>
        </w:tc>
        <w:tc>
          <w:tcPr>
            <w:tcW w:w="992" w:type="dxa"/>
            <w:tcBorders>
              <w:left w:val="single" w:color="auto" w:sz="4" w:space="0"/>
            </w:tcBorders>
            <w:vAlign w:val="center"/>
          </w:tcPr>
          <w:p>
            <w:pPr>
              <w:spacing w:line="276" w:lineRule="auto"/>
              <w:jc w:val="center"/>
              <w:rPr>
                <w:rFonts w:ascii="Times New Roman" w:hAnsi="华文仿宋" w:eastAsia="华文仿宋"/>
                <w:b/>
                <w:bCs/>
                <w:sz w:val="24"/>
              </w:rPr>
            </w:pPr>
          </w:p>
        </w:tc>
        <w:tc>
          <w:tcPr>
            <w:tcW w:w="1276" w:type="dxa"/>
            <w:vAlign w:val="center"/>
          </w:tcPr>
          <w:p>
            <w:pPr>
              <w:spacing w:line="276" w:lineRule="auto"/>
              <w:jc w:val="center"/>
              <w:rPr>
                <w:rFonts w:ascii="Times New Roman" w:hAnsi="华文仿宋" w:eastAsia="华文仿宋"/>
                <w:b/>
                <w:bCs/>
                <w:sz w:val="24"/>
              </w:rPr>
            </w:pPr>
          </w:p>
        </w:tc>
        <w:tc>
          <w:tcPr>
            <w:tcW w:w="992" w:type="dxa"/>
            <w:vAlign w:val="center"/>
          </w:tcPr>
          <w:p>
            <w:pPr>
              <w:spacing w:line="276" w:lineRule="auto"/>
              <w:jc w:val="center"/>
              <w:rPr>
                <w:rFonts w:ascii="Times New Roman" w:hAnsi="华文仿宋" w:eastAsia="华文仿宋"/>
                <w:b/>
                <w:bCs/>
                <w:sz w:val="24"/>
              </w:rPr>
            </w:pPr>
          </w:p>
        </w:tc>
        <w:tc>
          <w:tcPr>
            <w:tcW w:w="1276" w:type="dxa"/>
            <w:tcBorders>
              <w:right w:val="single" w:color="auto" w:sz="4" w:space="0"/>
            </w:tcBorders>
            <w:vAlign w:val="center"/>
          </w:tcPr>
          <w:p>
            <w:pPr>
              <w:spacing w:line="276" w:lineRule="auto"/>
              <w:jc w:val="center"/>
              <w:rPr>
                <w:rFonts w:ascii="Times New Roman" w:hAnsi="华文仿宋" w:eastAsia="华文仿宋"/>
                <w:b/>
                <w:bCs/>
                <w:sz w:val="24"/>
              </w:rPr>
            </w:pPr>
          </w:p>
        </w:tc>
        <w:tc>
          <w:tcPr>
            <w:tcW w:w="992" w:type="dxa"/>
            <w:tcBorders>
              <w:left w:val="single" w:color="auto" w:sz="4" w:space="0"/>
            </w:tcBorders>
            <w:vAlign w:val="center"/>
          </w:tcPr>
          <w:p>
            <w:pPr>
              <w:spacing w:line="276" w:lineRule="auto"/>
              <w:jc w:val="center"/>
              <w:rPr>
                <w:rFonts w:ascii="Times New Roman" w:hAnsi="华文仿宋" w:eastAsia="华文仿宋"/>
                <w:b/>
                <w:bCs/>
                <w:sz w:val="24"/>
              </w:rPr>
            </w:pPr>
          </w:p>
        </w:tc>
        <w:tc>
          <w:tcPr>
            <w:tcW w:w="992" w:type="dxa"/>
            <w:vAlign w:val="center"/>
          </w:tcPr>
          <w:p>
            <w:pPr>
              <w:spacing w:line="276" w:lineRule="auto"/>
              <w:jc w:val="center"/>
              <w:rPr>
                <w:rFonts w:ascii="Times New Roman" w:hAnsi="华文仿宋" w:eastAsia="华文仿宋"/>
                <w:b/>
                <w:bCs/>
                <w:sz w:val="24"/>
              </w:rPr>
            </w:pPr>
          </w:p>
        </w:tc>
        <w:tc>
          <w:tcPr>
            <w:tcW w:w="993" w:type="dxa"/>
            <w:tcBorders>
              <w:right w:val="single" w:color="auto" w:sz="4" w:space="0"/>
            </w:tcBorders>
            <w:vAlign w:val="center"/>
          </w:tcPr>
          <w:p>
            <w:pPr>
              <w:spacing w:line="276" w:lineRule="auto"/>
              <w:jc w:val="center"/>
              <w:rPr>
                <w:rFonts w:ascii="Times New Roman" w:hAnsi="华文仿宋" w:eastAsia="华文仿宋"/>
                <w:b/>
                <w:bCs/>
                <w:sz w:val="24"/>
              </w:rPr>
            </w:pPr>
          </w:p>
        </w:tc>
        <w:tc>
          <w:tcPr>
            <w:tcW w:w="992" w:type="dxa"/>
            <w:tcBorders>
              <w:left w:val="single" w:color="auto" w:sz="4" w:space="0"/>
              <w:right w:val="single" w:color="auto" w:sz="4" w:space="0"/>
            </w:tcBorders>
            <w:vAlign w:val="center"/>
          </w:tcPr>
          <w:p>
            <w:pPr>
              <w:spacing w:line="276" w:lineRule="auto"/>
              <w:jc w:val="center"/>
              <w:rPr>
                <w:rFonts w:ascii="Times New Roman" w:hAnsi="华文仿宋" w:eastAsia="华文仿宋"/>
                <w:b/>
                <w:bCs/>
                <w:sz w:val="24"/>
              </w:rPr>
            </w:pPr>
          </w:p>
        </w:tc>
        <w:tc>
          <w:tcPr>
            <w:tcW w:w="1134" w:type="dxa"/>
            <w:tcBorders>
              <w:left w:val="single" w:color="auto" w:sz="4" w:space="0"/>
              <w:right w:val="single" w:color="auto" w:sz="4" w:space="0"/>
            </w:tcBorders>
            <w:vAlign w:val="center"/>
          </w:tcPr>
          <w:p>
            <w:pPr>
              <w:spacing w:line="276" w:lineRule="auto"/>
              <w:jc w:val="center"/>
              <w:rPr>
                <w:rFonts w:ascii="Times New Roman" w:hAnsi="华文仿宋" w:eastAsia="华文仿宋"/>
                <w:b/>
                <w:bCs/>
                <w:sz w:val="24"/>
              </w:rPr>
            </w:pPr>
          </w:p>
        </w:tc>
        <w:tc>
          <w:tcPr>
            <w:tcW w:w="1134" w:type="dxa"/>
            <w:tcBorders>
              <w:left w:val="single" w:color="auto" w:sz="4" w:space="0"/>
            </w:tcBorders>
            <w:vAlign w:val="center"/>
          </w:tcPr>
          <w:p>
            <w:pPr>
              <w:spacing w:line="276" w:lineRule="auto"/>
              <w:jc w:val="center"/>
              <w:rPr>
                <w:rFonts w:ascii="Times New Roman" w:hAnsi="华文仿宋" w:eastAsia="华文仿宋"/>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851" w:type="dxa"/>
            <w:vAlign w:val="center"/>
          </w:tcPr>
          <w:p>
            <w:pPr>
              <w:spacing w:line="276" w:lineRule="auto"/>
              <w:jc w:val="center"/>
              <w:rPr>
                <w:rFonts w:ascii="Times New Roman" w:hAnsi="华文仿宋" w:eastAsia="华文仿宋"/>
                <w:b/>
                <w:bCs/>
                <w:sz w:val="24"/>
              </w:rPr>
            </w:pPr>
          </w:p>
        </w:tc>
        <w:tc>
          <w:tcPr>
            <w:tcW w:w="992" w:type="dxa"/>
            <w:tcBorders>
              <w:right w:val="single" w:color="auto" w:sz="4" w:space="0"/>
            </w:tcBorders>
            <w:vAlign w:val="center"/>
          </w:tcPr>
          <w:p>
            <w:pPr>
              <w:spacing w:line="276" w:lineRule="auto"/>
              <w:jc w:val="center"/>
              <w:rPr>
                <w:rFonts w:ascii="Times New Roman" w:hAnsi="华文仿宋" w:eastAsia="华文仿宋"/>
                <w:b/>
                <w:bCs/>
                <w:sz w:val="24"/>
              </w:rPr>
            </w:pPr>
          </w:p>
        </w:tc>
        <w:tc>
          <w:tcPr>
            <w:tcW w:w="1418" w:type="dxa"/>
            <w:tcBorders>
              <w:left w:val="single" w:color="auto" w:sz="4" w:space="0"/>
              <w:right w:val="single" w:color="auto" w:sz="4" w:space="0"/>
            </w:tcBorders>
            <w:vAlign w:val="center"/>
          </w:tcPr>
          <w:p>
            <w:pPr>
              <w:spacing w:line="276" w:lineRule="auto"/>
              <w:jc w:val="center"/>
              <w:rPr>
                <w:rFonts w:ascii="Times New Roman" w:hAnsi="华文仿宋" w:eastAsia="华文仿宋"/>
                <w:b/>
                <w:bCs/>
                <w:sz w:val="24"/>
              </w:rPr>
            </w:pPr>
          </w:p>
        </w:tc>
        <w:tc>
          <w:tcPr>
            <w:tcW w:w="992" w:type="dxa"/>
            <w:tcBorders>
              <w:left w:val="single" w:color="auto" w:sz="4" w:space="0"/>
            </w:tcBorders>
            <w:vAlign w:val="center"/>
          </w:tcPr>
          <w:p>
            <w:pPr>
              <w:spacing w:line="276" w:lineRule="auto"/>
              <w:jc w:val="center"/>
              <w:rPr>
                <w:rFonts w:ascii="Times New Roman" w:hAnsi="华文仿宋" w:eastAsia="华文仿宋"/>
                <w:b/>
                <w:bCs/>
                <w:sz w:val="24"/>
              </w:rPr>
            </w:pPr>
          </w:p>
        </w:tc>
        <w:tc>
          <w:tcPr>
            <w:tcW w:w="1276" w:type="dxa"/>
            <w:vAlign w:val="center"/>
          </w:tcPr>
          <w:p>
            <w:pPr>
              <w:spacing w:line="276" w:lineRule="auto"/>
              <w:jc w:val="center"/>
              <w:rPr>
                <w:rFonts w:ascii="Times New Roman" w:hAnsi="华文仿宋" w:eastAsia="华文仿宋"/>
                <w:b/>
                <w:bCs/>
                <w:sz w:val="24"/>
              </w:rPr>
            </w:pPr>
          </w:p>
        </w:tc>
        <w:tc>
          <w:tcPr>
            <w:tcW w:w="992" w:type="dxa"/>
            <w:vAlign w:val="center"/>
          </w:tcPr>
          <w:p>
            <w:pPr>
              <w:spacing w:line="276" w:lineRule="auto"/>
              <w:jc w:val="center"/>
              <w:rPr>
                <w:rFonts w:ascii="Times New Roman" w:hAnsi="华文仿宋" w:eastAsia="华文仿宋"/>
                <w:b/>
                <w:bCs/>
                <w:sz w:val="24"/>
              </w:rPr>
            </w:pPr>
          </w:p>
        </w:tc>
        <w:tc>
          <w:tcPr>
            <w:tcW w:w="1276" w:type="dxa"/>
            <w:tcBorders>
              <w:right w:val="single" w:color="auto" w:sz="4" w:space="0"/>
            </w:tcBorders>
            <w:vAlign w:val="center"/>
          </w:tcPr>
          <w:p>
            <w:pPr>
              <w:spacing w:line="276" w:lineRule="auto"/>
              <w:jc w:val="center"/>
              <w:rPr>
                <w:rFonts w:ascii="Times New Roman" w:hAnsi="华文仿宋" w:eastAsia="华文仿宋"/>
                <w:b/>
                <w:bCs/>
                <w:sz w:val="24"/>
              </w:rPr>
            </w:pPr>
          </w:p>
        </w:tc>
        <w:tc>
          <w:tcPr>
            <w:tcW w:w="992" w:type="dxa"/>
            <w:tcBorders>
              <w:left w:val="single" w:color="auto" w:sz="4" w:space="0"/>
            </w:tcBorders>
            <w:vAlign w:val="center"/>
          </w:tcPr>
          <w:p>
            <w:pPr>
              <w:spacing w:line="276" w:lineRule="auto"/>
              <w:jc w:val="center"/>
              <w:rPr>
                <w:rFonts w:ascii="Times New Roman" w:hAnsi="华文仿宋" w:eastAsia="华文仿宋"/>
                <w:b/>
                <w:bCs/>
                <w:sz w:val="24"/>
              </w:rPr>
            </w:pPr>
          </w:p>
        </w:tc>
        <w:tc>
          <w:tcPr>
            <w:tcW w:w="992" w:type="dxa"/>
            <w:vAlign w:val="center"/>
          </w:tcPr>
          <w:p>
            <w:pPr>
              <w:spacing w:line="276" w:lineRule="auto"/>
              <w:jc w:val="center"/>
              <w:rPr>
                <w:rFonts w:ascii="Times New Roman" w:hAnsi="华文仿宋" w:eastAsia="华文仿宋"/>
                <w:b/>
                <w:bCs/>
                <w:sz w:val="24"/>
              </w:rPr>
            </w:pPr>
          </w:p>
        </w:tc>
        <w:tc>
          <w:tcPr>
            <w:tcW w:w="993" w:type="dxa"/>
            <w:tcBorders>
              <w:right w:val="single" w:color="auto" w:sz="4" w:space="0"/>
            </w:tcBorders>
            <w:vAlign w:val="center"/>
          </w:tcPr>
          <w:p>
            <w:pPr>
              <w:spacing w:line="276" w:lineRule="auto"/>
              <w:jc w:val="center"/>
              <w:rPr>
                <w:rFonts w:ascii="Times New Roman" w:hAnsi="华文仿宋" w:eastAsia="华文仿宋"/>
                <w:b/>
                <w:bCs/>
                <w:sz w:val="24"/>
              </w:rPr>
            </w:pPr>
          </w:p>
        </w:tc>
        <w:tc>
          <w:tcPr>
            <w:tcW w:w="992" w:type="dxa"/>
            <w:tcBorders>
              <w:left w:val="single" w:color="auto" w:sz="4" w:space="0"/>
              <w:right w:val="single" w:color="auto" w:sz="4" w:space="0"/>
            </w:tcBorders>
            <w:vAlign w:val="center"/>
          </w:tcPr>
          <w:p>
            <w:pPr>
              <w:spacing w:line="276" w:lineRule="auto"/>
              <w:jc w:val="center"/>
              <w:rPr>
                <w:rFonts w:ascii="Times New Roman" w:hAnsi="华文仿宋" w:eastAsia="华文仿宋"/>
                <w:b/>
                <w:bCs/>
                <w:sz w:val="24"/>
              </w:rPr>
            </w:pPr>
          </w:p>
        </w:tc>
        <w:tc>
          <w:tcPr>
            <w:tcW w:w="1134" w:type="dxa"/>
            <w:tcBorders>
              <w:left w:val="single" w:color="auto" w:sz="4" w:space="0"/>
              <w:right w:val="single" w:color="auto" w:sz="4" w:space="0"/>
            </w:tcBorders>
            <w:vAlign w:val="center"/>
          </w:tcPr>
          <w:p>
            <w:pPr>
              <w:spacing w:line="276" w:lineRule="auto"/>
              <w:jc w:val="center"/>
              <w:rPr>
                <w:rFonts w:ascii="Times New Roman" w:hAnsi="华文仿宋" w:eastAsia="华文仿宋"/>
                <w:b/>
                <w:bCs/>
                <w:sz w:val="24"/>
              </w:rPr>
            </w:pPr>
          </w:p>
        </w:tc>
        <w:tc>
          <w:tcPr>
            <w:tcW w:w="1134" w:type="dxa"/>
            <w:tcBorders>
              <w:left w:val="single" w:color="auto" w:sz="4" w:space="0"/>
            </w:tcBorders>
            <w:vAlign w:val="center"/>
          </w:tcPr>
          <w:p>
            <w:pPr>
              <w:spacing w:line="276" w:lineRule="auto"/>
              <w:jc w:val="center"/>
              <w:rPr>
                <w:rFonts w:ascii="Times New Roman" w:hAnsi="华文仿宋" w:eastAsia="华文仿宋"/>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exact"/>
        </w:trPr>
        <w:tc>
          <w:tcPr>
            <w:tcW w:w="851" w:type="dxa"/>
            <w:vAlign w:val="center"/>
          </w:tcPr>
          <w:p>
            <w:pPr>
              <w:spacing w:line="276" w:lineRule="auto"/>
              <w:jc w:val="center"/>
              <w:rPr>
                <w:rFonts w:ascii="Times New Roman" w:hAnsi="华文仿宋" w:eastAsia="华文仿宋"/>
                <w:b/>
                <w:bCs/>
                <w:sz w:val="24"/>
              </w:rPr>
            </w:pPr>
          </w:p>
        </w:tc>
        <w:tc>
          <w:tcPr>
            <w:tcW w:w="992" w:type="dxa"/>
            <w:tcBorders>
              <w:right w:val="single" w:color="auto" w:sz="4" w:space="0"/>
            </w:tcBorders>
            <w:vAlign w:val="center"/>
          </w:tcPr>
          <w:p>
            <w:pPr>
              <w:spacing w:line="276" w:lineRule="auto"/>
              <w:jc w:val="center"/>
              <w:rPr>
                <w:rFonts w:ascii="Times New Roman" w:hAnsi="华文仿宋" w:eastAsia="华文仿宋"/>
                <w:b/>
                <w:bCs/>
                <w:sz w:val="24"/>
              </w:rPr>
            </w:pPr>
          </w:p>
        </w:tc>
        <w:tc>
          <w:tcPr>
            <w:tcW w:w="1418" w:type="dxa"/>
            <w:tcBorders>
              <w:left w:val="single" w:color="auto" w:sz="4" w:space="0"/>
              <w:right w:val="single" w:color="auto" w:sz="4" w:space="0"/>
            </w:tcBorders>
            <w:vAlign w:val="center"/>
          </w:tcPr>
          <w:p>
            <w:pPr>
              <w:spacing w:line="276" w:lineRule="auto"/>
              <w:jc w:val="center"/>
              <w:rPr>
                <w:rFonts w:ascii="Times New Roman" w:hAnsi="华文仿宋" w:eastAsia="华文仿宋"/>
                <w:b/>
                <w:bCs/>
                <w:sz w:val="24"/>
              </w:rPr>
            </w:pPr>
          </w:p>
        </w:tc>
        <w:tc>
          <w:tcPr>
            <w:tcW w:w="992" w:type="dxa"/>
            <w:tcBorders>
              <w:left w:val="single" w:color="auto" w:sz="4" w:space="0"/>
            </w:tcBorders>
            <w:vAlign w:val="center"/>
          </w:tcPr>
          <w:p>
            <w:pPr>
              <w:spacing w:line="276" w:lineRule="auto"/>
              <w:jc w:val="center"/>
              <w:rPr>
                <w:rFonts w:ascii="Times New Roman" w:hAnsi="华文仿宋" w:eastAsia="华文仿宋"/>
                <w:b/>
                <w:bCs/>
                <w:sz w:val="24"/>
              </w:rPr>
            </w:pPr>
          </w:p>
        </w:tc>
        <w:tc>
          <w:tcPr>
            <w:tcW w:w="1276" w:type="dxa"/>
            <w:vAlign w:val="center"/>
          </w:tcPr>
          <w:p>
            <w:pPr>
              <w:spacing w:line="276" w:lineRule="auto"/>
              <w:jc w:val="center"/>
              <w:rPr>
                <w:rFonts w:ascii="Times New Roman" w:hAnsi="华文仿宋" w:eastAsia="华文仿宋"/>
                <w:b/>
                <w:bCs/>
                <w:sz w:val="24"/>
              </w:rPr>
            </w:pPr>
          </w:p>
        </w:tc>
        <w:tc>
          <w:tcPr>
            <w:tcW w:w="992" w:type="dxa"/>
            <w:vAlign w:val="center"/>
          </w:tcPr>
          <w:p>
            <w:pPr>
              <w:spacing w:line="276" w:lineRule="auto"/>
              <w:jc w:val="center"/>
              <w:rPr>
                <w:rFonts w:ascii="Times New Roman" w:hAnsi="华文仿宋" w:eastAsia="华文仿宋"/>
                <w:b/>
                <w:bCs/>
                <w:sz w:val="24"/>
              </w:rPr>
            </w:pPr>
          </w:p>
        </w:tc>
        <w:tc>
          <w:tcPr>
            <w:tcW w:w="1276" w:type="dxa"/>
            <w:tcBorders>
              <w:right w:val="single" w:color="auto" w:sz="4" w:space="0"/>
            </w:tcBorders>
            <w:vAlign w:val="center"/>
          </w:tcPr>
          <w:p>
            <w:pPr>
              <w:spacing w:line="276" w:lineRule="auto"/>
              <w:jc w:val="center"/>
              <w:rPr>
                <w:rFonts w:ascii="Times New Roman" w:hAnsi="华文仿宋" w:eastAsia="华文仿宋"/>
                <w:b/>
                <w:bCs/>
                <w:sz w:val="24"/>
              </w:rPr>
            </w:pPr>
          </w:p>
        </w:tc>
        <w:tc>
          <w:tcPr>
            <w:tcW w:w="992" w:type="dxa"/>
            <w:tcBorders>
              <w:left w:val="single" w:color="auto" w:sz="4" w:space="0"/>
            </w:tcBorders>
            <w:vAlign w:val="center"/>
          </w:tcPr>
          <w:p>
            <w:pPr>
              <w:spacing w:line="276" w:lineRule="auto"/>
              <w:jc w:val="center"/>
              <w:rPr>
                <w:rFonts w:ascii="Times New Roman" w:hAnsi="华文仿宋" w:eastAsia="华文仿宋"/>
                <w:b/>
                <w:bCs/>
                <w:sz w:val="24"/>
              </w:rPr>
            </w:pPr>
          </w:p>
        </w:tc>
        <w:tc>
          <w:tcPr>
            <w:tcW w:w="992" w:type="dxa"/>
            <w:vAlign w:val="center"/>
          </w:tcPr>
          <w:p>
            <w:pPr>
              <w:spacing w:line="276" w:lineRule="auto"/>
              <w:jc w:val="center"/>
              <w:rPr>
                <w:rFonts w:ascii="Times New Roman" w:hAnsi="华文仿宋" w:eastAsia="华文仿宋"/>
                <w:b/>
                <w:bCs/>
                <w:sz w:val="24"/>
              </w:rPr>
            </w:pPr>
          </w:p>
        </w:tc>
        <w:tc>
          <w:tcPr>
            <w:tcW w:w="993" w:type="dxa"/>
            <w:tcBorders>
              <w:right w:val="single" w:color="auto" w:sz="4" w:space="0"/>
            </w:tcBorders>
            <w:vAlign w:val="center"/>
          </w:tcPr>
          <w:p>
            <w:pPr>
              <w:spacing w:line="276" w:lineRule="auto"/>
              <w:jc w:val="center"/>
              <w:rPr>
                <w:rFonts w:ascii="Times New Roman" w:hAnsi="华文仿宋" w:eastAsia="华文仿宋"/>
                <w:b/>
                <w:bCs/>
                <w:sz w:val="24"/>
              </w:rPr>
            </w:pPr>
          </w:p>
        </w:tc>
        <w:tc>
          <w:tcPr>
            <w:tcW w:w="992" w:type="dxa"/>
            <w:tcBorders>
              <w:left w:val="single" w:color="auto" w:sz="4" w:space="0"/>
              <w:right w:val="single" w:color="auto" w:sz="4" w:space="0"/>
            </w:tcBorders>
            <w:vAlign w:val="center"/>
          </w:tcPr>
          <w:p>
            <w:pPr>
              <w:spacing w:line="276" w:lineRule="auto"/>
              <w:jc w:val="center"/>
              <w:rPr>
                <w:rFonts w:ascii="Times New Roman" w:hAnsi="华文仿宋" w:eastAsia="华文仿宋"/>
                <w:b/>
                <w:bCs/>
                <w:sz w:val="24"/>
              </w:rPr>
            </w:pPr>
          </w:p>
        </w:tc>
        <w:tc>
          <w:tcPr>
            <w:tcW w:w="1134" w:type="dxa"/>
            <w:tcBorders>
              <w:left w:val="single" w:color="auto" w:sz="4" w:space="0"/>
              <w:right w:val="single" w:color="auto" w:sz="4" w:space="0"/>
            </w:tcBorders>
            <w:vAlign w:val="center"/>
          </w:tcPr>
          <w:p>
            <w:pPr>
              <w:spacing w:line="276" w:lineRule="auto"/>
              <w:jc w:val="center"/>
              <w:rPr>
                <w:rFonts w:ascii="Times New Roman" w:hAnsi="华文仿宋" w:eastAsia="华文仿宋"/>
                <w:b/>
                <w:bCs/>
                <w:sz w:val="24"/>
              </w:rPr>
            </w:pPr>
          </w:p>
        </w:tc>
        <w:tc>
          <w:tcPr>
            <w:tcW w:w="1134" w:type="dxa"/>
            <w:tcBorders>
              <w:left w:val="single" w:color="auto" w:sz="4" w:space="0"/>
            </w:tcBorders>
            <w:vAlign w:val="center"/>
          </w:tcPr>
          <w:p>
            <w:pPr>
              <w:spacing w:line="276" w:lineRule="auto"/>
              <w:jc w:val="center"/>
              <w:rPr>
                <w:rFonts w:ascii="Times New Roman" w:hAnsi="华文仿宋" w:eastAsia="华文仿宋"/>
                <w:b/>
                <w:bCs/>
                <w:sz w:val="24"/>
              </w:rPr>
            </w:pPr>
          </w:p>
        </w:tc>
      </w:tr>
    </w:tbl>
    <w:p>
      <w:pPr>
        <w:spacing w:line="320" w:lineRule="exact"/>
        <w:ind w:firstLine="480" w:firstLineChars="200"/>
        <w:rPr>
          <w:rFonts w:ascii="Times New Roman" w:eastAsia="楷体_GB2312"/>
          <w:sz w:val="24"/>
        </w:rPr>
      </w:pPr>
      <w:r>
        <w:rPr>
          <w:rFonts w:hint="eastAsia" w:ascii="Times New Roman" w:eastAsia="楷体_GB2312"/>
          <w:sz w:val="24"/>
        </w:rPr>
        <w:t>注：</w:t>
      </w:r>
      <w:r>
        <w:rPr>
          <w:rFonts w:ascii="Times New Roman" w:hAnsi="Times New Roman" w:eastAsia="楷体_GB2312"/>
          <w:sz w:val="24"/>
        </w:rPr>
        <w:t>1.</w:t>
      </w:r>
      <w:r>
        <w:rPr>
          <w:rFonts w:hint="eastAsia" w:ascii="Times New Roman" w:eastAsia="楷体_GB2312"/>
          <w:sz w:val="24"/>
        </w:rPr>
        <w:t>本表是排查对象情况明细表，要求逐个大棚填写。</w:t>
      </w:r>
    </w:p>
    <w:p>
      <w:pPr>
        <w:spacing w:line="320" w:lineRule="exact"/>
        <w:ind w:firstLine="480" w:firstLineChars="200"/>
        <w:rPr>
          <w:rFonts w:ascii="Times New Roman" w:hAnsi="Times New Roman" w:eastAsia="楷体_GB2312"/>
          <w:sz w:val="24"/>
        </w:rPr>
      </w:pPr>
      <w:r>
        <w:rPr>
          <w:rFonts w:ascii="Times New Roman" w:eastAsia="楷体_GB2312"/>
          <w:sz w:val="24"/>
        </w:rPr>
        <w:t>2.</w:t>
      </w:r>
      <w:r>
        <w:rPr>
          <w:rFonts w:hint="eastAsia" w:ascii="Times New Roman" w:eastAsia="楷体_GB2312"/>
          <w:sz w:val="24"/>
        </w:rPr>
        <w:t>设施类型包括塑料大棚、日光大棚、连栋大棚和其他设施。连栋温室包括：有钢架结构的薄膜、</w:t>
      </w:r>
      <w:r>
        <w:rPr>
          <w:rFonts w:ascii="Times New Roman" w:hAnsi="Times New Roman" w:eastAsia="楷体_GB2312"/>
          <w:sz w:val="24"/>
        </w:rPr>
        <w:t>PC</w:t>
      </w:r>
      <w:r>
        <w:rPr>
          <w:rFonts w:hint="eastAsia" w:ascii="Times New Roman" w:eastAsia="楷体_GB2312"/>
          <w:sz w:val="24"/>
        </w:rPr>
        <w:t>板或玻璃连栋温室等。其它设施类型：主要指有覆盖材料的保护地设施，包括中小棚、遮阳棚、避雨棚等；以及工厂化栽培的食用菌菇房、植物工厂等。</w:t>
      </w:r>
    </w:p>
    <w:p>
      <w:pPr>
        <w:spacing w:line="320" w:lineRule="exact"/>
        <w:ind w:firstLine="480" w:firstLineChars="200"/>
        <w:rPr>
          <w:rFonts w:ascii="Times New Roman" w:hAnsi="Times New Roman" w:eastAsia="楷体_GB2312"/>
          <w:sz w:val="24"/>
        </w:rPr>
      </w:pPr>
      <w:r>
        <w:rPr>
          <w:rFonts w:ascii="Times New Roman" w:hAnsi="Times New Roman" w:eastAsia="楷体_GB2312"/>
          <w:sz w:val="24"/>
        </w:rPr>
        <w:t>3.</w:t>
      </w:r>
      <w:r>
        <w:rPr>
          <w:rFonts w:hint="eastAsia" w:ascii="Times New Roman" w:hAnsi="Times New Roman" w:eastAsia="楷体_GB2312"/>
          <w:sz w:val="24"/>
        </w:rPr>
        <w:t>违法</w:t>
      </w:r>
      <w:r>
        <w:rPr>
          <w:rFonts w:hint="eastAsia" w:ascii="Times New Roman" w:eastAsia="楷体_GB2312"/>
          <w:sz w:val="24"/>
        </w:rPr>
        <w:t>违规性质可分为</w:t>
      </w:r>
      <w:r>
        <w:rPr>
          <w:rFonts w:hint="eastAsia" w:ascii="宋体" w:hAnsi="宋体" w:cs="宋体"/>
          <w:sz w:val="24"/>
        </w:rPr>
        <w:t>Ⅰ</w:t>
      </w:r>
      <w:r>
        <w:rPr>
          <w:rFonts w:hint="eastAsia" w:ascii="Times New Roman" w:eastAsia="楷体_GB2312"/>
          <w:sz w:val="24"/>
        </w:rPr>
        <w:t>、</w:t>
      </w:r>
      <w:r>
        <w:rPr>
          <w:rFonts w:hint="eastAsia" w:ascii="宋体" w:hAnsi="宋体" w:cs="宋体"/>
          <w:sz w:val="24"/>
        </w:rPr>
        <w:t>Ⅱ</w:t>
      </w:r>
      <w:r>
        <w:rPr>
          <w:rFonts w:hint="eastAsia" w:ascii="Times New Roman" w:eastAsia="楷体_GB2312"/>
          <w:sz w:val="24"/>
        </w:rPr>
        <w:t>、</w:t>
      </w:r>
      <w:r>
        <w:rPr>
          <w:rFonts w:hint="eastAsia" w:ascii="宋体" w:hAnsi="宋体" w:cs="宋体"/>
          <w:sz w:val="24"/>
        </w:rPr>
        <w:t>Ⅲ</w:t>
      </w:r>
      <w:r>
        <w:rPr>
          <w:rFonts w:hint="eastAsia" w:ascii="Times New Roman" w:eastAsia="楷体_GB2312"/>
          <w:sz w:val="24"/>
        </w:rPr>
        <w:t>类及其他，其中</w:t>
      </w:r>
      <w:r>
        <w:rPr>
          <w:rFonts w:hint="eastAsia" w:ascii="宋体" w:hAnsi="宋体" w:cs="宋体"/>
          <w:sz w:val="24"/>
        </w:rPr>
        <w:t>Ⅰ</w:t>
      </w:r>
      <w:r>
        <w:rPr>
          <w:rFonts w:hint="eastAsia" w:ascii="Times New Roman" w:eastAsia="楷体_GB2312"/>
          <w:sz w:val="24"/>
        </w:rPr>
        <w:t>类指在各类农业园区内占用耕地或直接在耕地上违法违规建设非农设施。</w:t>
      </w:r>
      <w:r>
        <w:rPr>
          <w:rFonts w:hint="eastAsia" w:ascii="宋体" w:hAnsi="宋体" w:cs="宋体"/>
          <w:sz w:val="24"/>
        </w:rPr>
        <w:t>Ⅱ</w:t>
      </w:r>
      <w:r>
        <w:rPr>
          <w:rFonts w:hint="eastAsia" w:ascii="Times New Roman" w:eastAsia="楷体_GB2312"/>
          <w:sz w:val="24"/>
        </w:rPr>
        <w:t>类指在农业大棚内违法违规占用耕地建设商品住宅。</w:t>
      </w:r>
      <w:r>
        <w:rPr>
          <w:rFonts w:hint="eastAsia" w:ascii="宋体" w:hAnsi="宋体" w:cs="宋体"/>
          <w:sz w:val="24"/>
        </w:rPr>
        <w:t>Ⅲ</w:t>
      </w:r>
      <w:r>
        <w:rPr>
          <w:rFonts w:hint="eastAsia" w:ascii="Times New Roman" w:eastAsia="楷体_GB2312"/>
          <w:sz w:val="24"/>
        </w:rPr>
        <w:t>类指建设农业大棚看护房严重超标准，甚至违法违规改变性质用途，进行住宅类经营性开发。其它违法违规建设情况：指</w:t>
      </w:r>
      <w:r>
        <w:rPr>
          <w:rFonts w:hint="eastAsia" w:ascii="宋体" w:hAnsi="宋体" w:cs="宋体"/>
          <w:sz w:val="24"/>
        </w:rPr>
        <w:t>Ⅰ</w:t>
      </w:r>
      <w:r>
        <w:rPr>
          <w:rFonts w:hint="eastAsia" w:ascii="Times New Roman" w:eastAsia="楷体_GB2312"/>
          <w:sz w:val="24"/>
        </w:rPr>
        <w:t>类、</w:t>
      </w:r>
      <w:r>
        <w:rPr>
          <w:rFonts w:hint="eastAsia" w:ascii="宋体" w:hAnsi="宋体" w:cs="宋体"/>
          <w:sz w:val="24"/>
        </w:rPr>
        <w:t>Ⅱ</w:t>
      </w:r>
      <w:r>
        <w:rPr>
          <w:rFonts w:hint="eastAsia" w:ascii="Times New Roman" w:eastAsia="楷体_GB2312"/>
          <w:sz w:val="24"/>
        </w:rPr>
        <w:t>类、</w:t>
      </w:r>
      <w:r>
        <w:rPr>
          <w:rFonts w:hint="eastAsia" w:ascii="宋体" w:hAnsi="宋体" w:cs="宋体"/>
          <w:sz w:val="24"/>
        </w:rPr>
        <w:t>Ⅲ</w:t>
      </w:r>
      <w:r>
        <w:rPr>
          <w:rFonts w:hint="eastAsia" w:ascii="Times New Roman" w:eastAsia="楷体_GB2312"/>
          <w:sz w:val="24"/>
        </w:rPr>
        <w:t>类以外的设施农业农地非农化问题。</w:t>
      </w:r>
    </w:p>
    <w:p>
      <w:pPr>
        <w:spacing w:line="400" w:lineRule="exact"/>
        <w:rPr>
          <w:rFonts w:ascii="Times New Roman" w:hAnsi="Times New Roman" w:eastAsia="仿宋_GB2312"/>
          <w:sz w:val="36"/>
          <w:szCs w:val="36"/>
        </w:rPr>
      </w:pPr>
      <w:r>
        <w:rPr>
          <w:rFonts w:ascii="Times New Roman" w:hAnsi="Times New Roman" w:eastAsia="仿宋_GB2312"/>
          <w:sz w:val="28"/>
          <w:szCs w:val="28"/>
        </w:rPr>
        <w:br w:type="page"/>
      </w:r>
      <w:r>
        <w:rPr>
          <w:rFonts w:hint="eastAsia" w:ascii="黑体" w:hAnsi="黑体" w:eastAsia="黑体" w:cs="黑体"/>
          <w:b w:val="0"/>
          <w:bCs w:val="0"/>
          <w:sz w:val="32"/>
          <w:szCs w:val="32"/>
        </w:rPr>
        <w:t>附表2</w:t>
      </w:r>
    </w:p>
    <w:p>
      <w:pPr>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金城镇</w:t>
      </w:r>
      <w:r>
        <w:rPr>
          <w:rFonts w:hint="eastAsia" w:ascii="方正小标宋_GBK" w:hAnsi="方正小标宋_GBK" w:eastAsia="方正小标宋_GBK" w:cs="方正小标宋_GBK"/>
          <w:b w:val="0"/>
          <w:bCs w:val="0"/>
          <w:sz w:val="44"/>
          <w:szCs w:val="44"/>
        </w:rPr>
        <w:t>“大棚房”问题专项清理整治违规项目情况表（样表）</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村                                                单位：个、亩、万元</w:t>
      </w:r>
    </w:p>
    <w:tbl>
      <w:tblPr>
        <w:tblStyle w:val="8"/>
        <w:tblW w:w="141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
        <w:gridCol w:w="954"/>
        <w:gridCol w:w="567"/>
        <w:gridCol w:w="1325"/>
        <w:gridCol w:w="1085"/>
        <w:gridCol w:w="587"/>
        <w:gridCol w:w="1144"/>
        <w:gridCol w:w="1144"/>
        <w:gridCol w:w="398"/>
        <w:gridCol w:w="398"/>
        <w:gridCol w:w="398"/>
        <w:gridCol w:w="398"/>
        <w:gridCol w:w="1144"/>
        <w:gridCol w:w="1159"/>
        <w:gridCol w:w="1077"/>
        <w:gridCol w:w="939"/>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atLeast"/>
          <w:jc w:val="center"/>
        </w:trPr>
        <w:tc>
          <w:tcPr>
            <w:tcW w:w="528" w:type="dxa"/>
            <w:vMerge w:val="restart"/>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序号</w:t>
            </w:r>
          </w:p>
        </w:tc>
        <w:tc>
          <w:tcPr>
            <w:tcW w:w="954" w:type="dxa"/>
            <w:vMerge w:val="restart"/>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项目</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567" w:type="dxa"/>
            <w:vMerge w:val="restart"/>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占地</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面积</w:t>
            </w:r>
          </w:p>
        </w:tc>
        <w:tc>
          <w:tcPr>
            <w:tcW w:w="1325" w:type="dxa"/>
            <w:vMerge w:val="restart"/>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建设</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地点</w:t>
            </w:r>
          </w:p>
        </w:tc>
        <w:tc>
          <w:tcPr>
            <w:tcW w:w="1085" w:type="dxa"/>
            <w:vMerge w:val="restart"/>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土地</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流转</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起止</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时间</w:t>
            </w:r>
          </w:p>
        </w:tc>
        <w:tc>
          <w:tcPr>
            <w:tcW w:w="587" w:type="dxa"/>
            <w:vMerge w:val="restart"/>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棚</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数</w:t>
            </w:r>
          </w:p>
        </w:tc>
        <w:tc>
          <w:tcPr>
            <w:tcW w:w="8199" w:type="dxa"/>
            <w:gridSpan w:val="10"/>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建设主体</w:t>
            </w:r>
          </w:p>
        </w:tc>
        <w:tc>
          <w:tcPr>
            <w:tcW w:w="855" w:type="dxa"/>
            <w:vMerge w:val="restart"/>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计划整改到位时间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3" w:hRule="atLeast"/>
          <w:jc w:val="center"/>
        </w:trPr>
        <w:tc>
          <w:tcPr>
            <w:tcW w:w="528" w:type="dxa"/>
            <w:vMerge w:val="continue"/>
            <w:vAlign w:val="center"/>
          </w:tcPr>
          <w:p>
            <w:pPr>
              <w:widowControl/>
              <w:jc w:val="left"/>
              <w:rPr>
                <w:rFonts w:hint="eastAsia" w:ascii="仿宋_GB2312" w:hAnsi="仿宋_GB2312" w:eastAsia="仿宋_GB2312" w:cs="仿宋_GB2312"/>
                <w:b/>
                <w:bCs/>
                <w:sz w:val="24"/>
              </w:rPr>
            </w:pPr>
          </w:p>
        </w:tc>
        <w:tc>
          <w:tcPr>
            <w:tcW w:w="954" w:type="dxa"/>
            <w:vMerge w:val="continue"/>
            <w:vAlign w:val="center"/>
          </w:tcPr>
          <w:p>
            <w:pPr>
              <w:widowControl/>
              <w:jc w:val="left"/>
              <w:rPr>
                <w:rFonts w:hint="eastAsia" w:ascii="仿宋_GB2312" w:hAnsi="仿宋_GB2312" w:eastAsia="仿宋_GB2312" w:cs="仿宋_GB2312"/>
                <w:b/>
                <w:bCs/>
                <w:sz w:val="24"/>
              </w:rPr>
            </w:pPr>
          </w:p>
        </w:tc>
        <w:tc>
          <w:tcPr>
            <w:tcW w:w="567" w:type="dxa"/>
            <w:vMerge w:val="continue"/>
            <w:vAlign w:val="center"/>
          </w:tcPr>
          <w:p>
            <w:pPr>
              <w:widowControl/>
              <w:jc w:val="left"/>
              <w:rPr>
                <w:rFonts w:hint="eastAsia" w:ascii="仿宋_GB2312" w:hAnsi="仿宋_GB2312" w:eastAsia="仿宋_GB2312" w:cs="仿宋_GB2312"/>
                <w:b/>
                <w:bCs/>
                <w:sz w:val="24"/>
              </w:rPr>
            </w:pPr>
          </w:p>
        </w:tc>
        <w:tc>
          <w:tcPr>
            <w:tcW w:w="1325" w:type="dxa"/>
            <w:vMerge w:val="continue"/>
            <w:vAlign w:val="center"/>
          </w:tcPr>
          <w:p>
            <w:pPr>
              <w:widowControl/>
              <w:jc w:val="left"/>
              <w:rPr>
                <w:rFonts w:hint="eastAsia" w:ascii="仿宋_GB2312" w:hAnsi="仿宋_GB2312" w:eastAsia="仿宋_GB2312" w:cs="仿宋_GB2312"/>
                <w:b/>
                <w:bCs/>
                <w:sz w:val="24"/>
              </w:rPr>
            </w:pPr>
          </w:p>
        </w:tc>
        <w:tc>
          <w:tcPr>
            <w:tcW w:w="1085" w:type="dxa"/>
            <w:vMerge w:val="continue"/>
            <w:vAlign w:val="center"/>
          </w:tcPr>
          <w:p>
            <w:pPr>
              <w:widowControl/>
              <w:jc w:val="left"/>
              <w:rPr>
                <w:rFonts w:hint="eastAsia" w:ascii="仿宋_GB2312" w:hAnsi="仿宋_GB2312" w:eastAsia="仿宋_GB2312" w:cs="仿宋_GB2312"/>
                <w:b/>
                <w:bCs/>
                <w:sz w:val="24"/>
              </w:rPr>
            </w:pPr>
          </w:p>
        </w:tc>
        <w:tc>
          <w:tcPr>
            <w:tcW w:w="587" w:type="dxa"/>
            <w:vMerge w:val="continue"/>
            <w:vAlign w:val="center"/>
          </w:tcPr>
          <w:p>
            <w:pPr>
              <w:widowControl/>
              <w:jc w:val="left"/>
              <w:rPr>
                <w:rFonts w:hint="eastAsia" w:ascii="仿宋_GB2312" w:hAnsi="仿宋_GB2312" w:eastAsia="仿宋_GB2312" w:cs="仿宋_GB2312"/>
                <w:b/>
                <w:bCs/>
                <w:sz w:val="24"/>
              </w:rPr>
            </w:pPr>
          </w:p>
        </w:tc>
        <w:tc>
          <w:tcPr>
            <w:tcW w:w="1144" w:type="dxa"/>
            <w:vMerge w:val="restart"/>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主体</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名称</w:t>
            </w:r>
          </w:p>
        </w:tc>
        <w:tc>
          <w:tcPr>
            <w:tcW w:w="1144" w:type="dxa"/>
            <w:vMerge w:val="restart"/>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建设</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总投资</w:t>
            </w:r>
          </w:p>
        </w:tc>
        <w:tc>
          <w:tcPr>
            <w:tcW w:w="1592" w:type="dxa"/>
            <w:gridSpan w:val="4"/>
            <w:vMerge w:val="restart"/>
            <w:vAlign w:val="top"/>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其中享受财政补助</w:t>
            </w:r>
          </w:p>
        </w:tc>
        <w:tc>
          <w:tcPr>
            <w:tcW w:w="1144" w:type="dxa"/>
            <w:vMerge w:val="restart"/>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始建</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时间</w:t>
            </w:r>
          </w:p>
        </w:tc>
        <w:tc>
          <w:tcPr>
            <w:tcW w:w="1159" w:type="dxa"/>
            <w:vMerge w:val="restart"/>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违规</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性质</w:t>
            </w:r>
          </w:p>
        </w:tc>
        <w:tc>
          <w:tcPr>
            <w:tcW w:w="2016" w:type="dxa"/>
            <w:gridSpan w:val="2"/>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违规</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面积</w:t>
            </w:r>
          </w:p>
        </w:tc>
        <w:tc>
          <w:tcPr>
            <w:tcW w:w="855" w:type="dxa"/>
            <w:vMerge w:val="continue"/>
            <w:vAlign w:val="center"/>
          </w:tcPr>
          <w:p>
            <w:pPr>
              <w:widowControl/>
              <w:jc w:val="left"/>
              <w:rPr>
                <w:rFonts w:hint="eastAsia" w:ascii="仿宋_GB2312" w:hAnsi="仿宋_GB2312" w:eastAsia="仿宋_GB2312" w:cs="仿宋_GB2312"/>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2" w:hRule="atLeast"/>
          <w:jc w:val="center"/>
        </w:trPr>
        <w:tc>
          <w:tcPr>
            <w:tcW w:w="528" w:type="dxa"/>
            <w:vMerge w:val="continue"/>
            <w:vAlign w:val="center"/>
          </w:tcPr>
          <w:p>
            <w:pPr>
              <w:widowControl/>
              <w:jc w:val="left"/>
              <w:rPr>
                <w:rFonts w:hint="eastAsia" w:ascii="仿宋_GB2312" w:hAnsi="仿宋_GB2312" w:eastAsia="仿宋_GB2312" w:cs="仿宋_GB2312"/>
                <w:b/>
                <w:bCs/>
                <w:sz w:val="24"/>
              </w:rPr>
            </w:pPr>
          </w:p>
        </w:tc>
        <w:tc>
          <w:tcPr>
            <w:tcW w:w="954" w:type="dxa"/>
            <w:vMerge w:val="continue"/>
            <w:vAlign w:val="center"/>
          </w:tcPr>
          <w:p>
            <w:pPr>
              <w:widowControl/>
              <w:jc w:val="left"/>
              <w:rPr>
                <w:rFonts w:hint="eastAsia" w:ascii="仿宋_GB2312" w:hAnsi="仿宋_GB2312" w:eastAsia="仿宋_GB2312" w:cs="仿宋_GB2312"/>
                <w:b/>
                <w:bCs/>
                <w:sz w:val="24"/>
              </w:rPr>
            </w:pPr>
          </w:p>
        </w:tc>
        <w:tc>
          <w:tcPr>
            <w:tcW w:w="567" w:type="dxa"/>
            <w:vMerge w:val="continue"/>
            <w:vAlign w:val="center"/>
          </w:tcPr>
          <w:p>
            <w:pPr>
              <w:widowControl/>
              <w:jc w:val="left"/>
              <w:rPr>
                <w:rFonts w:hint="eastAsia" w:ascii="仿宋_GB2312" w:hAnsi="仿宋_GB2312" w:eastAsia="仿宋_GB2312" w:cs="仿宋_GB2312"/>
                <w:b/>
                <w:bCs/>
                <w:sz w:val="24"/>
              </w:rPr>
            </w:pPr>
          </w:p>
        </w:tc>
        <w:tc>
          <w:tcPr>
            <w:tcW w:w="1325" w:type="dxa"/>
            <w:vMerge w:val="continue"/>
            <w:vAlign w:val="center"/>
          </w:tcPr>
          <w:p>
            <w:pPr>
              <w:widowControl/>
              <w:jc w:val="left"/>
              <w:rPr>
                <w:rFonts w:hint="eastAsia" w:ascii="仿宋_GB2312" w:hAnsi="仿宋_GB2312" w:eastAsia="仿宋_GB2312" w:cs="仿宋_GB2312"/>
                <w:b/>
                <w:bCs/>
                <w:sz w:val="24"/>
              </w:rPr>
            </w:pPr>
          </w:p>
        </w:tc>
        <w:tc>
          <w:tcPr>
            <w:tcW w:w="1085" w:type="dxa"/>
            <w:vMerge w:val="continue"/>
            <w:vAlign w:val="center"/>
          </w:tcPr>
          <w:p>
            <w:pPr>
              <w:widowControl/>
              <w:jc w:val="left"/>
              <w:rPr>
                <w:rFonts w:hint="eastAsia" w:ascii="仿宋_GB2312" w:hAnsi="仿宋_GB2312" w:eastAsia="仿宋_GB2312" w:cs="仿宋_GB2312"/>
                <w:b/>
                <w:bCs/>
                <w:sz w:val="24"/>
              </w:rPr>
            </w:pPr>
          </w:p>
        </w:tc>
        <w:tc>
          <w:tcPr>
            <w:tcW w:w="587" w:type="dxa"/>
            <w:vMerge w:val="continue"/>
            <w:vAlign w:val="center"/>
          </w:tcPr>
          <w:p>
            <w:pPr>
              <w:widowControl/>
              <w:jc w:val="left"/>
              <w:rPr>
                <w:rFonts w:hint="eastAsia" w:ascii="仿宋_GB2312" w:hAnsi="仿宋_GB2312" w:eastAsia="仿宋_GB2312" w:cs="仿宋_GB2312"/>
                <w:b/>
                <w:bCs/>
                <w:sz w:val="24"/>
              </w:rPr>
            </w:pPr>
          </w:p>
        </w:tc>
        <w:tc>
          <w:tcPr>
            <w:tcW w:w="1144" w:type="dxa"/>
            <w:vMerge w:val="continue"/>
            <w:vAlign w:val="center"/>
          </w:tcPr>
          <w:p>
            <w:pPr>
              <w:widowControl/>
              <w:jc w:val="left"/>
              <w:rPr>
                <w:rFonts w:hint="eastAsia" w:ascii="仿宋_GB2312" w:hAnsi="仿宋_GB2312" w:eastAsia="仿宋_GB2312" w:cs="仿宋_GB2312"/>
                <w:b/>
                <w:bCs/>
                <w:sz w:val="24"/>
              </w:rPr>
            </w:pPr>
          </w:p>
        </w:tc>
        <w:tc>
          <w:tcPr>
            <w:tcW w:w="1144" w:type="dxa"/>
            <w:vMerge w:val="continue"/>
            <w:vAlign w:val="center"/>
          </w:tcPr>
          <w:p>
            <w:pPr>
              <w:widowControl/>
              <w:jc w:val="left"/>
              <w:rPr>
                <w:rFonts w:hint="eastAsia" w:ascii="仿宋_GB2312" w:hAnsi="仿宋_GB2312" w:eastAsia="仿宋_GB2312" w:cs="仿宋_GB2312"/>
                <w:b/>
                <w:bCs/>
                <w:sz w:val="24"/>
              </w:rPr>
            </w:pPr>
          </w:p>
        </w:tc>
        <w:tc>
          <w:tcPr>
            <w:tcW w:w="1592" w:type="dxa"/>
            <w:gridSpan w:val="4"/>
            <w:vMerge w:val="continue"/>
            <w:vAlign w:val="center"/>
          </w:tcPr>
          <w:p>
            <w:pPr>
              <w:widowControl/>
              <w:jc w:val="left"/>
              <w:rPr>
                <w:rFonts w:hint="eastAsia" w:ascii="仿宋_GB2312" w:hAnsi="仿宋_GB2312" w:eastAsia="仿宋_GB2312" w:cs="仿宋_GB2312"/>
                <w:b/>
                <w:bCs/>
                <w:sz w:val="24"/>
              </w:rPr>
            </w:pPr>
          </w:p>
        </w:tc>
        <w:tc>
          <w:tcPr>
            <w:tcW w:w="1144" w:type="dxa"/>
            <w:vMerge w:val="continue"/>
            <w:vAlign w:val="center"/>
          </w:tcPr>
          <w:p>
            <w:pPr>
              <w:widowControl/>
              <w:jc w:val="left"/>
              <w:rPr>
                <w:rFonts w:hint="eastAsia" w:ascii="仿宋_GB2312" w:hAnsi="仿宋_GB2312" w:eastAsia="仿宋_GB2312" w:cs="仿宋_GB2312"/>
                <w:b/>
                <w:bCs/>
                <w:sz w:val="24"/>
              </w:rPr>
            </w:pPr>
          </w:p>
        </w:tc>
        <w:tc>
          <w:tcPr>
            <w:tcW w:w="1159" w:type="dxa"/>
            <w:vMerge w:val="continue"/>
            <w:vAlign w:val="center"/>
          </w:tcPr>
          <w:p>
            <w:pPr>
              <w:widowControl/>
              <w:jc w:val="left"/>
              <w:rPr>
                <w:rFonts w:hint="eastAsia" w:ascii="仿宋_GB2312" w:hAnsi="仿宋_GB2312" w:eastAsia="仿宋_GB2312" w:cs="仿宋_GB2312"/>
                <w:b/>
                <w:bCs/>
                <w:sz w:val="24"/>
              </w:rPr>
            </w:pPr>
          </w:p>
        </w:tc>
        <w:tc>
          <w:tcPr>
            <w:tcW w:w="1077" w:type="dxa"/>
            <w:vMerge w:val="restart"/>
            <w:vAlign w:val="center"/>
          </w:tcPr>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占用</w:t>
            </w:r>
          </w:p>
          <w:p>
            <w:pPr>
              <w:spacing w:line="300" w:lineRule="exact"/>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耕地</w:t>
            </w:r>
          </w:p>
        </w:tc>
        <w:tc>
          <w:tcPr>
            <w:tcW w:w="939"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b/>
                <w:bCs/>
                <w:sz w:val="24"/>
              </w:rPr>
            </w:pPr>
            <w:r>
              <w:rPr>
                <w:rFonts w:hint="eastAsia" w:ascii="仿宋_GB2312" w:hAnsi="仿宋_GB2312" w:eastAsia="仿宋_GB2312" w:cs="仿宋_GB2312"/>
                <w:b/>
                <w:bCs/>
                <w:sz w:val="24"/>
              </w:rPr>
              <w:t>其中</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b/>
                <w:bCs/>
                <w:sz w:val="24"/>
              </w:rPr>
            </w:pPr>
            <w:r>
              <w:rPr>
                <w:rFonts w:hint="eastAsia" w:ascii="仿宋_GB2312" w:hAnsi="仿宋_GB2312" w:eastAsia="仿宋_GB2312" w:cs="仿宋_GB2312"/>
                <w:b/>
                <w:bCs/>
                <w:sz w:val="24"/>
              </w:rPr>
              <w:t>占用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b/>
                <w:bCs/>
                <w:sz w:val="24"/>
              </w:rPr>
            </w:pPr>
            <w:r>
              <w:rPr>
                <w:rFonts w:hint="eastAsia" w:ascii="仿宋_GB2312" w:hAnsi="仿宋_GB2312" w:eastAsia="仿宋_GB2312" w:cs="仿宋_GB2312"/>
                <w:b/>
                <w:bCs/>
                <w:sz w:val="24"/>
              </w:rPr>
              <w:t>永久</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b/>
                <w:bCs/>
                <w:sz w:val="24"/>
              </w:rPr>
            </w:pPr>
            <w:r>
              <w:rPr>
                <w:rFonts w:hint="eastAsia" w:ascii="仿宋_GB2312" w:hAnsi="仿宋_GB2312" w:eastAsia="仿宋_GB2312" w:cs="仿宋_GB2312"/>
                <w:b/>
                <w:bCs/>
                <w:sz w:val="24"/>
              </w:rPr>
              <w:t>基本</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_GB2312" w:hAnsi="仿宋_GB2312" w:eastAsia="仿宋_GB2312" w:cs="仿宋_GB2312"/>
                <w:b/>
                <w:bCs/>
                <w:sz w:val="24"/>
              </w:rPr>
            </w:pPr>
            <w:r>
              <w:rPr>
                <w:rFonts w:hint="eastAsia" w:ascii="仿宋_GB2312" w:hAnsi="仿宋_GB2312" w:eastAsia="仿宋_GB2312" w:cs="仿宋_GB2312"/>
                <w:b/>
                <w:bCs/>
                <w:sz w:val="24"/>
              </w:rPr>
              <w:t>农田</w:t>
            </w:r>
          </w:p>
        </w:tc>
        <w:tc>
          <w:tcPr>
            <w:tcW w:w="855" w:type="dxa"/>
            <w:vMerge w:val="continue"/>
            <w:vAlign w:val="center"/>
          </w:tcPr>
          <w:p>
            <w:pPr>
              <w:widowControl/>
              <w:jc w:val="left"/>
              <w:rPr>
                <w:rFonts w:hint="eastAsia" w:ascii="仿宋_GB2312" w:hAnsi="仿宋_GB2312" w:eastAsia="仿宋_GB2312" w:cs="仿宋_GB2312"/>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1" w:hRule="atLeast"/>
          <w:jc w:val="center"/>
        </w:trPr>
        <w:tc>
          <w:tcPr>
            <w:tcW w:w="528" w:type="dxa"/>
            <w:vMerge w:val="continue"/>
            <w:vAlign w:val="center"/>
          </w:tcPr>
          <w:p>
            <w:pPr>
              <w:widowControl/>
              <w:jc w:val="left"/>
              <w:rPr>
                <w:rFonts w:hint="eastAsia" w:ascii="仿宋_GB2312" w:hAnsi="仿宋_GB2312" w:eastAsia="仿宋_GB2312" w:cs="仿宋_GB2312"/>
                <w:b/>
                <w:bCs/>
                <w:sz w:val="24"/>
              </w:rPr>
            </w:pPr>
          </w:p>
        </w:tc>
        <w:tc>
          <w:tcPr>
            <w:tcW w:w="954" w:type="dxa"/>
            <w:vMerge w:val="continue"/>
            <w:vAlign w:val="center"/>
          </w:tcPr>
          <w:p>
            <w:pPr>
              <w:widowControl/>
              <w:jc w:val="left"/>
              <w:rPr>
                <w:rFonts w:hint="eastAsia" w:ascii="仿宋_GB2312" w:hAnsi="仿宋_GB2312" w:eastAsia="仿宋_GB2312" w:cs="仿宋_GB2312"/>
                <w:b/>
                <w:bCs/>
                <w:sz w:val="24"/>
              </w:rPr>
            </w:pPr>
          </w:p>
        </w:tc>
        <w:tc>
          <w:tcPr>
            <w:tcW w:w="567" w:type="dxa"/>
            <w:vMerge w:val="continue"/>
            <w:vAlign w:val="center"/>
          </w:tcPr>
          <w:p>
            <w:pPr>
              <w:widowControl/>
              <w:jc w:val="left"/>
              <w:rPr>
                <w:rFonts w:hint="eastAsia" w:ascii="仿宋_GB2312" w:hAnsi="仿宋_GB2312" w:eastAsia="仿宋_GB2312" w:cs="仿宋_GB2312"/>
                <w:b/>
                <w:bCs/>
                <w:sz w:val="24"/>
              </w:rPr>
            </w:pPr>
          </w:p>
        </w:tc>
        <w:tc>
          <w:tcPr>
            <w:tcW w:w="1325" w:type="dxa"/>
            <w:vMerge w:val="continue"/>
            <w:vAlign w:val="center"/>
          </w:tcPr>
          <w:p>
            <w:pPr>
              <w:widowControl/>
              <w:jc w:val="left"/>
              <w:rPr>
                <w:rFonts w:hint="eastAsia" w:ascii="仿宋_GB2312" w:hAnsi="仿宋_GB2312" w:eastAsia="仿宋_GB2312" w:cs="仿宋_GB2312"/>
                <w:b/>
                <w:bCs/>
                <w:sz w:val="24"/>
              </w:rPr>
            </w:pPr>
          </w:p>
        </w:tc>
        <w:tc>
          <w:tcPr>
            <w:tcW w:w="1085" w:type="dxa"/>
            <w:vMerge w:val="continue"/>
            <w:vAlign w:val="center"/>
          </w:tcPr>
          <w:p>
            <w:pPr>
              <w:widowControl/>
              <w:jc w:val="left"/>
              <w:rPr>
                <w:rFonts w:hint="eastAsia" w:ascii="仿宋_GB2312" w:hAnsi="仿宋_GB2312" w:eastAsia="仿宋_GB2312" w:cs="仿宋_GB2312"/>
                <w:b/>
                <w:bCs/>
                <w:sz w:val="24"/>
              </w:rPr>
            </w:pPr>
          </w:p>
        </w:tc>
        <w:tc>
          <w:tcPr>
            <w:tcW w:w="587" w:type="dxa"/>
            <w:vMerge w:val="continue"/>
            <w:vAlign w:val="center"/>
          </w:tcPr>
          <w:p>
            <w:pPr>
              <w:widowControl/>
              <w:jc w:val="left"/>
              <w:rPr>
                <w:rFonts w:hint="eastAsia" w:ascii="仿宋_GB2312" w:hAnsi="仿宋_GB2312" w:eastAsia="仿宋_GB2312" w:cs="仿宋_GB2312"/>
                <w:b/>
                <w:bCs/>
                <w:sz w:val="24"/>
              </w:rPr>
            </w:pPr>
          </w:p>
        </w:tc>
        <w:tc>
          <w:tcPr>
            <w:tcW w:w="1144" w:type="dxa"/>
            <w:vMerge w:val="continue"/>
            <w:vAlign w:val="center"/>
          </w:tcPr>
          <w:p>
            <w:pPr>
              <w:widowControl/>
              <w:jc w:val="left"/>
              <w:rPr>
                <w:rFonts w:hint="eastAsia" w:ascii="仿宋_GB2312" w:hAnsi="仿宋_GB2312" w:eastAsia="仿宋_GB2312" w:cs="仿宋_GB2312"/>
                <w:b/>
                <w:bCs/>
                <w:sz w:val="24"/>
              </w:rPr>
            </w:pPr>
          </w:p>
        </w:tc>
        <w:tc>
          <w:tcPr>
            <w:tcW w:w="1144" w:type="dxa"/>
            <w:vMerge w:val="continue"/>
            <w:vAlign w:val="center"/>
          </w:tcPr>
          <w:p>
            <w:pPr>
              <w:widowControl/>
              <w:jc w:val="left"/>
              <w:rPr>
                <w:rFonts w:hint="eastAsia" w:ascii="仿宋_GB2312" w:hAnsi="仿宋_GB2312" w:eastAsia="仿宋_GB2312" w:cs="仿宋_GB2312"/>
                <w:b/>
                <w:bCs/>
                <w:sz w:val="24"/>
              </w:rPr>
            </w:pPr>
          </w:p>
        </w:tc>
        <w:tc>
          <w:tcPr>
            <w:tcW w:w="398" w:type="dxa"/>
            <w:vAlign w:val="center"/>
          </w:tcPr>
          <w:p>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中央</w:t>
            </w:r>
          </w:p>
        </w:tc>
        <w:tc>
          <w:tcPr>
            <w:tcW w:w="398" w:type="dxa"/>
            <w:vAlign w:val="center"/>
          </w:tcPr>
          <w:p>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省级</w:t>
            </w:r>
          </w:p>
        </w:tc>
        <w:tc>
          <w:tcPr>
            <w:tcW w:w="398" w:type="dxa"/>
            <w:vAlign w:val="center"/>
          </w:tcPr>
          <w:p>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市级</w:t>
            </w:r>
          </w:p>
        </w:tc>
        <w:tc>
          <w:tcPr>
            <w:tcW w:w="398" w:type="dxa"/>
            <w:vAlign w:val="center"/>
          </w:tcPr>
          <w:p>
            <w:pPr>
              <w:spacing w:line="200" w:lineRule="exact"/>
              <w:jc w:val="center"/>
              <w:rPr>
                <w:rFonts w:hint="eastAsia" w:ascii="仿宋_GB2312" w:hAnsi="仿宋_GB2312" w:eastAsia="仿宋_GB2312" w:cs="仿宋_GB2312"/>
                <w:b/>
                <w:bCs/>
                <w:sz w:val="18"/>
                <w:szCs w:val="18"/>
              </w:rPr>
            </w:pPr>
            <w:r>
              <w:rPr>
                <w:rFonts w:hint="eastAsia" w:ascii="仿宋_GB2312" w:hAnsi="仿宋_GB2312" w:eastAsia="仿宋_GB2312" w:cs="仿宋_GB2312"/>
                <w:b/>
                <w:bCs/>
                <w:sz w:val="18"/>
                <w:szCs w:val="18"/>
              </w:rPr>
              <w:t>区级</w:t>
            </w:r>
          </w:p>
        </w:tc>
        <w:tc>
          <w:tcPr>
            <w:tcW w:w="1144" w:type="dxa"/>
            <w:vMerge w:val="continue"/>
            <w:vAlign w:val="center"/>
          </w:tcPr>
          <w:p>
            <w:pPr>
              <w:widowControl/>
              <w:jc w:val="left"/>
              <w:rPr>
                <w:rFonts w:hint="eastAsia" w:ascii="仿宋_GB2312" w:hAnsi="仿宋_GB2312" w:eastAsia="仿宋_GB2312" w:cs="仿宋_GB2312"/>
                <w:b/>
                <w:bCs/>
                <w:sz w:val="24"/>
              </w:rPr>
            </w:pPr>
          </w:p>
        </w:tc>
        <w:tc>
          <w:tcPr>
            <w:tcW w:w="1159" w:type="dxa"/>
            <w:vMerge w:val="continue"/>
            <w:vAlign w:val="center"/>
          </w:tcPr>
          <w:p>
            <w:pPr>
              <w:widowControl/>
              <w:jc w:val="left"/>
              <w:rPr>
                <w:rFonts w:hint="eastAsia" w:ascii="仿宋_GB2312" w:hAnsi="仿宋_GB2312" w:eastAsia="仿宋_GB2312" w:cs="仿宋_GB2312"/>
                <w:b/>
                <w:bCs/>
                <w:sz w:val="24"/>
              </w:rPr>
            </w:pPr>
          </w:p>
        </w:tc>
        <w:tc>
          <w:tcPr>
            <w:tcW w:w="1077" w:type="dxa"/>
            <w:vMerge w:val="continue"/>
            <w:vAlign w:val="center"/>
          </w:tcPr>
          <w:p>
            <w:pPr>
              <w:widowControl/>
              <w:jc w:val="left"/>
              <w:rPr>
                <w:rFonts w:hint="eastAsia" w:ascii="仿宋_GB2312" w:hAnsi="仿宋_GB2312" w:eastAsia="仿宋_GB2312" w:cs="仿宋_GB2312"/>
                <w:b/>
                <w:bCs/>
                <w:sz w:val="24"/>
              </w:rPr>
            </w:pPr>
          </w:p>
        </w:tc>
        <w:tc>
          <w:tcPr>
            <w:tcW w:w="939" w:type="dxa"/>
            <w:vMerge w:val="continue"/>
            <w:vAlign w:val="center"/>
          </w:tcPr>
          <w:p>
            <w:pPr>
              <w:widowControl/>
              <w:jc w:val="left"/>
              <w:rPr>
                <w:rFonts w:hint="eastAsia" w:ascii="仿宋_GB2312" w:hAnsi="仿宋_GB2312" w:eastAsia="仿宋_GB2312" w:cs="仿宋_GB2312"/>
                <w:b/>
                <w:bCs/>
                <w:sz w:val="24"/>
              </w:rPr>
            </w:pPr>
          </w:p>
        </w:tc>
        <w:tc>
          <w:tcPr>
            <w:tcW w:w="855" w:type="dxa"/>
            <w:vMerge w:val="continue"/>
            <w:vAlign w:val="center"/>
          </w:tcPr>
          <w:p>
            <w:pPr>
              <w:widowControl/>
              <w:jc w:val="left"/>
              <w:rPr>
                <w:rFonts w:hint="eastAsia" w:ascii="仿宋_GB2312" w:hAnsi="仿宋_GB2312" w:eastAsia="仿宋_GB2312" w:cs="仿宋_GB2312"/>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28" w:type="dxa"/>
            <w:vAlign w:val="center"/>
          </w:tcPr>
          <w:p>
            <w:pPr>
              <w:spacing w:line="200" w:lineRule="exact"/>
              <w:jc w:val="center"/>
              <w:rPr>
                <w:rFonts w:hint="eastAsia" w:ascii="仿宋_GB2312" w:hAnsi="仿宋_GB2312" w:eastAsia="仿宋_GB2312" w:cs="仿宋_GB2312"/>
                <w:b/>
                <w:bCs/>
                <w:sz w:val="18"/>
                <w:szCs w:val="18"/>
              </w:rPr>
            </w:pPr>
          </w:p>
        </w:tc>
        <w:tc>
          <w:tcPr>
            <w:tcW w:w="954" w:type="dxa"/>
            <w:vAlign w:val="center"/>
          </w:tcPr>
          <w:p>
            <w:pPr>
              <w:spacing w:line="200" w:lineRule="exact"/>
              <w:jc w:val="center"/>
              <w:rPr>
                <w:rFonts w:hint="eastAsia" w:ascii="仿宋_GB2312" w:hAnsi="仿宋_GB2312" w:eastAsia="仿宋_GB2312" w:cs="仿宋_GB2312"/>
                <w:b/>
                <w:bCs/>
                <w:sz w:val="18"/>
                <w:szCs w:val="18"/>
              </w:rPr>
            </w:pPr>
          </w:p>
        </w:tc>
        <w:tc>
          <w:tcPr>
            <w:tcW w:w="567" w:type="dxa"/>
            <w:vAlign w:val="center"/>
          </w:tcPr>
          <w:p>
            <w:pPr>
              <w:spacing w:line="200" w:lineRule="exact"/>
              <w:jc w:val="center"/>
              <w:rPr>
                <w:rFonts w:hint="eastAsia" w:ascii="仿宋_GB2312" w:hAnsi="仿宋_GB2312" w:eastAsia="仿宋_GB2312" w:cs="仿宋_GB2312"/>
                <w:b/>
                <w:bCs/>
                <w:sz w:val="18"/>
                <w:szCs w:val="18"/>
              </w:rPr>
            </w:pPr>
          </w:p>
        </w:tc>
        <w:tc>
          <w:tcPr>
            <w:tcW w:w="1325" w:type="dxa"/>
            <w:vAlign w:val="center"/>
          </w:tcPr>
          <w:p>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村（社区）</w:t>
            </w:r>
          </w:p>
        </w:tc>
        <w:tc>
          <w:tcPr>
            <w:tcW w:w="1085" w:type="dxa"/>
            <w:vAlign w:val="center"/>
          </w:tcPr>
          <w:p>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*年*月</w:t>
            </w:r>
          </w:p>
          <w:p>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w:t>
            </w:r>
          </w:p>
          <w:p>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*年*月</w:t>
            </w:r>
          </w:p>
        </w:tc>
        <w:tc>
          <w:tcPr>
            <w:tcW w:w="587" w:type="dxa"/>
            <w:vAlign w:val="center"/>
          </w:tcPr>
          <w:p>
            <w:pPr>
              <w:spacing w:line="200" w:lineRule="exact"/>
              <w:jc w:val="center"/>
              <w:rPr>
                <w:rFonts w:hint="eastAsia" w:ascii="仿宋_GB2312" w:hAnsi="仿宋_GB2312" w:eastAsia="仿宋_GB2312" w:cs="仿宋_GB2312"/>
                <w:sz w:val="18"/>
                <w:szCs w:val="18"/>
              </w:rPr>
            </w:pPr>
          </w:p>
        </w:tc>
        <w:tc>
          <w:tcPr>
            <w:tcW w:w="1144" w:type="dxa"/>
            <w:vAlign w:val="center"/>
          </w:tcPr>
          <w:p>
            <w:pPr>
              <w:spacing w:line="200" w:lineRule="exact"/>
              <w:jc w:val="center"/>
              <w:rPr>
                <w:rFonts w:hint="eastAsia" w:ascii="仿宋_GB2312" w:hAnsi="仿宋_GB2312" w:eastAsia="仿宋_GB2312" w:cs="仿宋_GB2312"/>
                <w:sz w:val="18"/>
                <w:szCs w:val="18"/>
              </w:rPr>
            </w:pPr>
          </w:p>
        </w:tc>
        <w:tc>
          <w:tcPr>
            <w:tcW w:w="1144" w:type="dxa"/>
            <w:vAlign w:val="center"/>
          </w:tcPr>
          <w:p>
            <w:pPr>
              <w:spacing w:line="200" w:lineRule="exact"/>
              <w:jc w:val="center"/>
              <w:rPr>
                <w:rFonts w:hint="eastAsia" w:ascii="仿宋_GB2312" w:hAnsi="仿宋_GB2312" w:eastAsia="仿宋_GB2312" w:cs="仿宋_GB2312"/>
                <w:sz w:val="18"/>
                <w:szCs w:val="18"/>
              </w:rPr>
            </w:pPr>
          </w:p>
        </w:tc>
        <w:tc>
          <w:tcPr>
            <w:tcW w:w="398" w:type="dxa"/>
            <w:vAlign w:val="center"/>
          </w:tcPr>
          <w:p>
            <w:pPr>
              <w:spacing w:line="200" w:lineRule="exact"/>
              <w:jc w:val="center"/>
              <w:rPr>
                <w:rFonts w:hint="eastAsia" w:ascii="仿宋_GB2312" w:hAnsi="仿宋_GB2312" w:eastAsia="仿宋_GB2312" w:cs="仿宋_GB2312"/>
                <w:sz w:val="18"/>
                <w:szCs w:val="18"/>
              </w:rPr>
            </w:pPr>
          </w:p>
        </w:tc>
        <w:tc>
          <w:tcPr>
            <w:tcW w:w="398" w:type="dxa"/>
            <w:vAlign w:val="center"/>
          </w:tcPr>
          <w:p>
            <w:pPr>
              <w:spacing w:line="200" w:lineRule="exact"/>
              <w:jc w:val="center"/>
              <w:rPr>
                <w:rFonts w:hint="eastAsia" w:ascii="仿宋_GB2312" w:hAnsi="仿宋_GB2312" w:eastAsia="仿宋_GB2312" w:cs="仿宋_GB2312"/>
                <w:sz w:val="18"/>
                <w:szCs w:val="18"/>
              </w:rPr>
            </w:pPr>
          </w:p>
        </w:tc>
        <w:tc>
          <w:tcPr>
            <w:tcW w:w="398" w:type="dxa"/>
            <w:vAlign w:val="center"/>
          </w:tcPr>
          <w:p>
            <w:pPr>
              <w:spacing w:line="200" w:lineRule="exact"/>
              <w:jc w:val="center"/>
              <w:rPr>
                <w:rFonts w:hint="eastAsia" w:ascii="仿宋_GB2312" w:hAnsi="仿宋_GB2312" w:eastAsia="仿宋_GB2312" w:cs="仿宋_GB2312"/>
                <w:sz w:val="18"/>
                <w:szCs w:val="18"/>
              </w:rPr>
            </w:pPr>
          </w:p>
        </w:tc>
        <w:tc>
          <w:tcPr>
            <w:tcW w:w="398" w:type="dxa"/>
            <w:vAlign w:val="center"/>
          </w:tcPr>
          <w:p>
            <w:pPr>
              <w:spacing w:line="200" w:lineRule="exact"/>
              <w:jc w:val="center"/>
              <w:rPr>
                <w:rFonts w:hint="eastAsia" w:ascii="仿宋_GB2312" w:hAnsi="仿宋_GB2312" w:eastAsia="仿宋_GB2312" w:cs="仿宋_GB2312"/>
                <w:sz w:val="18"/>
                <w:szCs w:val="18"/>
              </w:rPr>
            </w:pPr>
          </w:p>
        </w:tc>
        <w:tc>
          <w:tcPr>
            <w:tcW w:w="1144" w:type="dxa"/>
            <w:vAlign w:val="center"/>
          </w:tcPr>
          <w:p>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*年</w:t>
            </w:r>
          </w:p>
          <w:p>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*月</w:t>
            </w:r>
          </w:p>
        </w:tc>
        <w:tc>
          <w:tcPr>
            <w:tcW w:w="1159" w:type="dxa"/>
            <w:vAlign w:val="center"/>
          </w:tcPr>
          <w:p>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Ⅰ、Ⅱ、</w:t>
            </w:r>
          </w:p>
          <w:p>
            <w:pPr>
              <w:spacing w:line="20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Ⅲ、其他</w:t>
            </w:r>
          </w:p>
        </w:tc>
        <w:tc>
          <w:tcPr>
            <w:tcW w:w="1077" w:type="dxa"/>
            <w:vAlign w:val="center"/>
          </w:tcPr>
          <w:p>
            <w:pPr>
              <w:spacing w:line="200" w:lineRule="exact"/>
              <w:jc w:val="center"/>
              <w:rPr>
                <w:rFonts w:hint="eastAsia" w:ascii="仿宋_GB2312" w:hAnsi="仿宋_GB2312" w:eastAsia="仿宋_GB2312" w:cs="仿宋_GB2312"/>
                <w:b/>
                <w:bCs/>
                <w:sz w:val="18"/>
                <w:szCs w:val="18"/>
              </w:rPr>
            </w:pPr>
          </w:p>
        </w:tc>
        <w:tc>
          <w:tcPr>
            <w:tcW w:w="939" w:type="dxa"/>
            <w:vAlign w:val="center"/>
          </w:tcPr>
          <w:p>
            <w:pPr>
              <w:spacing w:line="200" w:lineRule="exact"/>
              <w:jc w:val="center"/>
              <w:rPr>
                <w:rFonts w:hint="eastAsia" w:ascii="仿宋_GB2312" w:hAnsi="仿宋_GB2312" w:eastAsia="仿宋_GB2312" w:cs="仿宋_GB2312"/>
                <w:b/>
                <w:bCs/>
                <w:sz w:val="18"/>
                <w:szCs w:val="18"/>
              </w:rPr>
            </w:pPr>
          </w:p>
        </w:tc>
        <w:tc>
          <w:tcPr>
            <w:tcW w:w="855" w:type="dxa"/>
            <w:vAlign w:val="center"/>
          </w:tcPr>
          <w:p>
            <w:pPr>
              <w:spacing w:line="200" w:lineRule="exact"/>
              <w:jc w:val="center"/>
              <w:rPr>
                <w:rFonts w:hint="eastAsia" w:ascii="仿宋_GB2312" w:hAnsi="仿宋_GB2312" w:eastAsia="仿宋_GB2312" w:cs="仿宋_GB2312"/>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7" w:hRule="atLeast"/>
          <w:jc w:val="center"/>
        </w:trPr>
        <w:tc>
          <w:tcPr>
            <w:tcW w:w="528" w:type="dxa"/>
            <w:vAlign w:val="center"/>
          </w:tcPr>
          <w:p>
            <w:pPr>
              <w:spacing w:line="200" w:lineRule="exact"/>
              <w:jc w:val="center"/>
              <w:rPr>
                <w:rFonts w:hint="eastAsia" w:ascii="仿宋_GB2312" w:hAnsi="仿宋_GB2312" w:eastAsia="仿宋_GB2312" w:cs="仿宋_GB2312"/>
                <w:b/>
                <w:bCs/>
                <w:sz w:val="18"/>
                <w:szCs w:val="18"/>
              </w:rPr>
            </w:pPr>
          </w:p>
        </w:tc>
        <w:tc>
          <w:tcPr>
            <w:tcW w:w="954" w:type="dxa"/>
            <w:vAlign w:val="center"/>
          </w:tcPr>
          <w:p>
            <w:pPr>
              <w:spacing w:line="200" w:lineRule="exact"/>
              <w:jc w:val="center"/>
              <w:rPr>
                <w:rFonts w:hint="eastAsia" w:ascii="仿宋_GB2312" w:hAnsi="仿宋_GB2312" w:eastAsia="仿宋_GB2312" w:cs="仿宋_GB2312"/>
                <w:b/>
                <w:bCs/>
                <w:sz w:val="18"/>
                <w:szCs w:val="18"/>
              </w:rPr>
            </w:pPr>
          </w:p>
        </w:tc>
        <w:tc>
          <w:tcPr>
            <w:tcW w:w="567" w:type="dxa"/>
            <w:vAlign w:val="center"/>
          </w:tcPr>
          <w:p>
            <w:pPr>
              <w:spacing w:line="200" w:lineRule="exact"/>
              <w:jc w:val="center"/>
              <w:rPr>
                <w:rFonts w:hint="eastAsia" w:ascii="仿宋_GB2312" w:hAnsi="仿宋_GB2312" w:eastAsia="仿宋_GB2312" w:cs="仿宋_GB2312"/>
                <w:b/>
                <w:bCs/>
                <w:sz w:val="18"/>
                <w:szCs w:val="18"/>
              </w:rPr>
            </w:pPr>
          </w:p>
        </w:tc>
        <w:tc>
          <w:tcPr>
            <w:tcW w:w="1325" w:type="dxa"/>
            <w:vAlign w:val="center"/>
          </w:tcPr>
          <w:p>
            <w:pPr>
              <w:spacing w:line="200" w:lineRule="exact"/>
              <w:jc w:val="center"/>
              <w:rPr>
                <w:rFonts w:hint="eastAsia" w:ascii="仿宋_GB2312" w:hAnsi="仿宋_GB2312" w:eastAsia="仿宋_GB2312" w:cs="仿宋_GB2312"/>
                <w:b/>
                <w:bCs/>
                <w:sz w:val="18"/>
                <w:szCs w:val="18"/>
              </w:rPr>
            </w:pPr>
          </w:p>
        </w:tc>
        <w:tc>
          <w:tcPr>
            <w:tcW w:w="1085" w:type="dxa"/>
            <w:vAlign w:val="center"/>
          </w:tcPr>
          <w:p>
            <w:pPr>
              <w:spacing w:line="200" w:lineRule="exact"/>
              <w:jc w:val="center"/>
              <w:rPr>
                <w:rFonts w:hint="eastAsia" w:ascii="仿宋_GB2312" w:hAnsi="仿宋_GB2312" w:eastAsia="仿宋_GB2312" w:cs="仿宋_GB2312"/>
                <w:b/>
                <w:bCs/>
                <w:sz w:val="18"/>
                <w:szCs w:val="18"/>
              </w:rPr>
            </w:pPr>
          </w:p>
        </w:tc>
        <w:tc>
          <w:tcPr>
            <w:tcW w:w="587" w:type="dxa"/>
            <w:vAlign w:val="center"/>
          </w:tcPr>
          <w:p>
            <w:pPr>
              <w:spacing w:line="200" w:lineRule="exact"/>
              <w:jc w:val="center"/>
              <w:rPr>
                <w:rFonts w:hint="eastAsia" w:ascii="仿宋_GB2312" w:hAnsi="仿宋_GB2312" w:eastAsia="仿宋_GB2312" w:cs="仿宋_GB2312"/>
                <w:b/>
                <w:bCs/>
                <w:sz w:val="18"/>
                <w:szCs w:val="18"/>
              </w:rPr>
            </w:pPr>
          </w:p>
        </w:tc>
        <w:tc>
          <w:tcPr>
            <w:tcW w:w="1144" w:type="dxa"/>
            <w:vAlign w:val="center"/>
          </w:tcPr>
          <w:p>
            <w:pPr>
              <w:spacing w:line="200" w:lineRule="exact"/>
              <w:jc w:val="center"/>
              <w:rPr>
                <w:rFonts w:hint="eastAsia" w:ascii="仿宋_GB2312" w:hAnsi="仿宋_GB2312" w:eastAsia="仿宋_GB2312" w:cs="仿宋_GB2312"/>
                <w:b/>
                <w:bCs/>
                <w:sz w:val="18"/>
                <w:szCs w:val="18"/>
              </w:rPr>
            </w:pPr>
          </w:p>
        </w:tc>
        <w:tc>
          <w:tcPr>
            <w:tcW w:w="1144" w:type="dxa"/>
            <w:vAlign w:val="center"/>
          </w:tcPr>
          <w:p>
            <w:pPr>
              <w:spacing w:line="200" w:lineRule="exact"/>
              <w:jc w:val="center"/>
              <w:rPr>
                <w:rFonts w:hint="eastAsia" w:ascii="仿宋_GB2312" w:hAnsi="仿宋_GB2312" w:eastAsia="仿宋_GB2312" w:cs="仿宋_GB2312"/>
                <w:b/>
                <w:bCs/>
                <w:sz w:val="18"/>
                <w:szCs w:val="18"/>
              </w:rPr>
            </w:pPr>
          </w:p>
        </w:tc>
        <w:tc>
          <w:tcPr>
            <w:tcW w:w="398" w:type="dxa"/>
            <w:vAlign w:val="center"/>
          </w:tcPr>
          <w:p>
            <w:pPr>
              <w:spacing w:line="200" w:lineRule="exact"/>
              <w:jc w:val="center"/>
              <w:rPr>
                <w:rFonts w:hint="eastAsia" w:ascii="仿宋_GB2312" w:hAnsi="仿宋_GB2312" w:eastAsia="仿宋_GB2312" w:cs="仿宋_GB2312"/>
                <w:b/>
                <w:bCs/>
                <w:sz w:val="18"/>
                <w:szCs w:val="18"/>
              </w:rPr>
            </w:pPr>
          </w:p>
        </w:tc>
        <w:tc>
          <w:tcPr>
            <w:tcW w:w="398" w:type="dxa"/>
            <w:vAlign w:val="center"/>
          </w:tcPr>
          <w:p>
            <w:pPr>
              <w:spacing w:line="200" w:lineRule="exact"/>
              <w:jc w:val="center"/>
              <w:rPr>
                <w:rFonts w:hint="eastAsia" w:ascii="仿宋_GB2312" w:hAnsi="仿宋_GB2312" w:eastAsia="仿宋_GB2312" w:cs="仿宋_GB2312"/>
                <w:b/>
                <w:bCs/>
                <w:sz w:val="18"/>
                <w:szCs w:val="18"/>
              </w:rPr>
            </w:pPr>
          </w:p>
        </w:tc>
        <w:tc>
          <w:tcPr>
            <w:tcW w:w="398" w:type="dxa"/>
            <w:vAlign w:val="center"/>
          </w:tcPr>
          <w:p>
            <w:pPr>
              <w:spacing w:line="200" w:lineRule="exact"/>
              <w:jc w:val="center"/>
              <w:rPr>
                <w:rFonts w:hint="eastAsia" w:ascii="仿宋_GB2312" w:hAnsi="仿宋_GB2312" w:eastAsia="仿宋_GB2312" w:cs="仿宋_GB2312"/>
                <w:b/>
                <w:bCs/>
                <w:sz w:val="18"/>
                <w:szCs w:val="18"/>
              </w:rPr>
            </w:pPr>
          </w:p>
        </w:tc>
        <w:tc>
          <w:tcPr>
            <w:tcW w:w="398" w:type="dxa"/>
            <w:vAlign w:val="center"/>
          </w:tcPr>
          <w:p>
            <w:pPr>
              <w:spacing w:line="200" w:lineRule="exact"/>
              <w:jc w:val="center"/>
              <w:rPr>
                <w:rFonts w:hint="eastAsia" w:ascii="仿宋_GB2312" w:hAnsi="仿宋_GB2312" w:eastAsia="仿宋_GB2312" w:cs="仿宋_GB2312"/>
                <w:b/>
                <w:bCs/>
                <w:sz w:val="18"/>
                <w:szCs w:val="18"/>
              </w:rPr>
            </w:pPr>
          </w:p>
        </w:tc>
        <w:tc>
          <w:tcPr>
            <w:tcW w:w="1144" w:type="dxa"/>
            <w:vAlign w:val="center"/>
          </w:tcPr>
          <w:p>
            <w:pPr>
              <w:spacing w:line="200" w:lineRule="exact"/>
              <w:jc w:val="center"/>
              <w:rPr>
                <w:rFonts w:hint="eastAsia" w:ascii="仿宋_GB2312" w:hAnsi="仿宋_GB2312" w:eastAsia="仿宋_GB2312" w:cs="仿宋_GB2312"/>
                <w:b/>
                <w:bCs/>
                <w:sz w:val="18"/>
                <w:szCs w:val="18"/>
              </w:rPr>
            </w:pPr>
          </w:p>
        </w:tc>
        <w:tc>
          <w:tcPr>
            <w:tcW w:w="1159" w:type="dxa"/>
            <w:vAlign w:val="center"/>
          </w:tcPr>
          <w:p>
            <w:pPr>
              <w:spacing w:line="200" w:lineRule="exact"/>
              <w:jc w:val="center"/>
              <w:rPr>
                <w:rFonts w:hint="eastAsia" w:ascii="仿宋_GB2312" w:hAnsi="仿宋_GB2312" w:eastAsia="仿宋_GB2312" w:cs="仿宋_GB2312"/>
                <w:b/>
                <w:bCs/>
                <w:sz w:val="18"/>
                <w:szCs w:val="18"/>
              </w:rPr>
            </w:pPr>
          </w:p>
        </w:tc>
        <w:tc>
          <w:tcPr>
            <w:tcW w:w="1077" w:type="dxa"/>
            <w:vAlign w:val="center"/>
          </w:tcPr>
          <w:p>
            <w:pPr>
              <w:spacing w:line="200" w:lineRule="exact"/>
              <w:jc w:val="center"/>
              <w:rPr>
                <w:rFonts w:hint="eastAsia" w:ascii="仿宋_GB2312" w:hAnsi="仿宋_GB2312" w:eastAsia="仿宋_GB2312" w:cs="仿宋_GB2312"/>
                <w:b/>
                <w:bCs/>
                <w:sz w:val="18"/>
                <w:szCs w:val="18"/>
              </w:rPr>
            </w:pPr>
          </w:p>
        </w:tc>
        <w:tc>
          <w:tcPr>
            <w:tcW w:w="939" w:type="dxa"/>
            <w:vAlign w:val="center"/>
          </w:tcPr>
          <w:p>
            <w:pPr>
              <w:spacing w:line="200" w:lineRule="exact"/>
              <w:jc w:val="center"/>
              <w:rPr>
                <w:rFonts w:hint="eastAsia" w:ascii="仿宋_GB2312" w:hAnsi="仿宋_GB2312" w:eastAsia="仿宋_GB2312" w:cs="仿宋_GB2312"/>
                <w:b/>
                <w:bCs/>
                <w:sz w:val="18"/>
                <w:szCs w:val="18"/>
              </w:rPr>
            </w:pPr>
          </w:p>
        </w:tc>
        <w:tc>
          <w:tcPr>
            <w:tcW w:w="855" w:type="dxa"/>
            <w:vAlign w:val="center"/>
          </w:tcPr>
          <w:p>
            <w:pPr>
              <w:spacing w:line="200" w:lineRule="exact"/>
              <w:jc w:val="center"/>
              <w:rPr>
                <w:rFonts w:hint="eastAsia" w:ascii="仿宋_GB2312" w:hAnsi="仿宋_GB2312" w:eastAsia="仿宋_GB2312" w:cs="仿宋_GB2312"/>
                <w:b/>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28" w:type="dxa"/>
            <w:vAlign w:val="center"/>
          </w:tcPr>
          <w:p>
            <w:pPr>
              <w:spacing w:line="200" w:lineRule="exact"/>
              <w:jc w:val="center"/>
              <w:rPr>
                <w:rFonts w:ascii="Times New Roman" w:hAnsi="Times New Roman" w:eastAsia="楷体_GB2312"/>
                <w:b/>
                <w:bCs/>
                <w:sz w:val="18"/>
                <w:szCs w:val="18"/>
              </w:rPr>
            </w:pPr>
          </w:p>
        </w:tc>
        <w:tc>
          <w:tcPr>
            <w:tcW w:w="954" w:type="dxa"/>
            <w:vAlign w:val="center"/>
          </w:tcPr>
          <w:p>
            <w:pPr>
              <w:spacing w:line="200" w:lineRule="exact"/>
              <w:jc w:val="center"/>
              <w:rPr>
                <w:rFonts w:ascii="Times New Roman" w:hAnsi="Times New Roman" w:eastAsia="楷体_GB2312"/>
                <w:b/>
                <w:bCs/>
                <w:sz w:val="18"/>
                <w:szCs w:val="18"/>
              </w:rPr>
            </w:pPr>
          </w:p>
        </w:tc>
        <w:tc>
          <w:tcPr>
            <w:tcW w:w="567" w:type="dxa"/>
            <w:vAlign w:val="center"/>
          </w:tcPr>
          <w:p>
            <w:pPr>
              <w:spacing w:line="200" w:lineRule="exact"/>
              <w:jc w:val="center"/>
              <w:rPr>
                <w:rFonts w:ascii="Times New Roman" w:hAnsi="Times New Roman" w:eastAsia="楷体_GB2312"/>
                <w:b/>
                <w:bCs/>
                <w:sz w:val="18"/>
                <w:szCs w:val="18"/>
              </w:rPr>
            </w:pPr>
          </w:p>
        </w:tc>
        <w:tc>
          <w:tcPr>
            <w:tcW w:w="1325" w:type="dxa"/>
            <w:vAlign w:val="center"/>
          </w:tcPr>
          <w:p>
            <w:pPr>
              <w:spacing w:line="200" w:lineRule="exact"/>
              <w:jc w:val="center"/>
              <w:rPr>
                <w:rFonts w:ascii="Times New Roman" w:hAnsi="Times New Roman" w:eastAsia="楷体_GB2312"/>
                <w:b/>
                <w:bCs/>
                <w:sz w:val="18"/>
                <w:szCs w:val="18"/>
              </w:rPr>
            </w:pPr>
          </w:p>
        </w:tc>
        <w:tc>
          <w:tcPr>
            <w:tcW w:w="1085" w:type="dxa"/>
            <w:vAlign w:val="center"/>
          </w:tcPr>
          <w:p>
            <w:pPr>
              <w:spacing w:line="200" w:lineRule="exact"/>
              <w:jc w:val="center"/>
              <w:rPr>
                <w:rFonts w:ascii="Times New Roman" w:hAnsi="Times New Roman" w:eastAsia="楷体_GB2312"/>
                <w:b/>
                <w:bCs/>
                <w:sz w:val="18"/>
                <w:szCs w:val="18"/>
              </w:rPr>
            </w:pPr>
          </w:p>
        </w:tc>
        <w:tc>
          <w:tcPr>
            <w:tcW w:w="587" w:type="dxa"/>
            <w:vAlign w:val="center"/>
          </w:tcPr>
          <w:p>
            <w:pPr>
              <w:spacing w:line="200" w:lineRule="exact"/>
              <w:jc w:val="center"/>
              <w:rPr>
                <w:rFonts w:ascii="Times New Roman" w:hAnsi="Times New Roman" w:eastAsia="楷体_GB2312"/>
                <w:b/>
                <w:bCs/>
                <w:sz w:val="18"/>
                <w:szCs w:val="18"/>
              </w:rPr>
            </w:pPr>
          </w:p>
        </w:tc>
        <w:tc>
          <w:tcPr>
            <w:tcW w:w="1144" w:type="dxa"/>
            <w:vAlign w:val="center"/>
          </w:tcPr>
          <w:p>
            <w:pPr>
              <w:spacing w:line="200" w:lineRule="exact"/>
              <w:jc w:val="center"/>
              <w:rPr>
                <w:rFonts w:ascii="Times New Roman" w:hAnsi="Times New Roman" w:eastAsia="楷体_GB2312"/>
                <w:b/>
                <w:bCs/>
                <w:sz w:val="18"/>
                <w:szCs w:val="18"/>
              </w:rPr>
            </w:pPr>
          </w:p>
        </w:tc>
        <w:tc>
          <w:tcPr>
            <w:tcW w:w="1144" w:type="dxa"/>
            <w:vAlign w:val="center"/>
          </w:tcPr>
          <w:p>
            <w:pPr>
              <w:spacing w:line="200" w:lineRule="exact"/>
              <w:jc w:val="center"/>
              <w:rPr>
                <w:rFonts w:ascii="Times New Roman" w:hAnsi="Times New Roman" w:eastAsia="楷体_GB2312"/>
                <w:b/>
                <w:bCs/>
                <w:sz w:val="18"/>
                <w:szCs w:val="18"/>
              </w:rPr>
            </w:pPr>
          </w:p>
        </w:tc>
        <w:tc>
          <w:tcPr>
            <w:tcW w:w="398" w:type="dxa"/>
            <w:vAlign w:val="center"/>
          </w:tcPr>
          <w:p>
            <w:pPr>
              <w:spacing w:line="200" w:lineRule="exact"/>
              <w:jc w:val="center"/>
              <w:rPr>
                <w:rFonts w:ascii="Times New Roman" w:hAnsi="Times New Roman" w:eastAsia="楷体_GB2312"/>
                <w:b/>
                <w:bCs/>
                <w:sz w:val="18"/>
                <w:szCs w:val="18"/>
              </w:rPr>
            </w:pPr>
          </w:p>
        </w:tc>
        <w:tc>
          <w:tcPr>
            <w:tcW w:w="398" w:type="dxa"/>
            <w:vAlign w:val="center"/>
          </w:tcPr>
          <w:p>
            <w:pPr>
              <w:spacing w:line="200" w:lineRule="exact"/>
              <w:jc w:val="center"/>
              <w:rPr>
                <w:rFonts w:ascii="Times New Roman" w:hAnsi="Times New Roman" w:eastAsia="楷体_GB2312"/>
                <w:b/>
                <w:bCs/>
                <w:sz w:val="18"/>
                <w:szCs w:val="18"/>
              </w:rPr>
            </w:pPr>
          </w:p>
        </w:tc>
        <w:tc>
          <w:tcPr>
            <w:tcW w:w="398" w:type="dxa"/>
            <w:vAlign w:val="center"/>
          </w:tcPr>
          <w:p>
            <w:pPr>
              <w:spacing w:line="200" w:lineRule="exact"/>
              <w:jc w:val="center"/>
              <w:rPr>
                <w:rFonts w:ascii="Times New Roman" w:hAnsi="Times New Roman" w:eastAsia="楷体_GB2312"/>
                <w:b/>
                <w:bCs/>
                <w:sz w:val="18"/>
                <w:szCs w:val="18"/>
              </w:rPr>
            </w:pPr>
          </w:p>
        </w:tc>
        <w:tc>
          <w:tcPr>
            <w:tcW w:w="398" w:type="dxa"/>
            <w:vAlign w:val="center"/>
          </w:tcPr>
          <w:p>
            <w:pPr>
              <w:spacing w:line="200" w:lineRule="exact"/>
              <w:jc w:val="center"/>
              <w:rPr>
                <w:rFonts w:ascii="Times New Roman" w:hAnsi="Times New Roman" w:eastAsia="楷体_GB2312"/>
                <w:b/>
                <w:bCs/>
                <w:sz w:val="18"/>
                <w:szCs w:val="18"/>
              </w:rPr>
            </w:pPr>
          </w:p>
        </w:tc>
        <w:tc>
          <w:tcPr>
            <w:tcW w:w="1144" w:type="dxa"/>
            <w:vAlign w:val="center"/>
          </w:tcPr>
          <w:p>
            <w:pPr>
              <w:spacing w:line="200" w:lineRule="exact"/>
              <w:jc w:val="center"/>
              <w:rPr>
                <w:rFonts w:ascii="Times New Roman" w:hAnsi="Times New Roman" w:eastAsia="楷体_GB2312"/>
                <w:b/>
                <w:bCs/>
                <w:sz w:val="18"/>
                <w:szCs w:val="18"/>
              </w:rPr>
            </w:pPr>
          </w:p>
        </w:tc>
        <w:tc>
          <w:tcPr>
            <w:tcW w:w="1159" w:type="dxa"/>
            <w:vAlign w:val="center"/>
          </w:tcPr>
          <w:p>
            <w:pPr>
              <w:spacing w:line="200" w:lineRule="exact"/>
              <w:jc w:val="center"/>
              <w:rPr>
                <w:rFonts w:ascii="Times New Roman" w:hAnsi="Times New Roman" w:eastAsia="楷体_GB2312"/>
                <w:b/>
                <w:bCs/>
                <w:sz w:val="18"/>
                <w:szCs w:val="18"/>
              </w:rPr>
            </w:pPr>
          </w:p>
        </w:tc>
        <w:tc>
          <w:tcPr>
            <w:tcW w:w="1077" w:type="dxa"/>
            <w:vAlign w:val="center"/>
          </w:tcPr>
          <w:p>
            <w:pPr>
              <w:spacing w:line="200" w:lineRule="exact"/>
              <w:jc w:val="center"/>
              <w:rPr>
                <w:rFonts w:ascii="Times New Roman" w:hAnsi="Times New Roman" w:eastAsia="楷体_GB2312"/>
                <w:b/>
                <w:bCs/>
                <w:sz w:val="18"/>
                <w:szCs w:val="18"/>
              </w:rPr>
            </w:pPr>
          </w:p>
        </w:tc>
        <w:tc>
          <w:tcPr>
            <w:tcW w:w="939" w:type="dxa"/>
            <w:vAlign w:val="center"/>
          </w:tcPr>
          <w:p>
            <w:pPr>
              <w:spacing w:line="200" w:lineRule="exact"/>
              <w:jc w:val="center"/>
              <w:rPr>
                <w:rFonts w:ascii="Times New Roman" w:hAnsi="Times New Roman" w:eastAsia="楷体_GB2312"/>
                <w:b/>
                <w:bCs/>
                <w:sz w:val="18"/>
                <w:szCs w:val="18"/>
              </w:rPr>
            </w:pPr>
          </w:p>
        </w:tc>
        <w:tc>
          <w:tcPr>
            <w:tcW w:w="855" w:type="dxa"/>
            <w:vAlign w:val="center"/>
          </w:tcPr>
          <w:p>
            <w:pPr>
              <w:spacing w:line="200" w:lineRule="exact"/>
              <w:jc w:val="center"/>
              <w:rPr>
                <w:rFonts w:ascii="Times New Roman" w:hAnsi="Times New Roman" w:eastAsia="楷体_GB2312"/>
                <w:b/>
                <w:bCs/>
                <w:sz w:val="18"/>
                <w:szCs w:val="18"/>
              </w:rPr>
            </w:pPr>
          </w:p>
        </w:tc>
      </w:tr>
    </w:tbl>
    <w:p>
      <w:pPr>
        <w:spacing w:line="320" w:lineRule="exact"/>
        <w:ind w:firstLine="480" w:firstLineChars="200"/>
        <w:rPr>
          <w:rFonts w:ascii="Times New Roman" w:hAnsi="Times New Roman" w:eastAsia="楷体_GB2312"/>
          <w:sz w:val="24"/>
        </w:rPr>
      </w:pPr>
      <w:r>
        <w:rPr>
          <w:rFonts w:hint="eastAsia" w:ascii="Times New Roman" w:eastAsia="楷体_GB2312"/>
          <w:sz w:val="24"/>
        </w:rPr>
        <w:t>注：</w:t>
      </w:r>
      <w:r>
        <w:rPr>
          <w:rFonts w:ascii="Times New Roman" w:hAnsi="Times New Roman" w:eastAsia="楷体_GB2312"/>
          <w:sz w:val="24"/>
        </w:rPr>
        <w:t>1.</w:t>
      </w:r>
      <w:r>
        <w:rPr>
          <w:rFonts w:hint="eastAsia" w:ascii="Times New Roman" w:eastAsia="楷体_GB2312"/>
          <w:sz w:val="24"/>
        </w:rPr>
        <w:t>本表是违法违规情况明细表，要求逐个项目填写，项目是指各种资金来源的设施农业建设项目，如一次性投资建设的</w:t>
      </w:r>
      <w:r>
        <w:rPr>
          <w:rFonts w:ascii="Times New Roman" w:hAnsi="Times New Roman" w:eastAsia="楷体_GB2312"/>
          <w:sz w:val="24"/>
        </w:rPr>
        <w:t>10</w:t>
      </w:r>
      <w:r>
        <w:rPr>
          <w:rFonts w:hint="eastAsia" w:ascii="Times New Roman" w:eastAsia="楷体_GB2312"/>
          <w:sz w:val="24"/>
        </w:rPr>
        <w:t>个棚，视为</w:t>
      </w:r>
      <w:r>
        <w:rPr>
          <w:rFonts w:ascii="Times New Roman" w:hAnsi="Times New Roman" w:eastAsia="楷体_GB2312"/>
          <w:sz w:val="24"/>
        </w:rPr>
        <w:t>1</w:t>
      </w:r>
      <w:r>
        <w:rPr>
          <w:rFonts w:hint="eastAsia" w:ascii="Times New Roman" w:eastAsia="楷体_GB2312"/>
          <w:sz w:val="24"/>
        </w:rPr>
        <w:t>个项目，在一行填写。</w:t>
      </w:r>
    </w:p>
    <w:p>
      <w:pPr>
        <w:spacing w:line="320" w:lineRule="exact"/>
        <w:ind w:firstLine="480" w:firstLineChars="200"/>
        <w:rPr>
          <w:rFonts w:ascii="Times New Roman" w:hAnsi="Times New Roman" w:eastAsia="楷体_GB2312"/>
          <w:sz w:val="24"/>
        </w:rPr>
      </w:pPr>
      <w:r>
        <w:rPr>
          <w:rFonts w:ascii="Times New Roman" w:hAnsi="Times New Roman" w:eastAsia="楷体_GB2312"/>
          <w:sz w:val="24"/>
        </w:rPr>
        <w:t>2.</w:t>
      </w:r>
      <w:r>
        <w:rPr>
          <w:rFonts w:hint="eastAsia" w:ascii="Times New Roman" w:eastAsia="楷体_GB2312"/>
          <w:sz w:val="24"/>
        </w:rPr>
        <w:t>违规性质可分为</w:t>
      </w:r>
      <w:bookmarkStart w:id="0" w:name="OLE_LINK5"/>
      <w:bookmarkStart w:id="1" w:name="OLE_LINK1"/>
      <w:r>
        <w:rPr>
          <w:rFonts w:hint="eastAsia" w:ascii="宋体" w:hAnsi="宋体" w:cs="宋体"/>
          <w:sz w:val="24"/>
        </w:rPr>
        <w:t>Ⅰ</w:t>
      </w:r>
      <w:bookmarkEnd w:id="0"/>
      <w:r>
        <w:rPr>
          <w:rFonts w:hint="eastAsia" w:ascii="Times New Roman" w:eastAsia="楷体_GB2312"/>
          <w:sz w:val="24"/>
        </w:rPr>
        <w:t>、</w:t>
      </w:r>
      <w:bookmarkStart w:id="2" w:name="OLE_LINK6"/>
      <w:r>
        <w:rPr>
          <w:rFonts w:hint="eastAsia" w:ascii="宋体" w:hAnsi="宋体" w:cs="宋体"/>
          <w:sz w:val="24"/>
        </w:rPr>
        <w:t>Ⅱ</w:t>
      </w:r>
      <w:bookmarkEnd w:id="2"/>
      <w:r>
        <w:rPr>
          <w:rFonts w:hint="eastAsia" w:ascii="Times New Roman" w:eastAsia="楷体_GB2312"/>
          <w:sz w:val="24"/>
        </w:rPr>
        <w:t>、</w:t>
      </w:r>
      <w:bookmarkStart w:id="3" w:name="OLE_LINK2"/>
      <w:r>
        <w:rPr>
          <w:rFonts w:hint="eastAsia" w:ascii="宋体" w:hAnsi="宋体" w:cs="宋体"/>
          <w:sz w:val="24"/>
        </w:rPr>
        <w:t>Ⅲ</w:t>
      </w:r>
      <w:bookmarkEnd w:id="1"/>
      <w:bookmarkEnd w:id="3"/>
      <w:r>
        <w:rPr>
          <w:rFonts w:hint="eastAsia" w:ascii="Times New Roman" w:eastAsia="楷体_GB2312"/>
          <w:sz w:val="24"/>
        </w:rPr>
        <w:t>类及其他，其中</w:t>
      </w:r>
      <w:r>
        <w:rPr>
          <w:rFonts w:hint="eastAsia" w:ascii="宋体" w:hAnsi="宋体" w:cs="宋体"/>
          <w:sz w:val="24"/>
        </w:rPr>
        <w:t>Ⅰ</w:t>
      </w:r>
      <w:r>
        <w:rPr>
          <w:rFonts w:hint="eastAsia" w:ascii="Times New Roman" w:eastAsia="楷体_GB2312"/>
          <w:sz w:val="24"/>
        </w:rPr>
        <w:t>类指在各类农业园区内占用耕地或直接在耕地上违法违规建设非农设施。</w:t>
      </w:r>
      <w:r>
        <w:rPr>
          <w:rFonts w:hint="eastAsia" w:ascii="宋体" w:hAnsi="宋体" w:cs="宋体"/>
          <w:sz w:val="24"/>
        </w:rPr>
        <w:t>Ⅱ</w:t>
      </w:r>
      <w:r>
        <w:rPr>
          <w:rFonts w:hint="eastAsia" w:ascii="Times New Roman" w:eastAsia="楷体_GB2312"/>
          <w:sz w:val="24"/>
        </w:rPr>
        <w:t>类指在农业大棚内违法违规占用耕地建设商品住宅。</w:t>
      </w:r>
      <w:r>
        <w:rPr>
          <w:rFonts w:hint="eastAsia" w:ascii="宋体" w:hAnsi="宋体" w:cs="宋体"/>
          <w:sz w:val="24"/>
        </w:rPr>
        <w:t>Ⅲ</w:t>
      </w:r>
      <w:r>
        <w:rPr>
          <w:rFonts w:hint="eastAsia" w:ascii="Times New Roman" w:eastAsia="楷体_GB2312"/>
          <w:sz w:val="24"/>
        </w:rPr>
        <w:t>类指建设农业大棚看护房严重超标准，甚至违法违规改变性质用途，进行住宅类经营性开发。</w:t>
      </w:r>
    </w:p>
    <w:sectPr>
      <w:footerReference r:id="rId5" w:type="default"/>
      <w:footerReference r:id="rId6" w:type="even"/>
      <w:pgSz w:w="16838" w:h="11906" w:orient="landscape"/>
      <w:pgMar w:top="1588" w:right="2098" w:bottom="1588" w:left="2098" w:header="851" w:footer="1701" w:gutter="0"/>
      <w:pgNumType w:fmt="decimal"/>
      <w:cols w:space="72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altName w:val="微软雅黑"/>
    <w:panose1 w:val="00000000000000000000"/>
    <w:charset w:val="86"/>
    <w:family w:val="auto"/>
    <w:pitch w:val="default"/>
    <w:sig w:usb0="00000000" w:usb1="00000000" w:usb2="00000010" w:usb3="00000000" w:csb0="0004009F"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ZRaA3zAEAAHkDAAAOAAAAAAAAAAEAIAAAAB4BAABkcnMvZTJv&#10;RG9jLnhtbFBLBQYAAAAABgAGAFkBAABcBQAAAAA=&#10;">
              <v:fill on="f" focussize="0,0"/>
              <v:stroke on="f"/>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58" w:firstLineChars="128"/>
      <w:rPr>
        <w:sz w:val="28"/>
        <w:szCs w:val="28"/>
      </w:rPr>
    </w:pPr>
    <w:r>
      <w:rPr>
        <w:rStyle w:val="7"/>
        <w:sz w:val="28"/>
        <w:szCs w:val="28"/>
      </w:rPr>
      <w:t xml:space="preserve">— </w:t>
    </w:r>
    <w:r>
      <w:rPr>
        <w:rStyle w:val="7"/>
        <w:sz w:val="28"/>
        <w:szCs w:val="28"/>
      </w:rPr>
      <w:fldChar w:fldCharType="begin"/>
    </w:r>
    <w:r>
      <w:rPr>
        <w:rStyle w:val="7"/>
        <w:sz w:val="28"/>
        <w:szCs w:val="28"/>
      </w:rPr>
      <w:instrText xml:space="preserve"> PAGE </w:instrText>
    </w:r>
    <w:r>
      <w:rPr>
        <w:rStyle w:val="7"/>
        <w:sz w:val="28"/>
        <w:szCs w:val="28"/>
      </w:rPr>
      <w:fldChar w:fldCharType="separate"/>
    </w:r>
    <w:r>
      <w:rPr>
        <w:rStyle w:val="7"/>
        <w:sz w:val="28"/>
        <w:szCs w:val="28"/>
      </w:rPr>
      <w:t>10</w:t>
    </w:r>
    <w:r>
      <w:rPr>
        <w:rStyle w:val="7"/>
        <w:sz w:val="28"/>
        <w:szCs w:val="28"/>
      </w:rPr>
      <w:fldChar w:fldCharType="end"/>
    </w:r>
    <w:r>
      <w:rPr>
        <w:rStyle w:val="7"/>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8</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C1ift+5AQAAVwMAAA4AAAAAAAAAAQAgAAAAHgEAAGRycy9lMm9Eb2MueG1sUEsFBgAAAAAGAAYA&#10;WQEAAEkFA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8</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58" w:firstLineChars="128"/>
      <w:rPr>
        <w:sz w:val="28"/>
        <w:szCs w:val="28"/>
      </w:rPr>
    </w:pPr>
    <w:r>
      <w:rPr>
        <w:rStyle w:val="7"/>
        <w:sz w:val="28"/>
        <w:szCs w:val="28"/>
      </w:rPr>
      <w:t xml:space="preserve">— </w:t>
    </w:r>
    <w:r>
      <w:rPr>
        <w:rStyle w:val="7"/>
        <w:sz w:val="28"/>
        <w:szCs w:val="28"/>
      </w:rPr>
      <w:fldChar w:fldCharType="begin"/>
    </w:r>
    <w:r>
      <w:rPr>
        <w:rStyle w:val="7"/>
        <w:sz w:val="28"/>
        <w:szCs w:val="28"/>
      </w:rPr>
      <w:instrText xml:space="preserve"> PAGE </w:instrText>
    </w:r>
    <w:r>
      <w:rPr>
        <w:rStyle w:val="7"/>
        <w:sz w:val="28"/>
        <w:szCs w:val="28"/>
      </w:rPr>
      <w:fldChar w:fldCharType="separate"/>
    </w:r>
    <w:r>
      <w:rPr>
        <w:rStyle w:val="7"/>
        <w:sz w:val="28"/>
        <w:szCs w:val="28"/>
      </w:rPr>
      <w:t>12</w:t>
    </w:r>
    <w:r>
      <w:rPr>
        <w:rStyle w:val="7"/>
        <w:sz w:val="28"/>
        <w:szCs w:val="28"/>
      </w:rPr>
      <w:fldChar w:fldCharType="end"/>
    </w:r>
    <w:r>
      <w:rPr>
        <w:rStyle w:val="7"/>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3B"/>
    <w:rsid w:val="0002760F"/>
    <w:rsid w:val="00047109"/>
    <w:rsid w:val="00062D6A"/>
    <w:rsid w:val="000B2F9C"/>
    <w:rsid w:val="00141993"/>
    <w:rsid w:val="00196CB9"/>
    <w:rsid w:val="001C5DC0"/>
    <w:rsid w:val="0021614E"/>
    <w:rsid w:val="00242B99"/>
    <w:rsid w:val="002A4033"/>
    <w:rsid w:val="002B39A0"/>
    <w:rsid w:val="002C4101"/>
    <w:rsid w:val="002E32AE"/>
    <w:rsid w:val="002E62BF"/>
    <w:rsid w:val="003335C2"/>
    <w:rsid w:val="003566BB"/>
    <w:rsid w:val="00373898"/>
    <w:rsid w:val="003B1ECB"/>
    <w:rsid w:val="003D2878"/>
    <w:rsid w:val="003D38D9"/>
    <w:rsid w:val="003D751B"/>
    <w:rsid w:val="00434624"/>
    <w:rsid w:val="00441329"/>
    <w:rsid w:val="0045018D"/>
    <w:rsid w:val="00461476"/>
    <w:rsid w:val="00472BF6"/>
    <w:rsid w:val="00487668"/>
    <w:rsid w:val="004A0DD3"/>
    <w:rsid w:val="004E598C"/>
    <w:rsid w:val="004E7A6A"/>
    <w:rsid w:val="004F7D15"/>
    <w:rsid w:val="0053428B"/>
    <w:rsid w:val="0053696C"/>
    <w:rsid w:val="005B61C6"/>
    <w:rsid w:val="005C3137"/>
    <w:rsid w:val="005E5F12"/>
    <w:rsid w:val="006B1109"/>
    <w:rsid w:val="006C674D"/>
    <w:rsid w:val="006E3F38"/>
    <w:rsid w:val="00724740"/>
    <w:rsid w:val="00731671"/>
    <w:rsid w:val="00764D82"/>
    <w:rsid w:val="0079478A"/>
    <w:rsid w:val="00811452"/>
    <w:rsid w:val="008273AC"/>
    <w:rsid w:val="00856936"/>
    <w:rsid w:val="008B4823"/>
    <w:rsid w:val="008C13D9"/>
    <w:rsid w:val="008D7674"/>
    <w:rsid w:val="009011A0"/>
    <w:rsid w:val="00912157"/>
    <w:rsid w:val="0093404F"/>
    <w:rsid w:val="00952F6F"/>
    <w:rsid w:val="00956FC6"/>
    <w:rsid w:val="009727BD"/>
    <w:rsid w:val="009B3011"/>
    <w:rsid w:val="009F5A69"/>
    <w:rsid w:val="00A00B4F"/>
    <w:rsid w:val="00A24955"/>
    <w:rsid w:val="00AB3B05"/>
    <w:rsid w:val="00AF2E25"/>
    <w:rsid w:val="00B36796"/>
    <w:rsid w:val="00B742FE"/>
    <w:rsid w:val="00BC6CA4"/>
    <w:rsid w:val="00BF5B42"/>
    <w:rsid w:val="00C424BD"/>
    <w:rsid w:val="00C62D6B"/>
    <w:rsid w:val="00C671FA"/>
    <w:rsid w:val="00D12040"/>
    <w:rsid w:val="00D46C1B"/>
    <w:rsid w:val="00D60872"/>
    <w:rsid w:val="00D77B38"/>
    <w:rsid w:val="00DB02E4"/>
    <w:rsid w:val="00DF2058"/>
    <w:rsid w:val="00E13A5F"/>
    <w:rsid w:val="00E41ABF"/>
    <w:rsid w:val="00E52F55"/>
    <w:rsid w:val="00E57DD1"/>
    <w:rsid w:val="00F00474"/>
    <w:rsid w:val="00F07B3B"/>
    <w:rsid w:val="00F13BA4"/>
    <w:rsid w:val="00F16CDA"/>
    <w:rsid w:val="00F56795"/>
    <w:rsid w:val="00FF7B18"/>
    <w:rsid w:val="06DF2246"/>
    <w:rsid w:val="0DB95915"/>
    <w:rsid w:val="14FB6295"/>
    <w:rsid w:val="24D95FAE"/>
    <w:rsid w:val="2E117C26"/>
    <w:rsid w:val="30C918E1"/>
    <w:rsid w:val="32A976E1"/>
    <w:rsid w:val="3EE47951"/>
    <w:rsid w:val="447B7A6E"/>
    <w:rsid w:val="553717F3"/>
    <w:rsid w:val="68113363"/>
    <w:rsid w:val="6AED29A1"/>
    <w:rsid w:val="6FEB0F9F"/>
    <w:rsid w:val="77303B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uiPriority w:val="99"/>
    <w:pPr>
      <w:shd w:val="clear" w:color="auto" w:fill="000080"/>
    </w:pPr>
  </w:style>
  <w:style w:type="paragraph" w:styleId="3">
    <w:name w:val="Date"/>
    <w:basedOn w:val="1"/>
    <w:next w:val="1"/>
    <w:link w:val="14"/>
    <w:semiHidden/>
    <w:qFormat/>
    <w:uiPriority w:val="99"/>
    <w:pPr>
      <w:ind w:left="100" w:leftChars="25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table" w:styleId="9">
    <w:name w:val="Table Grid"/>
    <w:basedOn w:val="8"/>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0">
    <w:name w:val="Header Char"/>
    <w:basedOn w:val="6"/>
    <w:link w:val="5"/>
    <w:semiHidden/>
    <w:qFormat/>
    <w:locked/>
    <w:uiPriority w:val="99"/>
    <w:rPr>
      <w:rFonts w:cs="Times New Roman"/>
      <w:sz w:val="18"/>
      <w:szCs w:val="18"/>
    </w:rPr>
  </w:style>
  <w:style w:type="character" w:customStyle="1" w:styleId="11">
    <w:name w:val="Footer Char"/>
    <w:basedOn w:val="6"/>
    <w:link w:val="4"/>
    <w:semiHidden/>
    <w:qFormat/>
    <w:locked/>
    <w:uiPriority w:val="99"/>
    <w:rPr>
      <w:rFonts w:cs="Times New Roman"/>
      <w:sz w:val="18"/>
      <w:szCs w:val="18"/>
    </w:rPr>
  </w:style>
  <w:style w:type="paragraph" w:customStyle="1" w:styleId="12">
    <w:name w:val="Char"/>
    <w:basedOn w:val="1"/>
    <w:semiHidden/>
    <w:qFormat/>
    <w:uiPriority w:val="99"/>
    <w:rPr>
      <w:rFonts w:ascii="Times New Roman" w:hAnsi="Times New Roman"/>
      <w:szCs w:val="24"/>
    </w:rPr>
  </w:style>
  <w:style w:type="paragraph" w:styleId="13">
    <w:name w:val="List Paragraph"/>
    <w:basedOn w:val="1"/>
    <w:qFormat/>
    <w:uiPriority w:val="99"/>
    <w:pPr>
      <w:ind w:firstLine="420" w:firstLineChars="200"/>
    </w:pPr>
  </w:style>
  <w:style w:type="character" w:customStyle="1" w:styleId="14">
    <w:name w:val="Date Char"/>
    <w:basedOn w:val="6"/>
    <w:link w:val="3"/>
    <w:semiHidden/>
    <w:locked/>
    <w:uiPriority w:val="99"/>
    <w:rPr>
      <w:rFonts w:cs="Times New Roman"/>
    </w:rPr>
  </w:style>
  <w:style w:type="character" w:customStyle="1" w:styleId="15">
    <w:name w:val="Document Map Char"/>
    <w:basedOn w:val="6"/>
    <w:link w:val="2"/>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10</Pages>
  <Words>747</Words>
  <Characters>4263</Characters>
  <Lines>0</Lines>
  <Paragraphs>0</Paragraphs>
  <TotalTime>0</TotalTime>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2018-09-28T05:28:00Z</dcterms:created>
  <dc:creator>USER-</dc:creator>
  <cp:lastModifiedBy>小雨</cp:lastModifiedBy>
  <cp:lastPrinted>2018-09-28T07:59:00Z</cp:lastPrinted>
  <dcterms:modified xsi:type="dcterms:W3CDTF">2018-10-29T08:33:51Z</dcterms:modified>
  <dc:title>常州市金坛区农林局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