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eastAsia="zh-CN"/>
        </w:rPr>
        <w:t>区旅游局</w:t>
      </w:r>
      <w:r>
        <w:rPr>
          <w:rFonts w:hint="eastAsia" w:ascii="方正小标宋_GBK" w:hAnsi="方正小标宋_GBK" w:eastAsia="方正小标宋_GBK" w:cs="方正小标宋_GBK"/>
          <w:sz w:val="40"/>
          <w:szCs w:val="40"/>
          <w:lang w:val="en-US" w:eastAsia="zh-CN"/>
        </w:rPr>
        <w:t>9-10月工作总结及</w:t>
      </w:r>
    </w:p>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11-12月重点工作计划</w:t>
      </w:r>
    </w:p>
    <w:p>
      <w:pPr>
        <w:jc w:val="left"/>
        <w:rPr>
          <w:rFonts w:hint="eastAsia" w:ascii="方正小标宋_GBK" w:hAnsi="方正小标宋_GBK" w:eastAsia="方正小标宋_GBK" w:cs="方正小标宋_GBK"/>
          <w:sz w:val="40"/>
          <w:szCs w:val="40"/>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一、9-10月重点工作完成情况</w:t>
      </w:r>
    </w:p>
    <w:p>
      <w:pPr>
        <w:numPr>
          <w:ilvl w:val="0"/>
          <w:numId w:val="0"/>
        </w:num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联合金城镇政府策划举办2018年金坛旅游风情小镇创建培训班，培训班为期3天，以学习考察、现场交流和集中授课为主要形式，实地参观学习了无锡阳山桃源风情小镇、苏州旺山文旅风情小镇、苏州震泽丝绸风情小镇和宜兴湖㳇茶旅风情小镇在创建过程中的先进经验和做法。</w:t>
      </w:r>
    </w:p>
    <w:p>
      <w:pPr>
        <w:numPr>
          <w:ilvl w:val="0"/>
          <w:numId w:val="0"/>
        </w:num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2.开展中秋、国庆期间旅游安全生产大检查，对重点景区点存在的安全隐患进行排查，包括特种设备、餐饮卫生等检查，确保节假日游客的安全。</w:t>
      </w:r>
    </w:p>
    <w:p>
      <w:pPr>
        <w:numPr>
          <w:ilvl w:val="0"/>
          <w:numId w:val="0"/>
        </w:num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组织区旅游安全生产专业委员会开启了针对旅游企业安全生产业务“点对点”培训，涉及消防安全、食品安全、游客纠纷调处、突发事件处置等各项内容，培训时间将持续到10月底，目前已为三家旅游企业提供培训服务。</w:t>
      </w:r>
    </w:p>
    <w:p>
      <w:pPr>
        <w:numPr>
          <w:ilvl w:val="0"/>
          <w:numId w:val="0"/>
        </w:num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4.组织举办“2018金坛秋季旅游产品发布暨花谷奇缘第二届秋赏季上线活动”，推介了金坛秋季特色旅游产品，推出了三条特色旅游线路：山水美食之旅；休闲养生之旅；亲子研学之旅。</w:t>
      </w:r>
    </w:p>
    <w:p>
      <w:pPr>
        <w:numPr>
          <w:ilvl w:val="0"/>
          <w:numId w:val="0"/>
        </w:num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5.配合省旅游局完成花谷奇缘创建4A级景区现场评定工作，花谷奇缘成功创建成国家4A级景区。</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6.配合完成仙姑村美丽乡村示范项目建设验收的相关工作，其中包括“仙姑风味”展示、参观沿线及展馆讲解员招募及培训、仙姑村沿线旅游指示牌整治等工作。</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7.协助策划尚之源金丝皇菊展及华东玫瑰风情园灯光展等活动。</w:t>
      </w:r>
    </w:p>
    <w:p>
      <w:pPr>
        <w:numPr>
          <w:ilvl w:val="0"/>
          <w:numId w:val="0"/>
        </w:numPr>
        <w:ind w:firstLine="640" w:firstLineChars="200"/>
        <w:jc w:val="left"/>
        <w:rPr>
          <w:rFonts w:hint="eastAsia" w:ascii="黑体" w:hAnsi="黑体" w:eastAsia="黑体" w:cs="黑体"/>
          <w:b w:val="0"/>
          <w:bCs w:val="0"/>
          <w:sz w:val="32"/>
          <w:szCs w:val="32"/>
          <w:lang w:val="en-US" w:eastAsia="zh-CN"/>
        </w:rPr>
      </w:pP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二、“十一”黄金周金坛旅游情况</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“十一”黄金周</w:t>
      </w:r>
      <w:bookmarkStart w:id="0" w:name="_GoBack"/>
      <w:bookmarkEnd w:id="0"/>
      <w:r>
        <w:rPr>
          <w:rFonts w:hint="eastAsia" w:ascii="仿宋_GB2312" w:hAnsi="仿宋_GB2312" w:eastAsia="仿宋_GB2312" w:cs="仿宋_GB2312"/>
          <w:b w:val="0"/>
          <w:bCs w:val="0"/>
          <w:sz w:val="32"/>
          <w:szCs w:val="32"/>
          <w:lang w:val="en-US" w:eastAsia="zh-CN"/>
        </w:rPr>
        <w:t>纳入统计的10家主要旅游景区点共接待游客49.81万人次，同比增长18%，实现旅游收入7590.78万元，同比大幅增长43%。东方盐湖城景区共接待游客9.29万人次，实现旅游收入1876.51万元，分别同比增长40%和22%，客房入住率达100%；已获评4A级景区的花谷奇缘共接待游客3.23万人次，实现旅游收入245.4万元，分别同比大幅增长47%和39%；全面提档升茅山宝盛园共接待游客4.34万人次，实现旅游收入729.36万元，分别同比大幅增长231%和2044%。</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三、11-12月重点工作计划</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1.按照省公示项目，拨付2018年省级旅游业引导资金（景区及公共服务类、乡村旅游类），并组织区级引导资金申报（景区及公共服务类、乡村旅游类）</w:t>
      </w:r>
    </w:p>
    <w:p>
      <w:pPr>
        <w:numPr>
          <w:ilvl w:val="0"/>
          <w:numId w:val="0"/>
        </w:numPr>
        <w:ind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3.组织召开茅山闲养小镇创建工作第三次联席会议，主要对创建工作进度实时跟进，确保创建工作有效进行。</w:t>
      </w:r>
    </w:p>
    <w:p>
      <w:pPr>
        <w:numPr>
          <w:ilvl w:val="0"/>
          <w:numId w:val="0"/>
        </w:numPr>
        <w:ind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3.完成万人免费游常州活动安排，按照六镇三街道分批组织实施。</w:t>
      </w:r>
    </w:p>
    <w:p>
      <w:pPr>
        <w:numPr>
          <w:ilvl w:val="0"/>
          <w:numId w:val="0"/>
        </w:numPr>
        <w:ind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4.收集整理2018金坛商品创意大赛参赛作品，拟于12月举行商品创意大赛评奖活动。</w:t>
      </w:r>
    </w:p>
    <w:p>
      <w:pPr>
        <w:numPr>
          <w:ilvl w:val="0"/>
          <w:numId w:val="0"/>
        </w:numPr>
        <w:ind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5.组织策划2019年乡村过大年活动。</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numPr>
          <w:ilvl w:val="0"/>
          <w:numId w:val="0"/>
        </w:numPr>
        <w:ind w:firstLine="640"/>
        <w:jc w:val="left"/>
        <w:rPr>
          <w:rFonts w:hint="eastAsia" w:ascii="仿宋_GB2312" w:hAnsi="仿宋_GB2312" w:eastAsia="仿宋_GB2312" w:cs="仿宋_GB2312"/>
          <w:b w:val="0"/>
          <w:bCs w:val="0"/>
          <w:sz w:val="32"/>
          <w:szCs w:val="32"/>
          <w:lang w:val="en-US" w:eastAsia="zh-CN"/>
        </w:rPr>
      </w:pPr>
    </w:p>
    <w:p>
      <w:pPr>
        <w:numPr>
          <w:ilvl w:val="0"/>
          <w:numId w:val="0"/>
        </w:numPr>
        <w:ind w:firstLine="640"/>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汉简简体">
    <w:panose1 w:val="02000000000000000000"/>
    <w:charset w:val="86"/>
    <w:family w:val="auto"/>
    <w:pitch w:val="default"/>
    <w:sig w:usb0="800002BF" w:usb1="184F6CFA" w:usb2="00000012"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73119"/>
    <w:rsid w:val="02902C53"/>
    <w:rsid w:val="20573119"/>
    <w:rsid w:val="5A5C6B6D"/>
    <w:rsid w:val="5B8B5419"/>
    <w:rsid w:val="61AC1499"/>
    <w:rsid w:val="73370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а佐籩 婞</dc:creator>
  <cp:lastModifiedBy>а佐籩 婞</cp:lastModifiedBy>
  <dcterms:modified xsi:type="dcterms:W3CDTF">2018-10-30T02:11:00Z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