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黑体" w:eastAsia="方正黑体_GBK" w:cs="黑体"/>
          <w:bCs/>
          <w:color w:val="000000"/>
          <w:kern w:val="0"/>
          <w:sz w:val="32"/>
          <w:szCs w:val="32"/>
        </w:rPr>
      </w:pPr>
      <w:r>
        <w:rPr>
          <w:rFonts w:hint="eastAsia" w:ascii="方正黑体_GBK" w:hAnsi="黑体" w:eastAsia="方正黑体_GBK" w:cs="黑体"/>
          <w:bCs/>
          <w:color w:val="000000"/>
          <w:kern w:val="0"/>
          <w:sz w:val="32"/>
          <w:szCs w:val="32"/>
        </w:rPr>
        <w:t>附件</w:t>
      </w:r>
    </w:p>
    <w:p>
      <w:pPr>
        <w:snapToGrid w:val="0"/>
        <w:spacing w:line="56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常州市金坛区粮食生产功能区和重要农产品生产保护区划定任务分解表</w:t>
      </w:r>
    </w:p>
    <w:p>
      <w:pPr>
        <w:spacing w:line="560" w:lineRule="exact"/>
        <w:jc w:val="right"/>
        <w:rPr>
          <w:rFonts w:ascii="方正楷体_GBK" w:hAnsi="楷体" w:eastAsia="方正楷体_GBK" w:cs="楷体"/>
          <w:sz w:val="28"/>
          <w:szCs w:val="28"/>
        </w:rPr>
      </w:pPr>
      <w:r>
        <w:rPr>
          <w:rFonts w:hint="eastAsia" w:ascii="方正楷体_GBK" w:hAnsi="楷体" w:eastAsia="方正楷体_GBK" w:cs="楷体"/>
          <w:color w:val="000000"/>
          <w:kern w:val="0"/>
          <w:sz w:val="28"/>
          <w:szCs w:val="28"/>
        </w:rPr>
        <w:t>单位：万亩</w:t>
      </w:r>
    </w:p>
    <w:tbl>
      <w:tblPr>
        <w:tblStyle w:val="3"/>
        <w:tblW w:w="13988" w:type="dxa"/>
        <w:tblInd w:w="0" w:type="dxa"/>
        <w:tblLayout w:type="fixed"/>
        <w:tblCellMar>
          <w:top w:w="15" w:type="dxa"/>
          <w:left w:w="15" w:type="dxa"/>
          <w:bottom w:w="15" w:type="dxa"/>
          <w:right w:w="15" w:type="dxa"/>
        </w:tblCellMar>
      </w:tblPr>
      <w:tblGrid>
        <w:gridCol w:w="2173"/>
        <w:gridCol w:w="2915"/>
        <w:gridCol w:w="2263"/>
        <w:gridCol w:w="2034"/>
        <w:gridCol w:w="2161"/>
        <w:gridCol w:w="2442"/>
      </w:tblGrid>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行政区域</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划入基本农田面积</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水稻面积</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小麦面积</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油菜面积</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黑体" w:eastAsia="方正黑体_GBK" w:cs="黑体"/>
                <w:color w:val="000000"/>
                <w:sz w:val="32"/>
                <w:szCs w:val="32"/>
              </w:rPr>
            </w:pPr>
            <w:r>
              <w:rPr>
                <w:rFonts w:hint="eastAsia" w:ascii="方正黑体_GBK" w:hAnsi="黑体" w:eastAsia="方正黑体_GBK" w:cs="黑体"/>
                <w:color w:val="000000"/>
                <w:kern w:val="0"/>
                <w:sz w:val="32"/>
                <w:szCs w:val="32"/>
              </w:rPr>
              <w:t>大豆面积</w:t>
            </w:r>
          </w:p>
        </w:tc>
      </w:tr>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金城镇</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3.79</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3.79</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2.2</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0.25</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w:t>
            </w:r>
          </w:p>
        </w:tc>
      </w:tr>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薛埠镇</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5.26</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4.83</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2.8</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0.32</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0.43</w:t>
            </w:r>
          </w:p>
        </w:tc>
      </w:tr>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直溪镇</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6.2</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6.2</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3.6</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0.4</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w:t>
            </w:r>
          </w:p>
        </w:tc>
      </w:tr>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指前镇</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3.95</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3.95</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2.3</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0.25</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w:t>
            </w:r>
          </w:p>
        </w:tc>
      </w:tr>
      <w:tr>
        <w:tblPrEx>
          <w:tblLayout w:type="fixed"/>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朱林镇</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3.23</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3.23</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1.9</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0.18</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w:t>
            </w:r>
          </w:p>
        </w:tc>
      </w:tr>
      <w:tr>
        <w:tblPrEx>
          <w:tblLayout w:type="fixed"/>
          <w:tblCellMar>
            <w:top w:w="15" w:type="dxa"/>
            <w:left w:w="15" w:type="dxa"/>
            <w:bottom w:w="15" w:type="dxa"/>
            <w:right w:w="15" w:type="dxa"/>
          </w:tblCellMar>
        </w:tblPrEx>
        <w:trPr>
          <w:trHeight w:val="677" w:hRule="atLeast"/>
        </w:trPr>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合  计</w:t>
            </w:r>
          </w:p>
        </w:tc>
        <w:tc>
          <w:tcPr>
            <w:tcW w:w="2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sz w:val="32"/>
                <w:szCs w:val="32"/>
              </w:rPr>
            </w:pPr>
            <w:r>
              <w:rPr>
                <w:rFonts w:eastAsia="方正仿宋_GBK"/>
                <w:bCs/>
                <w:color w:val="000000"/>
                <w:kern w:val="0"/>
                <w:sz w:val="32"/>
                <w:szCs w:val="32"/>
              </w:rPr>
              <w:t>22.43</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22</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12.8</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1.4</w:t>
            </w:r>
          </w:p>
        </w:tc>
        <w:tc>
          <w:tcPr>
            <w:tcW w:w="2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Cs/>
                <w:color w:val="000000"/>
                <w:kern w:val="0"/>
                <w:sz w:val="32"/>
                <w:szCs w:val="32"/>
              </w:rPr>
            </w:pPr>
            <w:r>
              <w:rPr>
                <w:rFonts w:eastAsia="方正仿宋_GBK"/>
                <w:bCs/>
                <w:color w:val="000000"/>
                <w:kern w:val="0"/>
                <w:sz w:val="32"/>
                <w:szCs w:val="32"/>
              </w:rPr>
              <w:t>0.43</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5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木子</cp:lastModifiedBy>
  <dcterms:modified xsi:type="dcterms:W3CDTF">2018-07-02T07:14:40Z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