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ight="-227" w:rightChars="-108"/>
        <w:rPr>
          <w:rFonts w:ascii="方正小标宋_GBK" w:eastAsia="方正小标宋_GBK"/>
          <w:color w:val="FF0000"/>
          <w:w w:val="64"/>
          <w:sz w:val="128"/>
          <w:szCs w:val="128"/>
        </w:rPr>
      </w:pPr>
    </w:p>
    <w:p>
      <w:pPr>
        <w:spacing w:before="100" w:beforeAutospacing="1" w:after="100" w:afterAutospacing="1" w:line="960" w:lineRule="exact"/>
        <w:ind w:left="0" w:right="-227" w:rightChars="-108"/>
        <w:jc w:val="center"/>
        <w:rPr>
          <w:rFonts w:ascii="方正小标宋_GBK" w:eastAsia="方正小标宋_GBK"/>
          <w:color w:val="FF0000"/>
          <w:w w:val="60"/>
          <w:sz w:val="128"/>
          <w:szCs w:val="128"/>
        </w:rPr>
      </w:pPr>
      <w:r>
        <w:rPr>
          <w:rFonts w:hint="eastAsia" w:ascii="方正小标宋_GBK" w:eastAsia="方正小标宋_GBK"/>
          <w:color w:val="FF0000"/>
          <w:w w:val="60"/>
          <w:sz w:val="128"/>
          <w:szCs w:val="128"/>
        </w:rPr>
        <w:t>常州市金坛区商务局文件</w:t>
      </w:r>
    </w:p>
    <w:p>
      <w:pPr>
        <w:spacing w:line="240" w:lineRule="exact"/>
        <w:jc w:val="center"/>
        <w:rPr>
          <w:rFonts w:ascii="方正小标宋简体" w:eastAsia="方正小标宋简体"/>
          <w:color w:val="FF0000"/>
          <w:w w:val="64"/>
          <w:sz w:val="32"/>
          <w:szCs w:val="32"/>
        </w:rPr>
      </w:pPr>
    </w:p>
    <w:p>
      <w:pPr>
        <w:spacing w:line="320" w:lineRule="exact"/>
        <w:ind w:left="0"/>
        <w:jc w:val="center"/>
        <w:rPr>
          <w:rFonts w:ascii="仿宋_GB2312" w:eastAsia="仿宋_GB2312"/>
          <w:sz w:val="32"/>
          <w:szCs w:val="32"/>
        </w:rPr>
      </w:pPr>
      <w:r>
        <w:rPr>
          <w:rFonts w:hint="eastAsia" w:ascii="仿宋_GB2312" w:eastAsia="仿宋_GB2312"/>
          <w:sz w:val="32"/>
          <w:szCs w:val="32"/>
        </w:rPr>
        <w:t>坛商字〔</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〕7号</w:t>
      </w:r>
    </w:p>
    <w:p>
      <w:pPr>
        <w:spacing w:line="320" w:lineRule="exact"/>
        <w:ind w:left="0"/>
        <w:rPr>
          <w:rFonts w:ascii="仿宋_GB2312" w:eastAsia="仿宋_GB2312"/>
          <w:sz w:val="32"/>
          <w:szCs w:val="32"/>
        </w:rPr>
      </w:pPr>
      <w:r>
        <w:rPr>
          <w:rFonts w:ascii="方正小标宋简体" w:eastAsia="方正小标宋简体"/>
          <w:color w:val="FF0000"/>
          <w:sz w:val="52"/>
          <w:szCs w:val="52"/>
          <w:u w:val="thick"/>
        </w:rPr>
        <w:t xml:space="preserve">                                  </w:t>
      </w:r>
    </w:p>
    <w:p>
      <w:pPr>
        <w:adjustRightInd w:val="0"/>
        <w:snapToGrid w:val="0"/>
        <w:rPr>
          <w:rFonts w:ascii="黑体" w:hAnsi="黑体" w:eastAsia="黑体"/>
          <w:sz w:val="32"/>
          <w:szCs w:val="32"/>
        </w:rPr>
      </w:pPr>
    </w:p>
    <w:p>
      <w:pPr>
        <w:ind w:left="0"/>
        <w:jc w:val="center"/>
        <w:rPr>
          <w:rFonts w:hint="eastAsia" w:ascii="Times New Roman" w:hAnsi="Times New Roman" w:eastAsia="方正小标宋_GBK"/>
          <w:bCs/>
          <w:kern w:val="0"/>
          <w:sz w:val="44"/>
          <w:szCs w:val="44"/>
        </w:rPr>
      </w:pPr>
      <w:r>
        <w:rPr>
          <w:rFonts w:hint="eastAsia" w:ascii="Times New Roman" w:hAnsi="Times New Roman" w:eastAsia="方正小标宋_GBK"/>
          <w:bCs/>
          <w:kern w:val="0"/>
          <w:sz w:val="44"/>
          <w:szCs w:val="44"/>
        </w:rPr>
        <w:t>关于印发《部门预决算信息公开</w:t>
      </w:r>
    </w:p>
    <w:p>
      <w:pPr>
        <w:ind w:left="0"/>
        <w:jc w:val="center"/>
        <w:rPr>
          <w:rFonts w:ascii="Times New Roman" w:hAnsi="Times New Roman" w:eastAsia="方正小标宋_GBK"/>
          <w:bCs/>
          <w:kern w:val="0"/>
          <w:sz w:val="44"/>
          <w:szCs w:val="44"/>
        </w:rPr>
      </w:pPr>
      <w:r>
        <w:rPr>
          <w:rFonts w:hint="eastAsia" w:ascii="Times New Roman" w:hAnsi="Times New Roman" w:eastAsia="方正小标宋_GBK"/>
          <w:bCs/>
          <w:kern w:val="0"/>
          <w:sz w:val="44"/>
          <w:szCs w:val="44"/>
        </w:rPr>
        <w:t>工作方案》的通知</w:t>
      </w:r>
    </w:p>
    <w:p>
      <w:pPr>
        <w:shd w:val="clear" w:color="auto" w:fill="FFFFFF"/>
        <w:ind w:left="0"/>
        <w:rPr>
          <w:rFonts w:ascii="Times New Roman" w:hAnsi="Times New Roman" w:eastAsia="方正小标宋_GBK"/>
          <w:bCs/>
          <w:kern w:val="0"/>
          <w:sz w:val="44"/>
          <w:szCs w:val="44"/>
        </w:rPr>
      </w:pPr>
    </w:p>
    <w:p>
      <w:pPr>
        <w:shd w:val="clear" w:color="auto" w:fill="FFFFFF"/>
        <w:ind w:left="0"/>
        <w:rPr>
          <w:rFonts w:ascii="仿宋_GB2312" w:eastAsia="仿宋_GB2312"/>
          <w:sz w:val="32"/>
          <w:szCs w:val="32"/>
        </w:rPr>
      </w:pPr>
      <w:r>
        <w:rPr>
          <w:rFonts w:hint="eastAsia" w:ascii="仿宋_GB2312" w:hAnsi="宋体" w:eastAsia="仿宋_GB2312"/>
          <w:sz w:val="32"/>
          <w:szCs w:val="32"/>
        </w:rPr>
        <w:t>各科室商、招商中心、</w:t>
      </w:r>
      <w:r>
        <w:rPr>
          <w:rFonts w:hint="eastAsia" w:ascii="仿宋_GB2312" w:hAnsi="宋体" w:eastAsia="仿宋_GB2312"/>
          <w:sz w:val="32"/>
          <w:szCs w:val="32"/>
          <w:lang w:eastAsia="zh-CN"/>
        </w:rPr>
        <w:t>商</w:t>
      </w:r>
      <w:r>
        <w:rPr>
          <w:rFonts w:hint="eastAsia" w:ascii="仿宋_GB2312" w:hAnsi="宋体" w:eastAsia="仿宋_GB2312"/>
          <w:sz w:val="32"/>
          <w:szCs w:val="32"/>
        </w:rPr>
        <w:t>务综合行政执法大队：</w:t>
      </w:r>
    </w:p>
    <w:p>
      <w:pPr>
        <w:pStyle w:val="5"/>
        <w:shd w:val="clear" w:color="auto" w:fill="FFFFFF"/>
        <w:spacing w:before="0" w:beforeAutospacing="0" w:after="0" w:afterAutospacing="0" w:line="480" w:lineRule="atLeast"/>
        <w:ind w:left="0" w:firstLine="640" w:firstLineChars="200"/>
        <w:rPr>
          <w:rFonts w:ascii="仿宋_GB2312" w:eastAsia="仿宋_GB2312"/>
          <w:color w:val="000000"/>
          <w:sz w:val="32"/>
          <w:szCs w:val="32"/>
        </w:rPr>
      </w:pPr>
      <w:r>
        <w:rPr>
          <w:rFonts w:hint="eastAsia" w:ascii="仿宋_GB2312" w:eastAsia="仿宋_GB2312"/>
          <w:color w:val="000000"/>
          <w:sz w:val="32"/>
          <w:szCs w:val="32"/>
        </w:rPr>
        <w:t>现将《</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预决算</w:t>
      </w:r>
      <w:r>
        <w:rPr>
          <w:rFonts w:hint="eastAsia" w:ascii="仿宋_GB2312" w:eastAsia="仿宋_GB2312"/>
          <w:color w:val="000000"/>
          <w:sz w:val="32"/>
          <w:szCs w:val="32"/>
          <w:lang w:eastAsia="zh-CN"/>
        </w:rPr>
        <w:t>信息</w:t>
      </w:r>
      <w:r>
        <w:rPr>
          <w:rFonts w:hint="eastAsia" w:ascii="仿宋_GB2312" w:eastAsia="仿宋_GB2312"/>
          <w:color w:val="000000"/>
          <w:sz w:val="32"/>
          <w:szCs w:val="32"/>
        </w:rPr>
        <w:t>公开工作方案》印发给你们，</w:t>
      </w:r>
      <w:r>
        <w:rPr>
          <w:rFonts w:hint="eastAsia" w:ascii="仿宋_GB2312" w:eastAsia="仿宋_GB2312"/>
          <w:color w:val="000000"/>
          <w:sz w:val="32"/>
          <w:szCs w:val="32"/>
          <w:lang w:eastAsia="zh-CN"/>
        </w:rPr>
        <w:t>希</w:t>
      </w:r>
      <w:r>
        <w:rPr>
          <w:rFonts w:hint="eastAsia" w:ascii="仿宋_GB2312" w:eastAsia="仿宋_GB2312"/>
          <w:color w:val="000000"/>
          <w:sz w:val="32"/>
          <w:szCs w:val="32"/>
        </w:rPr>
        <w:t>认真贯彻执行。</w:t>
      </w:r>
      <w:bookmarkStart w:id="0" w:name="_GoBack"/>
      <w:bookmarkEnd w:id="0"/>
    </w:p>
    <w:p>
      <w:pPr>
        <w:pStyle w:val="5"/>
        <w:shd w:val="clear" w:color="auto" w:fill="FFFFFF"/>
        <w:spacing w:before="0" w:beforeAutospacing="0" w:after="0" w:afterAutospacing="0" w:line="480" w:lineRule="atLeast"/>
        <w:ind w:left="0"/>
        <w:rPr>
          <w:rFonts w:ascii="仿宋_GB2312" w:eastAsia="仿宋_GB2312"/>
          <w:color w:val="000000"/>
          <w:sz w:val="32"/>
          <w:szCs w:val="32"/>
        </w:rPr>
      </w:pPr>
    </w:p>
    <w:p>
      <w:pPr>
        <w:pStyle w:val="5"/>
        <w:shd w:val="clear" w:color="auto" w:fill="FFFFFF"/>
        <w:spacing w:before="0" w:beforeAutospacing="0" w:after="0" w:afterAutospacing="0" w:line="480" w:lineRule="atLeast"/>
        <w:ind w:left="0"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预决算</w:t>
      </w:r>
      <w:r>
        <w:rPr>
          <w:rFonts w:hint="eastAsia" w:ascii="仿宋_GB2312" w:eastAsia="仿宋_GB2312"/>
          <w:color w:val="000000"/>
          <w:sz w:val="32"/>
          <w:szCs w:val="32"/>
          <w:lang w:eastAsia="zh-CN"/>
        </w:rPr>
        <w:t>信息</w:t>
      </w:r>
      <w:r>
        <w:rPr>
          <w:rFonts w:hint="eastAsia" w:ascii="仿宋_GB2312" w:eastAsia="仿宋_GB2312"/>
          <w:color w:val="000000"/>
          <w:sz w:val="32"/>
          <w:szCs w:val="32"/>
        </w:rPr>
        <w:t>公开工作方案</w:t>
      </w:r>
    </w:p>
    <w:p>
      <w:pPr>
        <w:pStyle w:val="5"/>
        <w:shd w:val="clear" w:color="auto" w:fill="FFFFFF"/>
        <w:spacing w:before="0" w:beforeAutospacing="0" w:after="0" w:afterAutospacing="0" w:line="480" w:lineRule="atLeast"/>
        <w:rPr>
          <w:rFonts w:ascii="仿宋_GB2312" w:eastAsia="仿宋_GB2312"/>
          <w:color w:val="000000"/>
          <w:sz w:val="32"/>
          <w:szCs w:val="32"/>
        </w:rPr>
      </w:pPr>
    </w:p>
    <w:p>
      <w:pPr>
        <w:pStyle w:val="5"/>
        <w:shd w:val="clear" w:color="auto" w:fill="FFFFFF"/>
        <w:spacing w:before="0" w:beforeAutospacing="0" w:after="0" w:afterAutospacing="0" w:line="480" w:lineRule="atLeast"/>
        <w:rPr>
          <w:rFonts w:ascii="仿宋_GB2312" w:eastAsia="仿宋_GB2312"/>
          <w:color w:val="000000"/>
          <w:sz w:val="32"/>
          <w:szCs w:val="32"/>
        </w:rPr>
      </w:pPr>
    </w:p>
    <w:p>
      <w:pPr>
        <w:pStyle w:val="5"/>
        <w:shd w:val="clear" w:color="auto" w:fill="FFFFFF"/>
        <w:spacing w:before="0" w:beforeAutospacing="0" w:after="0" w:afterAutospacing="0"/>
        <w:ind w:right="600" w:firstLine="616"/>
        <w:jc w:val="center"/>
        <w:rPr>
          <w:rFonts w:ascii="仿宋_GB2312" w:eastAsia="仿宋_GB2312"/>
          <w:color w:val="000000" w:themeColor="text1"/>
          <w:sz w:val="32"/>
          <w:szCs w:val="32"/>
          <w:shd w:val="clear" w:color="auto" w:fill="FFFFFF" w:themeFill="background1"/>
          <w14:textFill>
            <w14:solidFill>
              <w14:schemeClr w14:val="tx1"/>
            </w14:solidFill>
          </w14:textFill>
        </w:rPr>
      </w:pPr>
      <w:r>
        <w:rPr>
          <w:rFonts w:hint="eastAsia" w:ascii="仿宋_GB2312" w:eastAsia="仿宋_GB2312"/>
          <w:color w:val="000000"/>
          <w:sz w:val="32"/>
          <w:szCs w:val="32"/>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shd w:val="clear" w:color="auto" w:fill="FFFFFF" w:themeFill="background1"/>
          <w14:textFill>
            <w14:solidFill>
              <w14:schemeClr w14:val="tx1"/>
            </w14:solidFill>
          </w14:textFill>
        </w:rPr>
        <w:t xml:space="preserve">  常州市金坛区商务局</w:t>
      </w:r>
    </w:p>
    <w:p>
      <w:pPr>
        <w:pStyle w:val="5"/>
        <w:shd w:val="clear" w:color="auto" w:fill="FFFFFF"/>
        <w:spacing w:before="0" w:beforeAutospacing="0" w:after="0" w:afterAutospacing="0"/>
        <w:ind w:right="600" w:firstLine="616"/>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shd w:val="clear" w:color="auto" w:fill="FFFFFF" w:themeFill="background1"/>
          <w14:textFill>
            <w14:solidFill>
              <w14:schemeClr w14:val="tx1"/>
            </w14:solidFill>
          </w14:textFill>
        </w:rPr>
        <w:t xml:space="preserve">                      201</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8</w:t>
      </w:r>
      <w:r>
        <w:rPr>
          <w:rFonts w:hint="eastAsia" w:ascii="仿宋_GB2312" w:eastAsia="仿宋_GB2312"/>
          <w:color w:val="000000" w:themeColor="text1"/>
          <w:sz w:val="32"/>
          <w:szCs w:val="32"/>
          <w:shd w:val="clear" w:color="auto" w:fill="FFFFFF" w:themeFill="background1"/>
          <w14:textFill>
            <w14:solidFill>
              <w14:schemeClr w14:val="tx1"/>
            </w14:solidFill>
          </w14:textFill>
        </w:rPr>
        <w:t>年</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1</w:t>
      </w:r>
      <w:r>
        <w:rPr>
          <w:rFonts w:hint="eastAsia" w:ascii="仿宋_GB2312" w:eastAsia="仿宋_GB2312"/>
          <w:color w:val="000000" w:themeColor="text1"/>
          <w:sz w:val="32"/>
          <w:szCs w:val="32"/>
          <w:shd w:val="clear" w:color="auto" w:fill="FFFFFF" w:themeFill="background1"/>
          <w14:textFill>
            <w14:solidFill>
              <w14:schemeClr w14:val="tx1"/>
            </w14:solidFill>
          </w14:textFill>
        </w:rPr>
        <w:t>月</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30</w:t>
      </w:r>
      <w:r>
        <w:rPr>
          <w:rFonts w:hint="eastAsia" w:ascii="仿宋_GB2312" w:eastAsia="仿宋_GB2312"/>
          <w:color w:val="000000" w:themeColor="text1"/>
          <w:sz w:val="32"/>
          <w:szCs w:val="32"/>
          <w:shd w:val="clear" w:color="auto" w:fill="FFFFFF" w:themeFill="background1"/>
          <w14:textFill>
            <w14:solidFill>
              <w14:schemeClr w14:val="tx1"/>
            </w14:solidFill>
          </w14:textFill>
        </w:rPr>
        <w:t>日</w:t>
      </w:r>
    </w:p>
    <w:p>
      <w:pPr>
        <w:shd w:val="clear" w:color="auto" w:fill="FFFFFF"/>
        <w:ind w:left="0"/>
        <w:rPr>
          <w:rFonts w:ascii="仿宋_GB2312" w:hAnsi="宋体" w:eastAsia="仿宋_GB2312"/>
          <w:color w:val="000000" w:themeColor="text1"/>
          <w:sz w:val="32"/>
          <w:szCs w:val="32"/>
          <w14:textFill>
            <w14:solidFill>
              <w14:schemeClr w14:val="tx1"/>
            </w14:solidFill>
          </w14:textFill>
        </w:rPr>
      </w:pPr>
    </w:p>
    <w:p>
      <w:pPr>
        <w:shd w:val="clear" w:color="auto" w:fill="FFFFFF"/>
        <w:ind w:left="0"/>
        <w:rPr>
          <w:rFonts w:ascii="仿宋_GB2312" w:hAnsi="宋体" w:eastAsia="仿宋_GB2312"/>
          <w:color w:val="000000" w:themeColor="text1"/>
          <w:sz w:val="32"/>
          <w:szCs w:val="32"/>
          <w14:textFill>
            <w14:solidFill>
              <w14:schemeClr w14:val="tx1"/>
            </w14:solidFill>
          </w14:textFill>
        </w:rPr>
      </w:pPr>
    </w:p>
    <w:p>
      <w:pPr>
        <w:shd w:val="clear" w:color="auto" w:fill="FFFFFF"/>
        <w:ind w:left="0"/>
        <w:rPr>
          <w:rFonts w:ascii="仿宋_GB2312" w:hAnsi="宋体" w:eastAsia="仿宋_GB2312"/>
          <w:color w:val="000000" w:themeColor="text1"/>
          <w:sz w:val="32"/>
          <w:szCs w:val="32"/>
          <w14:textFill>
            <w14:solidFill>
              <w14:schemeClr w14:val="tx1"/>
            </w14:solidFill>
          </w14:textFill>
        </w:rPr>
      </w:pPr>
    </w:p>
    <w:p>
      <w:pPr>
        <w:shd w:val="clear" w:color="auto" w:fill="FFFFFF"/>
        <w:ind w:left="0"/>
        <w:rPr>
          <w:rFonts w:ascii="楷体_GB2312" w:eastAsia="楷体_GB2312"/>
          <w:color w:val="000000"/>
          <w:sz w:val="32"/>
          <w:szCs w:val="32"/>
        </w:rPr>
      </w:pPr>
      <w:r>
        <w:rPr>
          <w:rFonts w:hint="eastAsia" w:ascii="楷体_GB2312" w:hAnsi="宋体" w:eastAsia="楷体_GB2312"/>
          <w:color w:val="000000"/>
          <w:sz w:val="32"/>
          <w:szCs w:val="32"/>
        </w:rPr>
        <w:t>附件：</w:t>
      </w:r>
    </w:p>
    <w:p>
      <w:pPr>
        <w:shd w:val="clear" w:color="auto" w:fill="FFFFFF"/>
        <w:ind w:left="0"/>
        <w:jc w:val="center"/>
        <w:rPr>
          <w:rFonts w:ascii="方正小标宋简体" w:hAnsi="Times New Roman" w:eastAsia="方正小标宋简体"/>
          <w:bCs/>
          <w:kern w:val="0"/>
          <w:sz w:val="44"/>
          <w:szCs w:val="44"/>
        </w:rPr>
      </w:pPr>
      <w:r>
        <w:rPr>
          <w:rFonts w:hint="eastAsia" w:ascii="方正小标宋简体" w:hAnsi="Times New Roman" w:eastAsia="方正小标宋简体"/>
          <w:bCs/>
          <w:kern w:val="0"/>
          <w:sz w:val="44"/>
          <w:szCs w:val="44"/>
        </w:rPr>
        <w:t>部门预决算信息公开工作方案</w:t>
      </w:r>
    </w:p>
    <w:p>
      <w:pPr>
        <w:shd w:val="clear" w:color="auto" w:fill="FFFFFF"/>
        <w:ind w:left="0"/>
        <w:rPr>
          <w:rFonts w:ascii="仿宋_GB2312" w:eastAsia="仿宋_GB2312"/>
          <w:sz w:val="32"/>
          <w:szCs w:val="32"/>
        </w:rPr>
      </w:pP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预决算信息公开是预决算管理制度改革的核心内容，建立全面规范、公开透明的预算制度是现代财政制度的基本特征，是实现政府治理体系和治理能力现代化的重要推动力。根据金坛区区委办公室、区政府办公室关于转发《《江苏省预决算信息公开管理暂行办法》的通知》，制定以下工作方案。</w:t>
      </w:r>
    </w:p>
    <w:p>
      <w:pPr>
        <w:shd w:val="clear" w:color="auto" w:fill="FFFFFF"/>
        <w:ind w:left="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一、基本原则</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（一）坚持以公开为常态、不公开为例外。区级使用财政资金的部门和单位应当积极推动本部门预决算公开。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（二）坚持明确和落实责任。本部门应当依法主动公开预决算信息，本部门负责公开本部门及所属单位预决算。</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（三）坚持以公开促改革。以预决算公开为抓手促进财税体制改革和其他相关领域改革，为实现政府治理体系和治理能力现代化提供动力。</w:t>
      </w:r>
    </w:p>
    <w:p>
      <w:pPr>
        <w:shd w:val="clear" w:color="auto" w:fill="FFFFFF"/>
        <w:ind w:left="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二、工作要求</w:t>
      </w:r>
    </w:p>
    <w:p>
      <w:pPr>
        <w:shd w:val="clear" w:color="auto" w:fill="FFFFFF"/>
        <w:ind w:left="0" w:firstLine="640" w:firstLineChars="200"/>
        <w:rPr>
          <w:rFonts w:ascii="仿宋_GB2312" w:hAnsi="宋体" w:eastAsia="仿宋_GB2312"/>
          <w:sz w:val="32"/>
          <w:szCs w:val="32"/>
        </w:rPr>
      </w:pPr>
      <w:r>
        <w:rPr>
          <w:rFonts w:hint="eastAsia" w:ascii="仿宋_GB2312" w:hAnsi="宋体" w:eastAsia="仿宋_GB2312"/>
          <w:sz w:val="32"/>
          <w:szCs w:val="32"/>
        </w:rPr>
        <w:t>（一）区级部门预决算公开。</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1．公开部门预算。</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（1）公开时间：</w:t>
      </w:r>
      <w:r>
        <w:rPr>
          <w:rFonts w:hint="eastAsia" w:ascii="仿宋_GB2312" w:hAnsi="宋体" w:eastAsia="仿宋_GB2312"/>
          <w:kern w:val="0"/>
          <w:sz w:val="32"/>
          <w:szCs w:val="32"/>
        </w:rPr>
        <w:t>收到财政批复部门预算后20日内公开。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kern w:val="0"/>
          <w:sz w:val="32"/>
          <w:szCs w:val="32"/>
        </w:rPr>
        <w:t>公开方式：区级政府</w:t>
      </w:r>
      <w:r>
        <w:rPr>
          <w:rFonts w:hint="eastAsia" w:ascii="仿宋_GB2312" w:hAnsi="宋体" w:eastAsia="仿宋_GB2312"/>
          <w:kern w:val="0"/>
          <w:sz w:val="32"/>
          <w:szCs w:val="32"/>
          <w:lang w:eastAsia="zh-CN"/>
        </w:rPr>
        <w:t>门户网</w:t>
      </w:r>
      <w:r>
        <w:rPr>
          <w:rFonts w:hint="eastAsia" w:ascii="仿宋_GB2312" w:hAnsi="宋体" w:eastAsia="仿宋_GB2312"/>
          <w:kern w:val="0"/>
          <w:sz w:val="32"/>
          <w:szCs w:val="32"/>
        </w:rPr>
        <w:t>平台和</w:t>
      </w:r>
      <w:r>
        <w:rPr>
          <w:rFonts w:hint="eastAsia" w:ascii="仿宋_GB2312" w:hAnsi="宋体" w:eastAsia="仿宋_GB2312"/>
          <w:kern w:val="0"/>
          <w:sz w:val="32"/>
          <w:szCs w:val="32"/>
          <w:lang w:eastAsia="zh-CN"/>
        </w:rPr>
        <w:t>省预决算公开统一平台</w:t>
      </w:r>
      <w:r>
        <w:rPr>
          <w:rFonts w:hint="eastAsia" w:ascii="仿宋_GB2312" w:hAnsi="宋体" w:eastAsia="仿宋_GB2312"/>
          <w:kern w:val="0"/>
          <w:sz w:val="32"/>
          <w:szCs w:val="32"/>
        </w:rPr>
        <w:t>网站专栏同时</w:t>
      </w:r>
      <w:r>
        <w:rPr>
          <w:rFonts w:hint="eastAsia" w:ascii="仿宋_GB2312" w:hAnsi="宋体" w:eastAsia="仿宋_GB2312"/>
          <w:sz w:val="32"/>
          <w:szCs w:val="32"/>
        </w:rPr>
        <w:t>公开。</w:t>
      </w:r>
    </w:p>
    <w:p>
      <w:pPr>
        <w:shd w:val="clear" w:color="auto" w:fill="FFFFFF"/>
        <w:ind w:left="0" w:firstLine="640" w:firstLineChars="200"/>
        <w:rPr>
          <w:rFonts w:ascii="仿宋_GB2312" w:hAnsi="宋体" w:eastAsia="仿宋_GB2312"/>
          <w:sz w:val="32"/>
          <w:szCs w:val="32"/>
        </w:rPr>
      </w:pPr>
      <w:r>
        <w:rPr>
          <w:rFonts w:hint="eastAsia" w:ascii="仿宋_GB2312" w:hAnsi="宋体" w:eastAsia="仿宋_GB2312"/>
          <w:kern w:val="0"/>
          <w:sz w:val="32"/>
          <w:szCs w:val="32"/>
        </w:rPr>
        <w:t>（3）</w:t>
      </w:r>
      <w:r>
        <w:rPr>
          <w:rFonts w:hint="eastAsia" w:ascii="仿宋_GB2312" w:hAnsi="宋体" w:eastAsia="仿宋_GB2312"/>
          <w:sz w:val="32"/>
          <w:szCs w:val="32"/>
        </w:rPr>
        <w:t>公开内容：主要是部门概况、部门预算表、部门预算安排情况说明、名词解释四个方面。其中部门概况包括：</w:t>
      </w:r>
      <w:r>
        <w:rPr>
          <w:rFonts w:hint="eastAsia" w:ascii="仿宋_GB2312" w:hAnsi="宋体" w:eastAsia="仿宋_GB2312"/>
          <w:kern w:val="0"/>
          <w:sz w:val="32"/>
          <w:szCs w:val="32"/>
        </w:rPr>
        <w:t>部门职责、机构设置、编制现状、年度部门主要工作任务及目标、部门收支预算编制的相关依据及测算分析情况。</w:t>
      </w:r>
      <w:r>
        <w:rPr>
          <w:rFonts w:hint="eastAsia" w:ascii="仿宋_GB2312" w:hAnsi="宋体" w:eastAsia="仿宋_GB2312"/>
          <w:sz w:val="32"/>
          <w:szCs w:val="32"/>
        </w:rPr>
        <w:t>部门预算表包括：部门收支预算总表、财政拨款支出预算表（按功能分类到项级）、财政拨款基本支出预算表（按经济分类到款级）、一般公共预算机关运行经费预算表、财政拨款政府性基金支出预算表、“三公”经费、会议费、培训费支出预算表、政府采购预算表等12张表</w:t>
      </w:r>
      <w:r>
        <w:rPr>
          <w:rFonts w:hint="eastAsia" w:ascii="仿宋_GB2312" w:hAnsi="宋体" w:eastAsia="仿宋_GB2312"/>
          <w:kern w:val="0"/>
          <w:sz w:val="32"/>
          <w:szCs w:val="32"/>
        </w:rPr>
        <w:t>。其中，</w:t>
      </w:r>
      <w:r>
        <w:rPr>
          <w:rFonts w:hint="eastAsia" w:ascii="仿宋_GB2312" w:hAnsi="宋体" w:eastAsia="仿宋_GB2312"/>
          <w:sz w:val="32"/>
          <w:szCs w:val="32"/>
        </w:rPr>
        <w:t>政府采购预算表应包括专项名称、经济科目、采购物品名称、采购组织形式、预算安排等内容。部门预算安排情况</w:t>
      </w:r>
      <w:r>
        <w:rPr>
          <w:rFonts w:hint="eastAsia" w:ascii="仿宋_GB2312" w:hAnsi="宋体" w:eastAsia="仿宋_GB2312"/>
          <w:kern w:val="0"/>
          <w:sz w:val="32"/>
          <w:szCs w:val="32"/>
        </w:rPr>
        <w:t>说明应包括部门年度收支预算安排情况；对</w:t>
      </w:r>
      <w:r>
        <w:rPr>
          <w:rFonts w:hint="eastAsia" w:ascii="仿宋_GB2312" w:hAnsi="宋体" w:eastAsia="仿宋_GB2312"/>
          <w:spacing w:val="-10"/>
          <w:sz w:val="32"/>
          <w:szCs w:val="32"/>
        </w:rPr>
        <w:t>“三公”经费预算总额和分项数额增减变化的原因进行说明；</w:t>
      </w:r>
      <w:r>
        <w:rPr>
          <w:rFonts w:hint="eastAsia" w:ascii="仿宋_GB2312" w:hAnsi="宋体" w:eastAsia="仿宋_GB2312"/>
          <w:kern w:val="0"/>
          <w:sz w:val="32"/>
          <w:szCs w:val="32"/>
        </w:rPr>
        <w:t>对重大项目资金安排或可能引起社会公众关注的预算安排，结合工作任务和事业发展目标加以阐述；对重要指标进行上下年度的比较和分析；</w:t>
      </w:r>
      <w:r>
        <w:rPr>
          <w:rFonts w:hint="eastAsia" w:ascii="仿宋_GB2312" w:hAnsi="宋体" w:eastAsia="仿宋_GB2312"/>
          <w:sz w:val="32"/>
          <w:szCs w:val="32"/>
        </w:rPr>
        <w:t>对各政府采购项目应就项目用途、采购方式进行说明</w:t>
      </w:r>
      <w:r>
        <w:rPr>
          <w:rFonts w:hint="eastAsia" w:ascii="仿宋_GB2312" w:hAnsi="宋体" w:eastAsia="仿宋_GB2312"/>
          <w:kern w:val="0"/>
          <w:sz w:val="32"/>
          <w:szCs w:val="32"/>
        </w:rPr>
        <w:t>等。名词</w:t>
      </w:r>
      <w:r>
        <w:rPr>
          <w:rFonts w:hint="eastAsia" w:ascii="仿宋_GB2312" w:hAnsi="宋体" w:eastAsia="仿宋_GB2312"/>
          <w:sz w:val="32"/>
          <w:szCs w:val="32"/>
        </w:rPr>
        <w:t>解释主要对部门预算表中的相关专业名称进行解释说明。</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2．公开部门决算。</w:t>
      </w:r>
    </w:p>
    <w:p>
      <w:pPr>
        <w:shd w:val="clear" w:color="auto" w:fill="FFFFFF"/>
        <w:ind w:left="0" w:firstLine="640" w:firstLineChars="200"/>
        <w:rPr>
          <w:rFonts w:ascii="仿宋_GB2312" w:hAnsi="宋体" w:eastAsia="仿宋_GB2312"/>
          <w:kern w:val="0"/>
          <w:sz w:val="32"/>
          <w:szCs w:val="32"/>
        </w:rPr>
      </w:pPr>
      <w:r>
        <w:rPr>
          <w:rFonts w:hint="eastAsia" w:ascii="仿宋_GB2312" w:hAnsi="宋体" w:eastAsia="仿宋_GB2312"/>
          <w:sz w:val="32"/>
          <w:szCs w:val="32"/>
        </w:rPr>
        <w:t>（1）公开时间：收到财政批复</w:t>
      </w:r>
      <w:r>
        <w:rPr>
          <w:rFonts w:hint="eastAsia" w:ascii="仿宋_GB2312" w:hAnsi="宋体" w:eastAsia="仿宋_GB2312"/>
          <w:kern w:val="0"/>
          <w:sz w:val="32"/>
          <w:szCs w:val="32"/>
        </w:rPr>
        <w:t>部门决算后20日内公开。</w:t>
      </w:r>
    </w:p>
    <w:p>
      <w:pPr>
        <w:shd w:val="clear" w:color="auto" w:fill="FFFFFF"/>
        <w:ind w:left="0" w:firstLine="640" w:firstLineChars="200"/>
        <w:rPr>
          <w:rFonts w:hint="eastAsia" w:ascii="仿宋_GB2312" w:hAnsi="宋体" w:eastAsia="仿宋_GB2312"/>
          <w:sz w:val="32"/>
          <w:szCs w:val="32"/>
        </w:rPr>
      </w:pPr>
      <w:r>
        <w:rPr>
          <w:rFonts w:hint="eastAsia" w:ascii="仿宋_GB2312" w:eastAsia="仿宋_GB2312"/>
          <w:sz w:val="32"/>
          <w:szCs w:val="32"/>
        </w:rPr>
        <w:t>（2）公开方式：</w:t>
      </w:r>
      <w:r>
        <w:rPr>
          <w:rFonts w:hint="eastAsia" w:ascii="仿宋_GB2312" w:hAnsi="宋体" w:eastAsia="仿宋_GB2312"/>
          <w:kern w:val="0"/>
          <w:sz w:val="32"/>
          <w:szCs w:val="32"/>
        </w:rPr>
        <w:t>区级政府</w:t>
      </w:r>
      <w:r>
        <w:rPr>
          <w:rFonts w:hint="eastAsia" w:ascii="仿宋_GB2312" w:hAnsi="宋体" w:eastAsia="仿宋_GB2312"/>
          <w:kern w:val="0"/>
          <w:sz w:val="32"/>
          <w:szCs w:val="32"/>
          <w:lang w:eastAsia="zh-CN"/>
        </w:rPr>
        <w:t>门户网</w:t>
      </w:r>
      <w:r>
        <w:rPr>
          <w:rFonts w:hint="eastAsia" w:ascii="仿宋_GB2312" w:hAnsi="宋体" w:eastAsia="仿宋_GB2312"/>
          <w:kern w:val="0"/>
          <w:sz w:val="32"/>
          <w:szCs w:val="32"/>
        </w:rPr>
        <w:t>平台和</w:t>
      </w:r>
      <w:r>
        <w:rPr>
          <w:rFonts w:hint="eastAsia" w:ascii="仿宋_GB2312" w:hAnsi="宋体" w:eastAsia="仿宋_GB2312"/>
          <w:kern w:val="0"/>
          <w:sz w:val="32"/>
          <w:szCs w:val="32"/>
          <w:lang w:eastAsia="zh-CN"/>
        </w:rPr>
        <w:t>省预决算公开统一平台</w:t>
      </w:r>
      <w:r>
        <w:rPr>
          <w:rFonts w:hint="eastAsia" w:ascii="仿宋_GB2312" w:hAnsi="宋体" w:eastAsia="仿宋_GB2312"/>
          <w:kern w:val="0"/>
          <w:sz w:val="32"/>
          <w:szCs w:val="32"/>
        </w:rPr>
        <w:t>网站专栏同时</w:t>
      </w:r>
      <w:r>
        <w:rPr>
          <w:rFonts w:hint="eastAsia" w:ascii="仿宋_GB2312" w:hAnsi="宋体" w:eastAsia="仿宋_GB2312"/>
          <w:sz w:val="32"/>
          <w:szCs w:val="32"/>
        </w:rPr>
        <w:t>公开</w:t>
      </w:r>
      <w:r>
        <w:rPr>
          <w:rFonts w:hint="eastAsia" w:ascii="仿宋_GB2312" w:hAnsi="宋体" w:eastAsia="仿宋_GB2312"/>
          <w:sz w:val="32"/>
          <w:szCs w:val="32"/>
          <w:lang w:eastAsia="zh-CN"/>
        </w:rPr>
        <w:t>。</w:t>
      </w:r>
    </w:p>
    <w:p>
      <w:pPr>
        <w:shd w:val="clear" w:color="auto" w:fill="FFFFFF"/>
        <w:ind w:left="0" w:firstLine="640" w:firstLineChars="200"/>
        <w:rPr>
          <w:rFonts w:ascii="仿宋_GB2312" w:hAnsi="宋体" w:eastAsia="仿宋_GB2312"/>
          <w:sz w:val="32"/>
          <w:szCs w:val="32"/>
        </w:rPr>
      </w:pPr>
      <w:r>
        <w:rPr>
          <w:rFonts w:hint="eastAsia" w:ascii="仿宋_GB2312" w:hAnsi="宋体" w:eastAsia="仿宋_GB2312"/>
          <w:sz w:val="32"/>
          <w:szCs w:val="32"/>
        </w:rPr>
        <w:t>（3）公开内容：主要是部门概况、部门决算表、部门决算情况说明、名词解释四个方面。其中部门概况包括：</w:t>
      </w:r>
      <w:r>
        <w:rPr>
          <w:rFonts w:hint="eastAsia" w:ascii="仿宋_GB2312" w:hAnsi="宋体" w:eastAsia="仿宋_GB2312"/>
          <w:kern w:val="0"/>
          <w:sz w:val="32"/>
          <w:szCs w:val="32"/>
        </w:rPr>
        <w:t>部门主要职能、部门决算单位构成情况、当年度部门主要工作完成情况。</w:t>
      </w:r>
      <w:r>
        <w:rPr>
          <w:rFonts w:hint="eastAsia" w:ascii="仿宋_GB2312" w:hAnsi="宋体" w:eastAsia="仿宋_GB2312"/>
          <w:sz w:val="32"/>
          <w:szCs w:val="32"/>
        </w:rPr>
        <w:t>部门决算表包括：部门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等12张表。部门决算情况说明应包括部门决算年度收支情况、财政拨款预算执行情况和“三公”经费、会议费、培训费、机关运行经费、政府采购支出决算情况及其说明；“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名词解释主要对部门公开决算表中的相关专业名称进行解释说明。</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（二）公开专项资金分配等信息（涉密项目除外）。</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（1）公开时间：根据资金分配流程及时公开。</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（2）公开方式：部门门户网站专栏公开。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3）公开内容：纳入区级政府部门专项资金管理清单的专项资金都应对外公开相关资金分配等信息。对于实行因素法分配的项目，主管部门应当及时公开分配因素、权重及分配结果；对于实行申报制的项目，主管部门应当及时公开项目申报指南、审核程序、分配结果等；其他项目也应该及时公开分配结果。</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（三）区级部门政府采购信息公开（涉密项目除外）。</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（1）公开时间：按采购进程及时公开。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（2）公开方式：部门门户网站专栏公开或相关政府采购网站公开。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3）公开内容：部门政府采购项目信息及法律、法规、规章规定应当公开的政府采购信息。按照《关于做好政府采购信息公开工作的通知》（苏财购〔2015〕51号）要求，做好采购项目信息及法律、法规、规章规定应当公开的政府采购信息公开。在采购活动开始前，在采购文件中公开项目采购预算，采购尚未确定项目预算金额的，可不公开具体预算金额；采购活动完成后，公开中标、成交结果和政府采购合同。</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（四）</w:t>
      </w:r>
      <w:r>
        <w:rPr>
          <w:rFonts w:hint="eastAsia" w:ascii="仿宋_GB2312" w:hAnsi="宋体" w:eastAsia="仿宋_GB2312"/>
          <w:kern w:val="0"/>
          <w:sz w:val="32"/>
          <w:szCs w:val="32"/>
        </w:rPr>
        <w:t>试点预算绩效信息公开。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（1）公开时间：公开部门预算时公开预算绩效目标，在12月底公开重点项目绩效评价结果。</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（2）公开方式：部门门户网站专栏公开。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3）公开内容：预算绩效目标公开应包括项目基本信息、项目绩效目标、项目绩效评价指标与标准值、项目绩效目标预期进度与资金支出计划等内容（即按绩效目标申报表表式内容公开）。绩效评价结果公开应包括项目基本情况、绩效评价组织实施情况、绩效评价结论、存在的问题和政策建议等（即按绩效评价报告撰写提纲格式内容公开）。</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（五）</w:t>
      </w:r>
      <w:r>
        <w:rPr>
          <w:rFonts w:hint="eastAsia" w:ascii="仿宋_GB2312" w:hAnsi="宋体" w:eastAsia="仿宋_GB2312"/>
          <w:kern w:val="0"/>
          <w:sz w:val="32"/>
          <w:szCs w:val="32"/>
        </w:rPr>
        <w:t>试点资产信息公开。（</w:t>
      </w:r>
      <w:r>
        <w:rPr>
          <w:rFonts w:hint="eastAsia" w:ascii="仿宋_GB2312" w:hAnsi="宋体" w:eastAsia="仿宋_GB2312"/>
          <w:sz w:val="32"/>
          <w:szCs w:val="32"/>
        </w:rPr>
        <w:t>公开主体：有车辆信息、20万元以上大型设备信息的部门及单位。</w:t>
      </w:r>
      <w:r>
        <w:rPr>
          <w:rFonts w:hint="eastAsia" w:ascii="仿宋_GB2312" w:hAnsi="宋体" w:eastAsia="仿宋_GB2312"/>
          <w:kern w:val="0"/>
          <w:sz w:val="32"/>
          <w:szCs w:val="32"/>
        </w:rPr>
        <w:t>）</w:t>
      </w:r>
    </w:p>
    <w:p>
      <w:pPr>
        <w:shd w:val="clear" w:color="auto" w:fill="FFFFFF"/>
        <w:ind w:left="0" w:firstLine="640" w:firstLineChars="200"/>
        <w:rPr>
          <w:rFonts w:ascii="仿宋_GB2312" w:eastAsia="仿宋_GB2312"/>
          <w:sz w:val="32"/>
          <w:szCs w:val="32"/>
        </w:rPr>
      </w:pPr>
      <w:r>
        <w:rPr>
          <w:rFonts w:hint="eastAsia" w:ascii="仿宋_GB2312" w:hAnsi="宋体" w:eastAsia="仿宋_GB2312"/>
          <w:sz w:val="32"/>
          <w:szCs w:val="32"/>
        </w:rPr>
        <w:t>（1）公开时间：在公开部门决算时通过填报本部门决算说明进行公开。</w:t>
      </w:r>
    </w:p>
    <w:p>
      <w:pPr>
        <w:shd w:val="clear" w:color="auto" w:fill="FFFFFF"/>
        <w:ind w:left="0" w:firstLine="640" w:firstLineChars="200"/>
        <w:rPr>
          <w:rFonts w:ascii="仿宋_GB2312" w:hAnsi="宋体" w:eastAsia="仿宋_GB2312"/>
          <w:sz w:val="32"/>
          <w:szCs w:val="32"/>
        </w:rPr>
      </w:pPr>
      <w:r>
        <w:rPr>
          <w:rFonts w:hint="eastAsia" w:ascii="仿宋_GB2312" w:hAnsi="宋体" w:eastAsia="仿宋_GB2312"/>
          <w:sz w:val="32"/>
          <w:szCs w:val="32"/>
        </w:rPr>
        <w:t>（2）公开方式：区级各部门门户网站专栏公开</w:t>
      </w:r>
    </w:p>
    <w:p>
      <w:pPr>
        <w:shd w:val="clear" w:color="auto" w:fill="FFFFFF"/>
        <w:ind w:left="0" w:firstLine="640" w:firstLineChars="200"/>
        <w:rPr>
          <w:rFonts w:ascii="仿宋_GB2312" w:hAnsi="宋体" w:eastAsia="仿宋_GB2312"/>
          <w:sz w:val="32"/>
          <w:szCs w:val="32"/>
        </w:rPr>
      </w:pPr>
      <w:r>
        <w:rPr>
          <w:rFonts w:hint="eastAsia" w:ascii="仿宋_GB2312" w:hAnsi="宋体" w:eastAsia="仿宋_GB2312"/>
          <w:sz w:val="32"/>
          <w:szCs w:val="32"/>
        </w:rPr>
        <w:t>（3）公开内容：车辆信息、20万元以上大型设备信息</w:t>
      </w:r>
    </w:p>
    <w:p>
      <w:pPr>
        <w:shd w:val="clear" w:color="auto" w:fill="FFFFFF"/>
        <w:ind w:left="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三、强化公开保障</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一）统一思想，加强组织领导。预决算公开是依法行政的有力保障，要充分认识预决算公开的重要意义。要加强组织领导，按照“方向明确、过程可控、结果可查、易于监督”的原则，严格划分责任分工，积极抓好工作落实。</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二）强化监督，严肃公开纪律。预决算公开是预算法等法律规定部门应当履行的法定义务，要依法及时公开相关预算信息。和单位要按时报送预决算公开完成情况，接受区财政局定期对预决算公开情况的检查监督，切实推动预决算公开依法有序进行。</w:t>
      </w:r>
    </w:p>
    <w:p>
      <w:pPr>
        <w:shd w:val="clear" w:color="auto" w:fill="FFFFFF"/>
        <w:ind w:left="0" w:firstLine="640" w:firstLineChars="200"/>
        <w:rPr>
          <w:rFonts w:ascii="仿宋_GB2312" w:eastAsia="仿宋_GB2312"/>
          <w:sz w:val="32"/>
          <w:szCs w:val="32"/>
        </w:rPr>
      </w:pPr>
      <w:r>
        <w:rPr>
          <w:rFonts w:hint="eastAsia" w:ascii="仿宋_GB2312" w:eastAsia="仿宋_GB2312"/>
          <w:sz w:val="32"/>
          <w:szCs w:val="32"/>
        </w:rPr>
        <w:t>（三）加强引导，做好舆论宣传。预决算公开社会关注度高，要加强社会反映评估和舆情引导，积极与新闻媒体沟通，加强正面宣传和舆论引导，营造良好的预算公开氛围。对预算公开中涉及的重大事项，要做好对社会公众的解释说明工作，解释内容要做到通俗易懂。</w:t>
      </w:r>
    </w:p>
    <w:p>
      <w:pPr>
        <w:pStyle w:val="5"/>
        <w:shd w:val="clear" w:color="auto" w:fill="FFFFFF"/>
        <w:spacing w:before="0" w:beforeAutospacing="0" w:after="0" w:afterAutospacing="0"/>
        <w:ind w:firstLine="616"/>
        <w:jc w:val="both"/>
        <w:rPr>
          <w:rFonts w:ascii="仿宋_GB2312" w:eastAsia="仿宋_GB2312" w:cs="Times New Roman"/>
          <w:kern w:val="2"/>
          <w:sz w:val="32"/>
          <w:szCs w:val="32"/>
        </w:rPr>
      </w:pPr>
    </w:p>
    <w:p>
      <w:pPr>
        <w:pStyle w:val="5"/>
        <w:shd w:val="clear" w:color="auto" w:fill="FFFFFF"/>
        <w:spacing w:before="0" w:beforeAutospacing="0" w:after="0" w:afterAutospacing="0"/>
        <w:ind w:firstLine="616"/>
        <w:jc w:val="both"/>
        <w:rPr>
          <w:rFonts w:ascii="仿宋_GB2312" w:eastAsia="仿宋_GB2312" w:cs="Times New Roman"/>
          <w:kern w:val="2"/>
          <w:sz w:val="32"/>
          <w:szCs w:val="32"/>
        </w:rPr>
      </w:pPr>
    </w:p>
    <w:sectPr>
      <w:headerReference r:id="rId3" w:type="default"/>
      <w:footerReference r:id="rId5" w:type="default"/>
      <w:headerReference r:id="rId4" w:type="even"/>
      <w:footerReference r:id="rId6" w:type="even"/>
      <w:pgSz w:w="11906" w:h="16838"/>
      <w:pgMar w:top="2098" w:right="1531" w:bottom="1985" w:left="1531"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华文彩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jc w:val="center"/>
      <w:rPr>
        <w:rFonts w:ascii="宋体"/>
        <w:sz w:val="28"/>
      </w:rPr>
    </w:pPr>
    <w:r>
      <w:rPr>
        <w:rFonts w:hint="eastAsia" w:ascii="宋体"/>
        <w:sz w:val="28"/>
      </w:rPr>
      <w:t>—</w:t>
    </w: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1</w:t>
    </w:r>
    <w:r>
      <w:rPr>
        <w:rFonts w:ascii="宋体"/>
        <w:sz w:val="28"/>
      </w:rPr>
      <w:fldChar w:fldCharType="end"/>
    </w:r>
    <w:r>
      <w:rPr>
        <w:rFonts w:hint="eastAsia" w:ascii="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66" w:firstLineChars="95"/>
      <w:rPr>
        <w:rStyle w:val="7"/>
        <w:sz w:val="28"/>
        <w:szCs w:val="28"/>
      </w:rPr>
    </w:pPr>
    <w:r>
      <w:rPr>
        <w:rStyle w:val="7"/>
        <w:sz w:val="28"/>
        <w:szCs w:val="28"/>
      </w:rPr>
      <w:t>—</w:t>
    </w: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8</w:t>
    </w:r>
    <w:r>
      <w:rPr>
        <w:rStyle w:val="7"/>
        <w:rFonts w:ascii="Times New Roman" w:hAnsi="Times New Roman"/>
        <w:sz w:val="28"/>
        <w:szCs w:val="28"/>
      </w:rPr>
      <w:fldChar w:fldCharType="end"/>
    </w:r>
    <w:r>
      <w:rPr>
        <w:rStyle w:val="7"/>
        <w:rFonts w:ascii="Times New Roman" w:hAnsi="Times New Roman"/>
        <w:sz w:val="28"/>
        <w:szCs w:val="28"/>
      </w:rPr>
      <w:t xml:space="preserve"> </w:t>
    </w:r>
    <w:r>
      <w:rPr>
        <w:rStyle w:val="7"/>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B5"/>
    <w:rsid w:val="00007D8D"/>
    <w:rsid w:val="0001081E"/>
    <w:rsid w:val="00031FBB"/>
    <w:rsid w:val="000435CF"/>
    <w:rsid w:val="0004646D"/>
    <w:rsid w:val="000571A3"/>
    <w:rsid w:val="00064256"/>
    <w:rsid w:val="00064A82"/>
    <w:rsid w:val="00072246"/>
    <w:rsid w:val="00076628"/>
    <w:rsid w:val="00084932"/>
    <w:rsid w:val="00086875"/>
    <w:rsid w:val="0009027E"/>
    <w:rsid w:val="000A383C"/>
    <w:rsid w:val="000C44EE"/>
    <w:rsid w:val="000D0641"/>
    <w:rsid w:val="000D0AD8"/>
    <w:rsid w:val="000F3576"/>
    <w:rsid w:val="001057B5"/>
    <w:rsid w:val="00116D19"/>
    <w:rsid w:val="001360FC"/>
    <w:rsid w:val="0016561E"/>
    <w:rsid w:val="001A5907"/>
    <w:rsid w:val="001B1C4F"/>
    <w:rsid w:val="001C0DF9"/>
    <w:rsid w:val="002825F1"/>
    <w:rsid w:val="002838FD"/>
    <w:rsid w:val="002A6A9F"/>
    <w:rsid w:val="002C0ED1"/>
    <w:rsid w:val="002C5D52"/>
    <w:rsid w:val="002D675A"/>
    <w:rsid w:val="002D7428"/>
    <w:rsid w:val="002E104F"/>
    <w:rsid w:val="002E1C2B"/>
    <w:rsid w:val="002E3EA9"/>
    <w:rsid w:val="00334A56"/>
    <w:rsid w:val="00360E15"/>
    <w:rsid w:val="003677D0"/>
    <w:rsid w:val="00380BD3"/>
    <w:rsid w:val="003A6F41"/>
    <w:rsid w:val="003D3088"/>
    <w:rsid w:val="003F1F28"/>
    <w:rsid w:val="003F6CFD"/>
    <w:rsid w:val="003F7874"/>
    <w:rsid w:val="00422871"/>
    <w:rsid w:val="004254BE"/>
    <w:rsid w:val="00433845"/>
    <w:rsid w:val="00452E4A"/>
    <w:rsid w:val="00470634"/>
    <w:rsid w:val="0048457C"/>
    <w:rsid w:val="004B2C81"/>
    <w:rsid w:val="004C583F"/>
    <w:rsid w:val="004E0801"/>
    <w:rsid w:val="004E5230"/>
    <w:rsid w:val="005160C6"/>
    <w:rsid w:val="005A28A7"/>
    <w:rsid w:val="005A3FAF"/>
    <w:rsid w:val="005B77D3"/>
    <w:rsid w:val="005C13CD"/>
    <w:rsid w:val="005C7D09"/>
    <w:rsid w:val="005E5796"/>
    <w:rsid w:val="006017A3"/>
    <w:rsid w:val="0067566C"/>
    <w:rsid w:val="00696C3C"/>
    <w:rsid w:val="006C51E6"/>
    <w:rsid w:val="006D2813"/>
    <w:rsid w:val="006D7736"/>
    <w:rsid w:val="007412D0"/>
    <w:rsid w:val="00741AF3"/>
    <w:rsid w:val="00742391"/>
    <w:rsid w:val="007E7A44"/>
    <w:rsid w:val="00823C52"/>
    <w:rsid w:val="0083561E"/>
    <w:rsid w:val="00884A14"/>
    <w:rsid w:val="008B2F0D"/>
    <w:rsid w:val="00924376"/>
    <w:rsid w:val="00942565"/>
    <w:rsid w:val="009431FE"/>
    <w:rsid w:val="00951E8F"/>
    <w:rsid w:val="00964FA7"/>
    <w:rsid w:val="00977DBB"/>
    <w:rsid w:val="00981EFD"/>
    <w:rsid w:val="00982FD9"/>
    <w:rsid w:val="00984294"/>
    <w:rsid w:val="00997B45"/>
    <w:rsid w:val="009B4AAB"/>
    <w:rsid w:val="00A630E5"/>
    <w:rsid w:val="00A774FC"/>
    <w:rsid w:val="00AA347A"/>
    <w:rsid w:val="00AC7C30"/>
    <w:rsid w:val="00AE0267"/>
    <w:rsid w:val="00AE1629"/>
    <w:rsid w:val="00AE2D36"/>
    <w:rsid w:val="00AE3D21"/>
    <w:rsid w:val="00AF6AC9"/>
    <w:rsid w:val="00B0064B"/>
    <w:rsid w:val="00B25CE5"/>
    <w:rsid w:val="00B618C0"/>
    <w:rsid w:val="00B67239"/>
    <w:rsid w:val="00B742BD"/>
    <w:rsid w:val="00B754EC"/>
    <w:rsid w:val="00BA57AE"/>
    <w:rsid w:val="00C01088"/>
    <w:rsid w:val="00C011B3"/>
    <w:rsid w:val="00C073F5"/>
    <w:rsid w:val="00C10ECC"/>
    <w:rsid w:val="00C243DE"/>
    <w:rsid w:val="00C32B9C"/>
    <w:rsid w:val="00C95107"/>
    <w:rsid w:val="00C9706C"/>
    <w:rsid w:val="00CD1D9B"/>
    <w:rsid w:val="00CD5B27"/>
    <w:rsid w:val="00CE1F18"/>
    <w:rsid w:val="00CF1EB5"/>
    <w:rsid w:val="00D17519"/>
    <w:rsid w:val="00D17D2A"/>
    <w:rsid w:val="00D62C2E"/>
    <w:rsid w:val="00D75A28"/>
    <w:rsid w:val="00D81FE2"/>
    <w:rsid w:val="00DE7668"/>
    <w:rsid w:val="00E439DF"/>
    <w:rsid w:val="00E6241E"/>
    <w:rsid w:val="00E70D24"/>
    <w:rsid w:val="00E838FA"/>
    <w:rsid w:val="00E96146"/>
    <w:rsid w:val="00EA51E5"/>
    <w:rsid w:val="00EB1C00"/>
    <w:rsid w:val="00ED26C2"/>
    <w:rsid w:val="00F63BD9"/>
    <w:rsid w:val="00F70FCD"/>
    <w:rsid w:val="00F7698E"/>
    <w:rsid w:val="00F923DD"/>
    <w:rsid w:val="00FD16CD"/>
    <w:rsid w:val="00FF55FC"/>
    <w:rsid w:val="078A105A"/>
    <w:rsid w:val="4C3673C6"/>
    <w:rsid w:val="644429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72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customStyle="1" w:styleId="9">
    <w:name w:val="页脚 Char"/>
    <w:basedOn w:val="6"/>
    <w:link w:val="3"/>
    <w:locked/>
    <w:uiPriority w:val="99"/>
    <w:rPr>
      <w:rFonts w:ascii="Calibri" w:hAnsi="Calibri" w:eastAsia="宋体" w:cs="Times New Roman"/>
      <w:kern w:val="0"/>
      <w:sz w:val="18"/>
    </w:rPr>
  </w:style>
  <w:style w:type="character" w:customStyle="1" w:styleId="10">
    <w:name w:val="页眉 Char"/>
    <w:basedOn w:val="6"/>
    <w:link w:val="4"/>
    <w:qFormat/>
    <w:locked/>
    <w:uiPriority w:val="99"/>
    <w:rPr>
      <w:rFonts w:ascii="Calibri" w:hAnsi="Calibri" w:eastAsia="宋体" w:cs="Times New Roman"/>
      <w:sz w:val="18"/>
    </w:rPr>
  </w:style>
  <w:style w:type="character" w:customStyle="1" w:styleId="11">
    <w:name w:val="批注框文本 Char"/>
    <w:basedOn w:val="6"/>
    <w:link w:val="2"/>
    <w:semiHidden/>
    <w:locked/>
    <w:uiPriority w:val="99"/>
    <w:rPr>
      <w:rFonts w:ascii="Calibri" w:hAnsi="Calibri" w:eastAsia="宋体" w:cs="Times New Roman"/>
      <w:kern w:val="2"/>
      <w:sz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405</Words>
  <Characters>2312</Characters>
  <Lines>19</Lines>
  <Paragraphs>5</Paragraphs>
  <ScaleCrop>false</ScaleCrop>
  <LinksUpToDate>false</LinksUpToDate>
  <CharactersWithSpaces>2712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2017-02-09T05:11:00Z</dcterms:created>
  <dc:creator>于江华(拟稿)</dc:creator>
  <cp:lastModifiedBy>Administrator</cp:lastModifiedBy>
  <cp:lastPrinted>2018-01-30T03:17:21Z</cp:lastPrinted>
  <dcterms:modified xsi:type="dcterms:W3CDTF">2018-01-30T03:20:30Z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