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A3BC6">
      <w:pPr>
        <w:jc w:val="center"/>
        <w:rPr>
          <w:rFonts w:ascii="Times New Roman" w:hAnsi="Times New Roman" w:eastAsia="方正小标宋_GBK"/>
          <w:b/>
          <w:sz w:val="52"/>
          <w:szCs w:val="52"/>
        </w:rPr>
      </w:pPr>
    </w:p>
    <w:p w14:paraId="40E9D39B">
      <w:pPr>
        <w:jc w:val="center"/>
        <w:rPr>
          <w:rFonts w:ascii="Times New Roman" w:hAnsi="Times New Roman" w:eastAsia="方正小标宋_GBK"/>
          <w:sz w:val="52"/>
          <w:szCs w:val="52"/>
        </w:rPr>
      </w:pPr>
      <w:r>
        <w:rPr>
          <w:rFonts w:ascii="Times New Roman" w:hAnsi="Times New Roman" w:eastAsia="方正小标宋_GBK"/>
          <w:sz w:val="52"/>
          <w:szCs w:val="52"/>
        </w:rPr>
        <w:t>江苏省固体（危险）废物</w:t>
      </w:r>
    </w:p>
    <w:p w14:paraId="20A923F2">
      <w:pPr>
        <w:jc w:val="center"/>
        <w:rPr>
          <w:rFonts w:ascii="Times New Roman" w:hAnsi="Times New Roman" w:eastAsia="方正小标宋_GBK"/>
          <w:sz w:val="52"/>
          <w:szCs w:val="52"/>
        </w:rPr>
      </w:pPr>
      <w:r>
        <w:rPr>
          <w:rFonts w:ascii="Times New Roman" w:hAnsi="Times New Roman" w:eastAsia="方正小标宋_GBK"/>
          <w:sz w:val="52"/>
          <w:szCs w:val="52"/>
        </w:rPr>
        <w:t>跨省</w:t>
      </w:r>
      <w:r>
        <w:rPr>
          <w:rFonts w:hint="eastAsia" w:ascii="Times New Roman" w:hAnsi="Times New Roman" w:eastAsia="方正小标宋_GBK"/>
          <w:sz w:val="52"/>
          <w:szCs w:val="52"/>
        </w:rPr>
        <w:t>（市）</w:t>
      </w:r>
      <w:r>
        <w:rPr>
          <w:rFonts w:ascii="Times New Roman" w:hAnsi="Times New Roman" w:eastAsia="方正小标宋_GBK"/>
          <w:sz w:val="52"/>
          <w:szCs w:val="52"/>
        </w:rPr>
        <w:t>转移实施方案</w:t>
      </w:r>
    </w:p>
    <w:p w14:paraId="17A7FC93">
      <w:pPr>
        <w:jc w:val="center"/>
        <w:rPr>
          <w:rFonts w:ascii="Times New Roman" w:hAnsi="Times New Roman"/>
          <w:sz w:val="52"/>
        </w:rPr>
      </w:pPr>
    </w:p>
    <w:p w14:paraId="69381BA4">
      <w:pPr>
        <w:jc w:val="center"/>
        <w:rPr>
          <w:rFonts w:ascii="Times New Roman" w:hAnsi="Times New Roman"/>
          <w:sz w:val="52"/>
        </w:rPr>
      </w:pPr>
    </w:p>
    <w:p w14:paraId="01D00BED">
      <w:pPr>
        <w:jc w:val="center"/>
        <w:rPr>
          <w:rFonts w:ascii="Times New Roman" w:hAnsi="Times New Roman"/>
        </w:rPr>
      </w:pPr>
    </w:p>
    <w:p w14:paraId="13C8F4F3">
      <w:pPr>
        <w:rPr>
          <w:rFonts w:ascii="Times New Roman" w:hAnsi="Times New Roman"/>
        </w:rPr>
      </w:pPr>
    </w:p>
    <w:p w14:paraId="2A31ED54">
      <w:pPr>
        <w:rPr>
          <w:rFonts w:ascii="Times New Roman" w:hAnsi="Times New Roman"/>
        </w:rPr>
      </w:pPr>
    </w:p>
    <w:p w14:paraId="230CCA59">
      <w:pPr>
        <w:rPr>
          <w:rFonts w:ascii="Times New Roman" w:hAnsi="Times New Roman"/>
        </w:rPr>
      </w:pPr>
    </w:p>
    <w:p w14:paraId="3D2F6262">
      <w:pPr>
        <w:rPr>
          <w:rFonts w:ascii="Times New Roman" w:hAnsi="Times New Roman"/>
        </w:rPr>
      </w:pPr>
    </w:p>
    <w:p w14:paraId="0C513C9C">
      <w:pPr>
        <w:rPr>
          <w:rFonts w:ascii="Times New Roman" w:hAnsi="Times New Roman"/>
        </w:rPr>
      </w:pPr>
    </w:p>
    <w:p w14:paraId="46C36774">
      <w:pPr>
        <w:rPr>
          <w:rFonts w:ascii="Times New Roman" w:hAnsi="Times New Roman"/>
        </w:rPr>
      </w:pPr>
    </w:p>
    <w:p w14:paraId="2A917ECA">
      <w:pPr>
        <w:rPr>
          <w:rFonts w:ascii="Times New Roman" w:hAnsi="Times New Roman"/>
        </w:rPr>
      </w:pPr>
    </w:p>
    <w:p w14:paraId="70CD19EE">
      <w:pPr>
        <w:spacing w:line="360" w:lineRule="auto"/>
        <w:rPr>
          <w:rFonts w:ascii="Times New Roman" w:hAnsi="Times New Roman"/>
          <w:b/>
          <w:sz w:val="32"/>
        </w:rPr>
      </w:pPr>
      <w:r>
        <w:rPr>
          <w:rFonts w:ascii="Times New Roman" w:hAnsi="宋体"/>
          <w:b/>
          <w:sz w:val="32"/>
        </w:rPr>
        <w:t>申请单位</w:t>
      </w:r>
      <w:r>
        <w:rPr>
          <w:rFonts w:hint="eastAsia" w:ascii="Times New Roman" w:hAnsi="宋体"/>
          <w:b/>
          <w:sz w:val="32"/>
          <w:lang w:eastAsia="zh-CN"/>
        </w:rPr>
        <w:t>：</w:t>
      </w:r>
      <w:r>
        <w:rPr>
          <w:rFonts w:hint="eastAsia" w:ascii="Times New Roman" w:hAnsi="Times New Roman" w:eastAsia="宋体" w:cs="Times New Roman"/>
          <w:b/>
          <w:kern w:val="2"/>
          <w:sz w:val="32"/>
          <w:szCs w:val="22"/>
          <w:u w:val="single"/>
          <w:lang w:val="en-US" w:eastAsia="zh-CN" w:bidi="ar-SA"/>
        </w:rPr>
        <w:t xml:space="preserve"> </w:t>
      </w:r>
      <w:r>
        <w:rPr>
          <w:rFonts w:hint="eastAsia" w:ascii="Times New Roman" w:hAnsi="Times New Roman" w:cs="Times New Roman"/>
          <w:b/>
          <w:kern w:val="2"/>
          <w:sz w:val="32"/>
          <w:szCs w:val="22"/>
          <w:u w:val="single"/>
          <w:lang w:val="en-US" w:eastAsia="zh-CN" w:bidi="ar-SA"/>
        </w:rPr>
        <w:t xml:space="preserve">台州市黄岩青禾固体废物处理有限公司 </w:t>
      </w:r>
      <w:r>
        <w:rPr>
          <w:rFonts w:ascii="Times New Roman" w:hAnsi="宋体"/>
          <w:b/>
          <w:sz w:val="32"/>
        </w:rPr>
        <w:t>（公章）</w:t>
      </w:r>
    </w:p>
    <w:p w14:paraId="1493C553">
      <w:pPr>
        <w:tabs>
          <w:tab w:val="left" w:pos="5940"/>
        </w:tabs>
        <w:snapToGrid w:val="0"/>
        <w:rPr>
          <w:rFonts w:ascii="Times New Roman" w:hAnsi="Times New Roman"/>
          <w:b/>
          <w:sz w:val="32"/>
        </w:rPr>
      </w:pPr>
    </w:p>
    <w:p w14:paraId="259C0A3A">
      <w:pPr>
        <w:tabs>
          <w:tab w:val="left" w:pos="5940"/>
        </w:tabs>
        <w:snapToGrid w:val="0"/>
        <w:rPr>
          <w:rFonts w:ascii="Times New Roman" w:hAnsi="Times New Roman"/>
          <w:b/>
          <w:sz w:val="32"/>
        </w:rPr>
      </w:pPr>
    </w:p>
    <w:p w14:paraId="7E315BCC">
      <w:pPr>
        <w:tabs>
          <w:tab w:val="left" w:pos="5940"/>
        </w:tabs>
        <w:snapToGrid w:val="0"/>
        <w:rPr>
          <w:rFonts w:ascii="Times New Roman" w:hAnsi="Times New Roman"/>
          <w:b/>
          <w:sz w:val="32"/>
        </w:rPr>
      </w:pPr>
      <w:r>
        <w:rPr>
          <w:rFonts w:ascii="Times New Roman" w:hAnsi="宋体"/>
          <w:b/>
          <w:sz w:val="32"/>
        </w:rPr>
        <w:t>填报日期：</w:t>
      </w:r>
      <w:r>
        <w:rPr>
          <w:rFonts w:ascii="Times New Roman" w:hAnsi="Times New Roman"/>
          <w:b/>
          <w:sz w:val="32"/>
          <w:u w:val="single"/>
        </w:rPr>
        <w:t xml:space="preserve">    </w:t>
      </w:r>
      <w:r>
        <w:rPr>
          <w:rFonts w:hint="eastAsia" w:ascii="Times New Roman" w:hAnsi="Times New Roman"/>
          <w:b/>
          <w:sz w:val="32"/>
          <w:u w:val="single"/>
          <w:lang w:val="en-US" w:eastAsia="zh-CN"/>
        </w:rPr>
        <w:t xml:space="preserve">     2025年12月1日            </w:t>
      </w:r>
      <w:r>
        <w:rPr>
          <w:rFonts w:ascii="Times New Roman" w:hAnsi="Times New Roman"/>
          <w:b/>
          <w:sz w:val="32"/>
          <w:u w:val="single"/>
        </w:rPr>
        <w:t xml:space="preserve">                    </w:t>
      </w:r>
      <w:r>
        <w:rPr>
          <w:rFonts w:ascii="Times New Roman" w:hAnsi="Times New Roman"/>
          <w:b/>
          <w:sz w:val="32"/>
        </w:rPr>
        <w:t xml:space="preserve">     </w:t>
      </w:r>
    </w:p>
    <w:p w14:paraId="3F2E3D94">
      <w:pPr>
        <w:tabs>
          <w:tab w:val="left" w:pos="5940"/>
        </w:tabs>
        <w:snapToGrid w:val="0"/>
        <w:spacing w:line="400" w:lineRule="exact"/>
        <w:rPr>
          <w:rFonts w:ascii="Times New Roman" w:hAnsi="Times New Roman"/>
          <w:b/>
          <w:sz w:val="24"/>
        </w:rPr>
      </w:pPr>
    </w:p>
    <w:p w14:paraId="1755B3DB">
      <w:pPr>
        <w:tabs>
          <w:tab w:val="left" w:pos="5940"/>
        </w:tabs>
        <w:snapToGrid w:val="0"/>
        <w:spacing w:line="400" w:lineRule="exact"/>
        <w:rPr>
          <w:rFonts w:ascii="Times New Roman" w:hAnsi="Times New Roman" w:eastAsia="楷体_GB2312"/>
          <w:spacing w:val="20"/>
          <w:sz w:val="30"/>
        </w:rPr>
      </w:pPr>
    </w:p>
    <w:p w14:paraId="3B79D869">
      <w:pPr>
        <w:tabs>
          <w:tab w:val="left" w:pos="5940"/>
        </w:tabs>
        <w:snapToGrid w:val="0"/>
        <w:spacing w:line="400" w:lineRule="exact"/>
        <w:rPr>
          <w:rFonts w:ascii="Times New Roman" w:hAnsi="Times New Roman"/>
          <w:b/>
          <w:sz w:val="24"/>
        </w:rPr>
      </w:pPr>
    </w:p>
    <w:p w14:paraId="7CC3B021">
      <w:pPr>
        <w:tabs>
          <w:tab w:val="left" w:pos="5940"/>
        </w:tabs>
        <w:snapToGrid w:val="0"/>
        <w:spacing w:line="400" w:lineRule="exact"/>
        <w:rPr>
          <w:rFonts w:ascii="Times New Roman" w:hAnsi="Times New Roman"/>
          <w:b/>
          <w:sz w:val="24"/>
        </w:rPr>
      </w:pPr>
    </w:p>
    <w:p w14:paraId="670CC0D3">
      <w:pPr>
        <w:tabs>
          <w:tab w:val="left" w:pos="5940"/>
        </w:tabs>
        <w:snapToGrid w:val="0"/>
        <w:spacing w:line="400" w:lineRule="exact"/>
        <w:rPr>
          <w:rFonts w:ascii="Times New Roman" w:hAnsi="Times New Roman"/>
          <w:b/>
          <w:sz w:val="24"/>
        </w:rPr>
      </w:pPr>
    </w:p>
    <w:p w14:paraId="059B2886">
      <w:pPr>
        <w:tabs>
          <w:tab w:val="left" w:pos="5940"/>
        </w:tabs>
        <w:snapToGrid w:val="0"/>
        <w:spacing w:line="400" w:lineRule="exact"/>
        <w:jc w:val="center"/>
        <w:rPr>
          <w:rFonts w:ascii="Times New Roman" w:hAnsi="Times New Roman"/>
          <w:sz w:val="24"/>
        </w:rPr>
        <w:sectPr>
          <w:pgSz w:w="11906" w:h="16838"/>
          <w:pgMar w:top="1440" w:right="1800" w:bottom="1440" w:left="1800" w:header="851" w:footer="992" w:gutter="0"/>
          <w:pgNumType w:start="1"/>
          <w:cols w:space="425" w:num="1"/>
          <w:docGrid w:type="lines" w:linePitch="286" w:charSpace="0"/>
        </w:sectPr>
      </w:pPr>
      <w:r>
        <w:rPr>
          <w:rFonts w:ascii="Times New Roman" w:hAnsi="宋体"/>
          <w:b/>
          <w:sz w:val="24"/>
        </w:rPr>
        <w:t>江苏省环境保护厅制</w:t>
      </w:r>
    </w:p>
    <w:p w14:paraId="0BAC30EC">
      <w:pPr>
        <w:ind w:right="-758" w:rightChars="-361"/>
        <w:jc w:val="center"/>
        <w:rPr>
          <w:rFonts w:ascii="Times New Roman" w:hAnsi="Times New Roman" w:eastAsia="方正小标宋_GBK"/>
          <w:sz w:val="44"/>
          <w:szCs w:val="44"/>
        </w:rPr>
      </w:pPr>
      <w:r>
        <w:rPr>
          <w:rFonts w:ascii="Times New Roman" w:hAnsi="Times New Roman" w:eastAsia="方正小标宋_GBK"/>
          <w:sz w:val="44"/>
          <w:szCs w:val="44"/>
        </w:rPr>
        <w:t>申请者声明</w:t>
      </w:r>
    </w:p>
    <w:p w14:paraId="678B9548">
      <w:pPr>
        <w:ind w:right="-758" w:rightChars="-361"/>
        <w:jc w:val="center"/>
        <w:rPr>
          <w:rFonts w:ascii="Times New Roman" w:hAnsi="Times New Roman" w:eastAsia="方正小标宋_GBK"/>
          <w:b/>
          <w:sz w:val="44"/>
          <w:szCs w:val="44"/>
        </w:rPr>
      </w:pPr>
    </w:p>
    <w:p w14:paraId="39D146CB">
      <w:pPr>
        <w:spacing w:line="360" w:lineRule="auto"/>
        <w:ind w:left="-210" w:leftChars="-100" w:right="-210" w:rightChars="-100" w:firstLine="640" w:firstLineChars="200"/>
        <w:rPr>
          <w:rFonts w:ascii="Times New Roman" w:hAnsi="Times New Roman" w:eastAsia="方正仿宋_GBK"/>
          <w:sz w:val="32"/>
          <w:szCs w:val="32"/>
        </w:rPr>
      </w:pPr>
      <w:r>
        <w:rPr>
          <w:rFonts w:ascii="Times New Roman" w:hAnsi="方正仿宋_GBK" w:eastAsia="方正仿宋_GBK"/>
          <w:sz w:val="32"/>
          <w:szCs w:val="32"/>
        </w:rPr>
        <w:t>我代表申请单位郑重承诺：本实施方案所填资料是完整的和真实的。转移的危险废物名称、</w:t>
      </w:r>
      <w:r>
        <w:rPr>
          <w:rFonts w:hint="eastAsia" w:ascii="Times New Roman" w:hAnsi="方正仿宋_GBK" w:eastAsia="方正仿宋_GBK"/>
          <w:sz w:val="32"/>
          <w:szCs w:val="32"/>
        </w:rPr>
        <w:t>类别、</w:t>
      </w:r>
      <w:r>
        <w:rPr>
          <w:rFonts w:ascii="Times New Roman" w:hAnsi="方正仿宋_GBK" w:eastAsia="方正仿宋_GBK"/>
          <w:sz w:val="32"/>
          <w:szCs w:val="32"/>
        </w:rPr>
        <w:t>代码、数量与实际相符</w:t>
      </w:r>
      <w:r>
        <w:rPr>
          <w:rFonts w:hint="eastAsia" w:ascii="Times New Roman" w:hAnsi="方正仿宋_GBK" w:eastAsia="方正仿宋_GBK"/>
          <w:sz w:val="32"/>
          <w:szCs w:val="32"/>
        </w:rPr>
        <w:t>。危险废物接受单位具备相应的处置利用能力</w:t>
      </w:r>
      <w:r>
        <w:rPr>
          <w:rFonts w:ascii="Times New Roman" w:hAnsi="方正仿宋_GBK" w:eastAsia="方正仿宋_GBK"/>
          <w:sz w:val="32"/>
          <w:szCs w:val="32"/>
        </w:rPr>
        <w:t>和污染防治</w:t>
      </w:r>
      <w:r>
        <w:rPr>
          <w:rFonts w:hint="eastAsia" w:ascii="Times New Roman" w:hAnsi="方正仿宋_GBK" w:eastAsia="方正仿宋_GBK"/>
          <w:sz w:val="32"/>
          <w:szCs w:val="32"/>
        </w:rPr>
        <w:t>措施。</w:t>
      </w:r>
      <w:r>
        <w:rPr>
          <w:rFonts w:ascii="Times New Roman" w:hAnsi="方正仿宋_GBK" w:eastAsia="方正仿宋_GBK"/>
          <w:sz w:val="32"/>
          <w:szCs w:val="32"/>
        </w:rPr>
        <w:t>委托有资质单位进行运输并按照制定的运输路线运输，保证转移的废物均到达接收单位进行安全处置处理，对转移过程中可能产生的环境风险提出合理的控制措施，实行跨省</w:t>
      </w:r>
      <w:r>
        <w:rPr>
          <w:rFonts w:hint="eastAsia" w:ascii="Times New Roman" w:hAnsi="方正仿宋_GBK" w:eastAsia="方正仿宋_GBK"/>
          <w:sz w:val="32"/>
          <w:szCs w:val="32"/>
        </w:rPr>
        <w:t>（市）</w:t>
      </w:r>
      <w:r>
        <w:rPr>
          <w:rFonts w:ascii="Times New Roman" w:hAnsi="方正仿宋_GBK" w:eastAsia="方正仿宋_GBK"/>
          <w:sz w:val="32"/>
          <w:szCs w:val="32"/>
        </w:rPr>
        <w:t>转移网上报告，承担转移全过程监控责任。</w:t>
      </w:r>
    </w:p>
    <w:p w14:paraId="2E30DB78">
      <w:pPr>
        <w:ind w:left="-210" w:leftChars="-100" w:right="-210" w:rightChars="-100" w:firstLine="1264"/>
        <w:rPr>
          <w:rFonts w:ascii="Times New Roman" w:hAnsi="Times New Roman" w:eastAsia="方正仿宋_GBK"/>
          <w:sz w:val="36"/>
          <w:szCs w:val="36"/>
        </w:rPr>
      </w:pPr>
      <w:r>
        <w:rPr>
          <w:rFonts w:ascii="Times New Roman" w:hAnsi="Times New Roman" w:eastAsia="方正仿宋_GBK"/>
          <w:sz w:val="36"/>
          <w:szCs w:val="36"/>
        </w:rPr>
        <w:t xml:space="preserve">                                </w:t>
      </w:r>
    </w:p>
    <w:p w14:paraId="6C9C7E43">
      <w:pPr>
        <w:ind w:left="-210" w:leftChars="-100" w:right="-210" w:rightChars="-100" w:firstLine="1264"/>
        <w:rPr>
          <w:rFonts w:ascii="Times New Roman" w:hAnsi="Times New Roman" w:eastAsia="方正仿宋_GBK"/>
          <w:sz w:val="36"/>
          <w:szCs w:val="36"/>
        </w:rPr>
      </w:pPr>
    </w:p>
    <w:p w14:paraId="2156A8A4">
      <w:pPr>
        <w:ind w:left="-210" w:leftChars="-100" w:right="-210" w:rightChars="-100" w:firstLine="1264"/>
        <w:rPr>
          <w:rFonts w:ascii="Times New Roman" w:hAnsi="Times New Roman" w:eastAsia="方正仿宋_GBK"/>
          <w:sz w:val="36"/>
          <w:szCs w:val="36"/>
        </w:rPr>
      </w:pPr>
    </w:p>
    <w:p w14:paraId="5C1AEE2A">
      <w:pPr>
        <w:ind w:left="-210" w:leftChars="-100" w:right="-210" w:rightChars="-100" w:firstLine="1264"/>
        <w:rPr>
          <w:rFonts w:ascii="Times New Roman" w:hAnsi="Times New Roman" w:eastAsia="方正仿宋_GBK"/>
          <w:sz w:val="36"/>
          <w:szCs w:val="36"/>
        </w:rPr>
      </w:pPr>
      <w:r>
        <w:rPr>
          <w:rFonts w:ascii="Times New Roman" w:hAnsi="Times New Roman" w:eastAsia="方正仿宋_GBK"/>
          <w:sz w:val="32"/>
          <w:szCs w:val="32"/>
        </w:rPr>
        <w:t xml:space="preserve">     </w:t>
      </w:r>
    </w:p>
    <w:p w14:paraId="71F44E32">
      <w:pPr>
        <w:ind w:left="-210" w:leftChars="-100" w:right="-210" w:rightChars="-100" w:firstLine="1264"/>
        <w:jc w:val="center"/>
        <w:rPr>
          <w:rFonts w:ascii="Times New Roman" w:hAnsi="Times New Roman" w:eastAsia="方正仿宋_GBK"/>
          <w:sz w:val="32"/>
          <w:szCs w:val="32"/>
        </w:rPr>
      </w:pPr>
      <w:r>
        <w:rPr>
          <w:rFonts w:ascii="Times New Roman" w:hAnsi="Times New Roman" w:eastAsia="方正仿宋_GBK"/>
          <w:sz w:val="32"/>
          <w:szCs w:val="32"/>
        </w:rPr>
        <w:t xml:space="preserve">      </w:t>
      </w:r>
      <w:r>
        <w:rPr>
          <w:rFonts w:ascii="Times New Roman" w:hAnsi="方正仿宋_GBK" w:eastAsia="方正仿宋_GBK"/>
          <w:sz w:val="32"/>
          <w:szCs w:val="32"/>
        </w:rPr>
        <w:t>法人代表签字：</w:t>
      </w:r>
    </w:p>
    <w:p w14:paraId="0570E4E2">
      <w:pPr>
        <w:ind w:left="-210" w:leftChars="-100" w:right="-210" w:rightChars="-100" w:firstLine="1264"/>
        <w:jc w:val="center"/>
        <w:rPr>
          <w:rFonts w:ascii="Times New Roman" w:hAnsi="Times New Roman"/>
          <w:sz w:val="36"/>
          <w:szCs w:val="36"/>
        </w:rPr>
      </w:pPr>
      <w:r>
        <w:rPr>
          <w:rFonts w:ascii="Times New Roman" w:hAnsi="Times New Roman"/>
          <w:sz w:val="36"/>
          <w:szCs w:val="36"/>
        </w:rPr>
        <w:t xml:space="preserve">                 </w:t>
      </w:r>
      <w:r>
        <w:rPr>
          <w:rFonts w:hint="eastAsia" w:ascii="Times New Roman" w:hAnsi="Times New Roman"/>
          <w:sz w:val="36"/>
          <w:szCs w:val="36"/>
          <w:lang w:val="en-US" w:eastAsia="zh-CN"/>
        </w:rPr>
        <w:t xml:space="preserve">  </w:t>
      </w:r>
      <w:r>
        <w:rPr>
          <w:rFonts w:ascii="Times New Roman" w:hAnsi="方正仿宋_GBK" w:eastAsia="方正仿宋_GBK"/>
          <w:sz w:val="32"/>
          <w:szCs w:val="32"/>
        </w:rPr>
        <w:t>年</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 xml:space="preserve"> </w:t>
      </w:r>
      <w:r>
        <w:rPr>
          <w:rFonts w:ascii="Times New Roman" w:hAnsi="方正仿宋_GBK" w:eastAsia="方正仿宋_GBK"/>
          <w:sz w:val="32"/>
          <w:szCs w:val="32"/>
        </w:rPr>
        <w:t>月</w:t>
      </w:r>
      <w:r>
        <w:rPr>
          <w:rFonts w:hint="eastAsia" w:ascii="Times New Roman" w:hAnsi="Times New Roman" w:eastAsia="方正仿宋_GBK"/>
          <w:sz w:val="32"/>
          <w:szCs w:val="32"/>
          <w:lang w:val="en-US" w:eastAsia="zh-CN"/>
        </w:rPr>
        <w:t xml:space="preserve">  </w:t>
      </w:r>
      <w:r>
        <w:rPr>
          <w:rFonts w:ascii="Times New Roman" w:hAnsi="方正仿宋_GBK" w:eastAsia="方正仿宋_GBK"/>
          <w:sz w:val="32"/>
          <w:szCs w:val="32"/>
        </w:rPr>
        <w:t>日</w:t>
      </w:r>
    </w:p>
    <w:p w14:paraId="187B33B9">
      <w:pPr>
        <w:ind w:left="-210" w:leftChars="-100" w:right="-210" w:rightChars="-100" w:firstLine="1264"/>
        <w:jc w:val="center"/>
        <w:rPr>
          <w:rFonts w:ascii="Times New Roman" w:hAnsi="Times New Roman"/>
          <w:sz w:val="36"/>
          <w:szCs w:val="36"/>
        </w:rPr>
      </w:pPr>
    </w:p>
    <w:p w14:paraId="761DBD8C">
      <w:pPr>
        <w:ind w:left="-708" w:leftChars="-337" w:right="-758" w:rightChars="-361" w:firstLine="1264"/>
        <w:rPr>
          <w:rFonts w:ascii="Times New Roman" w:hAnsi="Times New Roman"/>
          <w:sz w:val="36"/>
          <w:szCs w:val="36"/>
        </w:rPr>
      </w:pPr>
    </w:p>
    <w:p w14:paraId="4E0F5FD6">
      <w:pPr>
        <w:ind w:left="-708" w:leftChars="-337" w:right="-758" w:rightChars="-361" w:firstLine="1264"/>
        <w:rPr>
          <w:rFonts w:ascii="Times New Roman" w:hAnsi="Times New Roman"/>
          <w:sz w:val="36"/>
          <w:szCs w:val="36"/>
        </w:rPr>
      </w:pPr>
    </w:p>
    <w:p w14:paraId="5BFD6E27">
      <w:pPr>
        <w:ind w:left="-708" w:leftChars="-337" w:right="-758" w:rightChars="-361" w:firstLine="1264"/>
        <w:rPr>
          <w:rFonts w:ascii="Times New Roman" w:hAnsi="Times New Roman"/>
          <w:sz w:val="36"/>
          <w:szCs w:val="36"/>
        </w:rPr>
      </w:pPr>
    </w:p>
    <w:p w14:paraId="0589EAA8">
      <w:pPr>
        <w:ind w:left="-708" w:leftChars="-337" w:right="-758" w:rightChars="-361" w:firstLine="1264"/>
        <w:rPr>
          <w:rFonts w:ascii="Times New Roman" w:hAnsi="Times New Roman"/>
          <w:sz w:val="28"/>
        </w:rPr>
      </w:pPr>
    </w:p>
    <w:p w14:paraId="471AC566">
      <w:pPr>
        <w:ind w:right="-758" w:rightChars="-361"/>
        <w:rPr>
          <w:rFonts w:ascii="Times New Roman" w:hAnsi="Times New Roman"/>
          <w:sz w:val="28"/>
        </w:rPr>
      </w:pPr>
    </w:p>
    <w:p w14:paraId="7C8D226D">
      <w:pPr>
        <w:ind w:left="-708" w:leftChars="-337" w:right="-758" w:rightChars="-361" w:firstLine="1264"/>
        <w:rPr>
          <w:rFonts w:ascii="Times New Roman" w:hAnsi="Times New Roman"/>
          <w:sz w:val="28"/>
        </w:rPr>
      </w:pPr>
    </w:p>
    <w:p w14:paraId="036E14EB">
      <w:pPr>
        <w:ind w:left="-708" w:leftChars="-337" w:right="-758" w:rightChars="-361" w:firstLine="1264"/>
        <w:rPr>
          <w:rFonts w:ascii="Times New Roman" w:hAnsi="Times New Roman"/>
          <w:sz w:val="28"/>
        </w:rPr>
      </w:pPr>
    </w:p>
    <w:p w14:paraId="034B8BF1">
      <w:pPr>
        <w:ind w:left="-708" w:leftChars="-337" w:right="-758" w:rightChars="-361" w:firstLine="1264"/>
        <w:rPr>
          <w:rFonts w:ascii="Times New Roman" w:hAnsi="Times New Roman"/>
          <w:sz w:val="28"/>
        </w:rPr>
      </w:pPr>
    </w:p>
    <w:p w14:paraId="08CD289B">
      <w:pPr>
        <w:rPr>
          <w:rFonts w:ascii="Times New Roman" w:hAnsi="Times New Roman" w:eastAsia="黑体"/>
          <w:sz w:val="28"/>
          <w:szCs w:val="28"/>
        </w:rPr>
      </w:pPr>
      <w:r>
        <w:rPr>
          <w:rFonts w:ascii="Times New Roman" w:eastAsia="黑体"/>
          <w:sz w:val="28"/>
          <w:szCs w:val="28"/>
        </w:rPr>
        <w:t>第一部分：拟转移废物基本情况</w:t>
      </w:r>
    </w:p>
    <w:tbl>
      <w:tblPr>
        <w:tblStyle w:val="7"/>
        <w:tblW w:w="9180"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061"/>
        <w:gridCol w:w="1358"/>
        <w:gridCol w:w="2420"/>
        <w:gridCol w:w="1817"/>
      </w:tblGrid>
      <w:tr w14:paraId="3A30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9180" w:type="dxa"/>
            <w:gridSpan w:val="5"/>
          </w:tcPr>
          <w:p w14:paraId="49997AA2">
            <w:pPr>
              <w:rPr>
                <w:rFonts w:ascii="Times New Roman" w:hAnsi="Times New Roman" w:eastAsia="黑体"/>
                <w:sz w:val="24"/>
                <w:szCs w:val="24"/>
              </w:rPr>
            </w:pPr>
            <w:r>
              <w:rPr>
                <w:rFonts w:ascii="Times New Roman" w:eastAsia="黑体"/>
                <w:sz w:val="24"/>
                <w:szCs w:val="24"/>
              </w:rPr>
              <w:t>表</w:t>
            </w:r>
            <w:r>
              <w:rPr>
                <w:rFonts w:ascii="Times New Roman" w:hAnsi="Times New Roman" w:eastAsia="黑体"/>
                <w:sz w:val="24"/>
                <w:szCs w:val="24"/>
              </w:rPr>
              <w:t xml:space="preserve">1 </w:t>
            </w:r>
            <w:r>
              <w:rPr>
                <w:rFonts w:ascii="Times New Roman" w:eastAsia="黑体"/>
                <w:sz w:val="24"/>
                <w:szCs w:val="24"/>
              </w:rPr>
              <w:t>废物产生情况</w:t>
            </w:r>
          </w:p>
        </w:tc>
      </w:tr>
      <w:tr w14:paraId="2215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9" w:hRule="atLeast"/>
        </w:trPr>
        <w:tc>
          <w:tcPr>
            <w:tcW w:w="9180" w:type="dxa"/>
            <w:gridSpan w:val="5"/>
          </w:tcPr>
          <w:p w14:paraId="6855C2F4">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color w:val="auto"/>
                <w:szCs w:val="21"/>
                <w:highlight w:val="none"/>
              </w:rPr>
            </w:pPr>
            <w:r>
              <w:rPr>
                <w:rFonts w:ascii="Times New Roman"/>
                <w:color w:val="auto"/>
                <w:szCs w:val="21"/>
                <w:highlight w:val="none"/>
              </w:rPr>
              <w:t>废物产生企业概况（企业投产时间、主要经营范围及规模）</w:t>
            </w:r>
          </w:p>
          <w:p w14:paraId="03BBC65D">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color w:val="auto"/>
                <w:szCs w:val="21"/>
                <w:highlight w:val="none"/>
              </w:rPr>
            </w:pPr>
            <w:r>
              <w:rPr>
                <w:rFonts w:ascii="Times New Roman"/>
                <w:color w:val="auto"/>
                <w:szCs w:val="21"/>
                <w:highlight w:val="none"/>
              </w:rPr>
              <w:t>台州市黄岩青禾固体废物处理有限公司成立于2021年01月14日，注册地址为浙江省台州市黄岩区院桥镇院桥街居院店路148号，法定代表人为张中沙，注册资本为300万人民币，统一社会信用代码为91331003MA2K7NB505，经营范围包括一般项目：固体废物治理；技术服务、技术开发、技术咨询、技术交流、技术转让、技术推广；再生资源加工（除依法须经批准的项目外，凭营业执照依法自主开展经营活动）。许可项目：危险废物经营（依法须经批准的项目，经相关部门批准后方可开展经营活动，具体经营项目以审批结果为准）。</w:t>
            </w:r>
          </w:p>
        </w:tc>
      </w:tr>
      <w:tr w14:paraId="6730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9180" w:type="dxa"/>
            <w:gridSpan w:val="5"/>
            <w:vAlign w:val="center"/>
          </w:tcPr>
          <w:p w14:paraId="34518414">
            <w:pPr>
              <w:rPr>
                <w:rFonts w:hint="eastAsia" w:ascii="Times New Roman"/>
                <w:color w:val="auto"/>
                <w:szCs w:val="21"/>
                <w:highlight w:val="none"/>
                <w:lang w:val="en-US" w:eastAsia="zh-CN"/>
              </w:rPr>
            </w:pPr>
            <w:r>
              <w:rPr>
                <w:rFonts w:ascii="Times New Roman"/>
                <w:szCs w:val="21"/>
              </w:rPr>
              <w:t>产品及产废情况</w:t>
            </w:r>
            <w:r>
              <w:rPr>
                <w:rFonts w:hint="eastAsia" w:ascii="Times New Roman"/>
                <w:szCs w:val="21"/>
                <w:lang w:eastAsia="zh-CN"/>
              </w:rPr>
              <w:t>：</w:t>
            </w:r>
            <w:r>
              <w:rPr>
                <w:rFonts w:hint="eastAsia" w:ascii="Helvetica" w:hAnsi="Helvetica" w:eastAsia="Helvetica" w:cs="Helvetica"/>
                <w:i w:val="0"/>
                <w:iCs w:val="0"/>
                <w:caps w:val="0"/>
                <w:color w:val="000000"/>
                <w:spacing w:val="0"/>
                <w:sz w:val="21"/>
                <w:szCs w:val="21"/>
                <w:shd w:val="clear" w:fill="FFFFFF"/>
              </w:rPr>
              <w:t>废矿物油</w:t>
            </w:r>
          </w:p>
        </w:tc>
      </w:tr>
      <w:tr w14:paraId="5D64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4943" w:type="dxa"/>
            <w:gridSpan w:val="3"/>
            <w:vAlign w:val="center"/>
          </w:tcPr>
          <w:p w14:paraId="7D6B53A6">
            <w:pPr>
              <w:spacing w:line="300" w:lineRule="exact"/>
              <w:jc w:val="center"/>
              <w:rPr>
                <w:rFonts w:ascii="Times New Roman" w:hAnsi="Times New Roman"/>
                <w:szCs w:val="21"/>
              </w:rPr>
            </w:pPr>
            <w:r>
              <w:rPr>
                <w:rFonts w:ascii="Times New Roman"/>
                <w:szCs w:val="21"/>
              </w:rPr>
              <w:t>产品情况</w:t>
            </w:r>
          </w:p>
        </w:tc>
        <w:tc>
          <w:tcPr>
            <w:tcW w:w="4237" w:type="dxa"/>
            <w:gridSpan w:val="2"/>
            <w:vAlign w:val="center"/>
          </w:tcPr>
          <w:p w14:paraId="201E122E">
            <w:pPr>
              <w:spacing w:line="300" w:lineRule="exact"/>
              <w:jc w:val="center"/>
              <w:rPr>
                <w:rFonts w:ascii="Times New Roman" w:hAnsi="Times New Roman"/>
                <w:szCs w:val="21"/>
              </w:rPr>
            </w:pPr>
            <w:r>
              <w:rPr>
                <w:rFonts w:ascii="Times New Roman"/>
                <w:szCs w:val="21"/>
              </w:rPr>
              <w:t>产生危险废物情况</w:t>
            </w:r>
          </w:p>
        </w:tc>
      </w:tr>
      <w:tr w14:paraId="54D8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524" w:type="dxa"/>
            <w:vAlign w:val="center"/>
          </w:tcPr>
          <w:p w14:paraId="642C7212">
            <w:pPr>
              <w:spacing w:line="300" w:lineRule="exact"/>
              <w:jc w:val="center"/>
              <w:rPr>
                <w:rFonts w:ascii="Times New Roman" w:hAnsi="Times New Roman"/>
                <w:szCs w:val="21"/>
              </w:rPr>
            </w:pPr>
            <w:r>
              <w:rPr>
                <w:rFonts w:ascii="Times New Roman"/>
                <w:szCs w:val="21"/>
              </w:rPr>
              <w:t>产品名称</w:t>
            </w:r>
          </w:p>
        </w:tc>
        <w:tc>
          <w:tcPr>
            <w:tcW w:w="2061" w:type="dxa"/>
            <w:vAlign w:val="center"/>
          </w:tcPr>
          <w:p w14:paraId="06C2EBC8">
            <w:pPr>
              <w:spacing w:line="300" w:lineRule="exact"/>
              <w:jc w:val="center"/>
              <w:rPr>
                <w:rFonts w:ascii="Times New Roman" w:hAnsi="Times New Roman"/>
                <w:szCs w:val="21"/>
              </w:rPr>
            </w:pPr>
            <w:r>
              <w:rPr>
                <w:rFonts w:ascii="Times New Roman"/>
                <w:szCs w:val="21"/>
              </w:rPr>
              <w:t>主要成分化学名</w:t>
            </w:r>
          </w:p>
        </w:tc>
        <w:tc>
          <w:tcPr>
            <w:tcW w:w="1358" w:type="dxa"/>
            <w:vAlign w:val="center"/>
          </w:tcPr>
          <w:p w14:paraId="48C753D3">
            <w:pPr>
              <w:spacing w:line="300" w:lineRule="exact"/>
              <w:jc w:val="center"/>
              <w:rPr>
                <w:rFonts w:ascii="Times New Roman" w:hAnsi="Times New Roman"/>
                <w:szCs w:val="21"/>
              </w:rPr>
            </w:pPr>
            <w:r>
              <w:rPr>
                <w:rFonts w:ascii="Times New Roman"/>
                <w:szCs w:val="21"/>
              </w:rPr>
              <w:t>年产量</w:t>
            </w:r>
          </w:p>
        </w:tc>
        <w:tc>
          <w:tcPr>
            <w:tcW w:w="2420" w:type="dxa"/>
            <w:vAlign w:val="center"/>
          </w:tcPr>
          <w:p w14:paraId="5D47B5FC">
            <w:pPr>
              <w:spacing w:line="300" w:lineRule="exact"/>
              <w:jc w:val="center"/>
              <w:rPr>
                <w:rFonts w:ascii="Times New Roman" w:hAnsi="Times New Roman"/>
                <w:szCs w:val="21"/>
              </w:rPr>
            </w:pPr>
            <w:r>
              <w:rPr>
                <w:rFonts w:ascii="Times New Roman"/>
                <w:szCs w:val="21"/>
              </w:rPr>
              <w:t>废物名称</w:t>
            </w:r>
          </w:p>
        </w:tc>
        <w:tc>
          <w:tcPr>
            <w:tcW w:w="1817" w:type="dxa"/>
            <w:vAlign w:val="center"/>
          </w:tcPr>
          <w:p w14:paraId="0E33DAB2">
            <w:pPr>
              <w:spacing w:line="300" w:lineRule="exact"/>
              <w:jc w:val="center"/>
              <w:rPr>
                <w:rFonts w:ascii="Times New Roman" w:hAnsi="Times New Roman"/>
                <w:szCs w:val="21"/>
              </w:rPr>
            </w:pPr>
            <w:r>
              <w:rPr>
                <w:rFonts w:ascii="Times New Roman"/>
                <w:szCs w:val="21"/>
              </w:rPr>
              <w:t>年产生量</w:t>
            </w:r>
          </w:p>
        </w:tc>
      </w:tr>
      <w:tr w14:paraId="4288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restart"/>
            <w:vAlign w:val="center"/>
          </w:tcPr>
          <w:p w14:paraId="042341D8">
            <w:pPr>
              <w:spacing w:line="300" w:lineRule="exact"/>
              <w:jc w:val="center"/>
              <w:rPr>
                <w:rFonts w:hint="eastAsia" w:ascii="Times New Roman" w:hAnsi="Times New Roman"/>
                <w:szCs w:val="24"/>
                <w:lang w:val="en-US" w:eastAsia="zh-CN"/>
              </w:rPr>
            </w:pPr>
            <w:r>
              <w:rPr>
                <w:rFonts w:hint="eastAsia" w:ascii="Times New Roman" w:hAnsi="Times New Roman"/>
                <w:szCs w:val="24"/>
                <w:lang w:val="en-US" w:eastAsia="zh-CN"/>
              </w:rPr>
              <w:t>HW08</w:t>
            </w:r>
          </w:p>
          <w:p w14:paraId="10DF058A">
            <w:pPr>
              <w:spacing w:line="300" w:lineRule="exact"/>
              <w:jc w:val="center"/>
              <w:rPr>
                <w:rFonts w:ascii="Times New Roman" w:hAnsi="Times New Roman"/>
                <w:szCs w:val="24"/>
              </w:rPr>
            </w:pPr>
            <w:r>
              <w:rPr>
                <w:rFonts w:hint="eastAsia" w:ascii="Times New Roman" w:hAnsi="Times New Roman"/>
                <w:szCs w:val="24"/>
                <w:lang w:val="en-US" w:eastAsia="zh-CN"/>
              </w:rPr>
              <w:t>废矿物油</w:t>
            </w:r>
          </w:p>
        </w:tc>
        <w:tc>
          <w:tcPr>
            <w:tcW w:w="2061" w:type="dxa"/>
            <w:vMerge w:val="restart"/>
            <w:vAlign w:val="center"/>
          </w:tcPr>
          <w:p w14:paraId="436B35C0">
            <w:pPr>
              <w:spacing w:line="300" w:lineRule="exact"/>
              <w:jc w:val="center"/>
              <w:rPr>
                <w:rFonts w:ascii="Times New Roman" w:hAnsi="Times New Roman"/>
                <w:szCs w:val="24"/>
              </w:rPr>
            </w:pPr>
            <w:r>
              <w:rPr>
                <w:rFonts w:hint="eastAsia" w:ascii="Times New Roman" w:hAnsi="Times New Roman"/>
                <w:szCs w:val="24"/>
              </w:rPr>
              <w:t>废矿物油</w:t>
            </w:r>
          </w:p>
        </w:tc>
        <w:tc>
          <w:tcPr>
            <w:tcW w:w="1358" w:type="dxa"/>
            <w:vMerge w:val="restart"/>
            <w:vAlign w:val="center"/>
          </w:tcPr>
          <w:p w14:paraId="5AD416AC">
            <w:pPr>
              <w:spacing w:line="300" w:lineRule="exact"/>
              <w:jc w:val="center"/>
              <w:rPr>
                <w:rFonts w:hint="default" w:ascii="Times New Roman" w:hAnsi="Times New Roman"/>
                <w:szCs w:val="24"/>
                <w:lang w:val="en-US"/>
              </w:rPr>
            </w:pPr>
            <w:r>
              <w:rPr>
                <w:rFonts w:hint="eastAsia" w:ascii="Times New Roman"/>
                <w:szCs w:val="21"/>
                <w:lang w:val="en-US" w:eastAsia="zh-CN"/>
              </w:rPr>
              <w:t>200</w:t>
            </w:r>
          </w:p>
        </w:tc>
        <w:tc>
          <w:tcPr>
            <w:tcW w:w="2420" w:type="dxa"/>
            <w:vAlign w:val="center"/>
          </w:tcPr>
          <w:p w14:paraId="7A272848">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900-214-08</w:t>
            </w:r>
          </w:p>
        </w:tc>
        <w:tc>
          <w:tcPr>
            <w:tcW w:w="1817" w:type="dxa"/>
          </w:tcPr>
          <w:p w14:paraId="4AAECEB3">
            <w:pPr>
              <w:spacing w:line="300" w:lineRule="exact"/>
              <w:jc w:val="center"/>
              <w:rPr>
                <w:rFonts w:hint="default" w:ascii="Times New Roman" w:hAnsi="Times New Roman" w:eastAsia="宋体"/>
                <w:szCs w:val="24"/>
                <w:lang w:val="en-US" w:eastAsia="zh-CN"/>
              </w:rPr>
            </w:pPr>
            <w:r>
              <w:rPr>
                <w:rFonts w:hint="eastAsia" w:ascii="Times New Roman"/>
                <w:szCs w:val="21"/>
                <w:lang w:val="en-US" w:eastAsia="zh-CN"/>
              </w:rPr>
              <w:t>200</w:t>
            </w:r>
          </w:p>
        </w:tc>
      </w:tr>
      <w:tr w14:paraId="0E6B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524" w:type="dxa"/>
            <w:vMerge w:val="continue"/>
            <w:vAlign w:val="center"/>
          </w:tcPr>
          <w:p w14:paraId="05C5F2B2">
            <w:pPr>
              <w:spacing w:line="300" w:lineRule="exact"/>
              <w:jc w:val="center"/>
              <w:rPr>
                <w:rFonts w:ascii="Times New Roman" w:hAnsi="Times New Roman"/>
                <w:szCs w:val="24"/>
              </w:rPr>
            </w:pPr>
          </w:p>
        </w:tc>
        <w:tc>
          <w:tcPr>
            <w:tcW w:w="2061" w:type="dxa"/>
            <w:vMerge w:val="continue"/>
            <w:vAlign w:val="center"/>
          </w:tcPr>
          <w:p w14:paraId="467EBA5A">
            <w:pPr>
              <w:spacing w:line="300" w:lineRule="exact"/>
              <w:jc w:val="center"/>
              <w:rPr>
                <w:rFonts w:ascii="Times New Roman" w:hAnsi="Times New Roman"/>
                <w:szCs w:val="24"/>
              </w:rPr>
            </w:pPr>
          </w:p>
        </w:tc>
        <w:tc>
          <w:tcPr>
            <w:tcW w:w="1358" w:type="dxa"/>
            <w:vMerge w:val="continue"/>
            <w:vAlign w:val="center"/>
          </w:tcPr>
          <w:p w14:paraId="0E02BB58">
            <w:pPr>
              <w:spacing w:line="300" w:lineRule="exact"/>
              <w:jc w:val="center"/>
              <w:rPr>
                <w:rFonts w:ascii="Times New Roman" w:hAnsi="Times New Roman"/>
                <w:szCs w:val="24"/>
              </w:rPr>
            </w:pPr>
          </w:p>
        </w:tc>
        <w:tc>
          <w:tcPr>
            <w:tcW w:w="2420" w:type="dxa"/>
            <w:vAlign w:val="center"/>
          </w:tcPr>
          <w:p w14:paraId="2F829FA0">
            <w:pPr>
              <w:spacing w:line="300" w:lineRule="exact"/>
              <w:jc w:val="center"/>
              <w:rPr>
                <w:rFonts w:ascii="Times New Roman" w:hAnsi="Times New Roman"/>
                <w:szCs w:val="24"/>
              </w:rPr>
            </w:pPr>
          </w:p>
        </w:tc>
        <w:tc>
          <w:tcPr>
            <w:tcW w:w="1817" w:type="dxa"/>
          </w:tcPr>
          <w:p w14:paraId="510636A4">
            <w:pPr>
              <w:spacing w:line="300" w:lineRule="exact"/>
              <w:jc w:val="center"/>
              <w:rPr>
                <w:rFonts w:ascii="Times New Roman" w:hAnsi="Times New Roman"/>
                <w:szCs w:val="24"/>
              </w:rPr>
            </w:pPr>
          </w:p>
        </w:tc>
      </w:tr>
      <w:tr w14:paraId="5A88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524" w:type="dxa"/>
            <w:vMerge w:val="continue"/>
            <w:vAlign w:val="center"/>
          </w:tcPr>
          <w:p w14:paraId="26E8F5AD">
            <w:pPr>
              <w:spacing w:line="300" w:lineRule="exact"/>
              <w:jc w:val="center"/>
              <w:rPr>
                <w:rFonts w:ascii="Times New Roman" w:hAnsi="Times New Roman"/>
                <w:szCs w:val="24"/>
              </w:rPr>
            </w:pPr>
          </w:p>
        </w:tc>
        <w:tc>
          <w:tcPr>
            <w:tcW w:w="2061" w:type="dxa"/>
            <w:vMerge w:val="continue"/>
            <w:vAlign w:val="center"/>
          </w:tcPr>
          <w:p w14:paraId="0EA924CC">
            <w:pPr>
              <w:spacing w:line="300" w:lineRule="exact"/>
              <w:jc w:val="center"/>
              <w:rPr>
                <w:rFonts w:ascii="Times New Roman" w:hAnsi="Times New Roman"/>
                <w:szCs w:val="24"/>
              </w:rPr>
            </w:pPr>
          </w:p>
        </w:tc>
        <w:tc>
          <w:tcPr>
            <w:tcW w:w="1358" w:type="dxa"/>
            <w:vMerge w:val="continue"/>
            <w:vAlign w:val="center"/>
          </w:tcPr>
          <w:p w14:paraId="3C5AE978">
            <w:pPr>
              <w:spacing w:line="300" w:lineRule="exact"/>
              <w:jc w:val="center"/>
              <w:rPr>
                <w:rFonts w:ascii="Times New Roman" w:hAnsi="Times New Roman"/>
                <w:szCs w:val="24"/>
              </w:rPr>
            </w:pPr>
          </w:p>
        </w:tc>
        <w:tc>
          <w:tcPr>
            <w:tcW w:w="2420" w:type="dxa"/>
            <w:vAlign w:val="center"/>
          </w:tcPr>
          <w:p w14:paraId="4879426C">
            <w:pPr>
              <w:spacing w:line="300" w:lineRule="exact"/>
              <w:jc w:val="center"/>
              <w:rPr>
                <w:rFonts w:ascii="Times New Roman" w:hAnsi="Times New Roman"/>
                <w:szCs w:val="24"/>
              </w:rPr>
            </w:pPr>
          </w:p>
        </w:tc>
        <w:tc>
          <w:tcPr>
            <w:tcW w:w="1817" w:type="dxa"/>
          </w:tcPr>
          <w:p w14:paraId="5086C95E">
            <w:pPr>
              <w:spacing w:line="300" w:lineRule="exact"/>
              <w:jc w:val="center"/>
              <w:rPr>
                <w:rFonts w:ascii="Times New Roman" w:hAnsi="Times New Roman"/>
                <w:szCs w:val="24"/>
              </w:rPr>
            </w:pPr>
          </w:p>
        </w:tc>
      </w:tr>
      <w:tr w14:paraId="017D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524" w:type="dxa"/>
            <w:vMerge w:val="continue"/>
            <w:vAlign w:val="center"/>
          </w:tcPr>
          <w:p w14:paraId="0B66CA58">
            <w:pPr>
              <w:spacing w:line="300" w:lineRule="exact"/>
              <w:jc w:val="center"/>
              <w:rPr>
                <w:rFonts w:ascii="Times New Roman" w:hAnsi="Times New Roman"/>
                <w:szCs w:val="24"/>
              </w:rPr>
            </w:pPr>
          </w:p>
        </w:tc>
        <w:tc>
          <w:tcPr>
            <w:tcW w:w="2061" w:type="dxa"/>
            <w:vMerge w:val="continue"/>
            <w:vAlign w:val="center"/>
          </w:tcPr>
          <w:p w14:paraId="238AFF5C">
            <w:pPr>
              <w:spacing w:line="300" w:lineRule="exact"/>
              <w:jc w:val="center"/>
              <w:rPr>
                <w:rFonts w:ascii="Times New Roman" w:hAnsi="Times New Roman"/>
                <w:szCs w:val="24"/>
              </w:rPr>
            </w:pPr>
          </w:p>
        </w:tc>
        <w:tc>
          <w:tcPr>
            <w:tcW w:w="1358" w:type="dxa"/>
            <w:vMerge w:val="continue"/>
            <w:vAlign w:val="center"/>
          </w:tcPr>
          <w:p w14:paraId="2AC08E03">
            <w:pPr>
              <w:spacing w:line="300" w:lineRule="exact"/>
              <w:jc w:val="center"/>
              <w:rPr>
                <w:rFonts w:ascii="Times New Roman" w:hAnsi="Times New Roman"/>
                <w:szCs w:val="24"/>
              </w:rPr>
            </w:pPr>
          </w:p>
        </w:tc>
        <w:tc>
          <w:tcPr>
            <w:tcW w:w="2420" w:type="dxa"/>
            <w:vAlign w:val="center"/>
          </w:tcPr>
          <w:p w14:paraId="3654BF5A">
            <w:pPr>
              <w:spacing w:line="300" w:lineRule="exact"/>
              <w:jc w:val="center"/>
              <w:rPr>
                <w:rFonts w:ascii="Times New Roman" w:hAnsi="Times New Roman"/>
                <w:szCs w:val="24"/>
              </w:rPr>
            </w:pPr>
          </w:p>
        </w:tc>
        <w:tc>
          <w:tcPr>
            <w:tcW w:w="1817" w:type="dxa"/>
          </w:tcPr>
          <w:p w14:paraId="479E1B26">
            <w:pPr>
              <w:spacing w:line="300" w:lineRule="exact"/>
              <w:jc w:val="center"/>
              <w:rPr>
                <w:rFonts w:ascii="Times New Roman" w:hAnsi="Times New Roman"/>
                <w:szCs w:val="24"/>
              </w:rPr>
            </w:pPr>
          </w:p>
        </w:tc>
      </w:tr>
      <w:tr w14:paraId="6157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continue"/>
            <w:vAlign w:val="center"/>
          </w:tcPr>
          <w:p w14:paraId="4EED3DE9">
            <w:pPr>
              <w:spacing w:line="300" w:lineRule="exact"/>
              <w:jc w:val="center"/>
              <w:rPr>
                <w:rFonts w:ascii="Times New Roman" w:hAnsi="Times New Roman"/>
                <w:szCs w:val="24"/>
              </w:rPr>
            </w:pPr>
          </w:p>
        </w:tc>
        <w:tc>
          <w:tcPr>
            <w:tcW w:w="2061" w:type="dxa"/>
            <w:vMerge w:val="continue"/>
            <w:vAlign w:val="center"/>
          </w:tcPr>
          <w:p w14:paraId="37DCE88D">
            <w:pPr>
              <w:spacing w:line="300" w:lineRule="exact"/>
              <w:jc w:val="center"/>
              <w:rPr>
                <w:rFonts w:ascii="Times New Roman" w:hAnsi="Times New Roman"/>
                <w:szCs w:val="24"/>
              </w:rPr>
            </w:pPr>
          </w:p>
        </w:tc>
        <w:tc>
          <w:tcPr>
            <w:tcW w:w="1358" w:type="dxa"/>
            <w:vMerge w:val="continue"/>
            <w:vAlign w:val="center"/>
          </w:tcPr>
          <w:p w14:paraId="1CBEAE79">
            <w:pPr>
              <w:spacing w:line="300" w:lineRule="exact"/>
              <w:jc w:val="center"/>
              <w:rPr>
                <w:rFonts w:ascii="Times New Roman" w:hAnsi="Times New Roman"/>
                <w:szCs w:val="24"/>
              </w:rPr>
            </w:pPr>
          </w:p>
        </w:tc>
        <w:tc>
          <w:tcPr>
            <w:tcW w:w="2420" w:type="dxa"/>
            <w:vAlign w:val="center"/>
          </w:tcPr>
          <w:p w14:paraId="2395EF00">
            <w:pPr>
              <w:spacing w:line="300" w:lineRule="exact"/>
              <w:jc w:val="center"/>
              <w:rPr>
                <w:rFonts w:ascii="Times New Roman" w:hAnsi="Times New Roman"/>
                <w:szCs w:val="24"/>
              </w:rPr>
            </w:pPr>
          </w:p>
        </w:tc>
        <w:tc>
          <w:tcPr>
            <w:tcW w:w="1817" w:type="dxa"/>
          </w:tcPr>
          <w:p w14:paraId="1CA17FDC">
            <w:pPr>
              <w:spacing w:line="300" w:lineRule="exact"/>
              <w:jc w:val="center"/>
              <w:rPr>
                <w:rFonts w:ascii="Times New Roman" w:hAnsi="Times New Roman"/>
                <w:szCs w:val="24"/>
              </w:rPr>
            </w:pPr>
          </w:p>
        </w:tc>
      </w:tr>
      <w:tr w14:paraId="3162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restart"/>
            <w:vAlign w:val="center"/>
          </w:tcPr>
          <w:p w14:paraId="0C4B0514">
            <w:pPr>
              <w:spacing w:line="300" w:lineRule="exact"/>
              <w:jc w:val="center"/>
              <w:rPr>
                <w:rFonts w:ascii="Times New Roman" w:hAnsi="Times New Roman"/>
                <w:szCs w:val="24"/>
              </w:rPr>
            </w:pPr>
          </w:p>
          <w:p w14:paraId="1A4B746E">
            <w:pPr>
              <w:spacing w:line="300" w:lineRule="exact"/>
              <w:jc w:val="center"/>
              <w:rPr>
                <w:rFonts w:ascii="Times New Roman" w:hAnsi="Times New Roman"/>
                <w:szCs w:val="24"/>
              </w:rPr>
            </w:pPr>
          </w:p>
        </w:tc>
        <w:tc>
          <w:tcPr>
            <w:tcW w:w="2061" w:type="dxa"/>
            <w:vMerge w:val="restart"/>
            <w:vAlign w:val="center"/>
          </w:tcPr>
          <w:p w14:paraId="762A7127">
            <w:pPr>
              <w:spacing w:line="300" w:lineRule="exact"/>
              <w:jc w:val="center"/>
              <w:rPr>
                <w:rFonts w:ascii="Times New Roman" w:hAnsi="Times New Roman"/>
                <w:szCs w:val="24"/>
              </w:rPr>
            </w:pPr>
          </w:p>
        </w:tc>
        <w:tc>
          <w:tcPr>
            <w:tcW w:w="1358" w:type="dxa"/>
            <w:vMerge w:val="restart"/>
            <w:vAlign w:val="center"/>
          </w:tcPr>
          <w:p w14:paraId="6529EC07">
            <w:pPr>
              <w:spacing w:line="300" w:lineRule="exact"/>
              <w:jc w:val="center"/>
              <w:rPr>
                <w:rFonts w:ascii="Times New Roman" w:hAnsi="Times New Roman"/>
                <w:szCs w:val="24"/>
              </w:rPr>
            </w:pPr>
          </w:p>
        </w:tc>
        <w:tc>
          <w:tcPr>
            <w:tcW w:w="2420" w:type="dxa"/>
            <w:vAlign w:val="center"/>
          </w:tcPr>
          <w:p w14:paraId="3C5A08AD">
            <w:pPr>
              <w:spacing w:line="300" w:lineRule="exact"/>
              <w:jc w:val="center"/>
              <w:rPr>
                <w:rFonts w:ascii="Times New Roman" w:hAnsi="Times New Roman"/>
                <w:szCs w:val="24"/>
              </w:rPr>
            </w:pPr>
          </w:p>
        </w:tc>
        <w:tc>
          <w:tcPr>
            <w:tcW w:w="1817" w:type="dxa"/>
          </w:tcPr>
          <w:p w14:paraId="1AF9CD1E">
            <w:pPr>
              <w:spacing w:line="300" w:lineRule="exact"/>
              <w:jc w:val="center"/>
              <w:rPr>
                <w:rFonts w:ascii="Times New Roman" w:hAnsi="Times New Roman"/>
                <w:szCs w:val="24"/>
              </w:rPr>
            </w:pPr>
          </w:p>
        </w:tc>
      </w:tr>
      <w:tr w14:paraId="1253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continue"/>
            <w:vAlign w:val="center"/>
          </w:tcPr>
          <w:p w14:paraId="77E2C4DD">
            <w:pPr>
              <w:spacing w:line="300" w:lineRule="exact"/>
              <w:jc w:val="center"/>
              <w:rPr>
                <w:rFonts w:ascii="Times New Roman" w:hAnsi="Times New Roman"/>
                <w:szCs w:val="24"/>
              </w:rPr>
            </w:pPr>
          </w:p>
        </w:tc>
        <w:tc>
          <w:tcPr>
            <w:tcW w:w="2061" w:type="dxa"/>
            <w:vMerge w:val="continue"/>
            <w:vAlign w:val="center"/>
          </w:tcPr>
          <w:p w14:paraId="541CDAA4">
            <w:pPr>
              <w:spacing w:line="300" w:lineRule="exact"/>
              <w:jc w:val="center"/>
              <w:rPr>
                <w:rFonts w:ascii="Times New Roman" w:hAnsi="Times New Roman"/>
                <w:szCs w:val="24"/>
              </w:rPr>
            </w:pPr>
          </w:p>
        </w:tc>
        <w:tc>
          <w:tcPr>
            <w:tcW w:w="1358" w:type="dxa"/>
            <w:vMerge w:val="continue"/>
            <w:vAlign w:val="center"/>
          </w:tcPr>
          <w:p w14:paraId="2935EE1E">
            <w:pPr>
              <w:spacing w:line="300" w:lineRule="exact"/>
              <w:jc w:val="center"/>
              <w:rPr>
                <w:rFonts w:ascii="Times New Roman" w:hAnsi="Times New Roman"/>
                <w:szCs w:val="24"/>
              </w:rPr>
            </w:pPr>
          </w:p>
        </w:tc>
        <w:tc>
          <w:tcPr>
            <w:tcW w:w="2420" w:type="dxa"/>
            <w:vAlign w:val="center"/>
          </w:tcPr>
          <w:p w14:paraId="2D0762D8">
            <w:pPr>
              <w:spacing w:line="300" w:lineRule="exact"/>
              <w:jc w:val="center"/>
              <w:rPr>
                <w:rFonts w:ascii="Times New Roman" w:hAnsi="Times New Roman"/>
                <w:szCs w:val="24"/>
              </w:rPr>
            </w:pPr>
          </w:p>
        </w:tc>
        <w:tc>
          <w:tcPr>
            <w:tcW w:w="1817" w:type="dxa"/>
          </w:tcPr>
          <w:p w14:paraId="7C55BBF9">
            <w:pPr>
              <w:spacing w:line="300" w:lineRule="exact"/>
              <w:jc w:val="center"/>
              <w:rPr>
                <w:rFonts w:ascii="Times New Roman" w:hAnsi="Times New Roman"/>
                <w:szCs w:val="24"/>
              </w:rPr>
            </w:pPr>
          </w:p>
        </w:tc>
      </w:tr>
      <w:tr w14:paraId="3665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524" w:type="dxa"/>
            <w:vMerge w:val="continue"/>
            <w:vAlign w:val="center"/>
          </w:tcPr>
          <w:p w14:paraId="3569AB39">
            <w:pPr>
              <w:spacing w:line="300" w:lineRule="exact"/>
              <w:jc w:val="center"/>
              <w:rPr>
                <w:rFonts w:ascii="Times New Roman" w:hAnsi="Times New Roman"/>
                <w:szCs w:val="24"/>
              </w:rPr>
            </w:pPr>
          </w:p>
        </w:tc>
        <w:tc>
          <w:tcPr>
            <w:tcW w:w="2061" w:type="dxa"/>
            <w:vMerge w:val="continue"/>
            <w:vAlign w:val="center"/>
          </w:tcPr>
          <w:p w14:paraId="06E6E405">
            <w:pPr>
              <w:spacing w:line="300" w:lineRule="exact"/>
              <w:jc w:val="center"/>
              <w:rPr>
                <w:rFonts w:ascii="Times New Roman" w:hAnsi="Times New Roman"/>
                <w:szCs w:val="24"/>
              </w:rPr>
            </w:pPr>
          </w:p>
        </w:tc>
        <w:tc>
          <w:tcPr>
            <w:tcW w:w="1358" w:type="dxa"/>
            <w:vMerge w:val="continue"/>
            <w:vAlign w:val="center"/>
          </w:tcPr>
          <w:p w14:paraId="61E359CA">
            <w:pPr>
              <w:spacing w:line="300" w:lineRule="exact"/>
              <w:jc w:val="center"/>
              <w:rPr>
                <w:rFonts w:ascii="Times New Roman" w:hAnsi="Times New Roman"/>
                <w:szCs w:val="24"/>
              </w:rPr>
            </w:pPr>
          </w:p>
        </w:tc>
        <w:tc>
          <w:tcPr>
            <w:tcW w:w="2420" w:type="dxa"/>
            <w:vAlign w:val="center"/>
          </w:tcPr>
          <w:p w14:paraId="37EBFFEC">
            <w:pPr>
              <w:spacing w:line="300" w:lineRule="exact"/>
              <w:jc w:val="center"/>
              <w:rPr>
                <w:rFonts w:ascii="Times New Roman" w:hAnsi="Times New Roman"/>
                <w:szCs w:val="24"/>
              </w:rPr>
            </w:pPr>
          </w:p>
        </w:tc>
        <w:tc>
          <w:tcPr>
            <w:tcW w:w="1817" w:type="dxa"/>
          </w:tcPr>
          <w:p w14:paraId="2021D678">
            <w:pPr>
              <w:spacing w:line="300" w:lineRule="exact"/>
              <w:jc w:val="center"/>
              <w:rPr>
                <w:rFonts w:ascii="Times New Roman" w:hAnsi="Times New Roman"/>
                <w:szCs w:val="24"/>
              </w:rPr>
            </w:pPr>
          </w:p>
        </w:tc>
      </w:tr>
      <w:tr w14:paraId="3919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524" w:type="dxa"/>
            <w:vMerge w:val="continue"/>
            <w:vAlign w:val="center"/>
          </w:tcPr>
          <w:p w14:paraId="6408DAE1">
            <w:pPr>
              <w:spacing w:line="300" w:lineRule="exact"/>
              <w:jc w:val="center"/>
              <w:rPr>
                <w:rFonts w:ascii="Times New Roman" w:hAnsi="Times New Roman"/>
                <w:szCs w:val="24"/>
              </w:rPr>
            </w:pPr>
          </w:p>
        </w:tc>
        <w:tc>
          <w:tcPr>
            <w:tcW w:w="2061" w:type="dxa"/>
            <w:vMerge w:val="continue"/>
            <w:vAlign w:val="center"/>
          </w:tcPr>
          <w:p w14:paraId="6F7DA9B6">
            <w:pPr>
              <w:spacing w:line="300" w:lineRule="exact"/>
              <w:jc w:val="center"/>
              <w:rPr>
                <w:rFonts w:ascii="Times New Roman" w:hAnsi="Times New Roman"/>
                <w:szCs w:val="24"/>
              </w:rPr>
            </w:pPr>
          </w:p>
        </w:tc>
        <w:tc>
          <w:tcPr>
            <w:tcW w:w="1358" w:type="dxa"/>
            <w:vMerge w:val="continue"/>
            <w:vAlign w:val="center"/>
          </w:tcPr>
          <w:p w14:paraId="421589FE">
            <w:pPr>
              <w:spacing w:line="300" w:lineRule="exact"/>
              <w:jc w:val="center"/>
              <w:rPr>
                <w:rFonts w:ascii="Times New Roman" w:hAnsi="Times New Roman"/>
                <w:szCs w:val="24"/>
              </w:rPr>
            </w:pPr>
          </w:p>
        </w:tc>
        <w:tc>
          <w:tcPr>
            <w:tcW w:w="2420" w:type="dxa"/>
            <w:vAlign w:val="center"/>
          </w:tcPr>
          <w:p w14:paraId="644A0ABF">
            <w:pPr>
              <w:spacing w:line="300" w:lineRule="exact"/>
              <w:jc w:val="center"/>
              <w:rPr>
                <w:rFonts w:ascii="Times New Roman" w:hAnsi="Times New Roman"/>
                <w:szCs w:val="24"/>
              </w:rPr>
            </w:pPr>
          </w:p>
        </w:tc>
        <w:tc>
          <w:tcPr>
            <w:tcW w:w="1817" w:type="dxa"/>
          </w:tcPr>
          <w:p w14:paraId="59CCEFD2">
            <w:pPr>
              <w:spacing w:line="300" w:lineRule="exact"/>
              <w:jc w:val="center"/>
              <w:rPr>
                <w:rFonts w:ascii="Times New Roman" w:hAnsi="Times New Roman"/>
                <w:szCs w:val="24"/>
              </w:rPr>
            </w:pPr>
          </w:p>
        </w:tc>
      </w:tr>
      <w:tr w14:paraId="06C1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continue"/>
            <w:vAlign w:val="center"/>
          </w:tcPr>
          <w:p w14:paraId="401CF5D3">
            <w:pPr>
              <w:spacing w:line="300" w:lineRule="exact"/>
              <w:jc w:val="center"/>
              <w:rPr>
                <w:rFonts w:ascii="Times New Roman" w:hAnsi="Times New Roman"/>
                <w:szCs w:val="24"/>
              </w:rPr>
            </w:pPr>
          </w:p>
        </w:tc>
        <w:tc>
          <w:tcPr>
            <w:tcW w:w="2061" w:type="dxa"/>
            <w:vMerge w:val="continue"/>
            <w:vAlign w:val="center"/>
          </w:tcPr>
          <w:p w14:paraId="38C4907D">
            <w:pPr>
              <w:spacing w:line="300" w:lineRule="exact"/>
              <w:jc w:val="center"/>
              <w:rPr>
                <w:rFonts w:ascii="Times New Roman" w:hAnsi="Times New Roman"/>
                <w:szCs w:val="24"/>
              </w:rPr>
            </w:pPr>
          </w:p>
        </w:tc>
        <w:tc>
          <w:tcPr>
            <w:tcW w:w="1358" w:type="dxa"/>
            <w:vMerge w:val="continue"/>
            <w:vAlign w:val="center"/>
          </w:tcPr>
          <w:p w14:paraId="4A108096">
            <w:pPr>
              <w:spacing w:line="300" w:lineRule="exact"/>
              <w:jc w:val="center"/>
              <w:rPr>
                <w:rFonts w:ascii="Times New Roman" w:hAnsi="Times New Roman"/>
                <w:szCs w:val="24"/>
              </w:rPr>
            </w:pPr>
          </w:p>
        </w:tc>
        <w:tc>
          <w:tcPr>
            <w:tcW w:w="2420" w:type="dxa"/>
            <w:vAlign w:val="center"/>
          </w:tcPr>
          <w:p w14:paraId="0CB566F6">
            <w:pPr>
              <w:spacing w:line="300" w:lineRule="exact"/>
              <w:jc w:val="center"/>
              <w:rPr>
                <w:rFonts w:ascii="Times New Roman" w:hAnsi="Times New Roman"/>
                <w:szCs w:val="24"/>
              </w:rPr>
            </w:pPr>
          </w:p>
        </w:tc>
        <w:tc>
          <w:tcPr>
            <w:tcW w:w="1817" w:type="dxa"/>
          </w:tcPr>
          <w:p w14:paraId="29B101ED">
            <w:pPr>
              <w:spacing w:line="300" w:lineRule="exact"/>
              <w:jc w:val="center"/>
              <w:rPr>
                <w:rFonts w:ascii="Times New Roman" w:hAnsi="Times New Roman"/>
                <w:szCs w:val="24"/>
              </w:rPr>
            </w:pPr>
          </w:p>
        </w:tc>
      </w:tr>
      <w:tr w14:paraId="6A38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restart"/>
            <w:vAlign w:val="center"/>
          </w:tcPr>
          <w:p w14:paraId="5C035D64">
            <w:pPr>
              <w:spacing w:line="300" w:lineRule="exact"/>
              <w:jc w:val="center"/>
              <w:rPr>
                <w:rFonts w:ascii="Times New Roman" w:hAnsi="Times New Roman"/>
                <w:szCs w:val="24"/>
              </w:rPr>
            </w:pPr>
          </w:p>
        </w:tc>
        <w:tc>
          <w:tcPr>
            <w:tcW w:w="2061" w:type="dxa"/>
            <w:vMerge w:val="restart"/>
            <w:vAlign w:val="center"/>
          </w:tcPr>
          <w:p w14:paraId="0BAB4FAF">
            <w:pPr>
              <w:spacing w:line="300" w:lineRule="exact"/>
              <w:jc w:val="center"/>
              <w:rPr>
                <w:rFonts w:ascii="Times New Roman" w:hAnsi="Times New Roman"/>
                <w:szCs w:val="24"/>
              </w:rPr>
            </w:pPr>
          </w:p>
        </w:tc>
        <w:tc>
          <w:tcPr>
            <w:tcW w:w="1358" w:type="dxa"/>
            <w:vMerge w:val="restart"/>
            <w:vAlign w:val="center"/>
          </w:tcPr>
          <w:p w14:paraId="722706AF">
            <w:pPr>
              <w:spacing w:line="300" w:lineRule="exact"/>
              <w:jc w:val="center"/>
              <w:rPr>
                <w:rFonts w:ascii="Times New Roman" w:hAnsi="Times New Roman"/>
                <w:szCs w:val="24"/>
              </w:rPr>
            </w:pPr>
          </w:p>
        </w:tc>
        <w:tc>
          <w:tcPr>
            <w:tcW w:w="2420" w:type="dxa"/>
            <w:vAlign w:val="center"/>
          </w:tcPr>
          <w:p w14:paraId="1C1352CC">
            <w:pPr>
              <w:spacing w:line="300" w:lineRule="exact"/>
              <w:jc w:val="center"/>
              <w:rPr>
                <w:rFonts w:ascii="Times New Roman" w:hAnsi="Times New Roman"/>
                <w:szCs w:val="24"/>
              </w:rPr>
            </w:pPr>
          </w:p>
        </w:tc>
        <w:tc>
          <w:tcPr>
            <w:tcW w:w="1817" w:type="dxa"/>
          </w:tcPr>
          <w:p w14:paraId="7FD6FE02">
            <w:pPr>
              <w:spacing w:line="300" w:lineRule="exact"/>
              <w:jc w:val="center"/>
              <w:rPr>
                <w:rFonts w:ascii="Times New Roman" w:hAnsi="Times New Roman"/>
                <w:szCs w:val="24"/>
              </w:rPr>
            </w:pPr>
          </w:p>
        </w:tc>
      </w:tr>
      <w:tr w14:paraId="54E0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continue"/>
            <w:vAlign w:val="center"/>
          </w:tcPr>
          <w:p w14:paraId="46370520">
            <w:pPr>
              <w:spacing w:line="300" w:lineRule="exact"/>
              <w:jc w:val="center"/>
              <w:rPr>
                <w:rFonts w:ascii="Times New Roman" w:hAnsi="Times New Roman"/>
                <w:szCs w:val="24"/>
              </w:rPr>
            </w:pPr>
          </w:p>
        </w:tc>
        <w:tc>
          <w:tcPr>
            <w:tcW w:w="2061" w:type="dxa"/>
            <w:vMerge w:val="continue"/>
            <w:vAlign w:val="center"/>
          </w:tcPr>
          <w:p w14:paraId="235ECC48">
            <w:pPr>
              <w:spacing w:line="300" w:lineRule="exact"/>
              <w:jc w:val="center"/>
              <w:rPr>
                <w:rFonts w:ascii="Times New Roman" w:hAnsi="Times New Roman"/>
                <w:szCs w:val="24"/>
              </w:rPr>
            </w:pPr>
          </w:p>
        </w:tc>
        <w:tc>
          <w:tcPr>
            <w:tcW w:w="1358" w:type="dxa"/>
            <w:vMerge w:val="continue"/>
            <w:vAlign w:val="center"/>
          </w:tcPr>
          <w:p w14:paraId="2571F34E">
            <w:pPr>
              <w:spacing w:line="300" w:lineRule="exact"/>
              <w:jc w:val="center"/>
              <w:rPr>
                <w:rFonts w:ascii="Times New Roman" w:hAnsi="Times New Roman"/>
                <w:szCs w:val="24"/>
              </w:rPr>
            </w:pPr>
          </w:p>
        </w:tc>
        <w:tc>
          <w:tcPr>
            <w:tcW w:w="2420" w:type="dxa"/>
            <w:vAlign w:val="center"/>
          </w:tcPr>
          <w:p w14:paraId="300C0005">
            <w:pPr>
              <w:spacing w:line="300" w:lineRule="exact"/>
              <w:jc w:val="center"/>
              <w:rPr>
                <w:rFonts w:ascii="Times New Roman" w:hAnsi="Times New Roman"/>
                <w:szCs w:val="24"/>
              </w:rPr>
            </w:pPr>
          </w:p>
        </w:tc>
        <w:tc>
          <w:tcPr>
            <w:tcW w:w="1817" w:type="dxa"/>
          </w:tcPr>
          <w:p w14:paraId="47E033B4">
            <w:pPr>
              <w:spacing w:line="300" w:lineRule="exact"/>
              <w:jc w:val="center"/>
              <w:rPr>
                <w:rFonts w:ascii="Times New Roman" w:hAnsi="Times New Roman"/>
                <w:szCs w:val="24"/>
              </w:rPr>
            </w:pPr>
          </w:p>
        </w:tc>
      </w:tr>
      <w:tr w14:paraId="302E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524" w:type="dxa"/>
            <w:vMerge w:val="continue"/>
            <w:vAlign w:val="center"/>
          </w:tcPr>
          <w:p w14:paraId="0E70ECC9">
            <w:pPr>
              <w:spacing w:line="300" w:lineRule="exact"/>
              <w:jc w:val="center"/>
              <w:rPr>
                <w:rFonts w:ascii="Times New Roman" w:hAnsi="Times New Roman"/>
                <w:szCs w:val="24"/>
              </w:rPr>
            </w:pPr>
          </w:p>
        </w:tc>
        <w:tc>
          <w:tcPr>
            <w:tcW w:w="2061" w:type="dxa"/>
            <w:vMerge w:val="continue"/>
            <w:vAlign w:val="center"/>
          </w:tcPr>
          <w:p w14:paraId="2BFBE863">
            <w:pPr>
              <w:spacing w:line="300" w:lineRule="exact"/>
              <w:jc w:val="center"/>
              <w:rPr>
                <w:rFonts w:ascii="Times New Roman" w:hAnsi="Times New Roman"/>
                <w:szCs w:val="24"/>
              </w:rPr>
            </w:pPr>
          </w:p>
        </w:tc>
        <w:tc>
          <w:tcPr>
            <w:tcW w:w="1358" w:type="dxa"/>
            <w:vMerge w:val="continue"/>
            <w:vAlign w:val="center"/>
          </w:tcPr>
          <w:p w14:paraId="19288B11">
            <w:pPr>
              <w:spacing w:line="300" w:lineRule="exact"/>
              <w:jc w:val="center"/>
              <w:rPr>
                <w:rFonts w:ascii="Times New Roman" w:hAnsi="Times New Roman"/>
                <w:szCs w:val="24"/>
              </w:rPr>
            </w:pPr>
          </w:p>
        </w:tc>
        <w:tc>
          <w:tcPr>
            <w:tcW w:w="2420" w:type="dxa"/>
            <w:vAlign w:val="center"/>
          </w:tcPr>
          <w:p w14:paraId="6FDF88D9">
            <w:pPr>
              <w:spacing w:line="300" w:lineRule="exact"/>
              <w:jc w:val="center"/>
              <w:rPr>
                <w:rFonts w:ascii="Times New Roman" w:hAnsi="Times New Roman"/>
                <w:szCs w:val="24"/>
              </w:rPr>
            </w:pPr>
          </w:p>
        </w:tc>
        <w:tc>
          <w:tcPr>
            <w:tcW w:w="1817" w:type="dxa"/>
          </w:tcPr>
          <w:p w14:paraId="337BD9E4">
            <w:pPr>
              <w:spacing w:line="300" w:lineRule="exact"/>
              <w:jc w:val="center"/>
              <w:rPr>
                <w:rFonts w:ascii="Times New Roman" w:hAnsi="Times New Roman"/>
                <w:szCs w:val="24"/>
              </w:rPr>
            </w:pPr>
          </w:p>
        </w:tc>
      </w:tr>
      <w:tr w14:paraId="6014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524" w:type="dxa"/>
            <w:vMerge w:val="continue"/>
            <w:vAlign w:val="center"/>
          </w:tcPr>
          <w:p w14:paraId="0BA0B506">
            <w:pPr>
              <w:spacing w:line="300" w:lineRule="exact"/>
              <w:jc w:val="center"/>
              <w:rPr>
                <w:rFonts w:ascii="Times New Roman" w:hAnsi="Times New Roman"/>
                <w:szCs w:val="24"/>
              </w:rPr>
            </w:pPr>
          </w:p>
        </w:tc>
        <w:tc>
          <w:tcPr>
            <w:tcW w:w="2061" w:type="dxa"/>
            <w:vMerge w:val="continue"/>
            <w:vAlign w:val="center"/>
          </w:tcPr>
          <w:p w14:paraId="2A69EBCE">
            <w:pPr>
              <w:spacing w:line="300" w:lineRule="exact"/>
              <w:jc w:val="center"/>
              <w:rPr>
                <w:rFonts w:ascii="Times New Roman" w:hAnsi="Times New Roman"/>
                <w:szCs w:val="24"/>
              </w:rPr>
            </w:pPr>
          </w:p>
        </w:tc>
        <w:tc>
          <w:tcPr>
            <w:tcW w:w="1358" w:type="dxa"/>
            <w:vMerge w:val="continue"/>
            <w:vAlign w:val="center"/>
          </w:tcPr>
          <w:p w14:paraId="20949092">
            <w:pPr>
              <w:spacing w:line="300" w:lineRule="exact"/>
              <w:jc w:val="center"/>
              <w:rPr>
                <w:rFonts w:ascii="Times New Roman" w:hAnsi="Times New Roman"/>
                <w:szCs w:val="24"/>
              </w:rPr>
            </w:pPr>
          </w:p>
        </w:tc>
        <w:tc>
          <w:tcPr>
            <w:tcW w:w="2420" w:type="dxa"/>
            <w:vAlign w:val="center"/>
          </w:tcPr>
          <w:p w14:paraId="7426DC95">
            <w:pPr>
              <w:spacing w:line="300" w:lineRule="exact"/>
              <w:jc w:val="center"/>
              <w:rPr>
                <w:rFonts w:ascii="Times New Roman" w:hAnsi="Times New Roman"/>
                <w:szCs w:val="24"/>
              </w:rPr>
            </w:pPr>
          </w:p>
        </w:tc>
        <w:tc>
          <w:tcPr>
            <w:tcW w:w="1817" w:type="dxa"/>
          </w:tcPr>
          <w:p w14:paraId="0AB2B1CD">
            <w:pPr>
              <w:spacing w:line="300" w:lineRule="exact"/>
              <w:jc w:val="center"/>
              <w:rPr>
                <w:rFonts w:ascii="Times New Roman" w:hAnsi="Times New Roman"/>
                <w:szCs w:val="24"/>
              </w:rPr>
            </w:pPr>
          </w:p>
        </w:tc>
      </w:tr>
      <w:tr w14:paraId="4B87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continue"/>
            <w:vAlign w:val="center"/>
          </w:tcPr>
          <w:p w14:paraId="1518DD5D">
            <w:pPr>
              <w:spacing w:line="300" w:lineRule="exact"/>
              <w:jc w:val="center"/>
              <w:rPr>
                <w:rFonts w:ascii="Times New Roman" w:hAnsi="Times New Roman"/>
                <w:szCs w:val="24"/>
              </w:rPr>
            </w:pPr>
          </w:p>
        </w:tc>
        <w:tc>
          <w:tcPr>
            <w:tcW w:w="2061" w:type="dxa"/>
            <w:vMerge w:val="continue"/>
            <w:vAlign w:val="center"/>
          </w:tcPr>
          <w:p w14:paraId="3A7748C9">
            <w:pPr>
              <w:spacing w:line="300" w:lineRule="exact"/>
              <w:jc w:val="center"/>
              <w:rPr>
                <w:rFonts w:ascii="Times New Roman" w:hAnsi="Times New Roman"/>
                <w:szCs w:val="24"/>
              </w:rPr>
            </w:pPr>
          </w:p>
        </w:tc>
        <w:tc>
          <w:tcPr>
            <w:tcW w:w="1358" w:type="dxa"/>
            <w:vMerge w:val="continue"/>
            <w:vAlign w:val="center"/>
          </w:tcPr>
          <w:p w14:paraId="044CEF56">
            <w:pPr>
              <w:spacing w:line="300" w:lineRule="exact"/>
              <w:jc w:val="center"/>
              <w:rPr>
                <w:rFonts w:ascii="Times New Roman" w:hAnsi="Times New Roman"/>
                <w:szCs w:val="24"/>
              </w:rPr>
            </w:pPr>
          </w:p>
        </w:tc>
        <w:tc>
          <w:tcPr>
            <w:tcW w:w="2420" w:type="dxa"/>
            <w:vAlign w:val="center"/>
          </w:tcPr>
          <w:p w14:paraId="489F64CD">
            <w:pPr>
              <w:spacing w:line="300" w:lineRule="exact"/>
              <w:jc w:val="center"/>
              <w:rPr>
                <w:rFonts w:ascii="Times New Roman" w:hAnsi="Times New Roman"/>
                <w:szCs w:val="24"/>
              </w:rPr>
            </w:pPr>
          </w:p>
        </w:tc>
        <w:tc>
          <w:tcPr>
            <w:tcW w:w="1817" w:type="dxa"/>
          </w:tcPr>
          <w:p w14:paraId="2D63DA99">
            <w:pPr>
              <w:spacing w:line="300" w:lineRule="exact"/>
              <w:jc w:val="center"/>
              <w:rPr>
                <w:rFonts w:ascii="Times New Roman" w:hAnsi="Times New Roman"/>
                <w:szCs w:val="24"/>
              </w:rPr>
            </w:pPr>
          </w:p>
        </w:tc>
      </w:tr>
      <w:tr w14:paraId="6249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restart"/>
            <w:vAlign w:val="center"/>
          </w:tcPr>
          <w:p w14:paraId="7AFEB634">
            <w:pPr>
              <w:spacing w:line="300" w:lineRule="exact"/>
              <w:jc w:val="center"/>
              <w:rPr>
                <w:rFonts w:ascii="Times New Roman" w:hAnsi="Times New Roman"/>
                <w:szCs w:val="24"/>
              </w:rPr>
            </w:pPr>
          </w:p>
        </w:tc>
        <w:tc>
          <w:tcPr>
            <w:tcW w:w="2061" w:type="dxa"/>
            <w:vMerge w:val="restart"/>
            <w:vAlign w:val="center"/>
          </w:tcPr>
          <w:p w14:paraId="0BCCF194">
            <w:pPr>
              <w:spacing w:line="300" w:lineRule="exact"/>
              <w:jc w:val="center"/>
              <w:rPr>
                <w:rFonts w:ascii="Times New Roman" w:hAnsi="Times New Roman"/>
                <w:szCs w:val="24"/>
              </w:rPr>
            </w:pPr>
          </w:p>
        </w:tc>
        <w:tc>
          <w:tcPr>
            <w:tcW w:w="1358" w:type="dxa"/>
            <w:vMerge w:val="restart"/>
            <w:vAlign w:val="center"/>
          </w:tcPr>
          <w:p w14:paraId="3CF07B49">
            <w:pPr>
              <w:spacing w:line="300" w:lineRule="exact"/>
              <w:jc w:val="center"/>
              <w:rPr>
                <w:rFonts w:ascii="Times New Roman" w:hAnsi="Times New Roman"/>
                <w:szCs w:val="24"/>
              </w:rPr>
            </w:pPr>
          </w:p>
        </w:tc>
        <w:tc>
          <w:tcPr>
            <w:tcW w:w="2420" w:type="dxa"/>
            <w:vAlign w:val="center"/>
          </w:tcPr>
          <w:p w14:paraId="36A12470">
            <w:pPr>
              <w:spacing w:line="300" w:lineRule="exact"/>
              <w:jc w:val="center"/>
              <w:rPr>
                <w:rFonts w:ascii="Times New Roman" w:hAnsi="Times New Roman"/>
                <w:szCs w:val="24"/>
              </w:rPr>
            </w:pPr>
          </w:p>
        </w:tc>
        <w:tc>
          <w:tcPr>
            <w:tcW w:w="1817" w:type="dxa"/>
          </w:tcPr>
          <w:p w14:paraId="37F7EA0C">
            <w:pPr>
              <w:spacing w:line="300" w:lineRule="exact"/>
              <w:jc w:val="center"/>
              <w:rPr>
                <w:rFonts w:ascii="Times New Roman" w:hAnsi="Times New Roman"/>
                <w:szCs w:val="24"/>
              </w:rPr>
            </w:pPr>
          </w:p>
        </w:tc>
      </w:tr>
      <w:tr w14:paraId="051F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continue"/>
            <w:vAlign w:val="center"/>
          </w:tcPr>
          <w:p w14:paraId="1909586B">
            <w:pPr>
              <w:spacing w:line="300" w:lineRule="exact"/>
              <w:rPr>
                <w:rFonts w:ascii="Times New Roman" w:hAnsi="Times New Roman"/>
                <w:szCs w:val="24"/>
              </w:rPr>
            </w:pPr>
          </w:p>
        </w:tc>
        <w:tc>
          <w:tcPr>
            <w:tcW w:w="2061" w:type="dxa"/>
            <w:vMerge w:val="continue"/>
            <w:vAlign w:val="center"/>
          </w:tcPr>
          <w:p w14:paraId="0F8F772F">
            <w:pPr>
              <w:spacing w:line="300" w:lineRule="exact"/>
              <w:jc w:val="center"/>
              <w:rPr>
                <w:rFonts w:ascii="Times New Roman" w:hAnsi="Times New Roman"/>
                <w:szCs w:val="24"/>
              </w:rPr>
            </w:pPr>
          </w:p>
        </w:tc>
        <w:tc>
          <w:tcPr>
            <w:tcW w:w="1358" w:type="dxa"/>
            <w:vMerge w:val="continue"/>
            <w:vAlign w:val="center"/>
          </w:tcPr>
          <w:p w14:paraId="10F63F51">
            <w:pPr>
              <w:spacing w:line="300" w:lineRule="exact"/>
              <w:jc w:val="center"/>
              <w:rPr>
                <w:rFonts w:ascii="Times New Roman" w:hAnsi="Times New Roman"/>
                <w:szCs w:val="24"/>
              </w:rPr>
            </w:pPr>
          </w:p>
        </w:tc>
        <w:tc>
          <w:tcPr>
            <w:tcW w:w="2420" w:type="dxa"/>
            <w:vAlign w:val="center"/>
          </w:tcPr>
          <w:p w14:paraId="24082DA3">
            <w:pPr>
              <w:spacing w:line="300" w:lineRule="exact"/>
              <w:jc w:val="center"/>
              <w:rPr>
                <w:rFonts w:ascii="Times New Roman" w:hAnsi="Times New Roman"/>
                <w:szCs w:val="24"/>
              </w:rPr>
            </w:pPr>
          </w:p>
        </w:tc>
        <w:tc>
          <w:tcPr>
            <w:tcW w:w="1817" w:type="dxa"/>
          </w:tcPr>
          <w:p w14:paraId="5E987704">
            <w:pPr>
              <w:spacing w:line="300" w:lineRule="exact"/>
              <w:jc w:val="center"/>
              <w:rPr>
                <w:rFonts w:ascii="Times New Roman" w:hAnsi="Times New Roman"/>
                <w:szCs w:val="24"/>
              </w:rPr>
            </w:pPr>
          </w:p>
        </w:tc>
      </w:tr>
      <w:tr w14:paraId="5024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continue"/>
            <w:vAlign w:val="center"/>
          </w:tcPr>
          <w:p w14:paraId="002AD17E">
            <w:pPr>
              <w:spacing w:line="300" w:lineRule="exact"/>
              <w:jc w:val="center"/>
              <w:rPr>
                <w:rFonts w:ascii="Times New Roman" w:hAnsi="Times New Roman"/>
                <w:szCs w:val="24"/>
              </w:rPr>
            </w:pPr>
          </w:p>
        </w:tc>
        <w:tc>
          <w:tcPr>
            <w:tcW w:w="2061" w:type="dxa"/>
            <w:vMerge w:val="continue"/>
            <w:vAlign w:val="center"/>
          </w:tcPr>
          <w:p w14:paraId="37C4C183">
            <w:pPr>
              <w:spacing w:line="300" w:lineRule="exact"/>
              <w:jc w:val="center"/>
              <w:rPr>
                <w:rFonts w:ascii="Times New Roman" w:hAnsi="Times New Roman"/>
                <w:szCs w:val="24"/>
              </w:rPr>
            </w:pPr>
          </w:p>
        </w:tc>
        <w:tc>
          <w:tcPr>
            <w:tcW w:w="1358" w:type="dxa"/>
            <w:vMerge w:val="continue"/>
            <w:vAlign w:val="center"/>
          </w:tcPr>
          <w:p w14:paraId="5965DD45">
            <w:pPr>
              <w:spacing w:line="300" w:lineRule="exact"/>
              <w:jc w:val="center"/>
              <w:rPr>
                <w:rFonts w:ascii="Times New Roman" w:hAnsi="Times New Roman"/>
                <w:szCs w:val="24"/>
              </w:rPr>
            </w:pPr>
          </w:p>
        </w:tc>
        <w:tc>
          <w:tcPr>
            <w:tcW w:w="2420" w:type="dxa"/>
            <w:vAlign w:val="center"/>
          </w:tcPr>
          <w:p w14:paraId="1FB29BBF">
            <w:pPr>
              <w:spacing w:line="300" w:lineRule="exact"/>
              <w:jc w:val="center"/>
              <w:rPr>
                <w:rFonts w:ascii="Times New Roman" w:hAnsi="Times New Roman"/>
                <w:szCs w:val="24"/>
              </w:rPr>
            </w:pPr>
          </w:p>
        </w:tc>
        <w:tc>
          <w:tcPr>
            <w:tcW w:w="1817" w:type="dxa"/>
          </w:tcPr>
          <w:p w14:paraId="538F3BA9">
            <w:pPr>
              <w:spacing w:line="300" w:lineRule="exact"/>
              <w:jc w:val="center"/>
              <w:rPr>
                <w:rFonts w:ascii="Times New Roman" w:hAnsi="Times New Roman"/>
                <w:szCs w:val="24"/>
              </w:rPr>
            </w:pPr>
          </w:p>
        </w:tc>
      </w:tr>
      <w:tr w14:paraId="0482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continue"/>
            <w:vAlign w:val="center"/>
          </w:tcPr>
          <w:p w14:paraId="470EF0A6">
            <w:pPr>
              <w:spacing w:line="300" w:lineRule="exact"/>
              <w:jc w:val="center"/>
              <w:rPr>
                <w:rFonts w:ascii="Times New Roman" w:hAnsi="Times New Roman"/>
                <w:szCs w:val="24"/>
              </w:rPr>
            </w:pPr>
          </w:p>
        </w:tc>
        <w:tc>
          <w:tcPr>
            <w:tcW w:w="2061" w:type="dxa"/>
            <w:vMerge w:val="continue"/>
            <w:vAlign w:val="center"/>
          </w:tcPr>
          <w:p w14:paraId="3C4FE3F0">
            <w:pPr>
              <w:spacing w:line="300" w:lineRule="exact"/>
              <w:jc w:val="center"/>
              <w:rPr>
                <w:rFonts w:ascii="Times New Roman" w:hAnsi="Times New Roman"/>
                <w:szCs w:val="24"/>
              </w:rPr>
            </w:pPr>
          </w:p>
        </w:tc>
        <w:tc>
          <w:tcPr>
            <w:tcW w:w="1358" w:type="dxa"/>
            <w:vMerge w:val="continue"/>
            <w:vAlign w:val="center"/>
          </w:tcPr>
          <w:p w14:paraId="0340751A">
            <w:pPr>
              <w:spacing w:line="300" w:lineRule="exact"/>
              <w:jc w:val="center"/>
              <w:rPr>
                <w:rFonts w:ascii="Times New Roman" w:hAnsi="Times New Roman"/>
                <w:szCs w:val="24"/>
              </w:rPr>
            </w:pPr>
          </w:p>
        </w:tc>
        <w:tc>
          <w:tcPr>
            <w:tcW w:w="2420" w:type="dxa"/>
            <w:vAlign w:val="center"/>
          </w:tcPr>
          <w:p w14:paraId="7FFFE8F2">
            <w:pPr>
              <w:spacing w:line="300" w:lineRule="exact"/>
              <w:jc w:val="center"/>
              <w:rPr>
                <w:rFonts w:ascii="Times New Roman" w:hAnsi="Times New Roman"/>
                <w:szCs w:val="24"/>
              </w:rPr>
            </w:pPr>
          </w:p>
        </w:tc>
        <w:tc>
          <w:tcPr>
            <w:tcW w:w="1817" w:type="dxa"/>
          </w:tcPr>
          <w:p w14:paraId="60B3DAC9">
            <w:pPr>
              <w:spacing w:line="300" w:lineRule="exact"/>
              <w:jc w:val="center"/>
              <w:rPr>
                <w:rFonts w:ascii="Times New Roman" w:hAnsi="Times New Roman"/>
                <w:szCs w:val="24"/>
              </w:rPr>
            </w:pPr>
          </w:p>
        </w:tc>
      </w:tr>
      <w:tr w14:paraId="17C5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continue"/>
            <w:vAlign w:val="center"/>
          </w:tcPr>
          <w:p w14:paraId="58D0E73D">
            <w:pPr>
              <w:spacing w:line="300" w:lineRule="exact"/>
              <w:jc w:val="center"/>
              <w:rPr>
                <w:rFonts w:ascii="Times New Roman" w:hAnsi="Times New Roman"/>
                <w:szCs w:val="24"/>
              </w:rPr>
            </w:pPr>
          </w:p>
        </w:tc>
        <w:tc>
          <w:tcPr>
            <w:tcW w:w="2061" w:type="dxa"/>
            <w:vMerge w:val="continue"/>
            <w:vAlign w:val="center"/>
          </w:tcPr>
          <w:p w14:paraId="686BF40E">
            <w:pPr>
              <w:spacing w:line="300" w:lineRule="exact"/>
              <w:jc w:val="center"/>
              <w:rPr>
                <w:rFonts w:ascii="Times New Roman" w:hAnsi="Times New Roman"/>
                <w:szCs w:val="24"/>
              </w:rPr>
            </w:pPr>
          </w:p>
        </w:tc>
        <w:tc>
          <w:tcPr>
            <w:tcW w:w="1358" w:type="dxa"/>
            <w:vMerge w:val="continue"/>
            <w:vAlign w:val="center"/>
          </w:tcPr>
          <w:p w14:paraId="6B69AF9D">
            <w:pPr>
              <w:spacing w:line="300" w:lineRule="exact"/>
              <w:jc w:val="center"/>
              <w:rPr>
                <w:rFonts w:ascii="Times New Roman" w:hAnsi="Times New Roman"/>
                <w:szCs w:val="24"/>
              </w:rPr>
            </w:pPr>
          </w:p>
        </w:tc>
        <w:tc>
          <w:tcPr>
            <w:tcW w:w="2420" w:type="dxa"/>
            <w:vAlign w:val="center"/>
          </w:tcPr>
          <w:p w14:paraId="6FB9980C">
            <w:pPr>
              <w:spacing w:line="300" w:lineRule="exact"/>
              <w:jc w:val="center"/>
              <w:rPr>
                <w:rFonts w:ascii="Times New Roman" w:hAnsi="Times New Roman"/>
                <w:szCs w:val="24"/>
              </w:rPr>
            </w:pPr>
          </w:p>
        </w:tc>
        <w:tc>
          <w:tcPr>
            <w:tcW w:w="1817" w:type="dxa"/>
          </w:tcPr>
          <w:p w14:paraId="11BD97C5">
            <w:pPr>
              <w:spacing w:line="300" w:lineRule="exact"/>
              <w:jc w:val="center"/>
              <w:rPr>
                <w:rFonts w:ascii="Times New Roman" w:hAnsi="Times New Roman"/>
                <w:szCs w:val="24"/>
              </w:rPr>
            </w:pPr>
          </w:p>
        </w:tc>
      </w:tr>
      <w:tr w14:paraId="34DC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9" w:hRule="atLeast"/>
        </w:trPr>
        <w:tc>
          <w:tcPr>
            <w:tcW w:w="9180" w:type="dxa"/>
            <w:gridSpan w:val="5"/>
          </w:tcPr>
          <w:p w14:paraId="2582A2D0">
            <w:pPr>
              <w:spacing w:line="300" w:lineRule="exact"/>
              <w:rPr>
                <w:rFonts w:ascii="Times New Roman" w:eastAsia="黑体"/>
                <w:sz w:val="24"/>
                <w:szCs w:val="24"/>
              </w:rPr>
            </w:pPr>
          </w:p>
          <w:p w14:paraId="72A77285">
            <w:pPr>
              <w:spacing w:line="300" w:lineRule="exact"/>
              <w:rPr>
                <w:rFonts w:ascii="Times New Roman"/>
                <w:szCs w:val="24"/>
              </w:rPr>
            </w:pPr>
            <w:r>
              <w:rPr>
                <w:rFonts w:ascii="Times New Roman" w:eastAsia="黑体"/>
                <w:sz w:val="24"/>
                <w:szCs w:val="24"/>
              </w:rPr>
              <w:t>表</w:t>
            </w:r>
            <w:r>
              <w:rPr>
                <w:rFonts w:ascii="Times New Roman" w:hAnsi="Times New Roman" w:eastAsia="黑体"/>
                <w:sz w:val="24"/>
                <w:szCs w:val="24"/>
              </w:rPr>
              <w:t xml:space="preserve">2 </w:t>
            </w:r>
            <w:r>
              <w:rPr>
                <w:rFonts w:ascii="Times New Roman" w:eastAsia="黑体"/>
                <w:sz w:val="24"/>
                <w:szCs w:val="24"/>
              </w:rPr>
              <w:t>与申请转移废物相关的生产工艺</w:t>
            </w:r>
          </w:p>
          <w:p w14:paraId="0248335A">
            <w:pPr>
              <w:spacing w:line="300" w:lineRule="exact"/>
              <w:rPr>
                <w:rFonts w:ascii="Times New Roman"/>
                <w:szCs w:val="24"/>
              </w:rPr>
            </w:pPr>
            <w:r>
              <w:rPr>
                <w:sz w:val="21"/>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43180</wp:posOffset>
                      </wp:positionV>
                      <wp:extent cx="5829300" cy="0"/>
                      <wp:effectExtent l="0" t="4445" r="0" b="5080"/>
                      <wp:wrapNone/>
                      <wp:docPr id="12" name="直接连接符 12"/>
                      <wp:cNvGraphicFramePr/>
                      <a:graphic xmlns:a="http://schemas.openxmlformats.org/drawingml/2006/main">
                        <a:graphicData uri="http://schemas.microsoft.com/office/word/2010/wordprocessingShape">
                          <wps:wsp>
                            <wps:cNvCnPr/>
                            <wps:spPr>
                              <a:xfrm>
                                <a:off x="804545" y="1459230"/>
                                <a:ext cx="582930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9pt;margin-top:3.4pt;height:0pt;width:459pt;z-index:251660288;mso-width-relative:page;mso-height-relative:page;" filled="f" stroked="t" coordsize="21600,21600" o:gfxdata="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2eJ2tUAAAAG&#10;AQAADwAAAAAAAAABACAAAAAiAAAAZHJzL2Rvd25yZXYueG1sUEsBAhQAFAAAAAgAh07iQMb9Dofm&#10;AQAApwMAAA4AAAAAAAAAAQAgAAAAJAEAAGRycy9lMm9Eb2MueG1sUEsFBgAAAAAGAAYAWQEAAHwF&#10;AAAAAA==&#10;">
                      <v:fill on="f" focussize="0,0"/>
                      <v:stroke weight="0.25pt" color="#000000 [3213]" joinstyle="round"/>
                      <v:imagedata o:title=""/>
                      <o:lock v:ext="edit" aspectratio="f"/>
                    </v:line>
                  </w:pict>
                </mc:Fallback>
              </mc:AlternateContent>
            </w:r>
          </w:p>
          <w:p w14:paraId="510167A7">
            <w:pPr>
              <w:spacing w:line="300" w:lineRule="exact"/>
              <w:rPr>
                <w:rFonts w:ascii="Times New Roman"/>
                <w:szCs w:val="24"/>
              </w:rPr>
            </w:pPr>
          </w:p>
          <w:p w14:paraId="152907CC">
            <w:pPr>
              <w:spacing w:line="300" w:lineRule="exact"/>
              <w:rPr>
                <w:rFonts w:ascii="Times New Roman" w:hAnsi="Times New Roman"/>
                <w:szCs w:val="24"/>
              </w:rPr>
            </w:pPr>
            <w:r>
              <w:rPr>
                <w:rFonts w:ascii="Times New Roman"/>
                <w:szCs w:val="24"/>
              </w:rPr>
              <w:t>文字描述及工艺流程图</w:t>
            </w:r>
          </w:p>
          <w:p w14:paraId="4A0AFBF4">
            <w:pPr>
              <w:pBdr>
                <w:top w:val="none" w:color="auto" w:sz="0" w:space="1"/>
                <w:left w:val="none" w:color="auto" w:sz="0" w:space="4"/>
                <w:bottom w:val="none" w:color="auto" w:sz="0" w:space="1"/>
                <w:right w:val="none" w:color="auto" w:sz="0" w:space="4"/>
              </w:pBdr>
              <w:spacing w:line="360" w:lineRule="auto"/>
              <w:rPr>
                <w:b/>
                <w:sz w:val="24"/>
              </w:rPr>
            </w:pPr>
            <w:r>
              <w:rPr>
                <w:rFonts w:hint="eastAsia"/>
                <w:b/>
                <w:sz w:val="24"/>
              </w:rPr>
              <w:t>工艺流程</w:t>
            </w:r>
            <w:r>
              <w:rPr>
                <w:rFonts w:hint="eastAsia"/>
                <w:b/>
                <w:sz w:val="24"/>
                <w:lang w:eastAsia="zh-CN"/>
              </w:rPr>
              <w:t>文字描述</w:t>
            </w:r>
            <w:r>
              <w:rPr>
                <w:rFonts w:hint="eastAsia"/>
                <w:b/>
                <w:sz w:val="24"/>
              </w:rPr>
              <w:t>：</w:t>
            </w:r>
          </w:p>
          <w:p w14:paraId="10898BAE">
            <w:pPr>
              <w:spacing w:line="300" w:lineRule="exact"/>
              <w:rPr>
                <w:rFonts w:ascii="Times New Roman"/>
                <w:szCs w:val="24"/>
              </w:rPr>
            </w:pPr>
            <w:r>
              <w:rPr>
                <w:rFonts w:hint="eastAsia" w:ascii="Times New Roman"/>
                <w:szCs w:val="24"/>
              </w:rPr>
              <w:t>废矿物油</w:t>
            </w:r>
            <w:r>
              <w:rPr>
                <w:rFonts w:hint="eastAsia" w:ascii="Times New Roman"/>
                <w:szCs w:val="24"/>
                <w:lang w:val="en-GB"/>
              </w:rPr>
              <w:t>经专用的运输车辆运至储罐区，通过专用泵和软管装入储罐内。废矿物油在装车前，通过专用泵对罐内储油进行搅拌，使罐内油品混合均匀。再将收集的废矿物油通过专用的泵和软管将储罐内的物料装至由下游接收厂家</w:t>
            </w:r>
            <w:r>
              <w:rPr>
                <w:rFonts w:hint="eastAsia" w:ascii="Times New Roman"/>
                <w:szCs w:val="24"/>
              </w:rPr>
              <w:t>派遣的有运输资质的</w:t>
            </w:r>
            <w:r>
              <w:rPr>
                <w:rFonts w:hint="eastAsia" w:ascii="Times New Roman"/>
                <w:szCs w:val="24"/>
                <w:lang w:val="en-GB"/>
              </w:rPr>
              <w:t>槽罐车内，运至下游接收厂家处理。</w:t>
            </w:r>
          </w:p>
          <w:p w14:paraId="22E1333E">
            <w:pPr>
              <w:spacing w:line="300" w:lineRule="exact"/>
              <w:rPr>
                <w:rFonts w:ascii="Times New Roman" w:hAnsi="Times New Roman"/>
                <w:szCs w:val="24"/>
              </w:rPr>
            </w:pPr>
          </w:p>
          <w:p w14:paraId="536C3FF3">
            <w:pPr>
              <w:spacing w:line="300" w:lineRule="exact"/>
              <w:rPr>
                <w:rFonts w:hint="eastAsia"/>
                <w:b/>
                <w:sz w:val="24"/>
                <w:lang w:eastAsia="zh-CN"/>
              </w:rPr>
            </w:pPr>
            <w:r>
              <w:rPr>
                <w:rFonts w:ascii="Times New Roman" w:hAnsi="Times New Roman"/>
                <w:szCs w:val="24"/>
              </w:rPr>
              <w:drawing>
                <wp:anchor distT="0" distB="0" distL="114300" distR="114300" simplePos="0" relativeHeight="251659264" behindDoc="0" locked="0" layoutInCell="1" allowOverlap="1">
                  <wp:simplePos x="0" y="0"/>
                  <wp:positionH relativeFrom="column">
                    <wp:posOffset>1390650</wp:posOffset>
                  </wp:positionH>
                  <wp:positionV relativeFrom="paragraph">
                    <wp:posOffset>42545</wp:posOffset>
                  </wp:positionV>
                  <wp:extent cx="3022600" cy="2490470"/>
                  <wp:effectExtent l="0" t="0" r="0" b="0"/>
                  <wp:wrapSquare wrapText="bothSides"/>
                  <wp:docPr id="3" name="ECB019B1-382A-4266-B25C-5B523AA43C14-1"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qt_temp"/>
                          <pic:cNvPicPr>
                            <a:picLocks noChangeAspect="1"/>
                          </pic:cNvPicPr>
                        </pic:nvPicPr>
                        <pic:blipFill>
                          <a:blip r:embed="rId6"/>
                          <a:stretch>
                            <a:fillRect/>
                          </a:stretch>
                        </pic:blipFill>
                        <pic:spPr>
                          <a:xfrm>
                            <a:off x="0" y="0"/>
                            <a:ext cx="3022600" cy="2490470"/>
                          </a:xfrm>
                          <a:prstGeom prst="rect">
                            <a:avLst/>
                          </a:prstGeom>
                        </pic:spPr>
                      </pic:pic>
                    </a:graphicData>
                  </a:graphic>
                </wp:anchor>
              </w:drawing>
            </w:r>
            <w:r>
              <w:rPr>
                <w:rFonts w:hint="eastAsia"/>
                <w:b/>
                <w:sz w:val="24"/>
              </w:rPr>
              <w:t>工艺流程</w:t>
            </w:r>
            <w:r>
              <w:rPr>
                <w:rFonts w:hint="eastAsia"/>
                <w:b/>
                <w:sz w:val="24"/>
                <w:lang w:eastAsia="zh-CN"/>
              </w:rPr>
              <w:t>图：</w:t>
            </w:r>
          </w:p>
          <w:p w14:paraId="63C81637">
            <w:pPr>
              <w:spacing w:line="300" w:lineRule="exact"/>
              <w:rPr>
                <w:rFonts w:hint="eastAsia"/>
                <w:b/>
                <w:sz w:val="24"/>
                <w:lang w:eastAsia="zh-CN"/>
              </w:rPr>
            </w:pPr>
          </w:p>
          <w:p w14:paraId="0A26368D">
            <w:pPr>
              <w:spacing w:line="300" w:lineRule="exact"/>
              <w:rPr>
                <w:rFonts w:ascii="Times New Roman" w:hAnsi="Times New Roman"/>
                <w:szCs w:val="24"/>
              </w:rPr>
            </w:pPr>
          </w:p>
          <w:p w14:paraId="67C5E743">
            <w:pPr>
              <w:spacing w:line="300" w:lineRule="exact"/>
              <w:rPr>
                <w:rFonts w:ascii="Times New Roman" w:hAnsi="Times New Roman"/>
                <w:szCs w:val="24"/>
              </w:rPr>
            </w:pPr>
          </w:p>
          <w:p w14:paraId="3883B1EE">
            <w:pPr>
              <w:spacing w:line="300" w:lineRule="exact"/>
              <w:rPr>
                <w:rFonts w:ascii="Times New Roman" w:hAnsi="Times New Roman"/>
                <w:szCs w:val="24"/>
              </w:rPr>
            </w:pPr>
          </w:p>
          <w:p w14:paraId="50D54FE4">
            <w:pPr>
              <w:spacing w:line="300" w:lineRule="exact"/>
              <w:rPr>
                <w:rFonts w:ascii="Times New Roman" w:hAnsi="Times New Roman"/>
                <w:szCs w:val="24"/>
              </w:rPr>
            </w:pPr>
          </w:p>
          <w:p w14:paraId="1965AAB6">
            <w:pPr>
              <w:spacing w:line="300" w:lineRule="exact"/>
              <w:rPr>
                <w:rFonts w:ascii="Times New Roman" w:hAnsi="Times New Roman"/>
                <w:szCs w:val="24"/>
              </w:rPr>
            </w:pPr>
          </w:p>
          <w:p w14:paraId="3CE2C0B8">
            <w:pPr>
              <w:spacing w:line="300" w:lineRule="exact"/>
              <w:rPr>
                <w:rFonts w:ascii="Times New Roman" w:hAnsi="Times New Roman"/>
                <w:szCs w:val="24"/>
              </w:rPr>
            </w:pPr>
          </w:p>
          <w:p w14:paraId="47CAFD8E">
            <w:pPr>
              <w:spacing w:line="300" w:lineRule="exact"/>
              <w:rPr>
                <w:rFonts w:ascii="Times New Roman" w:hAnsi="Times New Roman"/>
                <w:szCs w:val="24"/>
              </w:rPr>
            </w:pPr>
          </w:p>
          <w:p w14:paraId="1F8851F6">
            <w:pPr>
              <w:spacing w:line="300" w:lineRule="exact"/>
              <w:rPr>
                <w:rFonts w:ascii="Times New Roman" w:hAnsi="Times New Roman"/>
                <w:szCs w:val="24"/>
              </w:rPr>
            </w:pPr>
          </w:p>
        </w:tc>
      </w:tr>
    </w:tbl>
    <w:p w14:paraId="0EDC738A">
      <w:pPr>
        <w:rPr>
          <w:rFonts w:ascii="Times New Roman" w:hAnsi="Times New Roman" w:eastAsia="仿宋_GB2312"/>
          <w:sz w:val="28"/>
        </w:rPr>
      </w:pPr>
    </w:p>
    <w:tbl>
      <w:tblPr>
        <w:tblStyle w:val="7"/>
        <w:tblW w:w="913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1769"/>
        <w:gridCol w:w="1680"/>
        <w:gridCol w:w="2205"/>
        <w:gridCol w:w="1680"/>
      </w:tblGrid>
      <w:tr w14:paraId="0E98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135" w:type="dxa"/>
            <w:gridSpan w:val="5"/>
            <w:vAlign w:val="center"/>
          </w:tcPr>
          <w:p w14:paraId="4D7E05FC">
            <w:pPr>
              <w:rPr>
                <w:rFonts w:ascii="Times New Roman" w:hAnsi="Times New Roman"/>
                <w:sz w:val="24"/>
                <w:szCs w:val="24"/>
              </w:rPr>
            </w:pPr>
            <w:r>
              <w:rPr>
                <w:rFonts w:ascii="Times New Roman" w:eastAsia="黑体"/>
                <w:sz w:val="24"/>
                <w:szCs w:val="24"/>
              </w:rPr>
              <w:t>表</w:t>
            </w:r>
            <w:r>
              <w:rPr>
                <w:rFonts w:ascii="Times New Roman" w:hAnsi="Times New Roman" w:eastAsia="黑体"/>
                <w:sz w:val="24"/>
                <w:szCs w:val="24"/>
              </w:rPr>
              <w:t xml:space="preserve">3   </w:t>
            </w:r>
            <w:r>
              <w:rPr>
                <w:rFonts w:ascii="Times New Roman" w:eastAsia="黑体"/>
                <w:sz w:val="24"/>
                <w:szCs w:val="24"/>
              </w:rPr>
              <w:t>废物组分、特性（详见附件）</w:t>
            </w:r>
          </w:p>
        </w:tc>
      </w:tr>
      <w:tr w14:paraId="09F8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1" w:type="dxa"/>
            <w:vAlign w:val="center"/>
          </w:tcPr>
          <w:p w14:paraId="25AFEA68">
            <w:pPr>
              <w:spacing w:line="240" w:lineRule="auto"/>
              <w:rPr>
                <w:rFonts w:ascii="Times New Roman" w:hAnsi="Times New Roman"/>
                <w:szCs w:val="21"/>
              </w:rPr>
            </w:pPr>
            <w:r>
              <w:rPr>
                <w:rFonts w:ascii="Times New Roman" w:hAnsi="宋体"/>
                <w:szCs w:val="21"/>
              </w:rPr>
              <w:t>废物名称</w:t>
            </w:r>
          </w:p>
        </w:tc>
        <w:tc>
          <w:tcPr>
            <w:tcW w:w="1769" w:type="dxa"/>
            <w:vAlign w:val="center"/>
          </w:tcPr>
          <w:p w14:paraId="31332D2D">
            <w:pPr>
              <w:spacing w:line="240" w:lineRule="auto"/>
              <w:rPr>
                <w:rFonts w:ascii="Times New Roman" w:hAnsi="Times New Roman"/>
                <w:szCs w:val="21"/>
              </w:rPr>
            </w:pPr>
            <w:r>
              <w:rPr>
                <w:rFonts w:ascii="Times New Roman" w:hAnsi="宋体"/>
                <w:szCs w:val="21"/>
              </w:rPr>
              <w:t>主要组分</w:t>
            </w:r>
          </w:p>
        </w:tc>
        <w:tc>
          <w:tcPr>
            <w:tcW w:w="1680" w:type="dxa"/>
            <w:vAlign w:val="center"/>
          </w:tcPr>
          <w:p w14:paraId="1CD1B206">
            <w:pPr>
              <w:spacing w:line="240" w:lineRule="auto"/>
              <w:rPr>
                <w:rFonts w:ascii="Times New Roman" w:hAnsi="Times New Roman"/>
                <w:szCs w:val="21"/>
              </w:rPr>
            </w:pPr>
            <w:r>
              <w:rPr>
                <w:rFonts w:ascii="Times New Roman" w:hAnsi="宋体"/>
                <w:szCs w:val="21"/>
              </w:rPr>
              <w:t>相应比例（</w:t>
            </w:r>
            <w:r>
              <w:rPr>
                <w:rFonts w:ascii="Times New Roman" w:hAnsi="Times New Roman"/>
                <w:szCs w:val="21"/>
              </w:rPr>
              <w:t>%</w:t>
            </w:r>
            <w:r>
              <w:rPr>
                <w:rFonts w:ascii="Times New Roman" w:hAnsi="宋体"/>
                <w:szCs w:val="21"/>
              </w:rPr>
              <w:t>）</w:t>
            </w:r>
          </w:p>
        </w:tc>
        <w:tc>
          <w:tcPr>
            <w:tcW w:w="2205" w:type="dxa"/>
            <w:vAlign w:val="center"/>
          </w:tcPr>
          <w:p w14:paraId="073BB6FC">
            <w:pPr>
              <w:spacing w:line="240" w:lineRule="auto"/>
              <w:rPr>
                <w:rFonts w:ascii="Times New Roman" w:hAnsi="Times New Roman"/>
                <w:szCs w:val="21"/>
              </w:rPr>
            </w:pPr>
            <w:r>
              <w:rPr>
                <w:rFonts w:ascii="Times New Roman" w:hAnsi="宋体"/>
                <w:szCs w:val="21"/>
              </w:rPr>
              <w:t>危害特性</w:t>
            </w:r>
          </w:p>
        </w:tc>
        <w:tc>
          <w:tcPr>
            <w:tcW w:w="1680" w:type="dxa"/>
            <w:vAlign w:val="center"/>
          </w:tcPr>
          <w:p w14:paraId="2CFEDA09">
            <w:pPr>
              <w:spacing w:line="240" w:lineRule="auto"/>
              <w:rPr>
                <w:rFonts w:ascii="Times New Roman" w:hAnsi="Times New Roman"/>
                <w:szCs w:val="21"/>
              </w:rPr>
            </w:pPr>
            <w:r>
              <w:rPr>
                <w:rFonts w:ascii="Times New Roman" w:hAnsi="宋体"/>
                <w:szCs w:val="21"/>
              </w:rPr>
              <w:t>形态</w:t>
            </w:r>
          </w:p>
        </w:tc>
      </w:tr>
      <w:tr w14:paraId="4D7D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vMerge w:val="restart"/>
          </w:tcPr>
          <w:p w14:paraId="05A2416D">
            <w:pPr>
              <w:spacing w:line="240" w:lineRule="auto"/>
              <w:jc w:val="left"/>
              <w:rPr>
                <w:rFonts w:ascii="Times New Roman" w:hAnsi="Times New Roman"/>
                <w:szCs w:val="21"/>
              </w:rPr>
            </w:pPr>
            <w:r>
              <w:rPr>
                <w:rFonts w:hint="eastAsia" w:ascii="Times New Roman" w:hAnsi="Times New Roman"/>
                <w:szCs w:val="21"/>
              </w:rPr>
              <w:t>废机油</w:t>
            </w:r>
          </w:p>
        </w:tc>
        <w:tc>
          <w:tcPr>
            <w:tcW w:w="1769" w:type="dxa"/>
          </w:tcPr>
          <w:p w14:paraId="7EF1FB8E">
            <w:pPr>
              <w:spacing w:line="240" w:lineRule="auto"/>
              <w:rPr>
                <w:rFonts w:hint="eastAsia" w:ascii="Times New Roman" w:hAnsi="Times New Roman" w:eastAsia="宋体"/>
                <w:szCs w:val="21"/>
                <w:lang w:eastAsia="zh-CN"/>
              </w:rPr>
            </w:pPr>
            <w:r>
              <w:rPr>
                <w:rFonts w:hint="eastAsia" w:ascii="Times New Roman" w:hAnsi="Times New Roman"/>
                <w:szCs w:val="21"/>
                <w:lang w:eastAsia="zh-CN"/>
              </w:rPr>
              <w:t>废矿物油</w:t>
            </w:r>
          </w:p>
        </w:tc>
        <w:tc>
          <w:tcPr>
            <w:tcW w:w="1680" w:type="dxa"/>
          </w:tcPr>
          <w:p w14:paraId="17A1595A">
            <w:pPr>
              <w:spacing w:line="240" w:lineRule="auto"/>
              <w:rPr>
                <w:rFonts w:hint="default" w:ascii="Times New Roman" w:hAnsi="Times New Roman" w:eastAsia="宋体"/>
                <w:szCs w:val="21"/>
                <w:lang w:val="en-US" w:eastAsia="zh-CN"/>
              </w:rPr>
            </w:pPr>
            <w:r>
              <w:rPr>
                <w:rFonts w:hint="eastAsia" w:ascii="Times New Roman" w:hAnsi="Times New Roman"/>
                <w:szCs w:val="21"/>
                <w:lang w:val="en-US" w:eastAsia="zh-CN"/>
              </w:rPr>
              <w:t>100%</w:t>
            </w:r>
          </w:p>
        </w:tc>
        <w:tc>
          <w:tcPr>
            <w:tcW w:w="2205" w:type="dxa"/>
            <w:vMerge w:val="restart"/>
            <w:vAlign w:val="center"/>
          </w:tcPr>
          <w:p w14:paraId="1BDD9137">
            <w:pPr>
              <w:spacing w:line="240" w:lineRule="auto"/>
              <w:rPr>
                <w:rFonts w:ascii="Times New Roman" w:hAnsi="Times New Roman"/>
                <w:szCs w:val="21"/>
              </w:rPr>
            </w:pPr>
            <w:r>
              <w:rPr>
                <w:rFonts w:ascii="Times New Roman" w:hAnsi="宋体"/>
                <w:szCs w:val="21"/>
              </w:rPr>
              <w:t>腐蚀性</w:t>
            </w:r>
            <w:r>
              <w:rPr>
                <w:rFonts w:ascii="Times New Roman" w:hAnsi="Times New Roman"/>
                <w:szCs w:val="21"/>
              </w:rPr>
              <w:t xml:space="preserve">         □</w:t>
            </w:r>
          </w:p>
          <w:p w14:paraId="731753FD">
            <w:pPr>
              <w:spacing w:line="240" w:lineRule="auto"/>
              <w:rPr>
                <w:rFonts w:ascii="Times New Roman" w:hAnsi="Times New Roman"/>
                <w:szCs w:val="21"/>
              </w:rPr>
            </w:pPr>
            <w:r>
              <w:rPr>
                <w:rFonts w:ascii="Times New Roman" w:hAnsi="宋体"/>
                <w:szCs w:val="21"/>
              </w:rPr>
              <w:t>毒性</w:t>
            </w:r>
            <w:r>
              <w:rPr>
                <w:rFonts w:ascii="Times New Roman" w:hAnsi="Times New Roman"/>
                <w:szCs w:val="21"/>
              </w:rPr>
              <w:t xml:space="preserve">           </w:t>
            </w:r>
            <w:r>
              <w:rPr>
                <w:rFonts w:ascii="Times New Roman" w:hAnsi="Times New Roman"/>
                <w:szCs w:val="21"/>
              </w:rPr>
              <w:sym w:font="Wingdings 2" w:char="0052"/>
            </w:r>
          </w:p>
          <w:p w14:paraId="2B24BCB2">
            <w:pPr>
              <w:spacing w:line="240" w:lineRule="auto"/>
              <w:rPr>
                <w:rFonts w:ascii="Times New Roman" w:hAnsi="Times New Roman"/>
                <w:szCs w:val="21"/>
              </w:rPr>
            </w:pPr>
            <w:r>
              <w:rPr>
                <w:rFonts w:ascii="Times New Roman" w:hAnsi="宋体"/>
                <w:szCs w:val="21"/>
              </w:rPr>
              <w:t>易燃性</w:t>
            </w:r>
            <w:r>
              <w:rPr>
                <w:rFonts w:ascii="Times New Roman" w:hAnsi="Times New Roman"/>
                <w:szCs w:val="21"/>
              </w:rPr>
              <w:t xml:space="preserve">         </w:t>
            </w:r>
            <w:r>
              <w:rPr>
                <w:rFonts w:ascii="Times New Roman" w:hAnsi="Times New Roman"/>
                <w:szCs w:val="21"/>
              </w:rPr>
              <w:sym w:font="Wingdings 2" w:char="0052"/>
            </w:r>
          </w:p>
          <w:p w14:paraId="315C11A0">
            <w:pPr>
              <w:spacing w:line="240" w:lineRule="auto"/>
              <w:rPr>
                <w:rFonts w:ascii="Times New Roman" w:hAnsi="Times New Roman"/>
                <w:szCs w:val="21"/>
              </w:rPr>
            </w:pPr>
            <w:r>
              <w:rPr>
                <w:rFonts w:ascii="Times New Roman" w:hAnsi="宋体"/>
                <w:szCs w:val="21"/>
              </w:rPr>
              <w:t>反应性</w:t>
            </w:r>
            <w:r>
              <w:rPr>
                <w:rFonts w:ascii="Times New Roman" w:hAnsi="Times New Roman"/>
                <w:szCs w:val="21"/>
              </w:rPr>
              <w:t xml:space="preserve">         □</w:t>
            </w:r>
          </w:p>
          <w:p w14:paraId="40C0C655">
            <w:pPr>
              <w:spacing w:line="240" w:lineRule="auto"/>
              <w:rPr>
                <w:rFonts w:ascii="Times New Roman" w:hAnsi="Times New Roman"/>
                <w:szCs w:val="21"/>
              </w:rPr>
            </w:pPr>
            <w:r>
              <w:rPr>
                <w:rFonts w:ascii="Times New Roman" w:hAnsi="宋体"/>
                <w:szCs w:val="21"/>
              </w:rPr>
              <w:t>感染性</w:t>
            </w:r>
            <w:r>
              <w:rPr>
                <w:rFonts w:ascii="Times New Roman" w:hAnsi="Times New Roman"/>
                <w:szCs w:val="21"/>
              </w:rPr>
              <w:t xml:space="preserve">         □</w:t>
            </w:r>
          </w:p>
        </w:tc>
        <w:tc>
          <w:tcPr>
            <w:tcW w:w="1680" w:type="dxa"/>
            <w:vMerge w:val="restart"/>
            <w:vAlign w:val="center"/>
          </w:tcPr>
          <w:p w14:paraId="3760A6F4">
            <w:pPr>
              <w:spacing w:line="240" w:lineRule="auto"/>
              <w:rPr>
                <w:rFonts w:ascii="Times New Roman" w:hAnsi="Times New Roman"/>
                <w:szCs w:val="21"/>
              </w:rPr>
            </w:pPr>
            <w:r>
              <w:rPr>
                <w:rFonts w:ascii="Times New Roman" w:hAnsi="宋体"/>
                <w:szCs w:val="21"/>
              </w:rPr>
              <w:t>固态</w:t>
            </w:r>
            <w:r>
              <w:rPr>
                <w:rFonts w:ascii="Times New Roman" w:hAnsi="Times New Roman"/>
                <w:szCs w:val="21"/>
              </w:rPr>
              <w:t xml:space="preserve">       □</w:t>
            </w:r>
          </w:p>
          <w:p w14:paraId="0AB36CF3">
            <w:pPr>
              <w:spacing w:line="240" w:lineRule="auto"/>
              <w:rPr>
                <w:rFonts w:ascii="Times New Roman" w:hAnsi="Times New Roman"/>
                <w:szCs w:val="21"/>
              </w:rPr>
            </w:pPr>
            <w:r>
              <w:rPr>
                <w:rFonts w:ascii="Times New Roman" w:hAnsi="宋体"/>
                <w:szCs w:val="21"/>
              </w:rPr>
              <w:t>半固态</w:t>
            </w:r>
            <w:r>
              <w:rPr>
                <w:rFonts w:ascii="Times New Roman" w:hAnsi="Times New Roman"/>
                <w:szCs w:val="21"/>
              </w:rPr>
              <w:t xml:space="preserve">     □</w:t>
            </w:r>
          </w:p>
          <w:p w14:paraId="3D17BC52">
            <w:pPr>
              <w:spacing w:line="240" w:lineRule="auto"/>
              <w:rPr>
                <w:rFonts w:ascii="Times New Roman" w:hAnsi="Times New Roman"/>
                <w:szCs w:val="21"/>
              </w:rPr>
            </w:pPr>
            <w:r>
              <w:rPr>
                <w:rFonts w:ascii="Times New Roman" w:hAnsi="宋体"/>
                <w:szCs w:val="21"/>
              </w:rPr>
              <w:t>粉末态</w:t>
            </w:r>
            <w:r>
              <w:rPr>
                <w:rFonts w:ascii="Times New Roman" w:hAnsi="Times New Roman"/>
                <w:szCs w:val="21"/>
              </w:rPr>
              <w:t xml:space="preserve">     □</w:t>
            </w:r>
          </w:p>
          <w:p w14:paraId="18444B72">
            <w:pPr>
              <w:spacing w:line="240" w:lineRule="auto"/>
              <w:rPr>
                <w:rFonts w:ascii="Times New Roman" w:hAnsi="Times New Roman"/>
                <w:szCs w:val="21"/>
              </w:rPr>
            </w:pPr>
            <w:r>
              <w:rPr>
                <w:rFonts w:ascii="Times New Roman" w:hAnsi="宋体"/>
                <w:szCs w:val="21"/>
              </w:rPr>
              <w:t>颗粒态</w:t>
            </w:r>
            <w:r>
              <w:rPr>
                <w:rFonts w:ascii="Times New Roman" w:hAnsi="Times New Roman"/>
                <w:szCs w:val="21"/>
              </w:rPr>
              <w:t xml:space="preserve">     □</w:t>
            </w:r>
          </w:p>
          <w:p w14:paraId="66D9AFB0">
            <w:pPr>
              <w:spacing w:line="240" w:lineRule="auto"/>
              <w:rPr>
                <w:rFonts w:ascii="Times New Roman" w:hAnsi="Times New Roman"/>
                <w:szCs w:val="21"/>
              </w:rPr>
            </w:pPr>
            <w:r>
              <w:rPr>
                <w:rFonts w:ascii="Times New Roman" w:hAnsi="宋体"/>
                <w:szCs w:val="21"/>
              </w:rPr>
              <w:t>液态</w:t>
            </w:r>
            <w:r>
              <w:rPr>
                <w:rFonts w:ascii="Times New Roman" w:hAnsi="Times New Roman"/>
                <w:szCs w:val="21"/>
              </w:rPr>
              <w:t xml:space="preserve">       </w:t>
            </w:r>
            <w:r>
              <w:rPr>
                <w:rFonts w:ascii="Times New Roman" w:hAnsi="Times New Roman"/>
                <w:szCs w:val="21"/>
              </w:rPr>
              <w:sym w:font="Wingdings 2" w:char="0052"/>
            </w:r>
          </w:p>
        </w:tc>
      </w:tr>
      <w:tr w14:paraId="5A0A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vMerge w:val="continue"/>
          </w:tcPr>
          <w:p w14:paraId="62DB32D3">
            <w:pPr>
              <w:spacing w:line="240" w:lineRule="auto"/>
              <w:rPr>
                <w:rFonts w:ascii="Times New Roman" w:hAnsi="Times New Roman"/>
                <w:szCs w:val="21"/>
              </w:rPr>
            </w:pPr>
          </w:p>
        </w:tc>
        <w:tc>
          <w:tcPr>
            <w:tcW w:w="1769" w:type="dxa"/>
          </w:tcPr>
          <w:p w14:paraId="1EF9AC89">
            <w:pPr>
              <w:spacing w:line="240" w:lineRule="auto"/>
              <w:rPr>
                <w:rFonts w:ascii="Times New Roman" w:hAnsi="Times New Roman"/>
                <w:szCs w:val="21"/>
              </w:rPr>
            </w:pPr>
          </w:p>
        </w:tc>
        <w:tc>
          <w:tcPr>
            <w:tcW w:w="1680" w:type="dxa"/>
          </w:tcPr>
          <w:p w14:paraId="285821AB">
            <w:pPr>
              <w:spacing w:line="240" w:lineRule="auto"/>
              <w:rPr>
                <w:rFonts w:ascii="Times New Roman" w:hAnsi="Times New Roman"/>
                <w:szCs w:val="21"/>
              </w:rPr>
            </w:pPr>
          </w:p>
        </w:tc>
        <w:tc>
          <w:tcPr>
            <w:tcW w:w="2205" w:type="dxa"/>
            <w:vMerge w:val="continue"/>
            <w:vAlign w:val="center"/>
          </w:tcPr>
          <w:p w14:paraId="1522CE9D">
            <w:pPr>
              <w:spacing w:line="240" w:lineRule="auto"/>
              <w:rPr>
                <w:rFonts w:ascii="Times New Roman" w:hAnsi="Times New Roman"/>
                <w:szCs w:val="21"/>
              </w:rPr>
            </w:pPr>
          </w:p>
        </w:tc>
        <w:tc>
          <w:tcPr>
            <w:tcW w:w="1680" w:type="dxa"/>
            <w:vMerge w:val="continue"/>
            <w:vAlign w:val="center"/>
          </w:tcPr>
          <w:p w14:paraId="2B13FC67">
            <w:pPr>
              <w:spacing w:line="240" w:lineRule="auto"/>
              <w:rPr>
                <w:rFonts w:ascii="Times New Roman" w:hAnsi="Times New Roman"/>
                <w:szCs w:val="21"/>
              </w:rPr>
            </w:pPr>
          </w:p>
        </w:tc>
      </w:tr>
      <w:tr w14:paraId="2833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vMerge w:val="continue"/>
          </w:tcPr>
          <w:p w14:paraId="3AEE6B14">
            <w:pPr>
              <w:spacing w:line="240" w:lineRule="auto"/>
              <w:rPr>
                <w:rFonts w:ascii="Times New Roman" w:hAnsi="Times New Roman"/>
                <w:szCs w:val="21"/>
              </w:rPr>
            </w:pPr>
          </w:p>
        </w:tc>
        <w:tc>
          <w:tcPr>
            <w:tcW w:w="1769" w:type="dxa"/>
          </w:tcPr>
          <w:p w14:paraId="5B9C8EFC">
            <w:pPr>
              <w:spacing w:line="240" w:lineRule="auto"/>
              <w:rPr>
                <w:rFonts w:ascii="Times New Roman" w:hAnsi="Times New Roman"/>
                <w:szCs w:val="21"/>
              </w:rPr>
            </w:pPr>
          </w:p>
        </w:tc>
        <w:tc>
          <w:tcPr>
            <w:tcW w:w="1680" w:type="dxa"/>
          </w:tcPr>
          <w:p w14:paraId="1B545DC4">
            <w:pPr>
              <w:spacing w:line="240" w:lineRule="auto"/>
              <w:rPr>
                <w:rFonts w:ascii="Times New Roman" w:hAnsi="Times New Roman"/>
                <w:szCs w:val="21"/>
              </w:rPr>
            </w:pPr>
          </w:p>
        </w:tc>
        <w:tc>
          <w:tcPr>
            <w:tcW w:w="2205" w:type="dxa"/>
            <w:vMerge w:val="continue"/>
            <w:vAlign w:val="center"/>
          </w:tcPr>
          <w:p w14:paraId="62BAD6B5">
            <w:pPr>
              <w:spacing w:line="240" w:lineRule="auto"/>
              <w:rPr>
                <w:rFonts w:ascii="Times New Roman" w:hAnsi="Times New Roman"/>
                <w:szCs w:val="21"/>
              </w:rPr>
            </w:pPr>
          </w:p>
        </w:tc>
        <w:tc>
          <w:tcPr>
            <w:tcW w:w="1680" w:type="dxa"/>
            <w:vMerge w:val="continue"/>
            <w:vAlign w:val="center"/>
          </w:tcPr>
          <w:p w14:paraId="4DEB8EE8">
            <w:pPr>
              <w:spacing w:line="240" w:lineRule="auto"/>
              <w:rPr>
                <w:rFonts w:ascii="Times New Roman" w:hAnsi="Times New Roman"/>
                <w:szCs w:val="21"/>
              </w:rPr>
            </w:pPr>
          </w:p>
        </w:tc>
      </w:tr>
      <w:tr w14:paraId="71B6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vMerge w:val="continue"/>
          </w:tcPr>
          <w:p w14:paraId="145981DF">
            <w:pPr>
              <w:spacing w:line="240" w:lineRule="auto"/>
              <w:rPr>
                <w:rFonts w:ascii="Times New Roman" w:hAnsi="Times New Roman"/>
                <w:szCs w:val="21"/>
              </w:rPr>
            </w:pPr>
          </w:p>
        </w:tc>
        <w:tc>
          <w:tcPr>
            <w:tcW w:w="1769" w:type="dxa"/>
          </w:tcPr>
          <w:p w14:paraId="67E9546D">
            <w:pPr>
              <w:spacing w:line="240" w:lineRule="auto"/>
              <w:rPr>
                <w:rFonts w:ascii="Times New Roman" w:hAnsi="Times New Roman"/>
                <w:szCs w:val="21"/>
              </w:rPr>
            </w:pPr>
          </w:p>
        </w:tc>
        <w:tc>
          <w:tcPr>
            <w:tcW w:w="1680" w:type="dxa"/>
          </w:tcPr>
          <w:p w14:paraId="6794FECF">
            <w:pPr>
              <w:spacing w:line="240" w:lineRule="auto"/>
              <w:rPr>
                <w:rFonts w:ascii="Times New Roman" w:hAnsi="Times New Roman"/>
                <w:szCs w:val="21"/>
              </w:rPr>
            </w:pPr>
          </w:p>
        </w:tc>
        <w:tc>
          <w:tcPr>
            <w:tcW w:w="2205" w:type="dxa"/>
            <w:vMerge w:val="continue"/>
            <w:vAlign w:val="center"/>
          </w:tcPr>
          <w:p w14:paraId="68B1BA54">
            <w:pPr>
              <w:spacing w:line="240" w:lineRule="auto"/>
              <w:rPr>
                <w:rFonts w:ascii="Times New Roman" w:hAnsi="Times New Roman"/>
                <w:szCs w:val="21"/>
              </w:rPr>
            </w:pPr>
          </w:p>
        </w:tc>
        <w:tc>
          <w:tcPr>
            <w:tcW w:w="1680" w:type="dxa"/>
            <w:vMerge w:val="continue"/>
            <w:vAlign w:val="center"/>
          </w:tcPr>
          <w:p w14:paraId="0A822F46">
            <w:pPr>
              <w:spacing w:line="240" w:lineRule="auto"/>
              <w:rPr>
                <w:rFonts w:ascii="Times New Roman" w:hAnsi="Times New Roman"/>
                <w:szCs w:val="21"/>
              </w:rPr>
            </w:pPr>
          </w:p>
        </w:tc>
      </w:tr>
      <w:tr w14:paraId="6308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vMerge w:val="continue"/>
          </w:tcPr>
          <w:p w14:paraId="762A578A">
            <w:pPr>
              <w:spacing w:line="240" w:lineRule="auto"/>
              <w:rPr>
                <w:rFonts w:ascii="Times New Roman" w:hAnsi="Times New Roman"/>
                <w:szCs w:val="21"/>
              </w:rPr>
            </w:pPr>
          </w:p>
        </w:tc>
        <w:tc>
          <w:tcPr>
            <w:tcW w:w="1769" w:type="dxa"/>
          </w:tcPr>
          <w:p w14:paraId="35387700">
            <w:pPr>
              <w:spacing w:line="240" w:lineRule="auto"/>
              <w:rPr>
                <w:rFonts w:ascii="Times New Roman" w:hAnsi="Times New Roman"/>
                <w:szCs w:val="21"/>
              </w:rPr>
            </w:pPr>
          </w:p>
        </w:tc>
        <w:tc>
          <w:tcPr>
            <w:tcW w:w="1680" w:type="dxa"/>
          </w:tcPr>
          <w:p w14:paraId="0C6005BC">
            <w:pPr>
              <w:spacing w:line="240" w:lineRule="auto"/>
              <w:rPr>
                <w:rFonts w:ascii="Times New Roman" w:hAnsi="Times New Roman"/>
                <w:szCs w:val="21"/>
              </w:rPr>
            </w:pPr>
          </w:p>
        </w:tc>
        <w:tc>
          <w:tcPr>
            <w:tcW w:w="2205" w:type="dxa"/>
            <w:vMerge w:val="continue"/>
            <w:vAlign w:val="center"/>
          </w:tcPr>
          <w:p w14:paraId="1056C903">
            <w:pPr>
              <w:spacing w:line="240" w:lineRule="auto"/>
              <w:rPr>
                <w:rFonts w:ascii="Times New Roman" w:hAnsi="Times New Roman"/>
                <w:szCs w:val="21"/>
              </w:rPr>
            </w:pPr>
          </w:p>
        </w:tc>
        <w:tc>
          <w:tcPr>
            <w:tcW w:w="1680" w:type="dxa"/>
            <w:vMerge w:val="continue"/>
            <w:vAlign w:val="center"/>
          </w:tcPr>
          <w:p w14:paraId="30008A4B">
            <w:pPr>
              <w:spacing w:line="240" w:lineRule="auto"/>
              <w:rPr>
                <w:rFonts w:ascii="Times New Roman" w:hAnsi="Times New Roman"/>
                <w:szCs w:val="21"/>
              </w:rPr>
            </w:pPr>
          </w:p>
        </w:tc>
      </w:tr>
      <w:tr w14:paraId="02FF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vMerge w:val="restart"/>
          </w:tcPr>
          <w:p w14:paraId="3589E091">
            <w:pPr>
              <w:spacing w:line="240" w:lineRule="auto"/>
              <w:rPr>
                <w:rFonts w:ascii="Times New Roman" w:hAnsi="Times New Roman"/>
                <w:szCs w:val="21"/>
              </w:rPr>
            </w:pPr>
          </w:p>
          <w:p w14:paraId="261C86DE">
            <w:pPr>
              <w:spacing w:line="240" w:lineRule="auto"/>
              <w:rPr>
                <w:rFonts w:ascii="Times New Roman" w:hAnsi="Times New Roman"/>
                <w:szCs w:val="21"/>
              </w:rPr>
            </w:pPr>
          </w:p>
          <w:p w14:paraId="4190585B">
            <w:pPr>
              <w:spacing w:line="240" w:lineRule="auto"/>
              <w:rPr>
                <w:rFonts w:ascii="Times New Roman" w:hAnsi="Times New Roman"/>
                <w:szCs w:val="21"/>
              </w:rPr>
            </w:pPr>
          </w:p>
          <w:p w14:paraId="3DDA3DD2">
            <w:pPr>
              <w:spacing w:line="240" w:lineRule="auto"/>
              <w:rPr>
                <w:rFonts w:ascii="Times New Roman" w:hAnsi="Times New Roman"/>
                <w:szCs w:val="21"/>
              </w:rPr>
            </w:pPr>
          </w:p>
          <w:p w14:paraId="773296DB">
            <w:pPr>
              <w:spacing w:line="240" w:lineRule="auto"/>
              <w:rPr>
                <w:rFonts w:ascii="Times New Roman" w:hAnsi="Times New Roman"/>
                <w:szCs w:val="21"/>
              </w:rPr>
            </w:pPr>
          </w:p>
        </w:tc>
        <w:tc>
          <w:tcPr>
            <w:tcW w:w="1769" w:type="dxa"/>
          </w:tcPr>
          <w:p w14:paraId="58DB2894">
            <w:pPr>
              <w:spacing w:line="240" w:lineRule="auto"/>
              <w:rPr>
                <w:rFonts w:ascii="Times New Roman" w:hAnsi="Times New Roman"/>
                <w:szCs w:val="21"/>
              </w:rPr>
            </w:pPr>
          </w:p>
        </w:tc>
        <w:tc>
          <w:tcPr>
            <w:tcW w:w="1680" w:type="dxa"/>
          </w:tcPr>
          <w:p w14:paraId="4EFD83F2">
            <w:pPr>
              <w:spacing w:line="240" w:lineRule="auto"/>
              <w:rPr>
                <w:rFonts w:ascii="Times New Roman" w:hAnsi="Times New Roman"/>
                <w:szCs w:val="21"/>
              </w:rPr>
            </w:pPr>
          </w:p>
        </w:tc>
        <w:tc>
          <w:tcPr>
            <w:tcW w:w="2205" w:type="dxa"/>
            <w:vMerge w:val="restart"/>
            <w:vAlign w:val="center"/>
          </w:tcPr>
          <w:p w14:paraId="4500CDDA">
            <w:pPr>
              <w:spacing w:line="240" w:lineRule="auto"/>
              <w:rPr>
                <w:rFonts w:ascii="Times New Roman" w:hAnsi="Times New Roman"/>
                <w:szCs w:val="21"/>
              </w:rPr>
            </w:pPr>
            <w:r>
              <w:rPr>
                <w:rFonts w:ascii="Times New Roman" w:hAnsi="宋体"/>
                <w:szCs w:val="21"/>
              </w:rPr>
              <w:t>腐蚀性</w:t>
            </w:r>
            <w:r>
              <w:rPr>
                <w:rFonts w:ascii="Times New Roman" w:hAnsi="Times New Roman"/>
                <w:szCs w:val="21"/>
              </w:rPr>
              <w:t xml:space="preserve">         □</w:t>
            </w:r>
          </w:p>
          <w:p w14:paraId="6DF56841">
            <w:pPr>
              <w:spacing w:line="240" w:lineRule="auto"/>
              <w:rPr>
                <w:rFonts w:ascii="Times New Roman" w:hAnsi="Times New Roman"/>
                <w:szCs w:val="21"/>
              </w:rPr>
            </w:pPr>
            <w:r>
              <w:rPr>
                <w:rFonts w:ascii="Times New Roman" w:hAnsi="宋体"/>
                <w:szCs w:val="21"/>
              </w:rPr>
              <w:t>毒性</w:t>
            </w:r>
            <w:r>
              <w:rPr>
                <w:rFonts w:ascii="Times New Roman" w:hAnsi="Times New Roman"/>
                <w:szCs w:val="21"/>
              </w:rPr>
              <w:t xml:space="preserve">           □</w:t>
            </w:r>
          </w:p>
          <w:p w14:paraId="534ECE22">
            <w:pPr>
              <w:spacing w:line="240" w:lineRule="auto"/>
              <w:rPr>
                <w:rFonts w:ascii="Times New Roman" w:hAnsi="Times New Roman"/>
                <w:szCs w:val="21"/>
              </w:rPr>
            </w:pPr>
            <w:r>
              <w:rPr>
                <w:rFonts w:ascii="Times New Roman" w:hAnsi="宋体"/>
                <w:szCs w:val="21"/>
              </w:rPr>
              <w:t>易燃性</w:t>
            </w:r>
            <w:r>
              <w:rPr>
                <w:rFonts w:ascii="Times New Roman" w:hAnsi="Times New Roman"/>
                <w:szCs w:val="21"/>
              </w:rPr>
              <w:t xml:space="preserve">         □</w:t>
            </w:r>
          </w:p>
          <w:p w14:paraId="72CE9F49">
            <w:pPr>
              <w:spacing w:line="240" w:lineRule="auto"/>
              <w:rPr>
                <w:rFonts w:ascii="Times New Roman" w:hAnsi="Times New Roman"/>
                <w:szCs w:val="21"/>
              </w:rPr>
            </w:pPr>
            <w:r>
              <w:rPr>
                <w:rFonts w:ascii="Times New Roman" w:hAnsi="宋体"/>
                <w:szCs w:val="21"/>
              </w:rPr>
              <w:t>反应性</w:t>
            </w:r>
            <w:r>
              <w:rPr>
                <w:rFonts w:ascii="Times New Roman" w:hAnsi="Times New Roman"/>
                <w:szCs w:val="21"/>
              </w:rPr>
              <w:t xml:space="preserve">         □</w:t>
            </w:r>
          </w:p>
          <w:p w14:paraId="3F4D8142">
            <w:pPr>
              <w:spacing w:line="240" w:lineRule="auto"/>
              <w:rPr>
                <w:rFonts w:ascii="Times New Roman" w:hAnsi="Times New Roman"/>
                <w:szCs w:val="21"/>
              </w:rPr>
            </w:pPr>
            <w:r>
              <w:rPr>
                <w:rFonts w:ascii="Times New Roman" w:hAnsi="宋体"/>
                <w:szCs w:val="21"/>
              </w:rPr>
              <w:t>感染性</w:t>
            </w:r>
            <w:r>
              <w:rPr>
                <w:rFonts w:ascii="Times New Roman" w:hAnsi="Times New Roman"/>
                <w:szCs w:val="21"/>
              </w:rPr>
              <w:t xml:space="preserve">         □</w:t>
            </w:r>
          </w:p>
        </w:tc>
        <w:tc>
          <w:tcPr>
            <w:tcW w:w="1680" w:type="dxa"/>
            <w:vMerge w:val="restart"/>
            <w:vAlign w:val="center"/>
          </w:tcPr>
          <w:p w14:paraId="5B9BE877">
            <w:pPr>
              <w:spacing w:line="240" w:lineRule="auto"/>
              <w:rPr>
                <w:rFonts w:ascii="Times New Roman" w:hAnsi="Times New Roman"/>
                <w:szCs w:val="21"/>
              </w:rPr>
            </w:pPr>
            <w:r>
              <w:rPr>
                <w:rFonts w:ascii="Times New Roman" w:hAnsi="宋体"/>
                <w:szCs w:val="21"/>
              </w:rPr>
              <w:t>固态</w:t>
            </w:r>
            <w:r>
              <w:rPr>
                <w:rFonts w:ascii="Times New Roman" w:hAnsi="Times New Roman"/>
                <w:szCs w:val="21"/>
              </w:rPr>
              <w:t xml:space="preserve">       □</w:t>
            </w:r>
          </w:p>
          <w:p w14:paraId="034E1697">
            <w:pPr>
              <w:spacing w:line="240" w:lineRule="auto"/>
              <w:rPr>
                <w:rFonts w:ascii="Times New Roman" w:hAnsi="Times New Roman"/>
                <w:szCs w:val="21"/>
              </w:rPr>
            </w:pPr>
            <w:r>
              <w:rPr>
                <w:rFonts w:ascii="Times New Roman" w:hAnsi="宋体"/>
                <w:szCs w:val="21"/>
              </w:rPr>
              <w:t>半固态</w:t>
            </w:r>
            <w:r>
              <w:rPr>
                <w:rFonts w:ascii="Times New Roman" w:hAnsi="Times New Roman"/>
                <w:szCs w:val="21"/>
              </w:rPr>
              <w:t xml:space="preserve">     □</w:t>
            </w:r>
          </w:p>
          <w:p w14:paraId="7F366C2E">
            <w:pPr>
              <w:spacing w:line="240" w:lineRule="auto"/>
              <w:rPr>
                <w:rFonts w:ascii="Times New Roman" w:hAnsi="Times New Roman"/>
                <w:szCs w:val="21"/>
              </w:rPr>
            </w:pPr>
            <w:r>
              <w:rPr>
                <w:rFonts w:ascii="Times New Roman" w:hAnsi="宋体"/>
                <w:szCs w:val="21"/>
              </w:rPr>
              <w:t>粉末态</w:t>
            </w:r>
            <w:r>
              <w:rPr>
                <w:rFonts w:ascii="Times New Roman" w:hAnsi="Times New Roman"/>
                <w:szCs w:val="21"/>
              </w:rPr>
              <w:t xml:space="preserve">     □</w:t>
            </w:r>
          </w:p>
          <w:p w14:paraId="5CF08C75">
            <w:pPr>
              <w:spacing w:line="240" w:lineRule="auto"/>
              <w:rPr>
                <w:rFonts w:ascii="Times New Roman" w:hAnsi="Times New Roman"/>
                <w:szCs w:val="21"/>
              </w:rPr>
            </w:pPr>
            <w:r>
              <w:rPr>
                <w:rFonts w:ascii="Times New Roman" w:hAnsi="宋体"/>
                <w:szCs w:val="21"/>
              </w:rPr>
              <w:t>颗粒态</w:t>
            </w:r>
            <w:r>
              <w:rPr>
                <w:rFonts w:ascii="Times New Roman" w:hAnsi="Times New Roman"/>
                <w:szCs w:val="21"/>
              </w:rPr>
              <w:t xml:space="preserve">     □</w:t>
            </w:r>
          </w:p>
          <w:p w14:paraId="32F82ECA">
            <w:pPr>
              <w:spacing w:line="240" w:lineRule="auto"/>
              <w:rPr>
                <w:rFonts w:ascii="Times New Roman" w:hAnsi="Times New Roman"/>
                <w:szCs w:val="21"/>
              </w:rPr>
            </w:pPr>
            <w:r>
              <w:rPr>
                <w:rFonts w:ascii="Times New Roman" w:hAnsi="宋体"/>
                <w:szCs w:val="21"/>
              </w:rPr>
              <w:t>液态</w:t>
            </w:r>
            <w:r>
              <w:rPr>
                <w:rFonts w:ascii="Times New Roman" w:hAnsi="Times New Roman"/>
                <w:szCs w:val="21"/>
              </w:rPr>
              <w:t xml:space="preserve">       □</w:t>
            </w:r>
          </w:p>
        </w:tc>
      </w:tr>
      <w:tr w14:paraId="5001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vMerge w:val="continue"/>
          </w:tcPr>
          <w:p w14:paraId="445256B8">
            <w:pPr>
              <w:spacing w:line="240" w:lineRule="auto"/>
              <w:rPr>
                <w:rFonts w:ascii="Times New Roman" w:hAnsi="Times New Roman"/>
                <w:szCs w:val="21"/>
              </w:rPr>
            </w:pPr>
          </w:p>
        </w:tc>
        <w:tc>
          <w:tcPr>
            <w:tcW w:w="1769" w:type="dxa"/>
          </w:tcPr>
          <w:p w14:paraId="58DFC8E6">
            <w:pPr>
              <w:spacing w:line="240" w:lineRule="auto"/>
              <w:rPr>
                <w:rFonts w:ascii="Times New Roman" w:hAnsi="Times New Roman"/>
                <w:szCs w:val="21"/>
              </w:rPr>
            </w:pPr>
          </w:p>
        </w:tc>
        <w:tc>
          <w:tcPr>
            <w:tcW w:w="1680" w:type="dxa"/>
          </w:tcPr>
          <w:p w14:paraId="051CAC52">
            <w:pPr>
              <w:spacing w:line="240" w:lineRule="auto"/>
              <w:rPr>
                <w:rFonts w:ascii="Times New Roman" w:hAnsi="Times New Roman"/>
                <w:szCs w:val="21"/>
              </w:rPr>
            </w:pPr>
          </w:p>
        </w:tc>
        <w:tc>
          <w:tcPr>
            <w:tcW w:w="2205" w:type="dxa"/>
            <w:vMerge w:val="continue"/>
            <w:vAlign w:val="center"/>
          </w:tcPr>
          <w:p w14:paraId="2B546D14">
            <w:pPr>
              <w:spacing w:line="240" w:lineRule="auto"/>
              <w:rPr>
                <w:rFonts w:ascii="Times New Roman" w:hAnsi="Times New Roman"/>
                <w:szCs w:val="21"/>
              </w:rPr>
            </w:pPr>
          </w:p>
        </w:tc>
        <w:tc>
          <w:tcPr>
            <w:tcW w:w="1680" w:type="dxa"/>
            <w:vMerge w:val="continue"/>
            <w:vAlign w:val="center"/>
          </w:tcPr>
          <w:p w14:paraId="4FDEB89B">
            <w:pPr>
              <w:spacing w:line="240" w:lineRule="auto"/>
              <w:rPr>
                <w:rFonts w:ascii="Times New Roman" w:hAnsi="Times New Roman"/>
                <w:szCs w:val="21"/>
              </w:rPr>
            </w:pPr>
          </w:p>
        </w:tc>
      </w:tr>
      <w:tr w14:paraId="5AAB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vMerge w:val="continue"/>
          </w:tcPr>
          <w:p w14:paraId="702FA3B4">
            <w:pPr>
              <w:spacing w:line="240" w:lineRule="auto"/>
              <w:rPr>
                <w:rFonts w:ascii="Times New Roman" w:hAnsi="Times New Roman"/>
                <w:szCs w:val="21"/>
              </w:rPr>
            </w:pPr>
          </w:p>
        </w:tc>
        <w:tc>
          <w:tcPr>
            <w:tcW w:w="1769" w:type="dxa"/>
          </w:tcPr>
          <w:p w14:paraId="600926A3">
            <w:pPr>
              <w:spacing w:line="240" w:lineRule="auto"/>
              <w:rPr>
                <w:rFonts w:ascii="Times New Roman" w:hAnsi="Times New Roman"/>
                <w:szCs w:val="21"/>
              </w:rPr>
            </w:pPr>
          </w:p>
        </w:tc>
        <w:tc>
          <w:tcPr>
            <w:tcW w:w="1680" w:type="dxa"/>
          </w:tcPr>
          <w:p w14:paraId="09F6A84F">
            <w:pPr>
              <w:spacing w:line="240" w:lineRule="auto"/>
              <w:rPr>
                <w:rFonts w:ascii="Times New Roman" w:hAnsi="Times New Roman"/>
                <w:szCs w:val="21"/>
              </w:rPr>
            </w:pPr>
          </w:p>
        </w:tc>
        <w:tc>
          <w:tcPr>
            <w:tcW w:w="2205" w:type="dxa"/>
            <w:vMerge w:val="continue"/>
            <w:vAlign w:val="center"/>
          </w:tcPr>
          <w:p w14:paraId="70BBA743">
            <w:pPr>
              <w:spacing w:line="240" w:lineRule="auto"/>
              <w:rPr>
                <w:rFonts w:ascii="Times New Roman" w:hAnsi="Times New Roman"/>
                <w:szCs w:val="21"/>
              </w:rPr>
            </w:pPr>
          </w:p>
        </w:tc>
        <w:tc>
          <w:tcPr>
            <w:tcW w:w="1680" w:type="dxa"/>
            <w:vMerge w:val="continue"/>
            <w:vAlign w:val="center"/>
          </w:tcPr>
          <w:p w14:paraId="2DE6465C">
            <w:pPr>
              <w:spacing w:line="240" w:lineRule="auto"/>
              <w:rPr>
                <w:rFonts w:ascii="Times New Roman" w:hAnsi="Times New Roman"/>
                <w:szCs w:val="21"/>
              </w:rPr>
            </w:pPr>
          </w:p>
        </w:tc>
      </w:tr>
      <w:tr w14:paraId="59E8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vMerge w:val="continue"/>
          </w:tcPr>
          <w:p w14:paraId="6DE43053">
            <w:pPr>
              <w:spacing w:line="240" w:lineRule="auto"/>
              <w:rPr>
                <w:rFonts w:ascii="Times New Roman" w:hAnsi="Times New Roman"/>
                <w:szCs w:val="21"/>
              </w:rPr>
            </w:pPr>
          </w:p>
        </w:tc>
        <w:tc>
          <w:tcPr>
            <w:tcW w:w="1769" w:type="dxa"/>
          </w:tcPr>
          <w:p w14:paraId="73D7CA4E">
            <w:pPr>
              <w:spacing w:line="240" w:lineRule="auto"/>
              <w:rPr>
                <w:rFonts w:ascii="Times New Roman" w:hAnsi="Times New Roman"/>
                <w:szCs w:val="21"/>
              </w:rPr>
            </w:pPr>
          </w:p>
        </w:tc>
        <w:tc>
          <w:tcPr>
            <w:tcW w:w="1680" w:type="dxa"/>
          </w:tcPr>
          <w:p w14:paraId="23353B62">
            <w:pPr>
              <w:spacing w:line="240" w:lineRule="auto"/>
              <w:rPr>
                <w:rFonts w:ascii="Times New Roman" w:hAnsi="Times New Roman"/>
                <w:szCs w:val="21"/>
              </w:rPr>
            </w:pPr>
          </w:p>
        </w:tc>
        <w:tc>
          <w:tcPr>
            <w:tcW w:w="2205" w:type="dxa"/>
            <w:vMerge w:val="continue"/>
            <w:vAlign w:val="center"/>
          </w:tcPr>
          <w:p w14:paraId="4B80EC42">
            <w:pPr>
              <w:spacing w:line="240" w:lineRule="auto"/>
              <w:rPr>
                <w:rFonts w:ascii="Times New Roman" w:hAnsi="Times New Roman"/>
                <w:szCs w:val="21"/>
              </w:rPr>
            </w:pPr>
          </w:p>
        </w:tc>
        <w:tc>
          <w:tcPr>
            <w:tcW w:w="1680" w:type="dxa"/>
            <w:vMerge w:val="continue"/>
            <w:vAlign w:val="center"/>
          </w:tcPr>
          <w:p w14:paraId="0BAD8FF9">
            <w:pPr>
              <w:spacing w:line="240" w:lineRule="auto"/>
              <w:rPr>
                <w:rFonts w:ascii="Times New Roman" w:hAnsi="Times New Roman"/>
                <w:szCs w:val="21"/>
              </w:rPr>
            </w:pPr>
          </w:p>
        </w:tc>
      </w:tr>
      <w:tr w14:paraId="7212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vMerge w:val="continue"/>
          </w:tcPr>
          <w:p w14:paraId="7AE0C20E">
            <w:pPr>
              <w:spacing w:line="240" w:lineRule="auto"/>
              <w:rPr>
                <w:rFonts w:ascii="Times New Roman" w:hAnsi="Times New Roman"/>
                <w:szCs w:val="21"/>
              </w:rPr>
            </w:pPr>
          </w:p>
        </w:tc>
        <w:tc>
          <w:tcPr>
            <w:tcW w:w="1769" w:type="dxa"/>
          </w:tcPr>
          <w:p w14:paraId="37320953">
            <w:pPr>
              <w:spacing w:line="240" w:lineRule="auto"/>
              <w:rPr>
                <w:rFonts w:ascii="Times New Roman" w:hAnsi="Times New Roman"/>
                <w:szCs w:val="21"/>
              </w:rPr>
            </w:pPr>
          </w:p>
        </w:tc>
        <w:tc>
          <w:tcPr>
            <w:tcW w:w="1680" w:type="dxa"/>
          </w:tcPr>
          <w:p w14:paraId="2D5C2C23">
            <w:pPr>
              <w:spacing w:line="240" w:lineRule="auto"/>
              <w:rPr>
                <w:rFonts w:ascii="Times New Roman" w:hAnsi="Times New Roman"/>
                <w:szCs w:val="21"/>
              </w:rPr>
            </w:pPr>
          </w:p>
        </w:tc>
        <w:tc>
          <w:tcPr>
            <w:tcW w:w="2205" w:type="dxa"/>
            <w:vMerge w:val="continue"/>
            <w:vAlign w:val="center"/>
          </w:tcPr>
          <w:p w14:paraId="20A9D9D5">
            <w:pPr>
              <w:spacing w:line="240" w:lineRule="auto"/>
              <w:rPr>
                <w:rFonts w:ascii="Times New Roman" w:hAnsi="Times New Roman"/>
                <w:szCs w:val="21"/>
              </w:rPr>
            </w:pPr>
          </w:p>
        </w:tc>
        <w:tc>
          <w:tcPr>
            <w:tcW w:w="1680" w:type="dxa"/>
            <w:vMerge w:val="continue"/>
            <w:vAlign w:val="center"/>
          </w:tcPr>
          <w:p w14:paraId="1CD790ED">
            <w:pPr>
              <w:spacing w:line="240" w:lineRule="auto"/>
              <w:rPr>
                <w:rFonts w:ascii="Times New Roman" w:hAnsi="Times New Roman"/>
                <w:szCs w:val="21"/>
              </w:rPr>
            </w:pPr>
          </w:p>
        </w:tc>
      </w:tr>
      <w:tr w14:paraId="78D4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tcPr>
          <w:p w14:paraId="3A136768">
            <w:pPr>
              <w:spacing w:line="240" w:lineRule="auto"/>
              <w:rPr>
                <w:rFonts w:ascii="Times New Roman" w:hAnsi="Times New Roman"/>
                <w:szCs w:val="21"/>
              </w:rPr>
            </w:pPr>
          </w:p>
          <w:p w14:paraId="2CCA1CFF">
            <w:pPr>
              <w:spacing w:line="240" w:lineRule="auto"/>
              <w:rPr>
                <w:rFonts w:ascii="Times New Roman" w:hAnsi="Times New Roman"/>
                <w:szCs w:val="21"/>
              </w:rPr>
            </w:pPr>
          </w:p>
          <w:p w14:paraId="4663D046">
            <w:pPr>
              <w:spacing w:line="240" w:lineRule="auto"/>
              <w:rPr>
                <w:rFonts w:ascii="Times New Roman" w:hAnsi="Times New Roman"/>
                <w:szCs w:val="21"/>
              </w:rPr>
            </w:pPr>
          </w:p>
          <w:p w14:paraId="342E29AF">
            <w:pPr>
              <w:spacing w:line="240" w:lineRule="auto"/>
              <w:rPr>
                <w:rFonts w:ascii="Times New Roman" w:hAnsi="Times New Roman"/>
                <w:szCs w:val="21"/>
              </w:rPr>
            </w:pPr>
          </w:p>
          <w:p w14:paraId="185A19AD">
            <w:pPr>
              <w:spacing w:line="240" w:lineRule="auto"/>
              <w:rPr>
                <w:rFonts w:ascii="Times New Roman" w:hAnsi="Times New Roman"/>
                <w:szCs w:val="21"/>
              </w:rPr>
            </w:pPr>
          </w:p>
        </w:tc>
        <w:tc>
          <w:tcPr>
            <w:tcW w:w="1769" w:type="dxa"/>
          </w:tcPr>
          <w:p w14:paraId="5CD63AF1">
            <w:pPr>
              <w:spacing w:line="240" w:lineRule="auto"/>
              <w:rPr>
                <w:rFonts w:ascii="Times New Roman" w:hAnsi="Times New Roman"/>
                <w:szCs w:val="21"/>
              </w:rPr>
            </w:pPr>
          </w:p>
        </w:tc>
        <w:tc>
          <w:tcPr>
            <w:tcW w:w="1680" w:type="dxa"/>
          </w:tcPr>
          <w:p w14:paraId="0E6F64C5">
            <w:pPr>
              <w:spacing w:line="240" w:lineRule="auto"/>
              <w:rPr>
                <w:rFonts w:ascii="Times New Roman" w:hAnsi="Times New Roman"/>
                <w:szCs w:val="21"/>
              </w:rPr>
            </w:pPr>
          </w:p>
        </w:tc>
        <w:tc>
          <w:tcPr>
            <w:tcW w:w="2205" w:type="dxa"/>
            <w:vAlign w:val="center"/>
          </w:tcPr>
          <w:p w14:paraId="5D749458">
            <w:pPr>
              <w:spacing w:line="240" w:lineRule="auto"/>
              <w:rPr>
                <w:rFonts w:ascii="Times New Roman" w:hAnsi="Times New Roman"/>
                <w:szCs w:val="21"/>
              </w:rPr>
            </w:pPr>
            <w:r>
              <w:rPr>
                <w:rFonts w:ascii="Times New Roman" w:hAnsi="宋体"/>
                <w:szCs w:val="21"/>
              </w:rPr>
              <w:t>腐蚀性</w:t>
            </w:r>
            <w:r>
              <w:rPr>
                <w:rFonts w:ascii="Times New Roman" w:hAnsi="Times New Roman"/>
                <w:szCs w:val="21"/>
              </w:rPr>
              <w:t xml:space="preserve">         □</w:t>
            </w:r>
          </w:p>
          <w:p w14:paraId="383958FF">
            <w:pPr>
              <w:spacing w:line="240" w:lineRule="auto"/>
              <w:rPr>
                <w:rFonts w:ascii="Times New Roman" w:hAnsi="Times New Roman"/>
                <w:szCs w:val="21"/>
              </w:rPr>
            </w:pPr>
            <w:r>
              <w:rPr>
                <w:rFonts w:ascii="Times New Roman" w:hAnsi="宋体"/>
                <w:szCs w:val="21"/>
              </w:rPr>
              <w:t>毒性</w:t>
            </w:r>
            <w:r>
              <w:rPr>
                <w:rFonts w:ascii="Times New Roman" w:hAnsi="Times New Roman"/>
                <w:szCs w:val="21"/>
              </w:rPr>
              <w:t xml:space="preserve">           □</w:t>
            </w:r>
          </w:p>
          <w:p w14:paraId="0D52AF32">
            <w:pPr>
              <w:spacing w:line="240" w:lineRule="auto"/>
              <w:rPr>
                <w:rFonts w:ascii="Times New Roman" w:hAnsi="Times New Roman"/>
                <w:szCs w:val="21"/>
              </w:rPr>
            </w:pPr>
            <w:r>
              <w:rPr>
                <w:rFonts w:ascii="Times New Roman" w:hAnsi="宋体"/>
                <w:szCs w:val="21"/>
              </w:rPr>
              <w:t>易燃性</w:t>
            </w:r>
            <w:r>
              <w:rPr>
                <w:rFonts w:ascii="Times New Roman" w:hAnsi="Times New Roman"/>
                <w:szCs w:val="21"/>
              </w:rPr>
              <w:t xml:space="preserve">         □</w:t>
            </w:r>
          </w:p>
          <w:p w14:paraId="593D6925">
            <w:pPr>
              <w:spacing w:line="240" w:lineRule="auto"/>
              <w:rPr>
                <w:rFonts w:ascii="Times New Roman" w:hAnsi="Times New Roman"/>
                <w:szCs w:val="21"/>
              </w:rPr>
            </w:pPr>
            <w:r>
              <w:rPr>
                <w:rFonts w:ascii="Times New Roman" w:hAnsi="宋体"/>
                <w:szCs w:val="21"/>
              </w:rPr>
              <w:t>反应性</w:t>
            </w:r>
            <w:r>
              <w:rPr>
                <w:rFonts w:ascii="Times New Roman" w:hAnsi="Times New Roman"/>
                <w:szCs w:val="21"/>
              </w:rPr>
              <w:t xml:space="preserve">         □</w:t>
            </w:r>
          </w:p>
          <w:p w14:paraId="28A49F1C">
            <w:pPr>
              <w:spacing w:line="240" w:lineRule="auto"/>
              <w:rPr>
                <w:rFonts w:ascii="Times New Roman" w:hAnsi="Times New Roman"/>
                <w:szCs w:val="21"/>
              </w:rPr>
            </w:pPr>
            <w:r>
              <w:rPr>
                <w:rFonts w:ascii="Times New Roman" w:hAnsi="宋体"/>
                <w:szCs w:val="21"/>
              </w:rPr>
              <w:t>感染性</w:t>
            </w:r>
            <w:r>
              <w:rPr>
                <w:rFonts w:ascii="Times New Roman" w:hAnsi="Times New Roman"/>
                <w:szCs w:val="21"/>
              </w:rPr>
              <w:t xml:space="preserve">         □</w:t>
            </w:r>
          </w:p>
        </w:tc>
        <w:tc>
          <w:tcPr>
            <w:tcW w:w="1680" w:type="dxa"/>
            <w:vAlign w:val="center"/>
          </w:tcPr>
          <w:p w14:paraId="704D1399">
            <w:pPr>
              <w:spacing w:line="240" w:lineRule="auto"/>
              <w:rPr>
                <w:rFonts w:ascii="Times New Roman" w:hAnsi="Times New Roman"/>
                <w:szCs w:val="21"/>
              </w:rPr>
            </w:pPr>
            <w:r>
              <w:rPr>
                <w:rFonts w:ascii="Times New Roman" w:hAnsi="宋体"/>
                <w:szCs w:val="21"/>
              </w:rPr>
              <w:t>固态</w:t>
            </w:r>
            <w:r>
              <w:rPr>
                <w:rFonts w:ascii="Times New Roman" w:hAnsi="Times New Roman"/>
                <w:szCs w:val="21"/>
              </w:rPr>
              <w:t xml:space="preserve">       □</w:t>
            </w:r>
          </w:p>
          <w:p w14:paraId="7906D22E">
            <w:pPr>
              <w:spacing w:line="240" w:lineRule="auto"/>
              <w:rPr>
                <w:rFonts w:ascii="Times New Roman" w:hAnsi="Times New Roman"/>
                <w:szCs w:val="21"/>
              </w:rPr>
            </w:pPr>
            <w:r>
              <w:rPr>
                <w:rFonts w:ascii="Times New Roman" w:hAnsi="宋体"/>
                <w:szCs w:val="21"/>
              </w:rPr>
              <w:t>半固态</w:t>
            </w:r>
            <w:r>
              <w:rPr>
                <w:rFonts w:ascii="Times New Roman" w:hAnsi="Times New Roman"/>
                <w:szCs w:val="21"/>
              </w:rPr>
              <w:t xml:space="preserve">     □</w:t>
            </w:r>
          </w:p>
          <w:p w14:paraId="15F6A988">
            <w:pPr>
              <w:spacing w:line="240" w:lineRule="auto"/>
              <w:rPr>
                <w:rFonts w:ascii="Times New Roman" w:hAnsi="Times New Roman"/>
                <w:szCs w:val="21"/>
              </w:rPr>
            </w:pPr>
            <w:r>
              <w:rPr>
                <w:rFonts w:ascii="Times New Roman" w:hAnsi="宋体"/>
                <w:szCs w:val="21"/>
              </w:rPr>
              <w:t>粉末态</w:t>
            </w:r>
            <w:r>
              <w:rPr>
                <w:rFonts w:ascii="Times New Roman" w:hAnsi="Times New Roman"/>
                <w:szCs w:val="21"/>
              </w:rPr>
              <w:t xml:space="preserve">     □</w:t>
            </w:r>
          </w:p>
          <w:p w14:paraId="27238434">
            <w:pPr>
              <w:spacing w:line="240" w:lineRule="auto"/>
              <w:rPr>
                <w:rFonts w:ascii="Times New Roman" w:hAnsi="Times New Roman"/>
                <w:szCs w:val="21"/>
              </w:rPr>
            </w:pPr>
            <w:r>
              <w:rPr>
                <w:rFonts w:ascii="Times New Roman" w:hAnsi="宋体"/>
                <w:szCs w:val="21"/>
              </w:rPr>
              <w:t>颗粒态</w:t>
            </w:r>
            <w:r>
              <w:rPr>
                <w:rFonts w:ascii="Times New Roman" w:hAnsi="Times New Roman"/>
                <w:szCs w:val="21"/>
              </w:rPr>
              <w:t xml:space="preserve">     □</w:t>
            </w:r>
          </w:p>
          <w:p w14:paraId="325EE0A8">
            <w:pPr>
              <w:spacing w:line="240" w:lineRule="auto"/>
              <w:rPr>
                <w:rFonts w:ascii="Times New Roman" w:hAnsi="Times New Roman"/>
                <w:szCs w:val="21"/>
              </w:rPr>
            </w:pPr>
            <w:r>
              <w:rPr>
                <w:rFonts w:ascii="Times New Roman" w:hAnsi="宋体"/>
                <w:szCs w:val="21"/>
              </w:rPr>
              <w:t>液态</w:t>
            </w:r>
            <w:r>
              <w:rPr>
                <w:rFonts w:ascii="Times New Roman" w:hAnsi="Times New Roman"/>
                <w:szCs w:val="21"/>
              </w:rPr>
              <w:t xml:space="preserve">       □</w:t>
            </w:r>
          </w:p>
        </w:tc>
      </w:tr>
    </w:tbl>
    <w:p w14:paraId="2B07A6F5">
      <w:pPr>
        <w:spacing w:line="240" w:lineRule="auto"/>
        <w:rPr>
          <w:rFonts w:ascii="Times New Roman" w:hAnsi="Times New Roman" w:eastAsia="黑体"/>
          <w:sz w:val="28"/>
          <w:szCs w:val="28"/>
        </w:rPr>
      </w:pPr>
      <w:r>
        <w:rPr>
          <w:rFonts w:ascii="Times New Roman" w:eastAsia="黑体"/>
          <w:sz w:val="28"/>
          <w:szCs w:val="28"/>
        </w:rPr>
        <w:t>第二部分：废物包装、运输情况</w:t>
      </w:r>
    </w:p>
    <w:tbl>
      <w:tblPr>
        <w:tblStyle w:val="7"/>
        <w:tblW w:w="9162"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2"/>
      </w:tblGrid>
      <w:tr w14:paraId="5DD5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162" w:type="dxa"/>
            <w:vAlign w:val="center"/>
          </w:tcPr>
          <w:tbl>
            <w:tblPr>
              <w:tblStyle w:val="7"/>
              <w:tblpPr w:leftFromText="180" w:rightFromText="180" w:vertAnchor="text" w:horzAnchor="page" w:tblpX="-62" w:tblpY="311"/>
              <w:tblOverlap w:val="never"/>
              <w:tblW w:w="9240" w:type="dxa"/>
              <w:tblInd w:w="5"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634"/>
              <w:gridCol w:w="2075"/>
              <w:gridCol w:w="1421"/>
              <w:gridCol w:w="1379"/>
              <w:gridCol w:w="1716"/>
            </w:tblGrid>
            <w:tr w14:paraId="5A128BD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9240" w:type="dxa"/>
                  <w:gridSpan w:val="6"/>
                  <w:vAlign w:val="center"/>
                </w:tcPr>
                <w:p w14:paraId="65C12E75">
                  <w:pPr>
                    <w:rPr>
                      <w:rFonts w:ascii="Times New Roman" w:hAnsi="Times New Roman"/>
                      <w:b/>
                      <w:bCs/>
                    </w:rPr>
                  </w:pPr>
                  <w:r>
                    <w:rPr>
                      <w:rFonts w:ascii="Times New Roman"/>
                      <w:b/>
                      <w:bCs/>
                    </w:rPr>
                    <w:t>表</w:t>
                  </w:r>
                  <w:r>
                    <w:rPr>
                      <w:rFonts w:ascii="Times New Roman" w:hAnsi="Times New Roman"/>
                      <w:b/>
                      <w:bCs/>
                    </w:rPr>
                    <w:t xml:space="preserve">1   </w:t>
                  </w:r>
                  <w:r>
                    <w:rPr>
                      <w:rFonts w:ascii="Times New Roman"/>
                      <w:b/>
                      <w:bCs/>
                    </w:rPr>
                    <w:t>废物包装情况</w:t>
                  </w:r>
                </w:p>
              </w:tc>
            </w:tr>
            <w:tr w14:paraId="4D5E9D8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15" w:type="dxa"/>
                  <w:vAlign w:val="center"/>
                </w:tcPr>
                <w:p w14:paraId="0CCBACD5">
                  <w:pPr>
                    <w:jc w:val="center"/>
                    <w:rPr>
                      <w:rFonts w:ascii="Times New Roman" w:hAnsi="Times New Roman"/>
                    </w:rPr>
                  </w:pPr>
                  <w:r>
                    <w:rPr>
                      <w:rFonts w:ascii="Times New Roman"/>
                    </w:rPr>
                    <w:t>序号</w:t>
                  </w:r>
                </w:p>
              </w:tc>
              <w:tc>
                <w:tcPr>
                  <w:tcW w:w="1634" w:type="dxa"/>
                  <w:vAlign w:val="center"/>
                </w:tcPr>
                <w:p w14:paraId="36A592D0">
                  <w:pPr>
                    <w:jc w:val="center"/>
                    <w:rPr>
                      <w:rFonts w:ascii="Times New Roman" w:hAnsi="Times New Roman"/>
                    </w:rPr>
                  </w:pPr>
                  <w:r>
                    <w:rPr>
                      <w:rFonts w:ascii="Times New Roman"/>
                    </w:rPr>
                    <w:t>废物名称</w:t>
                  </w:r>
                </w:p>
              </w:tc>
              <w:tc>
                <w:tcPr>
                  <w:tcW w:w="2075" w:type="dxa"/>
                  <w:vAlign w:val="center"/>
                </w:tcPr>
                <w:p w14:paraId="48675A79">
                  <w:pPr>
                    <w:jc w:val="center"/>
                    <w:rPr>
                      <w:rFonts w:ascii="Times New Roman" w:hAnsi="Times New Roman"/>
                    </w:rPr>
                  </w:pPr>
                  <w:r>
                    <w:rPr>
                      <w:rFonts w:ascii="Times New Roman"/>
                    </w:rPr>
                    <w:t>包装物（容器）名称</w:t>
                  </w:r>
                </w:p>
              </w:tc>
              <w:tc>
                <w:tcPr>
                  <w:tcW w:w="1421" w:type="dxa"/>
                  <w:vAlign w:val="center"/>
                </w:tcPr>
                <w:p w14:paraId="266AD528">
                  <w:pPr>
                    <w:jc w:val="center"/>
                    <w:rPr>
                      <w:rFonts w:ascii="Times New Roman" w:hAnsi="Times New Roman"/>
                    </w:rPr>
                  </w:pPr>
                  <w:r>
                    <w:rPr>
                      <w:rFonts w:ascii="Times New Roman"/>
                    </w:rPr>
                    <w:t>材质</w:t>
                  </w:r>
                </w:p>
              </w:tc>
              <w:tc>
                <w:tcPr>
                  <w:tcW w:w="1379" w:type="dxa"/>
                  <w:vAlign w:val="center"/>
                </w:tcPr>
                <w:p w14:paraId="571A7ACE">
                  <w:pPr>
                    <w:jc w:val="center"/>
                    <w:rPr>
                      <w:rFonts w:ascii="Times New Roman" w:hAnsi="Times New Roman"/>
                    </w:rPr>
                  </w:pPr>
                  <w:r>
                    <w:rPr>
                      <w:rFonts w:ascii="Times New Roman"/>
                    </w:rPr>
                    <w:t>容积</w:t>
                  </w:r>
                </w:p>
              </w:tc>
              <w:tc>
                <w:tcPr>
                  <w:tcW w:w="1716" w:type="dxa"/>
                  <w:vAlign w:val="center"/>
                </w:tcPr>
                <w:p w14:paraId="7C75D4D4">
                  <w:pPr>
                    <w:jc w:val="left"/>
                    <w:rPr>
                      <w:rFonts w:ascii="Times New Roman" w:hAnsi="Times New Roman"/>
                    </w:rPr>
                  </w:pPr>
                  <w:r>
                    <w:rPr>
                      <w:rFonts w:ascii="Times New Roman"/>
                    </w:rPr>
                    <w:t>是否有危废标签</w:t>
                  </w:r>
                </w:p>
              </w:tc>
            </w:tr>
            <w:tr w14:paraId="569A3A6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5" w:hRule="exact"/>
              </w:trPr>
              <w:tc>
                <w:tcPr>
                  <w:tcW w:w="1015" w:type="dxa"/>
                  <w:vAlign w:val="center"/>
                </w:tcPr>
                <w:p w14:paraId="047DCC83">
                  <w:pPr>
                    <w:jc w:val="center"/>
                    <w:rPr>
                      <w:rFonts w:ascii="Times New Roman" w:hAnsi="Times New Roman"/>
                    </w:rPr>
                  </w:pPr>
                  <w:r>
                    <w:rPr>
                      <w:rFonts w:hint="eastAsia" w:ascii="Times New Roman" w:hAnsi="Times New Roman"/>
                    </w:rPr>
                    <w:t>1</w:t>
                  </w:r>
                </w:p>
              </w:tc>
              <w:tc>
                <w:tcPr>
                  <w:tcW w:w="1634" w:type="dxa"/>
                  <w:vAlign w:val="center"/>
                </w:tcPr>
                <w:p w14:paraId="46BB27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szCs w:val="24"/>
                      <w:lang w:val="en-US" w:eastAsia="zh-CN"/>
                    </w:rPr>
                  </w:pPr>
                  <w:r>
                    <w:rPr>
                      <w:rFonts w:hint="eastAsia" w:ascii="Times New Roman" w:hAnsi="Times New Roman"/>
                      <w:szCs w:val="24"/>
                      <w:lang w:val="en-US" w:eastAsia="zh-CN"/>
                    </w:rPr>
                    <w:t>HW08</w:t>
                  </w:r>
                </w:p>
                <w:p w14:paraId="774A68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rPr>
                  </w:pPr>
                  <w:r>
                    <w:rPr>
                      <w:rFonts w:hint="eastAsia" w:ascii="Times New Roman" w:hAnsi="Times New Roman"/>
                      <w:szCs w:val="24"/>
                      <w:lang w:val="en-US" w:eastAsia="zh-CN"/>
                    </w:rPr>
                    <w:t>废矿物油</w:t>
                  </w:r>
                </w:p>
              </w:tc>
              <w:tc>
                <w:tcPr>
                  <w:tcW w:w="2075" w:type="dxa"/>
                  <w:vAlign w:val="top"/>
                </w:tcPr>
                <w:p w14:paraId="39C16CCA">
                  <w:pPr>
                    <w:jc w:val="center"/>
                    <w:rPr>
                      <w:rFonts w:ascii="Times New Roman" w:hAnsi="Times New Roman"/>
                    </w:rPr>
                  </w:pPr>
                  <w:r>
                    <w:rPr>
                      <w:rFonts w:hint="eastAsia" w:ascii="Times New Roman" w:hAnsi="Times New Roman"/>
                    </w:rPr>
                    <w:t>油罐车</w:t>
                  </w:r>
                </w:p>
              </w:tc>
              <w:tc>
                <w:tcPr>
                  <w:tcW w:w="1421" w:type="dxa"/>
                  <w:vAlign w:val="center"/>
                </w:tcPr>
                <w:p w14:paraId="6FB92195">
                  <w:pPr>
                    <w:jc w:val="center"/>
                    <w:rPr>
                      <w:rFonts w:hint="default" w:ascii="Times New Roman" w:hAnsi="Times New Roman"/>
                      <w:lang w:val="en-US" w:eastAsia="zh-CN"/>
                    </w:rPr>
                  </w:pPr>
                  <w:r>
                    <w:rPr>
                      <w:rFonts w:hint="eastAsia" w:ascii="Times New Roman" w:hAnsi="Times New Roman"/>
                      <w:lang w:val="en-US" w:eastAsia="zh-CN"/>
                    </w:rPr>
                    <w:t>大型货车</w:t>
                  </w:r>
                </w:p>
              </w:tc>
              <w:tc>
                <w:tcPr>
                  <w:tcW w:w="1379" w:type="dxa"/>
                </w:tcPr>
                <w:p w14:paraId="5965A09F">
                  <w:pPr>
                    <w:jc w:val="center"/>
                    <w:rPr>
                      <w:rFonts w:ascii="Times New Roman" w:hAnsi="Times New Roman"/>
                    </w:rPr>
                  </w:pPr>
                  <w:r>
                    <w:rPr>
                      <w:rFonts w:hint="eastAsia" w:ascii="Times New Roman" w:hAnsi="Times New Roman"/>
                    </w:rPr>
                    <w:t>35吨</w:t>
                  </w:r>
                </w:p>
              </w:tc>
              <w:tc>
                <w:tcPr>
                  <w:tcW w:w="1716" w:type="dxa"/>
                  <w:vAlign w:val="center"/>
                </w:tcPr>
                <w:p w14:paraId="4FE71F8C">
                  <w:pPr>
                    <w:jc w:val="center"/>
                    <w:rPr>
                      <w:rFonts w:hint="default" w:ascii="Times New Roman" w:hAnsi="Times New Roman" w:eastAsia="宋体"/>
                      <w:lang w:val="en-US" w:eastAsia="zh-CN"/>
                    </w:rPr>
                  </w:pPr>
                  <w:r>
                    <w:rPr>
                      <w:rFonts w:hint="eastAsia" w:ascii="Times New Roman" w:hAnsi="Times New Roman"/>
                      <w:lang w:val="en-US" w:eastAsia="zh-CN"/>
                    </w:rPr>
                    <w:t>是</w:t>
                  </w:r>
                </w:p>
              </w:tc>
            </w:tr>
            <w:tr w14:paraId="22C4D40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Pr>
                <w:p w14:paraId="656337DD">
                  <w:pPr>
                    <w:rPr>
                      <w:rFonts w:ascii="Times New Roman" w:hAnsi="Times New Roman"/>
                    </w:rPr>
                  </w:pPr>
                </w:p>
              </w:tc>
              <w:tc>
                <w:tcPr>
                  <w:tcW w:w="1634" w:type="dxa"/>
                </w:tcPr>
                <w:p w14:paraId="20813A03">
                  <w:pPr>
                    <w:rPr>
                      <w:rFonts w:ascii="Times New Roman" w:hAnsi="Times New Roman"/>
                    </w:rPr>
                  </w:pPr>
                </w:p>
              </w:tc>
              <w:tc>
                <w:tcPr>
                  <w:tcW w:w="2075" w:type="dxa"/>
                </w:tcPr>
                <w:p w14:paraId="6B1EE3E1">
                  <w:pPr>
                    <w:rPr>
                      <w:rFonts w:ascii="Times New Roman" w:hAnsi="Times New Roman"/>
                    </w:rPr>
                  </w:pPr>
                </w:p>
              </w:tc>
              <w:tc>
                <w:tcPr>
                  <w:tcW w:w="1421" w:type="dxa"/>
                </w:tcPr>
                <w:p w14:paraId="45A0C4D9">
                  <w:pPr>
                    <w:rPr>
                      <w:rFonts w:ascii="Times New Roman" w:hAnsi="Times New Roman"/>
                    </w:rPr>
                  </w:pPr>
                </w:p>
              </w:tc>
              <w:tc>
                <w:tcPr>
                  <w:tcW w:w="1379" w:type="dxa"/>
                </w:tcPr>
                <w:p w14:paraId="6FB7332F">
                  <w:pPr>
                    <w:rPr>
                      <w:rFonts w:ascii="Times New Roman" w:hAnsi="Times New Roman"/>
                    </w:rPr>
                  </w:pPr>
                </w:p>
              </w:tc>
              <w:tc>
                <w:tcPr>
                  <w:tcW w:w="1716" w:type="dxa"/>
                </w:tcPr>
                <w:p w14:paraId="2AF4085B">
                  <w:pPr>
                    <w:rPr>
                      <w:rFonts w:ascii="Times New Roman" w:hAnsi="Times New Roman"/>
                    </w:rPr>
                  </w:pPr>
                </w:p>
              </w:tc>
            </w:tr>
            <w:tr w14:paraId="6F5163F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Pr>
                <w:p w14:paraId="314CCB99">
                  <w:pPr>
                    <w:rPr>
                      <w:rFonts w:ascii="Times New Roman" w:hAnsi="Times New Roman"/>
                    </w:rPr>
                  </w:pPr>
                </w:p>
              </w:tc>
              <w:tc>
                <w:tcPr>
                  <w:tcW w:w="1634" w:type="dxa"/>
                </w:tcPr>
                <w:p w14:paraId="6F8C42A2">
                  <w:pPr>
                    <w:rPr>
                      <w:rFonts w:ascii="Times New Roman" w:hAnsi="Times New Roman"/>
                    </w:rPr>
                  </w:pPr>
                </w:p>
              </w:tc>
              <w:tc>
                <w:tcPr>
                  <w:tcW w:w="2075" w:type="dxa"/>
                </w:tcPr>
                <w:p w14:paraId="565B34B9">
                  <w:pPr>
                    <w:rPr>
                      <w:rFonts w:ascii="Times New Roman" w:hAnsi="Times New Roman"/>
                    </w:rPr>
                  </w:pPr>
                </w:p>
              </w:tc>
              <w:tc>
                <w:tcPr>
                  <w:tcW w:w="1421" w:type="dxa"/>
                </w:tcPr>
                <w:p w14:paraId="1C7092AF">
                  <w:pPr>
                    <w:rPr>
                      <w:rFonts w:ascii="Times New Roman" w:hAnsi="Times New Roman"/>
                    </w:rPr>
                  </w:pPr>
                </w:p>
              </w:tc>
              <w:tc>
                <w:tcPr>
                  <w:tcW w:w="1379" w:type="dxa"/>
                </w:tcPr>
                <w:p w14:paraId="7B25E469">
                  <w:pPr>
                    <w:rPr>
                      <w:rFonts w:ascii="Times New Roman" w:hAnsi="Times New Roman"/>
                    </w:rPr>
                  </w:pPr>
                </w:p>
              </w:tc>
              <w:tc>
                <w:tcPr>
                  <w:tcW w:w="1716" w:type="dxa"/>
                </w:tcPr>
                <w:p w14:paraId="08FCF98E">
                  <w:pPr>
                    <w:rPr>
                      <w:rFonts w:ascii="Times New Roman" w:hAnsi="Times New Roman"/>
                    </w:rPr>
                  </w:pPr>
                </w:p>
              </w:tc>
            </w:tr>
            <w:tr w14:paraId="701B8A7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Pr>
                <w:p w14:paraId="2151A08E">
                  <w:pPr>
                    <w:rPr>
                      <w:rFonts w:ascii="Times New Roman" w:hAnsi="Times New Roman"/>
                    </w:rPr>
                  </w:pPr>
                </w:p>
              </w:tc>
              <w:tc>
                <w:tcPr>
                  <w:tcW w:w="1634" w:type="dxa"/>
                </w:tcPr>
                <w:p w14:paraId="2BDD913E">
                  <w:pPr>
                    <w:rPr>
                      <w:rFonts w:ascii="Times New Roman" w:hAnsi="Times New Roman"/>
                    </w:rPr>
                  </w:pPr>
                </w:p>
              </w:tc>
              <w:tc>
                <w:tcPr>
                  <w:tcW w:w="2075" w:type="dxa"/>
                </w:tcPr>
                <w:p w14:paraId="2A4EBBCC">
                  <w:pPr>
                    <w:rPr>
                      <w:rFonts w:ascii="Times New Roman" w:hAnsi="Times New Roman"/>
                    </w:rPr>
                  </w:pPr>
                </w:p>
              </w:tc>
              <w:tc>
                <w:tcPr>
                  <w:tcW w:w="1421" w:type="dxa"/>
                </w:tcPr>
                <w:p w14:paraId="719163D9">
                  <w:pPr>
                    <w:rPr>
                      <w:rFonts w:ascii="Times New Roman" w:hAnsi="Times New Roman"/>
                    </w:rPr>
                  </w:pPr>
                </w:p>
              </w:tc>
              <w:tc>
                <w:tcPr>
                  <w:tcW w:w="1379" w:type="dxa"/>
                </w:tcPr>
                <w:p w14:paraId="38AE4EDF">
                  <w:pPr>
                    <w:rPr>
                      <w:rFonts w:ascii="Times New Roman" w:hAnsi="Times New Roman"/>
                    </w:rPr>
                  </w:pPr>
                </w:p>
              </w:tc>
              <w:tc>
                <w:tcPr>
                  <w:tcW w:w="1716" w:type="dxa"/>
                </w:tcPr>
                <w:p w14:paraId="25F2A4DD">
                  <w:pPr>
                    <w:rPr>
                      <w:rFonts w:ascii="Times New Roman" w:hAnsi="Times New Roman"/>
                    </w:rPr>
                  </w:pPr>
                </w:p>
              </w:tc>
            </w:tr>
            <w:tr w14:paraId="23BB31F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Borders>
                    <w:bottom w:val="single" w:color="auto" w:sz="4" w:space="0"/>
                  </w:tcBorders>
                </w:tcPr>
                <w:p w14:paraId="2C06EFF0">
                  <w:pPr>
                    <w:rPr>
                      <w:rFonts w:ascii="Times New Roman" w:hAnsi="Times New Roman"/>
                    </w:rPr>
                  </w:pPr>
                </w:p>
              </w:tc>
              <w:tc>
                <w:tcPr>
                  <w:tcW w:w="1634" w:type="dxa"/>
                  <w:tcBorders>
                    <w:bottom w:val="single" w:color="auto" w:sz="4" w:space="0"/>
                  </w:tcBorders>
                </w:tcPr>
                <w:p w14:paraId="21D057E5">
                  <w:pPr>
                    <w:rPr>
                      <w:rFonts w:ascii="Times New Roman" w:hAnsi="Times New Roman"/>
                    </w:rPr>
                  </w:pPr>
                </w:p>
              </w:tc>
              <w:tc>
                <w:tcPr>
                  <w:tcW w:w="2075" w:type="dxa"/>
                  <w:tcBorders>
                    <w:bottom w:val="single" w:color="auto" w:sz="4" w:space="0"/>
                  </w:tcBorders>
                </w:tcPr>
                <w:p w14:paraId="50ACAE60">
                  <w:pPr>
                    <w:rPr>
                      <w:rFonts w:ascii="Times New Roman" w:hAnsi="Times New Roman"/>
                    </w:rPr>
                  </w:pPr>
                </w:p>
              </w:tc>
              <w:tc>
                <w:tcPr>
                  <w:tcW w:w="1421" w:type="dxa"/>
                  <w:tcBorders>
                    <w:bottom w:val="single" w:color="auto" w:sz="4" w:space="0"/>
                  </w:tcBorders>
                </w:tcPr>
                <w:p w14:paraId="27810D4F">
                  <w:pPr>
                    <w:rPr>
                      <w:rFonts w:ascii="Times New Roman" w:hAnsi="Times New Roman"/>
                    </w:rPr>
                  </w:pPr>
                </w:p>
              </w:tc>
              <w:tc>
                <w:tcPr>
                  <w:tcW w:w="1379" w:type="dxa"/>
                  <w:tcBorders>
                    <w:bottom w:val="single" w:color="auto" w:sz="4" w:space="0"/>
                  </w:tcBorders>
                </w:tcPr>
                <w:p w14:paraId="3C6412ED">
                  <w:pPr>
                    <w:rPr>
                      <w:rFonts w:ascii="Times New Roman" w:hAnsi="Times New Roman"/>
                    </w:rPr>
                  </w:pPr>
                </w:p>
              </w:tc>
              <w:tc>
                <w:tcPr>
                  <w:tcW w:w="1716" w:type="dxa"/>
                  <w:tcBorders>
                    <w:bottom w:val="single" w:color="auto" w:sz="4" w:space="0"/>
                  </w:tcBorders>
                </w:tcPr>
                <w:p w14:paraId="03AF019B">
                  <w:pPr>
                    <w:rPr>
                      <w:rFonts w:ascii="Times New Roman" w:hAnsi="Times New Roman"/>
                    </w:rPr>
                  </w:pPr>
                </w:p>
              </w:tc>
            </w:tr>
          </w:tbl>
          <w:p w14:paraId="765F0835">
            <w:pPr>
              <w:rPr>
                <w:rFonts w:ascii="Times New Roman" w:hAnsi="Times New Roman"/>
                <w:b/>
                <w:bCs/>
                <w:szCs w:val="24"/>
              </w:rPr>
            </w:pPr>
            <w:r>
              <w:rPr>
                <w:rFonts w:ascii="Times New Roman"/>
                <w:b/>
                <w:bCs/>
                <w:szCs w:val="24"/>
              </w:rPr>
              <w:t>表</w:t>
            </w:r>
            <w:r>
              <w:rPr>
                <w:rFonts w:ascii="Times New Roman" w:hAnsi="Times New Roman"/>
                <w:b/>
                <w:bCs/>
                <w:szCs w:val="24"/>
              </w:rPr>
              <w:t xml:space="preserve">2  </w:t>
            </w:r>
            <w:r>
              <w:rPr>
                <w:rFonts w:ascii="Times New Roman"/>
                <w:b/>
                <w:bCs/>
                <w:szCs w:val="24"/>
              </w:rPr>
              <w:t>废物运输情况</w:t>
            </w:r>
          </w:p>
        </w:tc>
      </w:tr>
      <w:tr w14:paraId="7A99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8" w:hRule="atLeast"/>
        </w:trPr>
        <w:tc>
          <w:tcPr>
            <w:tcW w:w="9162" w:type="dxa"/>
          </w:tcPr>
          <w:p w14:paraId="7F4513B9">
            <w:pPr>
              <w:spacing w:line="360" w:lineRule="auto"/>
              <w:rPr>
                <w:rFonts w:ascii="Times New Roman"/>
                <w:szCs w:val="24"/>
              </w:rPr>
            </w:pPr>
            <w:r>
              <w:rPr>
                <w:rFonts w:ascii="Times New Roman"/>
                <w:szCs w:val="24"/>
              </w:rPr>
              <w:t>运输是否符合交管部门运输相关规定（文字描述）</w:t>
            </w:r>
          </w:p>
          <w:p w14:paraId="5C00245A">
            <w:pPr>
              <w:spacing w:line="360" w:lineRule="auto"/>
              <w:rPr>
                <w:rFonts w:ascii="Times New Roman"/>
                <w:szCs w:val="24"/>
              </w:rPr>
            </w:pPr>
          </w:p>
          <w:p w14:paraId="4DD8DDE2">
            <w:pPr>
              <w:spacing w:line="360" w:lineRule="auto"/>
              <w:rPr>
                <w:rFonts w:hint="eastAsia" w:ascii="Times New Roman"/>
                <w:szCs w:val="24"/>
                <w:lang w:val="en-US" w:eastAsia="zh-CN"/>
              </w:rPr>
            </w:pPr>
          </w:p>
          <w:p w14:paraId="6AAE09BB">
            <w:pPr>
              <w:spacing w:line="360" w:lineRule="auto"/>
              <w:rPr>
                <w:rFonts w:hint="eastAsia" w:ascii="Times New Roman"/>
                <w:szCs w:val="24"/>
                <w:lang w:val="en-US" w:eastAsia="zh-CN"/>
              </w:rPr>
            </w:pPr>
            <w:r>
              <w:rPr>
                <w:rFonts w:hint="eastAsia" w:ascii="Times New Roman"/>
                <w:szCs w:val="24"/>
                <w:lang w:eastAsia="zh-CN"/>
              </w:rPr>
              <w:t>镇江市大港顺达汽车运输有限公司是一家具有道路运输经营许可证，经营道路普通货物运输，货物专业运输（集装箱），货物专用运输（罐式），服务范围：</w:t>
            </w:r>
            <w:r>
              <w:rPr>
                <w:rFonts w:hint="eastAsia" w:ascii="Times New Roman"/>
                <w:szCs w:val="24"/>
                <w:lang w:val="en-US" w:eastAsia="zh-CN"/>
              </w:rPr>
              <w:t>1专业危险货物运输（危险品2类1项，2类2项，3类，4类1项，4类2项，4类3项，5类1项，5类2项，6类1项，8类，9类，医药废物，危险废物）（剧毒化学品除外）镇字321113301019号</w:t>
            </w:r>
          </w:p>
          <w:p w14:paraId="7FA859A3">
            <w:pPr>
              <w:rPr>
                <w:rFonts w:hint="eastAsia" w:ascii="Times New Roman" w:hAnsi="Times New Roman"/>
                <w:szCs w:val="24"/>
                <w:lang w:val="en-US" w:eastAsia="zh-CN"/>
              </w:rPr>
            </w:pPr>
          </w:p>
          <w:p w14:paraId="547B437F">
            <w:pPr>
              <w:rPr>
                <w:rFonts w:hint="eastAsia" w:ascii="Times New Roman" w:hAnsi="Times New Roman"/>
                <w:szCs w:val="24"/>
                <w:lang w:val="en-US" w:eastAsia="zh-CN"/>
              </w:rPr>
            </w:pPr>
          </w:p>
          <w:p w14:paraId="1512D4FD">
            <w:pPr>
              <w:rPr>
                <w:rFonts w:hint="eastAsia" w:ascii="Times New Roman" w:hAnsi="Times New Roman"/>
                <w:szCs w:val="24"/>
                <w:lang w:val="en-US" w:eastAsia="zh-CN"/>
              </w:rPr>
            </w:pPr>
          </w:p>
          <w:p w14:paraId="26404A34">
            <w:pPr>
              <w:rPr>
                <w:rFonts w:hint="eastAsia" w:ascii="Times New Roman" w:hAnsi="Times New Roman"/>
                <w:szCs w:val="24"/>
                <w:lang w:val="en-US" w:eastAsia="zh-CN"/>
              </w:rPr>
            </w:pPr>
            <w:r>
              <w:rPr>
                <w:rFonts w:hint="eastAsia" w:ascii="Times New Roman" w:hAnsi="Times New Roman"/>
                <w:szCs w:val="24"/>
                <w:lang w:val="en-US" w:eastAsia="zh-CN"/>
              </w:rPr>
              <w:t>江苏神华物流有限公司是一家具有</w:t>
            </w:r>
            <w:r>
              <w:rPr>
                <w:rFonts w:hint="eastAsia" w:ascii="Times New Roman" w:hAnsi="Times New Roman"/>
                <w:szCs w:val="24"/>
                <w:lang w:eastAsia="zh-CN"/>
              </w:rPr>
              <w:t>道路运输经营许可证，</w:t>
            </w:r>
            <w:r>
              <w:rPr>
                <w:rFonts w:hint="eastAsia" w:ascii="Times New Roman" w:hAnsi="Times New Roman"/>
                <w:szCs w:val="24"/>
                <w:lang w:val="en-US" w:eastAsia="zh-CN"/>
              </w:rPr>
              <w:t>经营道路普通货物运输，大型物件运输，经营性道路危险货物运输（2类1项，2类2项，2类3项，3类，4类1项，4类2项，4类3项，5类1项，5类2项，6类1项，8类，9类，危险废物）（剧毒化学品除外）盐字320924500002</w:t>
            </w:r>
          </w:p>
          <w:p w14:paraId="3C8C2373">
            <w:pPr>
              <w:rPr>
                <w:rFonts w:hint="eastAsia" w:ascii="Times New Roman" w:hAnsi="Times New Roman"/>
                <w:szCs w:val="24"/>
                <w:lang w:val="en-US" w:eastAsia="zh-CN"/>
              </w:rPr>
            </w:pPr>
          </w:p>
          <w:p w14:paraId="5643C376">
            <w:pPr>
              <w:rPr>
                <w:rFonts w:hint="eastAsia" w:ascii="Times New Roman" w:hAnsi="Times New Roman"/>
                <w:szCs w:val="24"/>
                <w:lang w:val="en-US" w:eastAsia="zh-CN"/>
              </w:rPr>
            </w:pPr>
          </w:p>
          <w:p w14:paraId="161C0DAD">
            <w:pPr>
              <w:spacing w:before="72" w:line="458" w:lineRule="auto"/>
              <w:rPr>
                <w:rFonts w:hint="eastAsia" w:ascii="Times New Roman" w:hAnsi="Times New Roman"/>
                <w:szCs w:val="24"/>
                <w:lang w:val="en-US" w:eastAsia="zh-CN"/>
              </w:rPr>
            </w:pPr>
            <w:r>
              <w:rPr>
                <w:rFonts w:hint="eastAsia" w:ascii="Times New Roman" w:hAnsi="Times New Roman"/>
                <w:szCs w:val="24"/>
                <w:lang w:val="en-US" w:eastAsia="zh-CN"/>
              </w:rPr>
              <w:t>江苏恒进物流发展有限公司是一家具有</w:t>
            </w:r>
            <w:r>
              <w:rPr>
                <w:rFonts w:hint="eastAsia" w:ascii="Times New Roman" w:hAnsi="Times New Roman"/>
                <w:szCs w:val="24"/>
                <w:lang w:eastAsia="zh-CN"/>
              </w:rPr>
              <w:t>道路运输经营许可证，</w:t>
            </w:r>
            <w:r>
              <w:rPr>
                <w:rFonts w:hint="eastAsia" w:ascii="Times New Roman" w:hAnsi="Times New Roman"/>
                <w:szCs w:val="24"/>
                <w:lang w:val="en-US" w:eastAsia="zh-CN"/>
              </w:rPr>
              <w:t>经营道路普通货物运输，货物专用运输(集装箱),货物专用运输(罐式),经营性道路危险货物运输（2类1项，2类2项，2类3项，3类，4类1项，5类1项，6类1项，8类，9类，危险废物）（剧毒化学品除外）</w:t>
            </w:r>
          </w:p>
          <w:p w14:paraId="293572E0">
            <w:pPr>
              <w:spacing w:before="72" w:line="458" w:lineRule="auto"/>
              <w:rPr>
                <w:rFonts w:hint="default" w:ascii="Times New Roman" w:hAnsi="Times New Roman"/>
                <w:szCs w:val="24"/>
                <w:lang w:val="en-US" w:eastAsia="zh-CN"/>
              </w:rPr>
            </w:pPr>
            <w:r>
              <w:rPr>
                <w:rFonts w:hint="eastAsia" w:ascii="Times New Roman" w:hAnsi="Times New Roman"/>
                <w:szCs w:val="24"/>
                <w:lang w:val="en-US" w:eastAsia="zh-CN"/>
              </w:rPr>
              <w:t>常字320400300151号</w:t>
            </w:r>
          </w:p>
          <w:p w14:paraId="7BE7047F">
            <w:pPr>
              <w:spacing w:before="72" w:line="458" w:lineRule="auto"/>
              <w:rPr>
                <w:rFonts w:hint="default" w:ascii="Times New Roman" w:hAnsi="Times New Roman"/>
                <w:szCs w:val="24"/>
                <w:lang w:val="en-US" w:eastAsia="zh-CN"/>
              </w:rPr>
            </w:pPr>
          </w:p>
          <w:p w14:paraId="747E47AB">
            <w:pPr>
              <w:spacing w:line="480" w:lineRule="auto"/>
              <w:rPr>
                <w:rFonts w:hint="eastAsia" w:ascii="Times New Roman" w:hAnsi="Times New Roman"/>
                <w:szCs w:val="24"/>
                <w:lang w:val="en-US" w:eastAsia="zh-CN"/>
              </w:rPr>
            </w:pPr>
          </w:p>
          <w:p w14:paraId="1EFE2DF5">
            <w:pPr>
              <w:spacing w:before="72" w:line="458" w:lineRule="auto"/>
              <w:rPr>
                <w:rFonts w:hint="default" w:ascii="Times New Roman" w:hAnsi="Times New Roman"/>
                <w:szCs w:val="24"/>
                <w:lang w:val="en-US" w:eastAsia="zh-CN"/>
              </w:rPr>
            </w:pPr>
          </w:p>
          <w:p w14:paraId="087C988D">
            <w:pPr>
              <w:spacing w:line="480" w:lineRule="auto"/>
              <w:rPr>
                <w:rFonts w:hint="eastAsia" w:ascii="Times New Roman" w:hAnsi="Times New Roman"/>
                <w:szCs w:val="24"/>
                <w:lang w:val="en-US" w:eastAsia="zh-CN"/>
              </w:rPr>
            </w:pPr>
          </w:p>
          <w:p w14:paraId="3698D1E4">
            <w:pPr>
              <w:spacing w:before="72" w:line="458" w:lineRule="auto"/>
              <w:rPr>
                <w:rFonts w:hint="default" w:ascii="Times New Roman" w:hAnsi="Times New Roman"/>
                <w:szCs w:val="24"/>
                <w:lang w:val="en-US" w:eastAsia="zh-CN"/>
              </w:rPr>
            </w:pPr>
            <w:r>
              <w:rPr>
                <w:rFonts w:hint="eastAsia" w:ascii="Times New Roman" w:hAnsi="Times New Roman"/>
                <w:szCs w:val="24"/>
                <w:lang w:val="en-US" w:eastAsia="zh-CN"/>
              </w:rPr>
              <w:t>江苏依航物流有限公司是一家具有</w:t>
            </w:r>
            <w:r>
              <w:rPr>
                <w:rFonts w:hint="eastAsia" w:ascii="Times New Roman" w:hAnsi="Times New Roman"/>
                <w:szCs w:val="24"/>
                <w:lang w:eastAsia="zh-CN"/>
              </w:rPr>
              <w:t>道路运输经营许可证，</w:t>
            </w:r>
            <w:r>
              <w:rPr>
                <w:rFonts w:hint="eastAsia" w:ascii="Times New Roman" w:hAnsi="Times New Roman"/>
                <w:szCs w:val="24"/>
                <w:lang w:val="en-US" w:eastAsia="zh-CN"/>
              </w:rPr>
              <w:t>经营道路危险货物运输，道路货物运输（不含危险货物），货物专用运输(罐式),经营性道路危险货物运输（3类，6类1项，8类，9类，危险废物）（剧毒化学品除外）连字320700002490号</w:t>
            </w:r>
          </w:p>
          <w:p w14:paraId="7C45B2F9">
            <w:pPr>
              <w:rPr>
                <w:rFonts w:hint="default" w:ascii="Times New Roman" w:hAnsi="Times New Roman"/>
                <w:szCs w:val="24"/>
                <w:lang w:val="en-US" w:eastAsia="zh-CN"/>
              </w:rPr>
            </w:pPr>
          </w:p>
          <w:p w14:paraId="102AC7AB">
            <w:pPr>
              <w:rPr>
                <w:rFonts w:hint="default" w:ascii="Times New Roman" w:hAnsi="Times New Roman"/>
                <w:szCs w:val="24"/>
                <w:lang w:val="en-US" w:eastAsia="zh-CN"/>
              </w:rPr>
            </w:pPr>
          </w:p>
          <w:p w14:paraId="25BA76D3">
            <w:pPr>
              <w:rPr>
                <w:rFonts w:hint="default" w:ascii="Times New Roman" w:hAnsi="Times New Roman"/>
                <w:szCs w:val="24"/>
                <w:lang w:val="en-US" w:eastAsia="zh-CN"/>
              </w:rPr>
            </w:pPr>
          </w:p>
          <w:p w14:paraId="4C684D8E">
            <w:pPr>
              <w:rPr>
                <w:rFonts w:hint="default" w:ascii="Times New Roman" w:hAnsi="Times New Roman"/>
                <w:szCs w:val="24"/>
                <w:lang w:val="en-US" w:eastAsia="zh-CN"/>
              </w:rPr>
            </w:pPr>
          </w:p>
          <w:p w14:paraId="247D7ACF">
            <w:pPr>
              <w:rPr>
                <w:rFonts w:hint="default" w:ascii="Times New Roman" w:hAnsi="Times New Roman"/>
                <w:szCs w:val="24"/>
                <w:lang w:val="en-US" w:eastAsia="zh-CN"/>
              </w:rPr>
            </w:pPr>
          </w:p>
          <w:p w14:paraId="69772B88">
            <w:pPr>
              <w:rPr>
                <w:rFonts w:hint="default" w:ascii="Times New Roman" w:hAnsi="Times New Roman"/>
                <w:szCs w:val="24"/>
                <w:lang w:val="en-US" w:eastAsia="zh-CN"/>
              </w:rPr>
            </w:pPr>
          </w:p>
          <w:p w14:paraId="369466AC">
            <w:pPr>
              <w:rPr>
                <w:rFonts w:hint="default" w:ascii="Times New Roman" w:hAnsi="Times New Roman"/>
                <w:szCs w:val="24"/>
                <w:lang w:val="en-US" w:eastAsia="zh-CN"/>
              </w:rPr>
            </w:pPr>
          </w:p>
        </w:tc>
      </w:tr>
      <w:tr w14:paraId="79D8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162" w:type="dxa"/>
            <w:vAlign w:val="center"/>
          </w:tcPr>
          <w:p w14:paraId="693EBD44">
            <w:pPr>
              <w:rPr>
                <w:rFonts w:ascii="Times New Roman" w:hAnsi="Times New Roman"/>
                <w:szCs w:val="24"/>
              </w:rPr>
            </w:pPr>
            <w:r>
              <w:rPr>
                <w:rFonts w:ascii="Times New Roman"/>
                <w:szCs w:val="24"/>
              </w:rPr>
              <w:t>运输方式：</w:t>
            </w:r>
            <w:r>
              <w:rPr>
                <w:rFonts w:ascii="Times New Roman" w:hAnsi="Times New Roman"/>
                <w:szCs w:val="24"/>
              </w:rPr>
              <w:t xml:space="preserve">   </w:t>
            </w:r>
            <w:r>
              <w:rPr>
                <w:rFonts w:ascii="Times New Roman"/>
                <w:szCs w:val="24"/>
              </w:rPr>
              <w:t>道路</w:t>
            </w:r>
            <w:r>
              <w:rPr>
                <w:rFonts w:ascii="Times New Roman" w:hAnsi="Times New Roman"/>
                <w:szCs w:val="24"/>
              </w:rPr>
              <w:t xml:space="preserve"> </w:t>
            </w:r>
            <w:r>
              <w:rPr>
                <w:rFonts w:ascii="Times New Roman" w:hAnsi="Times New Roman"/>
                <w:szCs w:val="24"/>
              </w:rPr>
              <w:sym w:font="Wingdings 2" w:char="0052"/>
            </w:r>
            <w:r>
              <w:rPr>
                <w:rFonts w:ascii="Times New Roman" w:hAnsi="Times New Roman"/>
                <w:szCs w:val="24"/>
              </w:rPr>
              <w:t xml:space="preserve">       </w:t>
            </w:r>
            <w:r>
              <w:rPr>
                <w:rFonts w:ascii="Times New Roman" w:hAnsi="宋体"/>
                <w:szCs w:val="24"/>
              </w:rPr>
              <w:t>铁路</w:t>
            </w:r>
            <w:r>
              <w:rPr>
                <w:rFonts w:ascii="Times New Roman" w:hAnsi="Times New Roman"/>
                <w:szCs w:val="24"/>
              </w:rPr>
              <w:t xml:space="preserve"> □      </w:t>
            </w:r>
            <w:r>
              <w:rPr>
                <w:rFonts w:ascii="Times New Roman" w:hAnsi="宋体"/>
                <w:szCs w:val="24"/>
              </w:rPr>
              <w:t>水路</w:t>
            </w:r>
            <w:r>
              <w:rPr>
                <w:rFonts w:ascii="Times New Roman" w:hAnsi="Times New Roman"/>
                <w:szCs w:val="24"/>
              </w:rPr>
              <w:t xml:space="preserve"> □</w:t>
            </w:r>
          </w:p>
        </w:tc>
      </w:tr>
      <w:tr w14:paraId="307E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7" w:hRule="atLeast"/>
        </w:trPr>
        <w:tc>
          <w:tcPr>
            <w:tcW w:w="9162" w:type="dxa"/>
          </w:tcPr>
          <w:p w14:paraId="7CE763E8">
            <w:pPr>
              <w:rPr>
                <w:rFonts w:ascii="Times New Roman"/>
                <w:szCs w:val="24"/>
              </w:rPr>
            </w:pPr>
            <w:r>
              <w:rPr>
                <w:rFonts w:ascii="Times New Roman"/>
                <w:szCs w:val="24"/>
              </w:rPr>
              <w:t>运输路线文字描述：（写明途经省、市、县（区），附路线图）</w:t>
            </w:r>
          </w:p>
          <w:p w14:paraId="4F19D447">
            <w:pPr>
              <w:rPr>
                <w:rFonts w:hint="default" w:eastAsia="宋体"/>
                <w:lang w:val="en-US" w:eastAsia="zh-CN"/>
              </w:rPr>
            </w:pPr>
            <w:r>
              <w:rPr>
                <w:rFonts w:hint="eastAsia" w:ascii="Times New Roman"/>
                <w:szCs w:val="24"/>
                <w:lang w:val="en-US" w:eastAsia="zh-CN"/>
              </w:rPr>
              <w:t>途径：浙江台州市-临海市-绍兴越城区-湖州吴兴区-宜兴市-常州金坛区</w:t>
            </w:r>
          </w:p>
          <w:p w14:paraId="3A0F63C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eastAsia="宋体"/>
                <w:lang w:eastAsia="zh-CN"/>
              </w:rPr>
            </w:pPr>
          </w:p>
          <w:p w14:paraId="6C59185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8"/>
                <w:szCs w:val="28"/>
                <w:lang w:val="en-US" w:eastAsia="zh-CN"/>
              </w:rPr>
            </w:pPr>
            <w:bookmarkStart w:id="0" w:name="_GoBack"/>
            <w:bookmarkEnd w:id="0"/>
          </w:p>
          <w:p w14:paraId="2AD204C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8"/>
                <w:szCs w:val="28"/>
                <w:lang w:val="en-US" w:eastAsia="zh-CN"/>
              </w:rPr>
            </w:pPr>
          </w:p>
          <w:p w14:paraId="7062B0F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8"/>
                <w:szCs w:val="28"/>
                <w:lang w:val="en-US" w:eastAsia="zh-CN"/>
              </w:rPr>
            </w:pPr>
          </w:p>
        </w:tc>
      </w:tr>
    </w:tbl>
    <w:p w14:paraId="2CD39048">
      <w:pPr>
        <w:rPr>
          <w:rFonts w:ascii="Times New Roman" w:hAnsi="Times New Roman"/>
          <w:szCs w:val="24"/>
        </w:rPr>
        <w:sectPr>
          <w:pgSz w:w="11906" w:h="16838"/>
          <w:pgMar w:top="1440" w:right="1797" w:bottom="1440" w:left="1797" w:header="851" w:footer="992" w:gutter="0"/>
          <w:cols w:space="425" w:num="1"/>
          <w:docGrid w:type="lines" w:linePitch="286" w:charSpace="0"/>
        </w:sectPr>
      </w:pPr>
    </w:p>
    <w:tbl>
      <w:tblPr>
        <w:tblStyle w:val="7"/>
        <w:tblW w:w="934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14:paraId="0C90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45" w:type="dxa"/>
            <w:vAlign w:val="center"/>
          </w:tcPr>
          <w:p w14:paraId="616AD756">
            <w:pPr>
              <w:jc w:val="left"/>
              <w:rPr>
                <w:rFonts w:ascii="Times New Roman" w:hAnsi="Times New Roman"/>
                <w:b/>
                <w:bCs/>
                <w:szCs w:val="24"/>
              </w:rPr>
            </w:pPr>
            <w:r>
              <w:rPr>
                <w:rFonts w:ascii="Times New Roman"/>
                <w:b/>
                <w:bCs/>
                <w:szCs w:val="24"/>
              </w:rPr>
              <w:t>表</w:t>
            </w:r>
            <w:r>
              <w:rPr>
                <w:rFonts w:ascii="Times New Roman" w:hAnsi="Times New Roman"/>
                <w:b/>
                <w:bCs/>
                <w:szCs w:val="24"/>
              </w:rPr>
              <w:t xml:space="preserve">3  </w:t>
            </w:r>
            <w:r>
              <w:rPr>
                <w:rFonts w:ascii="Times New Roman"/>
                <w:b/>
                <w:bCs/>
                <w:szCs w:val="24"/>
              </w:rPr>
              <w:t>转移的污染防治、安全防护和应急措施</w:t>
            </w:r>
          </w:p>
        </w:tc>
      </w:tr>
      <w:tr w14:paraId="02A3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trPr>
        <w:tc>
          <w:tcPr>
            <w:tcW w:w="9345" w:type="dxa"/>
          </w:tcPr>
          <w:p w14:paraId="5F8C12C2">
            <w:pPr>
              <w:numPr>
                <w:ilvl w:val="0"/>
                <w:numId w:val="1"/>
              </w:numPr>
              <w:spacing w:line="240" w:lineRule="auto"/>
              <w:rPr>
                <w:rFonts w:ascii="Times New Roman" w:hAnsi="Times New Roman"/>
                <w:bCs/>
                <w:szCs w:val="24"/>
              </w:rPr>
            </w:pPr>
            <w:r>
              <w:rPr>
                <w:rFonts w:ascii="Times New Roman"/>
                <w:bCs/>
                <w:szCs w:val="24"/>
              </w:rPr>
              <w:t>运输过程中的污染防治措施以及按照要求配备的相应污染防治设备</w:t>
            </w:r>
          </w:p>
          <w:p w14:paraId="011CE09D">
            <w:pPr>
              <w:numPr>
                <w:ilvl w:val="0"/>
                <w:numId w:val="0"/>
              </w:numPr>
              <w:spacing w:line="360" w:lineRule="auto"/>
              <w:rPr>
                <w:rFonts w:hint="eastAsia" w:ascii="Times New Roman"/>
                <w:bCs/>
                <w:szCs w:val="24"/>
              </w:rPr>
            </w:pPr>
            <w:r>
              <w:rPr>
                <w:rFonts w:hint="eastAsia" w:ascii="Times New Roman"/>
                <w:bCs/>
                <w:szCs w:val="24"/>
                <w:lang w:eastAsia="zh-CN"/>
              </w:rPr>
              <w:t>①</w:t>
            </w:r>
            <w:r>
              <w:rPr>
                <w:rFonts w:hint="eastAsia" w:ascii="Times New Roman"/>
                <w:bCs/>
                <w:szCs w:val="24"/>
              </w:rPr>
              <w:t>严格按照《中华人民共和国固体废物污染环境防治法》有关规定进行操作。 </w:t>
            </w:r>
          </w:p>
          <w:p w14:paraId="53DBA8C8">
            <w:pPr>
              <w:numPr>
                <w:ilvl w:val="0"/>
                <w:numId w:val="0"/>
              </w:numPr>
              <w:spacing w:line="360" w:lineRule="auto"/>
              <w:rPr>
                <w:rFonts w:hint="eastAsia" w:ascii="Times New Roman" w:eastAsia="宋体"/>
                <w:bCs/>
                <w:szCs w:val="24"/>
                <w:lang w:eastAsia="zh-CN"/>
              </w:rPr>
            </w:pPr>
            <w:r>
              <w:rPr>
                <w:rFonts w:hint="eastAsia" w:ascii="Times New Roman"/>
                <w:bCs/>
                <w:szCs w:val="24"/>
                <w:lang w:eastAsia="zh-CN"/>
              </w:rPr>
              <w:t>②</w:t>
            </w:r>
            <w:r>
              <w:rPr>
                <w:rFonts w:hint="eastAsia" w:ascii="Times New Roman"/>
                <w:bCs/>
                <w:szCs w:val="24"/>
              </w:rPr>
              <w:t>废物装卸必须废物装卸工具处理设施，尽可能采取机械作业，减少人工对其直接操作，如果采用人工搬运，应避免废物直接接触身体。 </w:t>
            </w:r>
            <w:r>
              <w:rPr>
                <w:rFonts w:hint="eastAsia" w:ascii="Times New Roman"/>
                <w:bCs/>
                <w:szCs w:val="24"/>
                <w:lang w:eastAsia="zh-CN"/>
              </w:rPr>
              <w:t>人员佩戴醒目标志，穿着防护服，戴橡胶手套，对废物所属区域进行保护，无关人员禁止进入。</w:t>
            </w:r>
          </w:p>
          <w:p w14:paraId="2EC37651">
            <w:pPr>
              <w:spacing w:line="360" w:lineRule="auto"/>
              <w:rPr>
                <w:rFonts w:hint="eastAsia" w:ascii="Times New Roman" w:eastAsia="宋体"/>
                <w:bCs/>
                <w:szCs w:val="24"/>
                <w:lang w:eastAsia="zh-CN"/>
              </w:rPr>
            </w:pPr>
            <w:r>
              <w:rPr>
                <w:rFonts w:hint="eastAsia" w:ascii="Times New Roman"/>
                <w:bCs/>
                <w:szCs w:val="24"/>
                <w:lang w:eastAsia="zh-CN"/>
              </w:rPr>
              <w:t>③</w:t>
            </w:r>
            <w:r>
              <w:rPr>
                <w:rFonts w:hint="eastAsia" w:ascii="Times New Roman"/>
                <w:bCs/>
                <w:szCs w:val="24"/>
              </w:rPr>
              <w:t>在装卸过程中</w:t>
            </w:r>
            <w:r>
              <w:rPr>
                <w:rFonts w:hint="eastAsia" w:ascii="Times New Roman"/>
                <w:bCs/>
                <w:szCs w:val="24"/>
                <w:lang w:eastAsia="zh-CN"/>
              </w:rPr>
              <w:t>，</w:t>
            </w:r>
            <w:r>
              <w:rPr>
                <w:rFonts w:hint="eastAsia" w:ascii="Times New Roman"/>
                <w:bCs/>
                <w:szCs w:val="24"/>
              </w:rPr>
              <w:t>若发生包装物泄漏情况必须立即采取措施及时</w:t>
            </w:r>
            <w:r>
              <w:rPr>
                <w:rFonts w:hint="eastAsia" w:ascii="Times New Roman"/>
                <w:bCs/>
                <w:szCs w:val="24"/>
                <w:lang w:eastAsia="zh-CN"/>
              </w:rPr>
              <w:t>根据具体品种按消防方法施救</w:t>
            </w:r>
            <w:r>
              <w:rPr>
                <w:rFonts w:hint="eastAsia" w:ascii="Times New Roman"/>
                <w:bCs/>
                <w:szCs w:val="24"/>
              </w:rPr>
              <w:t>处理</w:t>
            </w:r>
            <w:r>
              <w:rPr>
                <w:rFonts w:hint="eastAsia" w:ascii="Times New Roman"/>
                <w:bCs/>
                <w:szCs w:val="24"/>
                <w:lang w:eastAsia="zh-CN"/>
              </w:rPr>
              <w:t>，应穿戴包括氧气防毒面具在内的全身防护服。</w:t>
            </w:r>
          </w:p>
          <w:p w14:paraId="2C5F417B">
            <w:pPr>
              <w:spacing w:line="360" w:lineRule="auto"/>
              <w:rPr>
                <w:rFonts w:ascii="Times New Roman" w:hAnsi="Times New Roman"/>
                <w:bCs/>
                <w:szCs w:val="24"/>
              </w:rPr>
            </w:pPr>
            <w:r>
              <w:rPr>
                <w:rFonts w:hint="eastAsia" w:ascii="Times New Roman"/>
                <w:bCs/>
                <w:szCs w:val="24"/>
              </w:rPr>
              <w:t> </w:t>
            </w:r>
            <w:r>
              <w:rPr>
                <w:rFonts w:hint="eastAsia" w:ascii="Times New Roman"/>
                <w:bCs/>
                <w:szCs w:val="24"/>
                <w:lang w:eastAsia="zh-CN"/>
              </w:rPr>
              <w:t>④</w:t>
            </w:r>
            <w:r>
              <w:rPr>
                <w:rFonts w:hint="eastAsia" w:ascii="Times New Roman"/>
                <w:bCs/>
                <w:szCs w:val="24"/>
              </w:rPr>
              <w:t>本厂在装卸运输废物过程中，如遇天气突发变化事件，如狂风暴雨、降雪等现象应停止装卸运输过程。</w:t>
            </w:r>
          </w:p>
        </w:tc>
      </w:tr>
      <w:tr w14:paraId="0B66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9345" w:type="dxa"/>
          </w:tcPr>
          <w:p w14:paraId="460B074E">
            <w:pPr>
              <w:numPr>
                <w:ilvl w:val="0"/>
                <w:numId w:val="1"/>
              </w:numPr>
              <w:spacing w:line="360" w:lineRule="auto"/>
              <w:ind w:left="360" w:leftChars="0" w:hanging="360" w:firstLineChars="0"/>
              <w:rPr>
                <w:rFonts w:ascii="Times New Roman"/>
                <w:bCs/>
                <w:szCs w:val="24"/>
              </w:rPr>
            </w:pPr>
            <w:r>
              <w:rPr>
                <w:rFonts w:ascii="Times New Roman"/>
                <w:bCs/>
                <w:szCs w:val="24"/>
              </w:rPr>
              <w:t>运输过程中的安全防护措施以及按照要求配备的相应安全防护设备</w:t>
            </w:r>
          </w:p>
          <w:p w14:paraId="3A5BF9D3">
            <w:pPr>
              <w:numPr>
                <w:ilvl w:val="0"/>
                <w:numId w:val="0"/>
              </w:numPr>
              <w:spacing w:line="360" w:lineRule="auto"/>
              <w:ind w:leftChars="0"/>
              <w:rPr>
                <w:rFonts w:hint="eastAsia" w:ascii="Times New Roman"/>
                <w:bCs/>
                <w:szCs w:val="24"/>
              </w:rPr>
            </w:pPr>
            <w:r>
              <w:rPr>
                <w:rFonts w:hint="eastAsia" w:ascii="Times New Roman"/>
                <w:bCs/>
                <w:szCs w:val="24"/>
                <w:lang w:eastAsia="zh-CN"/>
              </w:rPr>
              <w:t>①运输公司设有应急救援组，负责公司危化品和危废的运输事故应急处理的各项工作，承担运输的车辆和驾驶员积极配合用车单位对危化品和危废运输事故的应急救援工作</w:t>
            </w:r>
            <w:r>
              <w:rPr>
                <w:rFonts w:hint="eastAsia" w:ascii="Times New Roman"/>
                <w:bCs/>
                <w:szCs w:val="24"/>
              </w:rPr>
              <w:t>。 </w:t>
            </w:r>
          </w:p>
          <w:p w14:paraId="0B3D1430">
            <w:pPr>
              <w:numPr>
                <w:ilvl w:val="0"/>
                <w:numId w:val="0"/>
              </w:numPr>
              <w:spacing w:line="360" w:lineRule="auto"/>
              <w:ind w:leftChars="0"/>
              <w:rPr>
                <w:rFonts w:hint="eastAsia" w:ascii="Times New Roman" w:eastAsia="宋体"/>
                <w:bCs/>
                <w:szCs w:val="24"/>
                <w:lang w:eastAsia="zh-CN"/>
              </w:rPr>
            </w:pPr>
            <w:r>
              <w:rPr>
                <w:rFonts w:hint="eastAsia" w:ascii="Times New Roman"/>
                <w:bCs/>
                <w:szCs w:val="24"/>
                <w:lang w:eastAsia="zh-CN"/>
              </w:rPr>
              <w:t>②</w:t>
            </w:r>
            <w:r>
              <w:rPr>
                <w:rFonts w:hint="eastAsia" w:ascii="Times New Roman"/>
                <w:bCs/>
                <w:szCs w:val="24"/>
              </w:rPr>
              <w:t>废物运输车辆和运输人员必须具备从事危险废物运输经营的相关要求，并执有相关运输营业执照。</w:t>
            </w:r>
            <w:r>
              <w:rPr>
                <w:rFonts w:hint="eastAsia" w:ascii="Times New Roman"/>
                <w:bCs/>
                <w:szCs w:val="24"/>
                <w:lang w:eastAsia="zh-CN"/>
              </w:rPr>
              <w:t>驾驶员与押运员必须是认真负责，技术熟练，懂得危险货物运输的相关知识专业的驾驶员，非专业驾驶员不准运输危险货的。</w:t>
            </w:r>
          </w:p>
          <w:p w14:paraId="523F5EA8">
            <w:pPr>
              <w:numPr>
                <w:ilvl w:val="0"/>
                <w:numId w:val="0"/>
              </w:numPr>
              <w:spacing w:line="360" w:lineRule="auto"/>
              <w:ind w:leftChars="0"/>
              <w:rPr>
                <w:rFonts w:hint="eastAsia" w:ascii="Times New Roman" w:eastAsia="宋体"/>
                <w:bCs/>
                <w:szCs w:val="24"/>
                <w:lang w:eastAsia="zh-CN"/>
              </w:rPr>
            </w:pPr>
            <w:r>
              <w:rPr>
                <w:rFonts w:hint="eastAsia" w:ascii="Times New Roman"/>
                <w:bCs/>
                <w:szCs w:val="24"/>
                <w:lang w:eastAsia="zh-CN"/>
              </w:rPr>
              <w:t>③运输过程中发生翻车、撞击等意外事故时，不论何种情况，现场押运员、驾驶人员应立即采取相应措施进行救援防止事故扩大、恶化；并及时向处置中心报警。</w:t>
            </w:r>
          </w:p>
        </w:tc>
      </w:tr>
      <w:tr w14:paraId="1934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9345" w:type="dxa"/>
          </w:tcPr>
          <w:p w14:paraId="3BB188F4">
            <w:pPr>
              <w:numPr>
                <w:ilvl w:val="0"/>
                <w:numId w:val="0"/>
              </w:numPr>
              <w:spacing w:line="360" w:lineRule="auto"/>
              <w:ind w:leftChars="0"/>
              <w:rPr>
                <w:rFonts w:ascii="Times New Roman"/>
                <w:bCs/>
                <w:szCs w:val="24"/>
              </w:rPr>
            </w:pPr>
            <w:r>
              <w:rPr>
                <w:rFonts w:hint="eastAsia" w:ascii="Times New Roman"/>
                <w:bCs/>
                <w:szCs w:val="24"/>
                <w:lang w:val="en-US" w:eastAsia="zh-CN"/>
              </w:rPr>
              <w:t>3、</w:t>
            </w:r>
            <w:r>
              <w:rPr>
                <w:rFonts w:ascii="Times New Roman"/>
                <w:bCs/>
                <w:szCs w:val="24"/>
              </w:rPr>
              <w:t>运输过程中的应急预案以及按照要求配备的相应应急设备</w:t>
            </w:r>
          </w:p>
          <w:p w14:paraId="62733C32">
            <w:pPr>
              <w:numPr>
                <w:ilvl w:val="0"/>
                <w:numId w:val="0"/>
              </w:numPr>
              <w:spacing w:line="360" w:lineRule="auto"/>
              <w:ind w:leftChars="0"/>
              <w:rPr>
                <w:rFonts w:hint="eastAsia" w:ascii="Times New Roman" w:hAnsi="Times New Roman"/>
                <w:szCs w:val="24"/>
              </w:rPr>
            </w:pPr>
            <w:r>
              <w:rPr>
                <w:rFonts w:hint="default" w:ascii="Times New Roman" w:hAnsi="Times New Roman"/>
                <w:szCs w:val="24"/>
              </w:rPr>
              <w:t>A</w:t>
            </w:r>
            <w:r>
              <w:rPr>
                <w:rFonts w:hint="eastAsia" w:ascii="Times New Roman" w:hAnsi="Times New Roman"/>
                <w:szCs w:val="24"/>
              </w:rPr>
              <w:t>、拉警戒线隔离泄漏污染区，限制人员靠近，并及时拨打公司</w:t>
            </w:r>
            <w:r>
              <w:rPr>
                <w:rFonts w:hint="eastAsia" w:ascii="Times New Roman" w:hAnsi="Times New Roman"/>
                <w:szCs w:val="24"/>
                <w:lang w:val="en-US" w:eastAsia="zh-CN"/>
              </w:rPr>
              <w:t>和</w:t>
            </w:r>
            <w:r>
              <w:rPr>
                <w:rFonts w:hint="eastAsia" w:ascii="Times New Roman" w:hAnsi="Times New Roman"/>
                <w:szCs w:val="24"/>
              </w:rPr>
              <w:t>当地辖区环保部门应急</w:t>
            </w:r>
          </w:p>
          <w:p w14:paraId="6FCECBB3">
            <w:pPr>
              <w:spacing w:line="360" w:lineRule="auto"/>
              <w:rPr>
                <w:rFonts w:hint="eastAsia" w:ascii="Times New Roman" w:hAnsi="Times New Roman"/>
                <w:szCs w:val="24"/>
              </w:rPr>
            </w:pPr>
            <w:r>
              <w:rPr>
                <w:rFonts w:hint="eastAsia" w:ascii="Times New Roman" w:hAnsi="Times New Roman"/>
                <w:szCs w:val="24"/>
              </w:rPr>
              <w:t>救援电话。</w:t>
            </w:r>
          </w:p>
          <w:p w14:paraId="28469E60">
            <w:pPr>
              <w:spacing w:line="360" w:lineRule="auto"/>
              <w:rPr>
                <w:rFonts w:hint="eastAsia" w:ascii="Times New Roman" w:hAnsi="Times New Roman" w:eastAsia="宋体"/>
                <w:szCs w:val="24"/>
                <w:lang w:eastAsia="zh-CN"/>
              </w:rPr>
            </w:pPr>
            <w:r>
              <w:rPr>
                <w:rFonts w:hint="eastAsia" w:ascii="Times New Roman" w:hAnsi="Times New Roman"/>
                <w:szCs w:val="24"/>
              </w:rPr>
              <w:t> </w:t>
            </w:r>
            <w:r>
              <w:rPr>
                <w:rFonts w:hint="default" w:ascii="Times New Roman" w:hAnsi="Times New Roman"/>
                <w:szCs w:val="24"/>
              </w:rPr>
              <w:t>B</w:t>
            </w:r>
            <w:r>
              <w:rPr>
                <w:rFonts w:hint="eastAsia" w:ascii="Times New Roman" w:hAnsi="Times New Roman"/>
                <w:szCs w:val="24"/>
              </w:rPr>
              <w:t>、立即使用随车配备的应急</w:t>
            </w:r>
            <w:r>
              <w:rPr>
                <w:rFonts w:hint="eastAsia" w:ascii="Times New Roman" w:hAnsi="Times New Roman"/>
                <w:szCs w:val="24"/>
                <w:lang w:eastAsia="zh-CN"/>
              </w:rPr>
              <w:t>工具，收集、堵漏、清理</w:t>
            </w:r>
            <w:r>
              <w:rPr>
                <w:rFonts w:hint="eastAsia" w:ascii="Times New Roman" w:hAnsi="Times New Roman"/>
                <w:szCs w:val="24"/>
              </w:rPr>
              <w:t>。</w:t>
            </w:r>
            <w:r>
              <w:rPr>
                <w:rFonts w:hint="eastAsia" w:ascii="Times New Roman" w:hAnsi="Times New Roman"/>
                <w:szCs w:val="24"/>
                <w:lang w:eastAsia="zh-CN"/>
              </w:rPr>
              <w:t>如渗漏情况严重，应设置隔离区，禁止车辆和行人通过，避免污染物扩散和对行人造成伤害。</w:t>
            </w:r>
          </w:p>
          <w:p w14:paraId="28817404">
            <w:pPr>
              <w:spacing w:line="360" w:lineRule="auto"/>
              <w:rPr>
                <w:rFonts w:hint="eastAsia" w:ascii="Times New Roman" w:hAnsi="Times New Roman"/>
                <w:szCs w:val="24"/>
              </w:rPr>
            </w:pPr>
            <w:r>
              <w:rPr>
                <w:rFonts w:hint="eastAsia" w:ascii="Times New Roman" w:hAnsi="Times New Roman"/>
                <w:szCs w:val="24"/>
              </w:rPr>
              <w:t> </w:t>
            </w:r>
            <w:r>
              <w:rPr>
                <w:rFonts w:hint="default" w:ascii="Times New Roman" w:hAnsi="Times New Roman"/>
                <w:szCs w:val="24"/>
              </w:rPr>
              <w:t>C</w:t>
            </w:r>
            <w:r>
              <w:rPr>
                <w:rFonts w:hint="eastAsia" w:ascii="Times New Roman" w:hAnsi="Times New Roman"/>
                <w:szCs w:val="24"/>
              </w:rPr>
              <w:t>、应急人员佩戴好防护用具（口罩、护目镜、手套、工作服等）</w:t>
            </w:r>
          </w:p>
          <w:p w14:paraId="03C4A1CC">
            <w:pPr>
              <w:spacing w:line="360" w:lineRule="auto"/>
              <w:rPr>
                <w:rFonts w:hint="eastAsia" w:ascii="Times New Roman" w:hAnsi="Times New Roman"/>
                <w:szCs w:val="24"/>
              </w:rPr>
            </w:pPr>
            <w:r>
              <w:rPr>
                <w:rFonts w:hint="eastAsia" w:ascii="Times New Roman" w:hAnsi="Times New Roman"/>
                <w:szCs w:val="24"/>
              </w:rPr>
              <w:t>，不得直接接触泄漏物</w:t>
            </w:r>
          </w:p>
          <w:p w14:paraId="40EADC56">
            <w:pPr>
              <w:numPr>
                <w:ilvl w:val="0"/>
                <w:numId w:val="2"/>
              </w:numPr>
              <w:spacing w:line="360" w:lineRule="auto"/>
              <w:ind w:left="52" w:leftChars="0" w:firstLine="0" w:firstLineChars="0"/>
              <w:rPr>
                <w:rFonts w:hint="eastAsia" w:ascii="Times New Roman" w:hAnsi="Times New Roman"/>
                <w:szCs w:val="24"/>
              </w:rPr>
            </w:pPr>
            <w:r>
              <w:rPr>
                <w:rFonts w:hint="eastAsia" w:ascii="Times New Roman" w:hAnsi="Times New Roman"/>
                <w:szCs w:val="24"/>
                <w:lang w:eastAsia="zh-CN"/>
              </w:rPr>
              <w:t>如果清理人员的身体不慎收到伤害，应及时采取措施处理，并到医院接受救治。</w:t>
            </w:r>
          </w:p>
          <w:p w14:paraId="2B7B25CB">
            <w:pPr>
              <w:numPr>
                <w:ilvl w:val="0"/>
                <w:numId w:val="2"/>
              </w:numPr>
              <w:spacing w:line="360" w:lineRule="auto"/>
              <w:ind w:left="52" w:leftChars="0" w:firstLine="0" w:firstLineChars="0"/>
              <w:rPr>
                <w:rFonts w:hint="eastAsia" w:ascii="Times New Roman" w:hAnsi="Times New Roman"/>
                <w:szCs w:val="24"/>
              </w:rPr>
            </w:pPr>
            <w:r>
              <w:rPr>
                <w:rFonts w:hint="eastAsia" w:ascii="Times New Roman" w:hAnsi="Times New Roman"/>
                <w:szCs w:val="24"/>
              </w:rPr>
              <w:t>对于受污染的土壤，可调节</w:t>
            </w:r>
            <w:r>
              <w:rPr>
                <w:rFonts w:hint="default" w:ascii="Times New Roman" w:hAnsi="Times New Roman"/>
                <w:szCs w:val="24"/>
              </w:rPr>
              <w:t>PH</w:t>
            </w:r>
            <w:r>
              <w:rPr>
                <w:rFonts w:hint="eastAsia" w:ascii="Times New Roman" w:hAnsi="Times New Roman"/>
                <w:szCs w:val="24"/>
              </w:rPr>
              <w:t>值，以减少对农作物的腐蚀性。再将中和后的土壤一并收集与编织袋中运往处理厂进行无害化处置。</w:t>
            </w:r>
          </w:p>
          <w:p w14:paraId="061B05C3">
            <w:pPr>
              <w:spacing w:line="360" w:lineRule="auto"/>
              <w:rPr>
                <w:rFonts w:ascii="Times New Roman" w:hAnsi="Times New Roman"/>
                <w:szCs w:val="24"/>
              </w:rPr>
            </w:pPr>
          </w:p>
        </w:tc>
      </w:tr>
    </w:tbl>
    <w:p w14:paraId="53F077C3">
      <w:pPr>
        <w:spacing w:line="360" w:lineRule="auto"/>
        <w:rPr>
          <w:rFonts w:ascii="Times New Roman" w:hAnsi="Times New Roman" w:eastAsia="黑体"/>
          <w:sz w:val="28"/>
          <w:szCs w:val="28"/>
        </w:rPr>
      </w:pPr>
      <w:r>
        <w:rPr>
          <w:rFonts w:ascii="Times New Roman" w:eastAsia="黑体"/>
          <w:sz w:val="28"/>
          <w:szCs w:val="28"/>
        </w:rPr>
        <w:t>第三部分</w:t>
      </w:r>
      <w:r>
        <w:rPr>
          <w:rFonts w:ascii="Times New Roman" w:hAnsi="Times New Roman" w:eastAsia="黑体"/>
          <w:sz w:val="28"/>
          <w:szCs w:val="28"/>
        </w:rPr>
        <w:t xml:space="preserve">   </w:t>
      </w:r>
      <w:r>
        <w:rPr>
          <w:rFonts w:ascii="Times New Roman" w:eastAsia="黑体"/>
          <w:sz w:val="28"/>
          <w:szCs w:val="28"/>
        </w:rPr>
        <w:t>废物处理处置情况</w:t>
      </w:r>
    </w:p>
    <w:tbl>
      <w:tblPr>
        <w:tblStyle w:val="7"/>
        <w:tblW w:w="9280"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9"/>
        <w:gridCol w:w="4171"/>
      </w:tblGrid>
      <w:tr w14:paraId="37D7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9280" w:type="dxa"/>
            <w:gridSpan w:val="2"/>
            <w:vAlign w:val="center"/>
          </w:tcPr>
          <w:p w14:paraId="233B93B5">
            <w:pPr>
              <w:rPr>
                <w:rFonts w:ascii="Times New Roman" w:hAnsi="Times New Roman"/>
                <w:b/>
                <w:bCs/>
              </w:rPr>
            </w:pPr>
            <w:r>
              <w:rPr>
                <w:rFonts w:ascii="Times New Roman"/>
                <w:b/>
                <w:bCs/>
              </w:rPr>
              <w:t>表</w:t>
            </w:r>
            <w:r>
              <w:rPr>
                <w:rFonts w:ascii="Times New Roman" w:hAnsi="Times New Roman"/>
                <w:b/>
                <w:bCs/>
              </w:rPr>
              <w:t xml:space="preserve">1   </w:t>
            </w:r>
            <w:r>
              <w:rPr>
                <w:rFonts w:ascii="Times New Roman"/>
                <w:b/>
                <w:bCs/>
              </w:rPr>
              <w:t>接受单位基本情况</w:t>
            </w:r>
          </w:p>
        </w:tc>
      </w:tr>
      <w:tr w14:paraId="3539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9280" w:type="dxa"/>
            <w:gridSpan w:val="2"/>
            <w:vAlign w:val="center"/>
          </w:tcPr>
          <w:p w14:paraId="3B0E9404">
            <w:pPr>
              <w:rPr>
                <w:rFonts w:ascii="Times New Roman" w:hAnsi="Times New Roman"/>
              </w:rPr>
            </w:pPr>
            <w:r>
              <w:rPr>
                <w:rFonts w:ascii="Times New Roman"/>
              </w:rPr>
              <w:t>单位名称：</w:t>
            </w:r>
            <w:r>
              <w:rPr>
                <w:rFonts w:hint="eastAsia" w:ascii="Times New Roman"/>
              </w:rPr>
              <w:t>常州菲纳斯能源科技有限公司</w:t>
            </w:r>
          </w:p>
        </w:tc>
      </w:tr>
      <w:tr w14:paraId="4BF8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109" w:type="dxa"/>
            <w:vAlign w:val="center"/>
          </w:tcPr>
          <w:p w14:paraId="046DFC31">
            <w:pPr>
              <w:rPr>
                <w:rFonts w:hint="eastAsia" w:ascii="Times New Roman" w:hAnsi="Times New Roman" w:eastAsia="宋体"/>
                <w:lang w:eastAsia="zh-CN"/>
              </w:rPr>
            </w:pPr>
            <w:r>
              <w:rPr>
                <w:rFonts w:ascii="Times New Roman"/>
              </w:rPr>
              <w:t>危废经营许可证编号：</w:t>
            </w:r>
            <w:r>
              <w:rPr>
                <w:rFonts w:hint="eastAsia" w:ascii="Times New Roman"/>
              </w:rPr>
              <w:t>JSCZ0413</w:t>
            </w:r>
            <w:r>
              <w:rPr>
                <w:rFonts w:hint="eastAsia" w:ascii="Times New Roman"/>
                <w:lang w:val="en-US" w:eastAsia="zh-CN"/>
              </w:rPr>
              <w:t>OO</w:t>
            </w:r>
            <w:r>
              <w:rPr>
                <w:rFonts w:hint="eastAsia" w:ascii="Times New Roman"/>
              </w:rPr>
              <w:t>D026-</w:t>
            </w:r>
            <w:r>
              <w:rPr>
                <w:rFonts w:hint="eastAsia" w:ascii="Times New Roman"/>
                <w:lang w:val="en-US" w:eastAsia="zh-CN"/>
              </w:rPr>
              <w:t>6</w:t>
            </w:r>
          </w:p>
        </w:tc>
        <w:tc>
          <w:tcPr>
            <w:tcW w:w="4171" w:type="dxa"/>
            <w:vAlign w:val="center"/>
          </w:tcPr>
          <w:p w14:paraId="4FC8E21E">
            <w:pPr>
              <w:rPr>
                <w:rFonts w:ascii="Times New Roman" w:hAnsi="Times New Roman"/>
              </w:rPr>
            </w:pPr>
            <w:r>
              <w:rPr>
                <w:rFonts w:ascii="Times New Roman"/>
              </w:rPr>
              <w:t>有效期：</w:t>
            </w:r>
            <w:r>
              <w:rPr>
                <w:rFonts w:hint="eastAsia" w:ascii="Times New Roman"/>
                <w:lang w:val="en-US" w:eastAsia="zh-CN"/>
              </w:rPr>
              <w:t>2024年11月至2027年11月</w:t>
            </w:r>
          </w:p>
        </w:tc>
      </w:tr>
      <w:tr w14:paraId="4F90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rPr>
        <w:tc>
          <w:tcPr>
            <w:tcW w:w="9280" w:type="dxa"/>
            <w:gridSpan w:val="2"/>
          </w:tcPr>
          <w:p w14:paraId="0064EB13">
            <w:pPr>
              <w:spacing w:line="240" w:lineRule="auto"/>
              <w:rPr>
                <w:rFonts w:ascii="Times New Roman" w:hAnsi="Times New Roman"/>
              </w:rPr>
            </w:pPr>
            <w:r>
              <w:rPr>
                <w:rFonts w:ascii="Times New Roman"/>
              </w:rPr>
              <w:t>经营核准内容（废物名称、类别、数量）：</w:t>
            </w:r>
            <w:r>
              <w:rPr>
                <w:rFonts w:hint="eastAsia" w:ascii="Times New Roman"/>
              </w:rPr>
              <w:t>处置利用废润滑油（HW08，900-201-08、900-203-08、900-204-08、900-214-08、900-217-08、900-249-08、900-2</w:t>
            </w:r>
            <w:r>
              <w:rPr>
                <w:rFonts w:hint="eastAsia" w:ascii="Times New Roman"/>
                <w:lang w:val="en-US" w:eastAsia="zh-CN"/>
              </w:rPr>
              <w:t>0</w:t>
            </w:r>
            <w:r>
              <w:rPr>
                <w:rFonts w:hint="eastAsia" w:ascii="Times New Roman"/>
              </w:rPr>
              <w:t>9-08、900-2</w:t>
            </w:r>
            <w:r>
              <w:rPr>
                <w:rFonts w:hint="eastAsia" w:ascii="Times New Roman"/>
                <w:lang w:val="en-US" w:eastAsia="zh-CN"/>
              </w:rPr>
              <w:t>18</w:t>
            </w:r>
            <w:r>
              <w:rPr>
                <w:rFonts w:hint="eastAsia" w:ascii="Times New Roman"/>
              </w:rPr>
              <w:t>-08、900-2</w:t>
            </w:r>
            <w:r>
              <w:rPr>
                <w:rFonts w:hint="eastAsia" w:ascii="Times New Roman"/>
                <w:lang w:val="en-US" w:eastAsia="zh-CN"/>
              </w:rPr>
              <w:t>1</w:t>
            </w:r>
            <w:r>
              <w:rPr>
                <w:rFonts w:hint="eastAsia" w:ascii="Times New Roman"/>
              </w:rPr>
              <w:t>9-08、900-2</w:t>
            </w:r>
            <w:r>
              <w:rPr>
                <w:rFonts w:hint="eastAsia" w:ascii="Times New Roman"/>
                <w:lang w:val="en-US" w:eastAsia="zh-CN"/>
              </w:rPr>
              <w:t>20</w:t>
            </w:r>
            <w:r>
              <w:rPr>
                <w:rFonts w:hint="eastAsia" w:ascii="Times New Roman"/>
              </w:rPr>
              <w:t>-08、900-</w:t>
            </w:r>
            <w:r>
              <w:rPr>
                <w:rFonts w:hint="eastAsia" w:ascii="Times New Roman"/>
                <w:lang w:val="en-US" w:eastAsia="zh-CN"/>
              </w:rPr>
              <w:t>19</w:t>
            </w:r>
            <w:r>
              <w:rPr>
                <w:rFonts w:hint="eastAsia" w:ascii="Times New Roman"/>
              </w:rPr>
              <w:t>9-08、900-2</w:t>
            </w:r>
            <w:r>
              <w:rPr>
                <w:rFonts w:hint="eastAsia" w:ascii="Times New Roman"/>
                <w:lang w:val="en-US" w:eastAsia="zh-CN"/>
              </w:rPr>
              <w:t>00</w:t>
            </w:r>
            <w:r>
              <w:rPr>
                <w:rFonts w:hint="eastAsia" w:ascii="Times New Roman"/>
              </w:rPr>
              <w:t>-08、</w:t>
            </w:r>
            <w:r>
              <w:rPr>
                <w:rFonts w:hint="eastAsia" w:ascii="Times New Roman"/>
                <w:lang w:val="en-US" w:eastAsia="zh-CN"/>
              </w:rPr>
              <w:t>398</w:t>
            </w:r>
            <w:r>
              <w:rPr>
                <w:rFonts w:hint="eastAsia" w:ascii="Times New Roman"/>
              </w:rPr>
              <w:t>-</w:t>
            </w:r>
            <w:r>
              <w:rPr>
                <w:rFonts w:hint="eastAsia" w:ascii="Times New Roman"/>
                <w:lang w:val="en-US" w:eastAsia="zh-CN"/>
              </w:rPr>
              <w:t>001</w:t>
            </w:r>
            <w:r>
              <w:rPr>
                <w:rFonts w:hint="eastAsia" w:ascii="Times New Roman"/>
              </w:rPr>
              <w:t>-08）60000吨/年</w:t>
            </w:r>
          </w:p>
        </w:tc>
      </w:tr>
    </w:tbl>
    <w:tbl>
      <w:tblPr>
        <w:tblStyle w:val="7"/>
        <w:tblpPr w:leftFromText="180" w:rightFromText="180" w:vertAnchor="text" w:horzAnchor="page" w:tblpX="1312" w:tblpY="291"/>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14:paraId="6541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0" w:type="dxa"/>
            <w:vAlign w:val="center"/>
          </w:tcPr>
          <w:p w14:paraId="0F7539A1">
            <w:pPr>
              <w:rPr>
                <w:rFonts w:ascii="Times New Roman" w:hAnsi="Times New Roman"/>
                <w:b/>
                <w:bCs/>
              </w:rPr>
            </w:pPr>
            <w:r>
              <w:rPr>
                <w:rFonts w:ascii="Times New Roman"/>
                <w:b/>
                <w:bCs/>
              </w:rPr>
              <w:t>表</w:t>
            </w:r>
            <w:r>
              <w:rPr>
                <w:rFonts w:ascii="Times New Roman" w:hAnsi="Times New Roman"/>
                <w:b/>
                <w:bCs/>
              </w:rPr>
              <w:t xml:space="preserve">2   </w:t>
            </w:r>
            <w:r>
              <w:rPr>
                <w:rFonts w:ascii="Times New Roman"/>
                <w:b/>
                <w:bCs/>
              </w:rPr>
              <w:t>与接收废物相关的处理处置情况</w:t>
            </w:r>
          </w:p>
        </w:tc>
      </w:tr>
      <w:tr w14:paraId="1572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0" w:type="dxa"/>
          </w:tcPr>
          <w:p w14:paraId="1899C7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文字描述及工艺流程图</w:t>
            </w:r>
          </w:p>
          <w:p w14:paraId="7D9E657E">
            <w:pPr>
              <w:tabs>
                <w:tab w:val="left" w:pos="2896"/>
              </w:tabs>
              <w:spacing w:line="500" w:lineRule="exact"/>
              <w:ind w:firstLine="472" w:firstLineChars="225"/>
              <w:rPr>
                <w:rFonts w:hint="eastAsia" w:ascii="宋体" w:hAnsi="宋体" w:eastAsia="宋体" w:cs="宋体"/>
                <w:b/>
                <w:sz w:val="21"/>
                <w:szCs w:val="21"/>
              </w:rPr>
            </w:pPr>
            <w:r>
              <w:rPr>
                <w:rFonts w:hint="eastAsia" w:ascii="宋体" w:hAnsi="宋体" w:eastAsia="宋体" w:cs="宋体"/>
                <w:sz w:val="21"/>
                <w:szCs w:val="21"/>
              </w:rPr>
              <w:t>废油加氢精制联合装置包括预处理单元、减压蒸馏单元、加氢精制单元、废水、废气处理单元、甲醇制氢单元等5个单元组成</w:t>
            </w:r>
            <w:r>
              <w:rPr>
                <w:rFonts w:hint="eastAsia" w:ascii="宋体" w:hAnsi="宋体" w:eastAsia="宋体" w:cs="宋体"/>
                <w:sz w:val="21"/>
                <w:szCs w:val="21"/>
                <w:lang w:eastAsia="zh-CN"/>
              </w:rPr>
              <w:t>，</w:t>
            </w:r>
            <w:r>
              <w:rPr>
                <w:rFonts w:hint="eastAsia" w:ascii="宋体" w:hAnsi="宋体" w:eastAsia="宋体" w:cs="宋体"/>
                <w:sz w:val="21"/>
                <w:szCs w:val="21"/>
              </w:rPr>
              <w:t>具体工艺描述如下：</w:t>
            </w:r>
          </w:p>
          <w:p w14:paraId="75D85D5A">
            <w:pPr>
              <w:tabs>
                <w:tab w:val="left" w:pos="2896"/>
              </w:tabs>
              <w:spacing w:line="500" w:lineRule="exact"/>
              <w:ind w:firstLine="474" w:firstLineChars="225"/>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1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①</w:t>
            </w:r>
            <w:r>
              <w:rPr>
                <w:rFonts w:hint="eastAsia" w:ascii="宋体" w:hAnsi="宋体" w:eastAsia="宋体" w:cs="宋体"/>
                <w:b/>
                <w:sz w:val="21"/>
                <w:szCs w:val="21"/>
              </w:rPr>
              <w:fldChar w:fldCharType="end"/>
            </w:r>
            <w:r>
              <w:rPr>
                <w:rFonts w:hint="eastAsia" w:ascii="宋体" w:hAnsi="宋体" w:eastAsia="宋体" w:cs="宋体"/>
                <w:b/>
                <w:sz w:val="21"/>
                <w:szCs w:val="21"/>
              </w:rPr>
              <w:t>预处理单元</w:t>
            </w:r>
          </w:p>
          <w:p w14:paraId="10823B16">
            <w:pPr>
              <w:tabs>
                <w:tab w:val="left" w:pos="2896"/>
              </w:tabs>
              <w:spacing w:line="500" w:lineRule="exact"/>
              <w:ind w:firstLine="472" w:firstLineChars="225"/>
              <w:rPr>
                <w:rFonts w:hint="eastAsia" w:ascii="宋体" w:hAnsi="宋体" w:eastAsia="宋体" w:cs="宋体"/>
                <w:sz w:val="21"/>
                <w:szCs w:val="21"/>
              </w:rPr>
            </w:pPr>
            <w:r>
              <w:rPr>
                <w:rFonts w:hint="eastAsia" w:ascii="宋体" w:hAnsi="宋体" w:eastAsia="宋体" w:cs="宋体"/>
                <w:sz w:val="21"/>
                <w:szCs w:val="21"/>
              </w:rPr>
              <w:t>从废油储罐来的废油同注碱罐中液碱在管道中完成充分混合，经管道换热后进入常压闪蒸塔进行脱水和脱轻质油。水分和轻质油组分从常压闪蒸塔塔顶蒸出，经塔顶冷凝器常温水冷后液相组分进入冷凝罐，液相组分在冷凝罐内通过内设的隔板分为轻质油和水分，水分作为含油废水后续经污水站处理。轻质油通过轻油泵送至油水分离罐，经油水分离罐静置后进一步去除少量废水</w:t>
            </w:r>
            <w:r>
              <w:rPr>
                <w:rFonts w:hint="eastAsia" w:ascii="宋体" w:hAnsi="宋体" w:eastAsia="宋体" w:cs="宋体"/>
                <w:sz w:val="21"/>
                <w:szCs w:val="21"/>
                <w:lang w:val="en-US" w:eastAsia="zh-CN"/>
              </w:rPr>
              <w:t>后进缓冲罐</w:t>
            </w:r>
            <w:r>
              <w:rPr>
                <w:rFonts w:hint="eastAsia" w:ascii="宋体" w:hAnsi="宋体" w:eastAsia="宋体" w:cs="宋体"/>
                <w:sz w:val="21"/>
                <w:szCs w:val="21"/>
              </w:rPr>
              <w:t>。</w:t>
            </w:r>
          </w:p>
          <w:p w14:paraId="76D45BC2">
            <w:pPr>
              <w:tabs>
                <w:tab w:val="left" w:pos="2896"/>
              </w:tabs>
              <w:spacing w:line="500" w:lineRule="exact"/>
              <w:ind w:firstLine="472" w:firstLineChars="225"/>
              <w:rPr>
                <w:rFonts w:hint="eastAsia" w:ascii="宋体" w:hAnsi="宋体" w:eastAsia="宋体" w:cs="宋体"/>
                <w:sz w:val="21"/>
                <w:szCs w:val="21"/>
              </w:rPr>
            </w:pPr>
            <w:r>
              <w:rPr>
                <w:rFonts w:hint="eastAsia" w:ascii="宋体" w:hAnsi="宋体" w:eastAsia="宋体" w:cs="宋体"/>
                <w:sz w:val="21"/>
                <w:szCs w:val="21"/>
              </w:rPr>
              <w:t>常压闪蒸塔底部油品经3#工艺加热炉加热进入中间缓冲罐，后进入减压闪蒸塔进一步脱轻质油，轻质油组分从塔顶蒸出，经减压闪蒸塔塔顶冷凝器常温水冷后液相组分进入冷凝罐，再通过轻油泵送至油水分离罐。减压闪蒸塔底部油品进入后续减压蒸馏单元进料缓冲罐或储罐区精制油罐，供减压蒸馏单元进一步处理。</w:t>
            </w:r>
          </w:p>
          <w:p w14:paraId="6D229A1E">
            <w:pPr>
              <w:adjustRightInd w:val="0"/>
              <w:snapToGrid w:val="0"/>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2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②</w:t>
            </w:r>
            <w:r>
              <w:rPr>
                <w:rFonts w:hint="eastAsia" w:ascii="宋体" w:hAnsi="宋体" w:eastAsia="宋体" w:cs="宋体"/>
                <w:b/>
                <w:sz w:val="21"/>
                <w:szCs w:val="21"/>
              </w:rPr>
              <w:fldChar w:fldCharType="end"/>
            </w:r>
            <w:r>
              <w:rPr>
                <w:rFonts w:hint="eastAsia" w:ascii="宋体" w:hAnsi="宋体" w:eastAsia="宋体" w:cs="宋体"/>
                <w:b/>
                <w:sz w:val="21"/>
                <w:szCs w:val="21"/>
              </w:rPr>
              <w:t>减压蒸馏单元</w:t>
            </w:r>
          </w:p>
          <w:p w14:paraId="5AA0E011">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来自预处理单元的精制油经换热后送1#工艺加热炉加热进减压分馏塔，减压分馏塔塔顶油气经常温水冷后液相组分进入冷凝罐，再通过轻油泵送至预处理单元油水分离罐。减一至减四分馏产物对应进入侧线塔，液相由各层收油液斗收集分别去往罐区减一至减四线减压油中间罐（减一、减二线共用一个减压油中间罐），后送至加氢精制单元进一步处理。</w:t>
            </w:r>
          </w:p>
          <w:p w14:paraId="2130788B">
            <w:pPr>
              <w:adjustRightInd w:val="0"/>
              <w:snapToGrid w:val="0"/>
              <w:spacing w:line="500" w:lineRule="exact"/>
              <w:ind w:firstLine="420" w:firstLineChars="200"/>
              <w:rPr>
                <w:rFonts w:hint="eastAsia" w:ascii="宋体" w:hAnsi="宋体" w:eastAsia="宋体" w:cs="宋体"/>
                <w:sz w:val="21"/>
                <w:szCs w:val="21"/>
              </w:rPr>
            </w:pPr>
          </w:p>
          <w:p w14:paraId="6DA611FD">
            <w:pPr>
              <w:adjustRightInd w:val="0"/>
              <w:snapToGrid w:val="0"/>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3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③</w:t>
            </w:r>
            <w:r>
              <w:rPr>
                <w:rFonts w:hint="eastAsia" w:ascii="宋体" w:hAnsi="宋体" w:eastAsia="宋体" w:cs="宋体"/>
                <w:b/>
                <w:sz w:val="21"/>
                <w:szCs w:val="21"/>
              </w:rPr>
              <w:fldChar w:fldCharType="end"/>
            </w:r>
            <w:r>
              <w:rPr>
                <w:rFonts w:hint="eastAsia" w:ascii="宋体" w:hAnsi="宋体" w:eastAsia="宋体" w:cs="宋体"/>
                <w:b/>
                <w:sz w:val="21"/>
                <w:szCs w:val="21"/>
              </w:rPr>
              <w:t>加氢精制单元</w:t>
            </w:r>
          </w:p>
          <w:p w14:paraId="5E76D3E9">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减压蒸馏单元的减压油送入缓冲罐，经加压泵加压后与氢气混合，再经2#工艺加热炉加热进入保护剂反应器，脱除油品中金属杂质，之后进入加氢反应器进行反应，将油品中硫、氮、氯转化为易脱除的H</w:t>
            </w:r>
            <w:r>
              <w:rPr>
                <w:rFonts w:hint="eastAsia" w:ascii="宋体" w:hAnsi="宋体" w:eastAsia="宋体" w:cs="宋体"/>
                <w:sz w:val="21"/>
                <w:szCs w:val="21"/>
                <w:vertAlign w:val="subscript"/>
              </w:rPr>
              <w:t>2</w:t>
            </w:r>
            <w:r>
              <w:rPr>
                <w:rFonts w:hint="eastAsia" w:ascii="宋体" w:hAnsi="宋体" w:eastAsia="宋体" w:cs="宋体"/>
                <w:sz w:val="21"/>
                <w:szCs w:val="21"/>
              </w:rPr>
              <w:t>S、NH</w:t>
            </w:r>
            <w:r>
              <w:rPr>
                <w:rFonts w:hint="eastAsia" w:ascii="宋体" w:hAnsi="宋体" w:eastAsia="宋体" w:cs="宋体"/>
                <w:sz w:val="21"/>
                <w:szCs w:val="21"/>
                <w:vertAlign w:val="subscript"/>
              </w:rPr>
              <w:t>3</w:t>
            </w:r>
            <w:r>
              <w:rPr>
                <w:rFonts w:hint="eastAsia" w:ascii="宋体" w:hAnsi="宋体" w:eastAsia="宋体" w:cs="宋体"/>
                <w:sz w:val="21"/>
                <w:szCs w:val="21"/>
              </w:rPr>
              <w:t>和氯离子。加氢后的油品进入高温脱氯反应器，氯离子与脱氯剂中的金属氧化物反应生成稳定的氯化物而截留在催化剂微孔中，脱氯后的产物进入热高压分离器中进行气液分离。</w:t>
            </w:r>
          </w:p>
          <w:p w14:paraId="442A9779">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热高分油从热高压分离器底部经液位控制阀减压后进入热低压分离器，进一步在低压下将油中溶解的废气闪蒸出来送至废气处理单元，分离出溶解气后的生成油靠自压进入汽提塔。由热高压分离器顶部出来的气态料进入冷高压分离器，将纯度较高的氢气分离出来去循环氢压缩机循环利用，其余组分进入冷低压分离器再进行油水气分离，分离后的油去汽提塔，废水和废气分别去废水、废气处理单元不同工段进一步处理。</w:t>
            </w:r>
          </w:p>
          <w:p w14:paraId="7019DABA">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来自热低压分离器和冷低压分离器底部的油品进入汽提塔，过热蒸汽从汽提塔底部吹入，以除去溶解在油品中反应生成的H</w:t>
            </w:r>
            <w:r>
              <w:rPr>
                <w:rFonts w:hint="eastAsia" w:ascii="宋体" w:hAnsi="宋体" w:eastAsia="宋体" w:cs="宋体"/>
                <w:sz w:val="21"/>
                <w:szCs w:val="21"/>
                <w:vertAlign w:val="subscript"/>
              </w:rPr>
              <w:t>2</w:t>
            </w:r>
            <w:r>
              <w:rPr>
                <w:rFonts w:hint="eastAsia" w:ascii="宋体" w:hAnsi="宋体" w:eastAsia="宋体" w:cs="宋体"/>
                <w:sz w:val="21"/>
                <w:szCs w:val="21"/>
              </w:rPr>
              <w:t>S、NH</w:t>
            </w:r>
            <w:r>
              <w:rPr>
                <w:rFonts w:hint="eastAsia" w:ascii="宋体" w:hAnsi="宋体" w:eastAsia="宋体" w:cs="宋体"/>
                <w:sz w:val="21"/>
                <w:szCs w:val="21"/>
                <w:vertAlign w:val="subscript"/>
              </w:rPr>
              <w:t>3</w:t>
            </w:r>
            <w:r>
              <w:rPr>
                <w:rFonts w:hint="eastAsia" w:ascii="宋体" w:hAnsi="宋体" w:eastAsia="宋体" w:cs="宋体"/>
                <w:sz w:val="21"/>
                <w:szCs w:val="21"/>
              </w:rPr>
              <w:t>等轻组份，汽提后塔顶含油气体进入三相分离器，分离器底部废水及含硫气分别去废水、废气处理单元不同工段进一步处理，轻油由轻油泵抽出送至预处理单元油水分离罐。汽提塔塔底油品送入分馏塔处理，柴油组分从塔顶蒸出，经塔顶冷凝器常温水冷后液相组分进入分水罐。分水罐静置分层后产生含油废水W3，柴油送至柴油罐。分馏塔底部油品根据不同粘度分别泵入储罐区基础油I储罐、基础油II储罐、基础油III储罐待外售。</w:t>
            </w:r>
          </w:p>
          <w:p w14:paraId="4D466426">
            <w:pPr>
              <w:tabs>
                <w:tab w:val="left" w:pos="2896"/>
              </w:tabs>
              <w:spacing w:line="500" w:lineRule="exact"/>
              <w:ind w:firstLine="474" w:firstLineChars="225"/>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4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④</w:t>
            </w:r>
            <w:r>
              <w:rPr>
                <w:rFonts w:hint="eastAsia" w:ascii="宋体" w:hAnsi="宋体" w:eastAsia="宋体" w:cs="宋体"/>
                <w:b/>
                <w:sz w:val="21"/>
                <w:szCs w:val="21"/>
              </w:rPr>
              <w:fldChar w:fldCharType="end"/>
            </w:r>
            <w:r>
              <w:rPr>
                <w:rFonts w:hint="eastAsia" w:ascii="宋体" w:hAnsi="宋体" w:eastAsia="宋体" w:cs="宋体"/>
                <w:b/>
                <w:sz w:val="21"/>
                <w:szCs w:val="21"/>
              </w:rPr>
              <w:t>废水、废气处理单元</w:t>
            </w:r>
          </w:p>
          <w:p w14:paraId="22E739E9">
            <w:pPr>
              <w:tabs>
                <w:tab w:val="left" w:pos="2896"/>
              </w:tabs>
              <w:spacing w:line="500" w:lineRule="exact"/>
              <w:ind w:firstLine="472" w:firstLineChars="225"/>
              <w:rPr>
                <w:rFonts w:hint="eastAsia" w:ascii="宋体" w:hAnsi="宋体" w:eastAsia="宋体" w:cs="宋体"/>
                <w:sz w:val="21"/>
                <w:szCs w:val="21"/>
              </w:rPr>
            </w:pPr>
            <w:r>
              <w:rPr>
                <w:rFonts w:hint="eastAsia" w:ascii="宋体" w:hAnsi="宋体" w:eastAsia="宋体" w:cs="宋体"/>
                <w:sz w:val="21"/>
                <w:szCs w:val="21"/>
              </w:rPr>
              <w:t>废水首先进入废水罐，废水经过除油器将水中油相分离去除后进汽提塔，油相送至废油罐。汽提塔塔底汽提净化水作废水（W3）送厂区污水站处理，汽提塔中部侧线抽出富氨气，氨气同废气一同进入两级碱吸收反应器，气体中的H</w:t>
            </w:r>
            <w:r>
              <w:rPr>
                <w:rFonts w:hint="eastAsia" w:ascii="宋体" w:hAnsi="宋体" w:eastAsia="宋体" w:cs="宋体"/>
                <w:sz w:val="21"/>
                <w:szCs w:val="21"/>
                <w:vertAlign w:val="subscript"/>
              </w:rPr>
              <w:t>2</w:t>
            </w:r>
            <w:r>
              <w:rPr>
                <w:rFonts w:hint="eastAsia" w:ascii="宋体" w:hAnsi="宋体" w:eastAsia="宋体" w:cs="宋体"/>
                <w:sz w:val="21"/>
                <w:szCs w:val="21"/>
              </w:rPr>
              <w:t>S与吸收反应器内的NaOH溶液进行酸碱反应，生产副产36%硫氢化钠，氨气送至氨水混合器，氨水罐内的氨水经氨水泵循环吸收氨气，待氨水罐内的氨水浓度达到20%时作为氨水产品外售。</w:t>
            </w:r>
          </w:p>
          <w:p w14:paraId="46837FA3">
            <w:pPr>
              <w:tabs>
                <w:tab w:val="left" w:pos="2896"/>
              </w:tabs>
              <w:spacing w:line="500" w:lineRule="exact"/>
              <w:ind w:firstLine="474" w:firstLineChars="225"/>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5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⑤</w:t>
            </w:r>
            <w:r>
              <w:rPr>
                <w:rFonts w:hint="eastAsia" w:ascii="宋体" w:hAnsi="宋体" w:eastAsia="宋体" w:cs="宋体"/>
                <w:b/>
                <w:sz w:val="21"/>
                <w:szCs w:val="21"/>
              </w:rPr>
              <w:fldChar w:fldCharType="end"/>
            </w:r>
            <w:r>
              <w:rPr>
                <w:rFonts w:hint="eastAsia" w:ascii="宋体" w:hAnsi="宋体" w:eastAsia="宋体" w:cs="宋体"/>
                <w:b/>
                <w:sz w:val="21"/>
                <w:szCs w:val="21"/>
              </w:rPr>
              <w:t>甲醇制氢单元</w:t>
            </w:r>
          </w:p>
          <w:p w14:paraId="6BB08945">
            <w:pPr>
              <w:tabs>
                <w:tab w:val="left" w:pos="2896"/>
              </w:tabs>
              <w:spacing w:line="500" w:lineRule="exact"/>
              <w:ind w:firstLine="472" w:firstLineChars="225"/>
              <w:rPr>
                <w:rFonts w:ascii="Times New Roman" w:hAnsi="Times New Roman"/>
                <w:b/>
                <w:bCs/>
              </w:rPr>
            </w:pPr>
            <w:r>
              <w:rPr>
                <w:rFonts w:hint="eastAsia" w:ascii="宋体" w:hAnsi="宋体" w:eastAsia="宋体" w:cs="宋体"/>
                <w:sz w:val="21"/>
                <w:szCs w:val="21"/>
              </w:rPr>
              <w:t>甲醇与脱盐水在中间缓冲罐按照一定比例配置，经换热后进入汽化过热器，在汽化过热器中与导热油进行第二次热交换完成汽化进入转化器内。在催化剂的作用下发生催化裂解和转化反应，生成高温转化气。高温转化气在换热器中换热降温至40℃以下，再分离净化未反应的甲醇和水并回流至缓冲罐。随后裂解的转化气进入PSA提纯工段，产品氢气输送至加氢精制单元使用。</w:t>
            </w:r>
          </w:p>
        </w:tc>
      </w:tr>
    </w:tbl>
    <w:p w14:paraId="4D58AE1A">
      <w:pPr>
        <w:rPr>
          <w:rFonts w:ascii="Times New Roman" w:hAnsi="Times New Roman"/>
        </w:rPr>
      </w:pPr>
    </w:p>
    <w:p w14:paraId="47D0C5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rPr>
        <w:sectPr>
          <w:pgSz w:w="11906" w:h="16838"/>
          <w:pgMar w:top="1440" w:right="1797" w:bottom="1440" w:left="1797" w:header="851" w:footer="992" w:gutter="0"/>
          <w:cols w:space="425" w:num="1"/>
          <w:docGrid w:type="lines" w:linePitch="312" w:charSpace="0"/>
        </w:sectPr>
      </w:pPr>
      <w:r>
        <w:rPr>
          <w:rFonts w:hint="eastAsia" w:ascii="宋体" w:hAnsi="宋体" w:eastAsia="宋体" w:cs="宋体"/>
          <w:sz w:val="24"/>
          <w:szCs w:val="24"/>
          <w:lang w:eastAsia="zh-CN"/>
        </w:rPr>
        <w:drawing>
          <wp:inline distT="0" distB="0" distL="114300" distR="114300">
            <wp:extent cx="5676900" cy="7639050"/>
            <wp:effectExtent l="0" t="0" r="0" b="0"/>
            <wp:docPr id="4"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图片1"/>
                    <pic:cNvPicPr>
                      <a:picLocks noChangeAspect="1"/>
                    </pic:cNvPicPr>
                  </pic:nvPicPr>
                  <pic:blipFill>
                    <a:blip r:embed="rId7"/>
                    <a:stretch>
                      <a:fillRect/>
                    </a:stretch>
                  </pic:blipFill>
                  <pic:spPr>
                    <a:xfrm>
                      <a:off x="0" y="0"/>
                      <a:ext cx="5676900" cy="7639050"/>
                    </a:xfrm>
                    <a:prstGeom prst="rect">
                      <a:avLst/>
                    </a:prstGeom>
                    <a:noFill/>
                    <a:ln>
                      <a:noFill/>
                    </a:ln>
                  </pic:spPr>
                </pic:pic>
              </a:graphicData>
            </a:graphic>
          </wp:inline>
        </w:drawing>
      </w:r>
    </w:p>
    <w:p w14:paraId="753C3D4D">
      <w:pPr>
        <w:rPr>
          <w:rFonts w:ascii="Times New Roman" w:hAnsi="Times New Roman" w:eastAsia="黑体"/>
          <w:sz w:val="28"/>
          <w:szCs w:val="28"/>
        </w:rPr>
      </w:pPr>
      <w:r>
        <w:rPr>
          <w:rFonts w:ascii="Times New Roman" w:eastAsia="黑体"/>
          <w:sz w:val="28"/>
          <w:szCs w:val="28"/>
        </w:rPr>
        <w:t>第四部分</w:t>
      </w:r>
      <w:r>
        <w:rPr>
          <w:rFonts w:ascii="Times New Roman" w:hAnsi="Times New Roman" w:eastAsia="黑体"/>
          <w:sz w:val="28"/>
          <w:szCs w:val="28"/>
        </w:rPr>
        <w:t xml:space="preserve"> </w:t>
      </w:r>
      <w:r>
        <w:rPr>
          <w:rFonts w:ascii="Times New Roman" w:eastAsia="黑体"/>
          <w:sz w:val="28"/>
          <w:szCs w:val="28"/>
        </w:rPr>
        <w:t>上年度固体（危险）废物跨省转移情况</w:t>
      </w:r>
    </w:p>
    <w:tbl>
      <w:tblPr>
        <w:tblStyle w:val="7"/>
        <w:tblW w:w="1516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120"/>
        <w:gridCol w:w="1915"/>
        <w:gridCol w:w="1345"/>
        <w:gridCol w:w="1460"/>
        <w:gridCol w:w="1460"/>
        <w:gridCol w:w="1460"/>
        <w:gridCol w:w="1460"/>
        <w:gridCol w:w="1460"/>
        <w:gridCol w:w="1744"/>
      </w:tblGrid>
      <w:tr w14:paraId="594C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1744" w:type="dxa"/>
            <w:shd w:val="clear" w:color="auto" w:fill="auto"/>
            <w:vAlign w:val="center"/>
          </w:tcPr>
          <w:p w14:paraId="059ADCC3">
            <w:pPr>
              <w:jc w:val="center"/>
              <w:rPr>
                <w:rFonts w:ascii="Times New Roman" w:hAnsi="Times New Roman"/>
              </w:rPr>
            </w:pPr>
            <w:r>
              <w:rPr>
                <w:rFonts w:ascii="Times New Roman" w:hAnsi="宋体"/>
              </w:rPr>
              <w:t>出厂日期</w:t>
            </w:r>
          </w:p>
        </w:tc>
        <w:tc>
          <w:tcPr>
            <w:tcW w:w="1120" w:type="dxa"/>
            <w:shd w:val="clear" w:color="auto" w:fill="auto"/>
            <w:vAlign w:val="center"/>
          </w:tcPr>
          <w:p w14:paraId="019CA4BB">
            <w:pPr>
              <w:jc w:val="center"/>
              <w:rPr>
                <w:rFonts w:ascii="Times New Roman" w:hAnsi="Times New Roman"/>
              </w:rPr>
            </w:pPr>
            <w:r>
              <w:rPr>
                <w:rFonts w:ascii="Times New Roman" w:hAnsi="宋体"/>
              </w:rPr>
              <w:t>转移批次</w:t>
            </w:r>
          </w:p>
        </w:tc>
        <w:tc>
          <w:tcPr>
            <w:tcW w:w="1915" w:type="dxa"/>
            <w:shd w:val="clear" w:color="auto" w:fill="auto"/>
            <w:vAlign w:val="center"/>
          </w:tcPr>
          <w:p w14:paraId="2FF56887">
            <w:pPr>
              <w:jc w:val="center"/>
              <w:rPr>
                <w:rFonts w:ascii="Times New Roman" w:hAnsi="Times New Roman"/>
              </w:rPr>
            </w:pPr>
            <w:r>
              <w:rPr>
                <w:rFonts w:ascii="Times New Roman" w:hAnsi="宋体"/>
              </w:rPr>
              <w:t>联单编号</w:t>
            </w:r>
          </w:p>
        </w:tc>
        <w:tc>
          <w:tcPr>
            <w:tcW w:w="1345" w:type="dxa"/>
            <w:shd w:val="clear" w:color="auto" w:fill="auto"/>
            <w:vAlign w:val="center"/>
          </w:tcPr>
          <w:p w14:paraId="69CEC542">
            <w:pPr>
              <w:jc w:val="center"/>
              <w:rPr>
                <w:rFonts w:ascii="Times New Roman" w:hAnsi="Times New Roman"/>
              </w:rPr>
            </w:pPr>
            <w:r>
              <w:rPr>
                <w:rFonts w:ascii="Times New Roman" w:hAnsi="宋体"/>
              </w:rPr>
              <w:t>废物名称</w:t>
            </w:r>
          </w:p>
        </w:tc>
        <w:tc>
          <w:tcPr>
            <w:tcW w:w="1460" w:type="dxa"/>
            <w:shd w:val="clear" w:color="auto" w:fill="auto"/>
            <w:vAlign w:val="center"/>
          </w:tcPr>
          <w:p w14:paraId="415B78FA">
            <w:pPr>
              <w:jc w:val="center"/>
              <w:rPr>
                <w:rFonts w:ascii="Times New Roman" w:hAnsi="Times New Roman"/>
              </w:rPr>
            </w:pPr>
            <w:r>
              <w:rPr>
                <w:rFonts w:ascii="Times New Roman" w:hAnsi="宋体"/>
              </w:rPr>
              <w:t>类别</w:t>
            </w:r>
            <w:r>
              <w:rPr>
                <w:rFonts w:ascii="Times New Roman" w:hAnsi="Times New Roman"/>
              </w:rPr>
              <w:t>/</w:t>
            </w:r>
            <w:r>
              <w:rPr>
                <w:rFonts w:ascii="Times New Roman" w:hAnsi="宋体"/>
              </w:rPr>
              <w:t>代码</w:t>
            </w:r>
          </w:p>
        </w:tc>
        <w:tc>
          <w:tcPr>
            <w:tcW w:w="1460" w:type="dxa"/>
            <w:shd w:val="clear" w:color="auto" w:fill="auto"/>
            <w:vAlign w:val="center"/>
          </w:tcPr>
          <w:p w14:paraId="5AC710B7">
            <w:pPr>
              <w:jc w:val="center"/>
              <w:rPr>
                <w:rFonts w:ascii="Times New Roman" w:hAnsi="Times New Roman"/>
              </w:rPr>
            </w:pPr>
            <w:r>
              <w:rPr>
                <w:rFonts w:ascii="Times New Roman" w:hAnsi="宋体"/>
              </w:rPr>
              <w:t>转移量（吨）</w:t>
            </w:r>
          </w:p>
        </w:tc>
        <w:tc>
          <w:tcPr>
            <w:tcW w:w="1460" w:type="dxa"/>
            <w:shd w:val="clear" w:color="auto" w:fill="auto"/>
            <w:vAlign w:val="center"/>
          </w:tcPr>
          <w:p w14:paraId="7C3D1E0F">
            <w:pPr>
              <w:jc w:val="center"/>
              <w:rPr>
                <w:rFonts w:ascii="Times New Roman" w:hAnsi="Times New Roman"/>
              </w:rPr>
            </w:pPr>
            <w:r>
              <w:rPr>
                <w:rFonts w:ascii="Times New Roman"/>
              </w:rPr>
              <w:t>运输单位</w:t>
            </w:r>
          </w:p>
        </w:tc>
        <w:tc>
          <w:tcPr>
            <w:tcW w:w="1460" w:type="dxa"/>
            <w:vAlign w:val="center"/>
          </w:tcPr>
          <w:p w14:paraId="5CFE2F1C">
            <w:pPr>
              <w:jc w:val="center"/>
              <w:rPr>
                <w:rFonts w:ascii="Times New Roman" w:hAnsi="Times New Roman"/>
              </w:rPr>
            </w:pPr>
            <w:r>
              <w:rPr>
                <w:rFonts w:ascii="Times New Roman"/>
              </w:rPr>
              <w:t>车号</w:t>
            </w:r>
          </w:p>
        </w:tc>
        <w:tc>
          <w:tcPr>
            <w:tcW w:w="1460" w:type="dxa"/>
            <w:vAlign w:val="center"/>
          </w:tcPr>
          <w:p w14:paraId="7640B544">
            <w:pPr>
              <w:jc w:val="center"/>
              <w:rPr>
                <w:rFonts w:ascii="Times New Roman" w:hAnsi="Times New Roman"/>
              </w:rPr>
            </w:pPr>
            <w:r>
              <w:rPr>
                <w:rFonts w:ascii="Times New Roman" w:hAnsi="宋体"/>
              </w:rPr>
              <w:t>接收单位</w:t>
            </w:r>
          </w:p>
        </w:tc>
        <w:tc>
          <w:tcPr>
            <w:tcW w:w="1744" w:type="dxa"/>
            <w:vAlign w:val="center"/>
          </w:tcPr>
          <w:p w14:paraId="2CBF17A6">
            <w:pPr>
              <w:jc w:val="center"/>
              <w:rPr>
                <w:rFonts w:ascii="Times New Roman" w:hAnsi="Times New Roman"/>
              </w:rPr>
            </w:pPr>
            <w:r>
              <w:rPr>
                <w:rFonts w:ascii="Times New Roman" w:hAnsi="宋体"/>
              </w:rPr>
              <w:t>接收日期</w:t>
            </w:r>
          </w:p>
        </w:tc>
      </w:tr>
      <w:tr w14:paraId="6EDC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43D579DD">
            <w:pPr>
              <w:jc w:val="left"/>
              <w:rPr>
                <w:rFonts w:ascii="Times New Roman" w:hAnsi="Times New Roman"/>
              </w:rPr>
            </w:pPr>
          </w:p>
        </w:tc>
        <w:tc>
          <w:tcPr>
            <w:tcW w:w="1120" w:type="dxa"/>
            <w:shd w:val="clear" w:color="auto" w:fill="auto"/>
          </w:tcPr>
          <w:p w14:paraId="28C5CD07">
            <w:pPr>
              <w:jc w:val="left"/>
              <w:rPr>
                <w:rFonts w:hint="default" w:ascii="Times New Roman" w:hAnsi="Times New Roman"/>
                <w:lang w:val="en-US" w:eastAsia="zh-CN"/>
              </w:rPr>
            </w:pPr>
          </w:p>
        </w:tc>
        <w:tc>
          <w:tcPr>
            <w:tcW w:w="1915" w:type="dxa"/>
            <w:shd w:val="clear" w:color="auto" w:fill="auto"/>
          </w:tcPr>
          <w:p w14:paraId="1FAEAE7B">
            <w:pPr>
              <w:jc w:val="left"/>
              <w:rPr>
                <w:rFonts w:ascii="Times New Roman" w:hAnsi="Times New Roman"/>
              </w:rPr>
            </w:pPr>
          </w:p>
        </w:tc>
        <w:tc>
          <w:tcPr>
            <w:tcW w:w="1345" w:type="dxa"/>
            <w:shd w:val="clear" w:color="auto" w:fill="auto"/>
          </w:tcPr>
          <w:p w14:paraId="5BB5174D">
            <w:pPr>
              <w:jc w:val="left"/>
              <w:rPr>
                <w:rFonts w:ascii="Times New Roman" w:hAnsi="Times New Roman"/>
              </w:rPr>
            </w:pPr>
          </w:p>
        </w:tc>
        <w:tc>
          <w:tcPr>
            <w:tcW w:w="1460" w:type="dxa"/>
            <w:shd w:val="clear" w:color="auto" w:fill="auto"/>
          </w:tcPr>
          <w:p w14:paraId="03EFB928">
            <w:pPr>
              <w:jc w:val="left"/>
              <w:rPr>
                <w:rFonts w:ascii="Times New Roman" w:hAnsi="Times New Roman"/>
              </w:rPr>
            </w:pPr>
          </w:p>
        </w:tc>
        <w:tc>
          <w:tcPr>
            <w:tcW w:w="1460" w:type="dxa"/>
            <w:shd w:val="clear" w:color="auto" w:fill="auto"/>
          </w:tcPr>
          <w:p w14:paraId="29CB489C">
            <w:pPr>
              <w:jc w:val="left"/>
              <w:rPr>
                <w:rFonts w:ascii="Times New Roman" w:hAnsi="Times New Roman"/>
              </w:rPr>
            </w:pPr>
          </w:p>
        </w:tc>
        <w:tc>
          <w:tcPr>
            <w:tcW w:w="1460" w:type="dxa"/>
            <w:shd w:val="clear" w:color="auto" w:fill="auto"/>
          </w:tcPr>
          <w:p w14:paraId="5D30AA58">
            <w:pPr>
              <w:jc w:val="left"/>
              <w:rPr>
                <w:rFonts w:ascii="Times New Roman" w:hAnsi="Times New Roman"/>
              </w:rPr>
            </w:pPr>
          </w:p>
        </w:tc>
        <w:tc>
          <w:tcPr>
            <w:tcW w:w="1460" w:type="dxa"/>
          </w:tcPr>
          <w:p w14:paraId="72051F02">
            <w:pPr>
              <w:jc w:val="left"/>
              <w:rPr>
                <w:rFonts w:ascii="Times New Roman" w:hAnsi="Times New Roman"/>
              </w:rPr>
            </w:pPr>
          </w:p>
        </w:tc>
        <w:tc>
          <w:tcPr>
            <w:tcW w:w="1460" w:type="dxa"/>
          </w:tcPr>
          <w:p w14:paraId="2872FA1F">
            <w:pPr>
              <w:jc w:val="left"/>
              <w:rPr>
                <w:rFonts w:ascii="Times New Roman" w:hAnsi="Times New Roman"/>
              </w:rPr>
            </w:pPr>
          </w:p>
        </w:tc>
        <w:tc>
          <w:tcPr>
            <w:tcW w:w="1744" w:type="dxa"/>
          </w:tcPr>
          <w:p w14:paraId="5A561801">
            <w:pPr>
              <w:jc w:val="left"/>
              <w:rPr>
                <w:rFonts w:ascii="Times New Roman" w:hAnsi="Times New Roman"/>
              </w:rPr>
            </w:pPr>
          </w:p>
        </w:tc>
      </w:tr>
      <w:tr w14:paraId="47D0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23A2E24F">
            <w:pPr>
              <w:jc w:val="left"/>
              <w:rPr>
                <w:rFonts w:ascii="Times New Roman" w:hAnsi="Times New Roman"/>
              </w:rPr>
            </w:pPr>
          </w:p>
        </w:tc>
        <w:tc>
          <w:tcPr>
            <w:tcW w:w="1120" w:type="dxa"/>
            <w:shd w:val="clear" w:color="auto" w:fill="auto"/>
          </w:tcPr>
          <w:p w14:paraId="28980899">
            <w:pPr>
              <w:jc w:val="left"/>
              <w:rPr>
                <w:rFonts w:hint="default" w:ascii="Times New Roman" w:hAnsi="Times New Roman"/>
                <w:lang w:val="en-US" w:eastAsia="zh-CN"/>
              </w:rPr>
            </w:pPr>
          </w:p>
        </w:tc>
        <w:tc>
          <w:tcPr>
            <w:tcW w:w="1915" w:type="dxa"/>
            <w:shd w:val="clear" w:color="auto" w:fill="auto"/>
          </w:tcPr>
          <w:p w14:paraId="581B87CE">
            <w:pPr>
              <w:jc w:val="left"/>
              <w:rPr>
                <w:rFonts w:ascii="Times New Roman" w:hAnsi="Times New Roman"/>
              </w:rPr>
            </w:pPr>
          </w:p>
        </w:tc>
        <w:tc>
          <w:tcPr>
            <w:tcW w:w="1345" w:type="dxa"/>
            <w:shd w:val="clear" w:color="auto" w:fill="auto"/>
          </w:tcPr>
          <w:p w14:paraId="4A7B55BF">
            <w:pPr>
              <w:jc w:val="left"/>
              <w:rPr>
                <w:rFonts w:ascii="Times New Roman" w:hAnsi="Times New Roman"/>
              </w:rPr>
            </w:pPr>
          </w:p>
        </w:tc>
        <w:tc>
          <w:tcPr>
            <w:tcW w:w="1460" w:type="dxa"/>
            <w:shd w:val="clear" w:color="auto" w:fill="auto"/>
          </w:tcPr>
          <w:p w14:paraId="1490B78D">
            <w:pPr>
              <w:jc w:val="left"/>
              <w:rPr>
                <w:rFonts w:ascii="Times New Roman" w:hAnsi="Times New Roman"/>
              </w:rPr>
            </w:pPr>
          </w:p>
        </w:tc>
        <w:tc>
          <w:tcPr>
            <w:tcW w:w="1460" w:type="dxa"/>
            <w:shd w:val="clear" w:color="auto" w:fill="auto"/>
          </w:tcPr>
          <w:p w14:paraId="56306E14">
            <w:pPr>
              <w:jc w:val="left"/>
              <w:rPr>
                <w:rFonts w:ascii="Times New Roman" w:hAnsi="Times New Roman"/>
              </w:rPr>
            </w:pPr>
          </w:p>
        </w:tc>
        <w:tc>
          <w:tcPr>
            <w:tcW w:w="1460" w:type="dxa"/>
            <w:shd w:val="clear" w:color="auto" w:fill="auto"/>
          </w:tcPr>
          <w:p w14:paraId="6FB1E0CE">
            <w:pPr>
              <w:jc w:val="left"/>
              <w:rPr>
                <w:rFonts w:ascii="Times New Roman" w:hAnsi="Times New Roman"/>
              </w:rPr>
            </w:pPr>
          </w:p>
        </w:tc>
        <w:tc>
          <w:tcPr>
            <w:tcW w:w="1460" w:type="dxa"/>
          </w:tcPr>
          <w:p w14:paraId="74EFBC36">
            <w:pPr>
              <w:jc w:val="left"/>
              <w:rPr>
                <w:rFonts w:ascii="Times New Roman" w:hAnsi="Times New Roman"/>
              </w:rPr>
            </w:pPr>
          </w:p>
        </w:tc>
        <w:tc>
          <w:tcPr>
            <w:tcW w:w="1460" w:type="dxa"/>
          </w:tcPr>
          <w:p w14:paraId="39B35FCF">
            <w:pPr>
              <w:jc w:val="left"/>
              <w:rPr>
                <w:rFonts w:ascii="Times New Roman" w:hAnsi="Times New Roman"/>
              </w:rPr>
            </w:pPr>
          </w:p>
        </w:tc>
        <w:tc>
          <w:tcPr>
            <w:tcW w:w="1744" w:type="dxa"/>
          </w:tcPr>
          <w:p w14:paraId="241C22D3">
            <w:pPr>
              <w:jc w:val="left"/>
              <w:rPr>
                <w:rFonts w:ascii="Times New Roman" w:hAnsi="Times New Roman"/>
              </w:rPr>
            </w:pPr>
          </w:p>
        </w:tc>
      </w:tr>
      <w:tr w14:paraId="0CC6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7A5AAB00">
            <w:pPr>
              <w:jc w:val="left"/>
              <w:rPr>
                <w:rFonts w:ascii="Times New Roman" w:hAnsi="Times New Roman"/>
              </w:rPr>
            </w:pPr>
          </w:p>
        </w:tc>
        <w:tc>
          <w:tcPr>
            <w:tcW w:w="1120" w:type="dxa"/>
            <w:shd w:val="clear" w:color="auto" w:fill="auto"/>
          </w:tcPr>
          <w:p w14:paraId="189E0AE5">
            <w:pPr>
              <w:jc w:val="left"/>
              <w:rPr>
                <w:rFonts w:hint="default" w:ascii="Times New Roman" w:hAnsi="Times New Roman"/>
                <w:lang w:val="en-US" w:eastAsia="zh-CN"/>
              </w:rPr>
            </w:pPr>
          </w:p>
        </w:tc>
        <w:tc>
          <w:tcPr>
            <w:tcW w:w="1915" w:type="dxa"/>
            <w:shd w:val="clear" w:color="auto" w:fill="auto"/>
          </w:tcPr>
          <w:p w14:paraId="41106E37">
            <w:pPr>
              <w:jc w:val="left"/>
              <w:rPr>
                <w:rFonts w:ascii="Times New Roman" w:hAnsi="Times New Roman"/>
              </w:rPr>
            </w:pPr>
          </w:p>
        </w:tc>
        <w:tc>
          <w:tcPr>
            <w:tcW w:w="1345" w:type="dxa"/>
            <w:shd w:val="clear" w:color="auto" w:fill="auto"/>
          </w:tcPr>
          <w:p w14:paraId="0300806E">
            <w:pPr>
              <w:jc w:val="left"/>
              <w:rPr>
                <w:rFonts w:ascii="Times New Roman" w:hAnsi="Times New Roman"/>
              </w:rPr>
            </w:pPr>
          </w:p>
        </w:tc>
        <w:tc>
          <w:tcPr>
            <w:tcW w:w="1460" w:type="dxa"/>
            <w:shd w:val="clear" w:color="auto" w:fill="auto"/>
          </w:tcPr>
          <w:p w14:paraId="298374C5">
            <w:pPr>
              <w:jc w:val="left"/>
              <w:rPr>
                <w:rFonts w:ascii="Times New Roman" w:hAnsi="Times New Roman"/>
              </w:rPr>
            </w:pPr>
          </w:p>
        </w:tc>
        <w:tc>
          <w:tcPr>
            <w:tcW w:w="1460" w:type="dxa"/>
            <w:shd w:val="clear" w:color="auto" w:fill="auto"/>
          </w:tcPr>
          <w:p w14:paraId="134B5EC3">
            <w:pPr>
              <w:jc w:val="left"/>
              <w:rPr>
                <w:rFonts w:ascii="Times New Roman" w:hAnsi="Times New Roman"/>
              </w:rPr>
            </w:pPr>
          </w:p>
        </w:tc>
        <w:tc>
          <w:tcPr>
            <w:tcW w:w="1460" w:type="dxa"/>
            <w:shd w:val="clear" w:color="auto" w:fill="auto"/>
          </w:tcPr>
          <w:p w14:paraId="7561B4A4">
            <w:pPr>
              <w:jc w:val="left"/>
              <w:rPr>
                <w:rFonts w:ascii="Times New Roman" w:hAnsi="Times New Roman"/>
              </w:rPr>
            </w:pPr>
          </w:p>
        </w:tc>
        <w:tc>
          <w:tcPr>
            <w:tcW w:w="1460" w:type="dxa"/>
          </w:tcPr>
          <w:p w14:paraId="39F73C0F">
            <w:pPr>
              <w:jc w:val="left"/>
              <w:rPr>
                <w:rFonts w:ascii="Times New Roman" w:hAnsi="Times New Roman"/>
              </w:rPr>
            </w:pPr>
          </w:p>
        </w:tc>
        <w:tc>
          <w:tcPr>
            <w:tcW w:w="1460" w:type="dxa"/>
          </w:tcPr>
          <w:p w14:paraId="09820547">
            <w:pPr>
              <w:jc w:val="left"/>
              <w:rPr>
                <w:rFonts w:ascii="Times New Roman" w:hAnsi="Times New Roman"/>
              </w:rPr>
            </w:pPr>
          </w:p>
        </w:tc>
        <w:tc>
          <w:tcPr>
            <w:tcW w:w="1744" w:type="dxa"/>
          </w:tcPr>
          <w:p w14:paraId="53F7BECE">
            <w:pPr>
              <w:jc w:val="left"/>
              <w:rPr>
                <w:rFonts w:ascii="Times New Roman" w:hAnsi="Times New Roman"/>
              </w:rPr>
            </w:pPr>
          </w:p>
        </w:tc>
      </w:tr>
      <w:tr w14:paraId="7BB3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6B302F26">
            <w:pPr>
              <w:jc w:val="left"/>
              <w:rPr>
                <w:rFonts w:ascii="Times New Roman" w:hAnsi="Times New Roman"/>
              </w:rPr>
            </w:pPr>
          </w:p>
        </w:tc>
        <w:tc>
          <w:tcPr>
            <w:tcW w:w="1120" w:type="dxa"/>
            <w:shd w:val="clear" w:color="auto" w:fill="auto"/>
          </w:tcPr>
          <w:p w14:paraId="1FC7ABF5">
            <w:pPr>
              <w:jc w:val="left"/>
              <w:rPr>
                <w:rFonts w:hint="default" w:ascii="Times New Roman" w:hAnsi="Times New Roman"/>
                <w:lang w:val="en-US" w:eastAsia="zh-CN"/>
              </w:rPr>
            </w:pPr>
          </w:p>
        </w:tc>
        <w:tc>
          <w:tcPr>
            <w:tcW w:w="1915" w:type="dxa"/>
            <w:shd w:val="clear" w:color="auto" w:fill="auto"/>
          </w:tcPr>
          <w:p w14:paraId="0FEA7873">
            <w:pPr>
              <w:jc w:val="left"/>
              <w:rPr>
                <w:rFonts w:ascii="Times New Roman" w:hAnsi="Times New Roman"/>
              </w:rPr>
            </w:pPr>
          </w:p>
        </w:tc>
        <w:tc>
          <w:tcPr>
            <w:tcW w:w="1345" w:type="dxa"/>
            <w:shd w:val="clear" w:color="auto" w:fill="auto"/>
          </w:tcPr>
          <w:p w14:paraId="45EB88F8">
            <w:pPr>
              <w:jc w:val="left"/>
              <w:rPr>
                <w:rFonts w:ascii="Times New Roman" w:hAnsi="Times New Roman"/>
              </w:rPr>
            </w:pPr>
          </w:p>
        </w:tc>
        <w:tc>
          <w:tcPr>
            <w:tcW w:w="1460" w:type="dxa"/>
            <w:shd w:val="clear" w:color="auto" w:fill="auto"/>
          </w:tcPr>
          <w:p w14:paraId="0C7F4C3F">
            <w:pPr>
              <w:jc w:val="left"/>
              <w:rPr>
                <w:rFonts w:ascii="Times New Roman" w:hAnsi="Times New Roman"/>
              </w:rPr>
            </w:pPr>
          </w:p>
        </w:tc>
        <w:tc>
          <w:tcPr>
            <w:tcW w:w="1460" w:type="dxa"/>
            <w:shd w:val="clear" w:color="auto" w:fill="auto"/>
          </w:tcPr>
          <w:p w14:paraId="502C5FF6">
            <w:pPr>
              <w:jc w:val="left"/>
              <w:rPr>
                <w:rFonts w:ascii="Times New Roman" w:hAnsi="Times New Roman"/>
              </w:rPr>
            </w:pPr>
          </w:p>
        </w:tc>
        <w:tc>
          <w:tcPr>
            <w:tcW w:w="1460" w:type="dxa"/>
            <w:shd w:val="clear" w:color="auto" w:fill="auto"/>
          </w:tcPr>
          <w:p w14:paraId="65730A3D">
            <w:pPr>
              <w:jc w:val="left"/>
              <w:rPr>
                <w:rFonts w:ascii="Times New Roman" w:hAnsi="Times New Roman"/>
              </w:rPr>
            </w:pPr>
          </w:p>
        </w:tc>
        <w:tc>
          <w:tcPr>
            <w:tcW w:w="1460" w:type="dxa"/>
          </w:tcPr>
          <w:p w14:paraId="2D666BAB">
            <w:pPr>
              <w:jc w:val="left"/>
              <w:rPr>
                <w:rFonts w:ascii="Times New Roman" w:hAnsi="Times New Roman"/>
              </w:rPr>
            </w:pPr>
          </w:p>
        </w:tc>
        <w:tc>
          <w:tcPr>
            <w:tcW w:w="1460" w:type="dxa"/>
          </w:tcPr>
          <w:p w14:paraId="16F21A80">
            <w:pPr>
              <w:jc w:val="left"/>
              <w:rPr>
                <w:rFonts w:ascii="Times New Roman" w:hAnsi="Times New Roman"/>
              </w:rPr>
            </w:pPr>
          </w:p>
        </w:tc>
        <w:tc>
          <w:tcPr>
            <w:tcW w:w="1744" w:type="dxa"/>
          </w:tcPr>
          <w:p w14:paraId="5EBC0808">
            <w:pPr>
              <w:jc w:val="left"/>
              <w:rPr>
                <w:rFonts w:ascii="Times New Roman" w:hAnsi="Times New Roman"/>
              </w:rPr>
            </w:pPr>
          </w:p>
        </w:tc>
      </w:tr>
      <w:tr w14:paraId="68AC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55C5EBE9">
            <w:pPr>
              <w:jc w:val="left"/>
              <w:rPr>
                <w:rFonts w:ascii="Times New Roman" w:hAnsi="Times New Roman"/>
              </w:rPr>
            </w:pPr>
          </w:p>
        </w:tc>
        <w:tc>
          <w:tcPr>
            <w:tcW w:w="1120" w:type="dxa"/>
            <w:shd w:val="clear" w:color="auto" w:fill="auto"/>
          </w:tcPr>
          <w:p w14:paraId="21B25DBB">
            <w:pPr>
              <w:jc w:val="left"/>
              <w:rPr>
                <w:rFonts w:hint="default" w:ascii="Times New Roman" w:hAnsi="Times New Roman"/>
                <w:lang w:val="en-US" w:eastAsia="zh-CN"/>
              </w:rPr>
            </w:pPr>
          </w:p>
        </w:tc>
        <w:tc>
          <w:tcPr>
            <w:tcW w:w="1915" w:type="dxa"/>
            <w:shd w:val="clear" w:color="auto" w:fill="auto"/>
          </w:tcPr>
          <w:p w14:paraId="09065FCA">
            <w:pPr>
              <w:jc w:val="left"/>
              <w:rPr>
                <w:rFonts w:ascii="Times New Roman" w:hAnsi="Times New Roman"/>
              </w:rPr>
            </w:pPr>
          </w:p>
        </w:tc>
        <w:tc>
          <w:tcPr>
            <w:tcW w:w="1345" w:type="dxa"/>
            <w:shd w:val="clear" w:color="auto" w:fill="auto"/>
          </w:tcPr>
          <w:p w14:paraId="4C645361">
            <w:pPr>
              <w:jc w:val="left"/>
              <w:rPr>
                <w:rFonts w:ascii="Times New Roman" w:hAnsi="Times New Roman"/>
              </w:rPr>
            </w:pPr>
          </w:p>
        </w:tc>
        <w:tc>
          <w:tcPr>
            <w:tcW w:w="1460" w:type="dxa"/>
            <w:shd w:val="clear" w:color="auto" w:fill="auto"/>
          </w:tcPr>
          <w:p w14:paraId="57FC2208">
            <w:pPr>
              <w:jc w:val="left"/>
              <w:rPr>
                <w:rFonts w:ascii="Times New Roman" w:hAnsi="Times New Roman"/>
              </w:rPr>
            </w:pPr>
          </w:p>
        </w:tc>
        <w:tc>
          <w:tcPr>
            <w:tcW w:w="1460" w:type="dxa"/>
            <w:shd w:val="clear" w:color="auto" w:fill="auto"/>
          </w:tcPr>
          <w:p w14:paraId="6E5E877A">
            <w:pPr>
              <w:jc w:val="left"/>
              <w:rPr>
                <w:rFonts w:ascii="Times New Roman" w:hAnsi="Times New Roman"/>
              </w:rPr>
            </w:pPr>
          </w:p>
        </w:tc>
        <w:tc>
          <w:tcPr>
            <w:tcW w:w="1460" w:type="dxa"/>
            <w:shd w:val="clear" w:color="auto" w:fill="auto"/>
          </w:tcPr>
          <w:p w14:paraId="753FDF57">
            <w:pPr>
              <w:jc w:val="left"/>
              <w:rPr>
                <w:rFonts w:ascii="Times New Roman" w:hAnsi="Times New Roman"/>
              </w:rPr>
            </w:pPr>
          </w:p>
        </w:tc>
        <w:tc>
          <w:tcPr>
            <w:tcW w:w="1460" w:type="dxa"/>
          </w:tcPr>
          <w:p w14:paraId="2E2E0B63">
            <w:pPr>
              <w:jc w:val="left"/>
              <w:rPr>
                <w:rFonts w:ascii="Times New Roman" w:hAnsi="Times New Roman"/>
              </w:rPr>
            </w:pPr>
          </w:p>
        </w:tc>
        <w:tc>
          <w:tcPr>
            <w:tcW w:w="1460" w:type="dxa"/>
          </w:tcPr>
          <w:p w14:paraId="05BCDE63">
            <w:pPr>
              <w:jc w:val="left"/>
              <w:rPr>
                <w:rFonts w:ascii="Times New Roman" w:hAnsi="Times New Roman"/>
              </w:rPr>
            </w:pPr>
          </w:p>
        </w:tc>
        <w:tc>
          <w:tcPr>
            <w:tcW w:w="1744" w:type="dxa"/>
          </w:tcPr>
          <w:p w14:paraId="6306ABA8">
            <w:pPr>
              <w:jc w:val="left"/>
              <w:rPr>
                <w:rFonts w:ascii="Times New Roman" w:hAnsi="Times New Roman"/>
              </w:rPr>
            </w:pPr>
          </w:p>
        </w:tc>
      </w:tr>
      <w:tr w14:paraId="25EC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32660C70">
            <w:pPr>
              <w:jc w:val="left"/>
              <w:rPr>
                <w:rFonts w:ascii="Times New Roman" w:hAnsi="Times New Roman"/>
              </w:rPr>
            </w:pPr>
          </w:p>
        </w:tc>
        <w:tc>
          <w:tcPr>
            <w:tcW w:w="1120" w:type="dxa"/>
            <w:shd w:val="clear" w:color="auto" w:fill="auto"/>
          </w:tcPr>
          <w:p w14:paraId="4B7A22A1">
            <w:pPr>
              <w:jc w:val="left"/>
              <w:rPr>
                <w:rFonts w:hint="default" w:ascii="Times New Roman" w:hAnsi="Times New Roman"/>
                <w:lang w:val="en-US" w:eastAsia="zh-CN"/>
              </w:rPr>
            </w:pPr>
          </w:p>
        </w:tc>
        <w:tc>
          <w:tcPr>
            <w:tcW w:w="1915" w:type="dxa"/>
            <w:shd w:val="clear" w:color="auto" w:fill="auto"/>
          </w:tcPr>
          <w:p w14:paraId="00B31F5E">
            <w:pPr>
              <w:jc w:val="left"/>
              <w:rPr>
                <w:rFonts w:ascii="Times New Roman" w:hAnsi="Times New Roman"/>
              </w:rPr>
            </w:pPr>
          </w:p>
        </w:tc>
        <w:tc>
          <w:tcPr>
            <w:tcW w:w="1345" w:type="dxa"/>
            <w:shd w:val="clear" w:color="auto" w:fill="auto"/>
          </w:tcPr>
          <w:p w14:paraId="65D4BCD4">
            <w:pPr>
              <w:jc w:val="left"/>
              <w:rPr>
                <w:rFonts w:ascii="Times New Roman" w:hAnsi="Times New Roman"/>
              </w:rPr>
            </w:pPr>
          </w:p>
        </w:tc>
        <w:tc>
          <w:tcPr>
            <w:tcW w:w="1460" w:type="dxa"/>
            <w:shd w:val="clear" w:color="auto" w:fill="auto"/>
          </w:tcPr>
          <w:p w14:paraId="1E758936">
            <w:pPr>
              <w:jc w:val="left"/>
              <w:rPr>
                <w:rFonts w:ascii="Times New Roman" w:hAnsi="Times New Roman"/>
              </w:rPr>
            </w:pPr>
          </w:p>
        </w:tc>
        <w:tc>
          <w:tcPr>
            <w:tcW w:w="1460" w:type="dxa"/>
            <w:shd w:val="clear" w:color="auto" w:fill="auto"/>
          </w:tcPr>
          <w:p w14:paraId="4D3F9090">
            <w:pPr>
              <w:jc w:val="left"/>
              <w:rPr>
                <w:rFonts w:ascii="Times New Roman" w:hAnsi="Times New Roman"/>
              </w:rPr>
            </w:pPr>
          </w:p>
        </w:tc>
        <w:tc>
          <w:tcPr>
            <w:tcW w:w="1460" w:type="dxa"/>
            <w:shd w:val="clear" w:color="auto" w:fill="auto"/>
          </w:tcPr>
          <w:p w14:paraId="4C7EF3C0">
            <w:pPr>
              <w:jc w:val="left"/>
              <w:rPr>
                <w:rFonts w:ascii="Times New Roman" w:hAnsi="Times New Roman"/>
              </w:rPr>
            </w:pPr>
          </w:p>
        </w:tc>
        <w:tc>
          <w:tcPr>
            <w:tcW w:w="1460" w:type="dxa"/>
          </w:tcPr>
          <w:p w14:paraId="1A8579F7">
            <w:pPr>
              <w:jc w:val="left"/>
              <w:rPr>
                <w:rFonts w:ascii="Times New Roman" w:hAnsi="Times New Roman"/>
              </w:rPr>
            </w:pPr>
          </w:p>
        </w:tc>
        <w:tc>
          <w:tcPr>
            <w:tcW w:w="1460" w:type="dxa"/>
          </w:tcPr>
          <w:p w14:paraId="4349477C">
            <w:pPr>
              <w:jc w:val="left"/>
              <w:rPr>
                <w:rFonts w:ascii="Times New Roman" w:hAnsi="Times New Roman"/>
              </w:rPr>
            </w:pPr>
          </w:p>
        </w:tc>
        <w:tc>
          <w:tcPr>
            <w:tcW w:w="1744" w:type="dxa"/>
          </w:tcPr>
          <w:p w14:paraId="1F4777B5">
            <w:pPr>
              <w:jc w:val="left"/>
              <w:rPr>
                <w:rFonts w:ascii="Times New Roman" w:hAnsi="Times New Roman"/>
              </w:rPr>
            </w:pPr>
          </w:p>
        </w:tc>
      </w:tr>
      <w:tr w14:paraId="591B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41394EED">
            <w:pPr>
              <w:jc w:val="left"/>
              <w:rPr>
                <w:rFonts w:ascii="Times New Roman" w:hAnsi="Times New Roman"/>
              </w:rPr>
            </w:pPr>
          </w:p>
        </w:tc>
        <w:tc>
          <w:tcPr>
            <w:tcW w:w="1120" w:type="dxa"/>
            <w:shd w:val="clear" w:color="auto" w:fill="auto"/>
          </w:tcPr>
          <w:p w14:paraId="718B8EA2">
            <w:pPr>
              <w:jc w:val="left"/>
              <w:rPr>
                <w:rFonts w:hint="default" w:ascii="Times New Roman" w:hAnsi="Times New Roman"/>
                <w:lang w:val="en-US" w:eastAsia="zh-CN"/>
              </w:rPr>
            </w:pPr>
          </w:p>
        </w:tc>
        <w:tc>
          <w:tcPr>
            <w:tcW w:w="1915" w:type="dxa"/>
            <w:shd w:val="clear" w:color="auto" w:fill="auto"/>
          </w:tcPr>
          <w:p w14:paraId="16D2C94D">
            <w:pPr>
              <w:jc w:val="left"/>
              <w:rPr>
                <w:rFonts w:ascii="Times New Roman" w:hAnsi="Times New Roman"/>
              </w:rPr>
            </w:pPr>
          </w:p>
        </w:tc>
        <w:tc>
          <w:tcPr>
            <w:tcW w:w="1345" w:type="dxa"/>
            <w:shd w:val="clear" w:color="auto" w:fill="auto"/>
          </w:tcPr>
          <w:p w14:paraId="2CA8D1ED">
            <w:pPr>
              <w:jc w:val="left"/>
              <w:rPr>
                <w:rFonts w:ascii="Times New Roman" w:hAnsi="Times New Roman"/>
              </w:rPr>
            </w:pPr>
          </w:p>
        </w:tc>
        <w:tc>
          <w:tcPr>
            <w:tcW w:w="1460" w:type="dxa"/>
            <w:shd w:val="clear" w:color="auto" w:fill="auto"/>
          </w:tcPr>
          <w:p w14:paraId="762BCDD5">
            <w:pPr>
              <w:jc w:val="left"/>
              <w:rPr>
                <w:rFonts w:ascii="Times New Roman" w:hAnsi="Times New Roman"/>
              </w:rPr>
            </w:pPr>
          </w:p>
        </w:tc>
        <w:tc>
          <w:tcPr>
            <w:tcW w:w="1460" w:type="dxa"/>
            <w:shd w:val="clear" w:color="auto" w:fill="auto"/>
          </w:tcPr>
          <w:p w14:paraId="147096C4">
            <w:pPr>
              <w:jc w:val="left"/>
              <w:rPr>
                <w:rFonts w:ascii="Times New Roman" w:hAnsi="Times New Roman"/>
              </w:rPr>
            </w:pPr>
          </w:p>
        </w:tc>
        <w:tc>
          <w:tcPr>
            <w:tcW w:w="1460" w:type="dxa"/>
            <w:shd w:val="clear" w:color="auto" w:fill="auto"/>
          </w:tcPr>
          <w:p w14:paraId="06844DC0">
            <w:pPr>
              <w:jc w:val="left"/>
              <w:rPr>
                <w:rFonts w:ascii="Times New Roman" w:hAnsi="Times New Roman"/>
              </w:rPr>
            </w:pPr>
          </w:p>
        </w:tc>
        <w:tc>
          <w:tcPr>
            <w:tcW w:w="1460" w:type="dxa"/>
          </w:tcPr>
          <w:p w14:paraId="7430D70C">
            <w:pPr>
              <w:jc w:val="left"/>
              <w:rPr>
                <w:rFonts w:ascii="Times New Roman" w:hAnsi="Times New Roman"/>
              </w:rPr>
            </w:pPr>
          </w:p>
        </w:tc>
        <w:tc>
          <w:tcPr>
            <w:tcW w:w="1460" w:type="dxa"/>
          </w:tcPr>
          <w:p w14:paraId="413B0776">
            <w:pPr>
              <w:jc w:val="left"/>
              <w:rPr>
                <w:rFonts w:ascii="Times New Roman" w:hAnsi="Times New Roman"/>
              </w:rPr>
            </w:pPr>
          </w:p>
        </w:tc>
        <w:tc>
          <w:tcPr>
            <w:tcW w:w="1744" w:type="dxa"/>
          </w:tcPr>
          <w:p w14:paraId="778B4541">
            <w:pPr>
              <w:jc w:val="left"/>
              <w:rPr>
                <w:rFonts w:ascii="Times New Roman" w:hAnsi="Times New Roman"/>
              </w:rPr>
            </w:pPr>
          </w:p>
        </w:tc>
      </w:tr>
      <w:tr w14:paraId="5F76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62FB79A6">
            <w:pPr>
              <w:jc w:val="left"/>
              <w:rPr>
                <w:rFonts w:ascii="Times New Roman" w:hAnsi="Times New Roman"/>
              </w:rPr>
            </w:pPr>
          </w:p>
        </w:tc>
        <w:tc>
          <w:tcPr>
            <w:tcW w:w="1120" w:type="dxa"/>
            <w:shd w:val="clear" w:color="auto" w:fill="auto"/>
          </w:tcPr>
          <w:p w14:paraId="30FBF833">
            <w:pPr>
              <w:jc w:val="left"/>
              <w:rPr>
                <w:rFonts w:hint="default" w:ascii="Times New Roman" w:hAnsi="Times New Roman"/>
                <w:lang w:val="en-US" w:eastAsia="zh-CN"/>
              </w:rPr>
            </w:pPr>
          </w:p>
        </w:tc>
        <w:tc>
          <w:tcPr>
            <w:tcW w:w="1915" w:type="dxa"/>
            <w:shd w:val="clear" w:color="auto" w:fill="auto"/>
          </w:tcPr>
          <w:p w14:paraId="77B9550D">
            <w:pPr>
              <w:jc w:val="left"/>
              <w:rPr>
                <w:rFonts w:ascii="Times New Roman" w:hAnsi="Times New Roman"/>
              </w:rPr>
            </w:pPr>
          </w:p>
        </w:tc>
        <w:tc>
          <w:tcPr>
            <w:tcW w:w="1345" w:type="dxa"/>
            <w:shd w:val="clear" w:color="auto" w:fill="auto"/>
          </w:tcPr>
          <w:p w14:paraId="7ED92CB9">
            <w:pPr>
              <w:jc w:val="left"/>
              <w:rPr>
                <w:rFonts w:ascii="Times New Roman" w:hAnsi="Times New Roman"/>
              </w:rPr>
            </w:pPr>
          </w:p>
        </w:tc>
        <w:tc>
          <w:tcPr>
            <w:tcW w:w="1460" w:type="dxa"/>
            <w:shd w:val="clear" w:color="auto" w:fill="auto"/>
          </w:tcPr>
          <w:p w14:paraId="4496746B">
            <w:pPr>
              <w:jc w:val="left"/>
              <w:rPr>
                <w:rFonts w:ascii="Times New Roman" w:hAnsi="Times New Roman"/>
              </w:rPr>
            </w:pPr>
          </w:p>
        </w:tc>
        <w:tc>
          <w:tcPr>
            <w:tcW w:w="1460" w:type="dxa"/>
            <w:shd w:val="clear" w:color="auto" w:fill="auto"/>
          </w:tcPr>
          <w:p w14:paraId="585AA979">
            <w:pPr>
              <w:jc w:val="left"/>
              <w:rPr>
                <w:rFonts w:ascii="Times New Roman" w:hAnsi="Times New Roman"/>
              </w:rPr>
            </w:pPr>
          </w:p>
        </w:tc>
        <w:tc>
          <w:tcPr>
            <w:tcW w:w="1460" w:type="dxa"/>
            <w:shd w:val="clear" w:color="auto" w:fill="auto"/>
          </w:tcPr>
          <w:p w14:paraId="5DA389FA">
            <w:pPr>
              <w:jc w:val="left"/>
              <w:rPr>
                <w:rFonts w:ascii="Times New Roman" w:hAnsi="Times New Roman"/>
              </w:rPr>
            </w:pPr>
          </w:p>
        </w:tc>
        <w:tc>
          <w:tcPr>
            <w:tcW w:w="1460" w:type="dxa"/>
          </w:tcPr>
          <w:p w14:paraId="5970AA63">
            <w:pPr>
              <w:jc w:val="left"/>
              <w:rPr>
                <w:rFonts w:ascii="Times New Roman" w:hAnsi="Times New Roman"/>
              </w:rPr>
            </w:pPr>
          </w:p>
        </w:tc>
        <w:tc>
          <w:tcPr>
            <w:tcW w:w="1460" w:type="dxa"/>
          </w:tcPr>
          <w:p w14:paraId="58DAF7F7">
            <w:pPr>
              <w:jc w:val="left"/>
              <w:rPr>
                <w:rFonts w:ascii="Times New Roman" w:hAnsi="Times New Roman"/>
              </w:rPr>
            </w:pPr>
          </w:p>
        </w:tc>
        <w:tc>
          <w:tcPr>
            <w:tcW w:w="1744" w:type="dxa"/>
          </w:tcPr>
          <w:p w14:paraId="151EFA88">
            <w:pPr>
              <w:jc w:val="left"/>
              <w:rPr>
                <w:rFonts w:ascii="Times New Roman" w:hAnsi="Times New Roman"/>
              </w:rPr>
            </w:pPr>
          </w:p>
        </w:tc>
      </w:tr>
      <w:tr w14:paraId="2C4F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4219D151">
            <w:pPr>
              <w:jc w:val="left"/>
              <w:rPr>
                <w:rFonts w:ascii="Times New Roman" w:hAnsi="Times New Roman"/>
              </w:rPr>
            </w:pPr>
          </w:p>
        </w:tc>
        <w:tc>
          <w:tcPr>
            <w:tcW w:w="1120" w:type="dxa"/>
            <w:shd w:val="clear" w:color="auto" w:fill="auto"/>
          </w:tcPr>
          <w:p w14:paraId="49BAB402">
            <w:pPr>
              <w:jc w:val="left"/>
              <w:rPr>
                <w:rFonts w:hint="default" w:ascii="Times New Roman" w:hAnsi="Times New Roman"/>
                <w:lang w:val="en-US" w:eastAsia="zh-CN"/>
              </w:rPr>
            </w:pPr>
          </w:p>
        </w:tc>
        <w:tc>
          <w:tcPr>
            <w:tcW w:w="1915" w:type="dxa"/>
            <w:shd w:val="clear" w:color="auto" w:fill="auto"/>
          </w:tcPr>
          <w:p w14:paraId="6BAC21BA">
            <w:pPr>
              <w:jc w:val="left"/>
              <w:rPr>
                <w:rFonts w:ascii="Times New Roman" w:hAnsi="Times New Roman"/>
              </w:rPr>
            </w:pPr>
          </w:p>
        </w:tc>
        <w:tc>
          <w:tcPr>
            <w:tcW w:w="1345" w:type="dxa"/>
            <w:shd w:val="clear" w:color="auto" w:fill="auto"/>
          </w:tcPr>
          <w:p w14:paraId="5C5AD322">
            <w:pPr>
              <w:jc w:val="left"/>
              <w:rPr>
                <w:rFonts w:ascii="Times New Roman" w:hAnsi="Times New Roman"/>
              </w:rPr>
            </w:pPr>
          </w:p>
        </w:tc>
        <w:tc>
          <w:tcPr>
            <w:tcW w:w="1460" w:type="dxa"/>
            <w:shd w:val="clear" w:color="auto" w:fill="auto"/>
          </w:tcPr>
          <w:p w14:paraId="5579D676">
            <w:pPr>
              <w:jc w:val="left"/>
              <w:rPr>
                <w:rFonts w:ascii="Times New Roman" w:hAnsi="Times New Roman"/>
              </w:rPr>
            </w:pPr>
          </w:p>
        </w:tc>
        <w:tc>
          <w:tcPr>
            <w:tcW w:w="1460" w:type="dxa"/>
            <w:shd w:val="clear" w:color="auto" w:fill="auto"/>
          </w:tcPr>
          <w:p w14:paraId="451EAB43">
            <w:pPr>
              <w:jc w:val="left"/>
              <w:rPr>
                <w:rFonts w:ascii="Times New Roman" w:hAnsi="Times New Roman"/>
              </w:rPr>
            </w:pPr>
          </w:p>
        </w:tc>
        <w:tc>
          <w:tcPr>
            <w:tcW w:w="1460" w:type="dxa"/>
            <w:shd w:val="clear" w:color="auto" w:fill="auto"/>
          </w:tcPr>
          <w:p w14:paraId="1ADC8C03">
            <w:pPr>
              <w:jc w:val="left"/>
              <w:rPr>
                <w:rFonts w:ascii="Times New Roman" w:hAnsi="Times New Roman"/>
              </w:rPr>
            </w:pPr>
          </w:p>
        </w:tc>
        <w:tc>
          <w:tcPr>
            <w:tcW w:w="1460" w:type="dxa"/>
          </w:tcPr>
          <w:p w14:paraId="639785D0">
            <w:pPr>
              <w:jc w:val="left"/>
              <w:rPr>
                <w:rFonts w:ascii="Times New Roman" w:hAnsi="Times New Roman"/>
              </w:rPr>
            </w:pPr>
          </w:p>
        </w:tc>
        <w:tc>
          <w:tcPr>
            <w:tcW w:w="1460" w:type="dxa"/>
          </w:tcPr>
          <w:p w14:paraId="2402402B">
            <w:pPr>
              <w:jc w:val="left"/>
              <w:rPr>
                <w:rFonts w:ascii="Times New Roman" w:hAnsi="Times New Roman"/>
              </w:rPr>
            </w:pPr>
          </w:p>
        </w:tc>
        <w:tc>
          <w:tcPr>
            <w:tcW w:w="1744" w:type="dxa"/>
          </w:tcPr>
          <w:p w14:paraId="64C1B724">
            <w:pPr>
              <w:jc w:val="left"/>
              <w:rPr>
                <w:rFonts w:ascii="Times New Roman" w:hAnsi="Times New Roman"/>
              </w:rPr>
            </w:pPr>
          </w:p>
        </w:tc>
      </w:tr>
    </w:tbl>
    <w:p w14:paraId="00777741">
      <w:pPr>
        <w:spacing w:line="440" w:lineRule="exact"/>
        <w:jc w:val="left"/>
        <w:rPr>
          <w:rFonts w:ascii="Times New Roman"/>
        </w:rPr>
      </w:pPr>
      <w:r>
        <w:rPr>
          <w:rFonts w:ascii="Times New Roman"/>
        </w:rPr>
        <w:t>注：每种废物请填写合计量</w:t>
      </w:r>
    </w:p>
    <w:p w14:paraId="38F9EEB7">
      <w:pPr>
        <w:spacing w:line="440" w:lineRule="exact"/>
        <w:jc w:val="left"/>
        <w:rPr>
          <w:rFonts w:ascii="Times New Roman"/>
        </w:rPr>
      </w:pPr>
      <w:r>
        <w:rPr>
          <w:rFonts w:ascii="Times New Roman"/>
        </w:rPr>
        <w:t>首次申请不需填写</w:t>
      </w:r>
    </w:p>
    <w:p w14:paraId="24382AA7">
      <w:pPr>
        <w:spacing w:line="440" w:lineRule="exact"/>
        <w:jc w:val="left"/>
        <w:rPr>
          <w:rFonts w:ascii="Times New Roman"/>
        </w:rPr>
      </w:pPr>
    </w:p>
    <w:p w14:paraId="7AA6A2B5">
      <w:pPr>
        <w:spacing w:line="240" w:lineRule="auto"/>
        <w:jc w:val="left"/>
        <w:rPr>
          <w:rFonts w:ascii="Times New Roman"/>
        </w:rPr>
      </w:pPr>
    </w:p>
    <w:sectPr>
      <w:pgSz w:w="16838" w:h="11906" w:orient="landscape"/>
      <w:pgMar w:top="1797" w:right="1440" w:bottom="1134"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3C0041"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82080"/>
    <w:multiLevelType w:val="multilevel"/>
    <w:tmpl w:val="3568208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C612411"/>
    <w:multiLevelType w:val="singleLevel"/>
    <w:tmpl w:val="4C612411"/>
    <w:lvl w:ilvl="0" w:tentative="0">
      <w:start w:val="4"/>
      <w:numFmt w:val="upperLetter"/>
      <w:suff w:val="nothing"/>
      <w:lvlText w:val="%1、"/>
      <w:lvlJc w:val="left"/>
      <w:pPr>
        <w:ind w:left="52"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Mzg1NDBhMmZmYmMxMGQ1NGQ1YzU1M2Q2NzlkZTYifQ=="/>
  </w:docVars>
  <w:rsids>
    <w:rsidRoot w:val="00513EC0"/>
    <w:rsid w:val="00000BBF"/>
    <w:rsid w:val="00000E90"/>
    <w:rsid w:val="00007DBF"/>
    <w:rsid w:val="00017FC7"/>
    <w:rsid w:val="00021CE0"/>
    <w:rsid w:val="00027076"/>
    <w:rsid w:val="00032D57"/>
    <w:rsid w:val="00043422"/>
    <w:rsid w:val="000443D1"/>
    <w:rsid w:val="000919BD"/>
    <w:rsid w:val="000B1B33"/>
    <w:rsid w:val="000B6F71"/>
    <w:rsid w:val="000C1ECB"/>
    <w:rsid w:val="000D21D6"/>
    <w:rsid w:val="000D35F1"/>
    <w:rsid w:val="000F2298"/>
    <w:rsid w:val="000F7C39"/>
    <w:rsid w:val="00105FDD"/>
    <w:rsid w:val="00126937"/>
    <w:rsid w:val="00126B36"/>
    <w:rsid w:val="0014452C"/>
    <w:rsid w:val="00147B3C"/>
    <w:rsid w:val="001511A2"/>
    <w:rsid w:val="00160C8B"/>
    <w:rsid w:val="00166F7C"/>
    <w:rsid w:val="00192431"/>
    <w:rsid w:val="0019689B"/>
    <w:rsid w:val="001A5ED9"/>
    <w:rsid w:val="001B102A"/>
    <w:rsid w:val="001B3625"/>
    <w:rsid w:val="001B487D"/>
    <w:rsid w:val="001B5962"/>
    <w:rsid w:val="001B75E2"/>
    <w:rsid w:val="001B79BA"/>
    <w:rsid w:val="001C1090"/>
    <w:rsid w:val="001C4293"/>
    <w:rsid w:val="001C7CDF"/>
    <w:rsid w:val="001D4BC0"/>
    <w:rsid w:val="001E0A6B"/>
    <w:rsid w:val="001F1AB7"/>
    <w:rsid w:val="001F5901"/>
    <w:rsid w:val="00200D22"/>
    <w:rsid w:val="00207B7D"/>
    <w:rsid w:val="00207ED9"/>
    <w:rsid w:val="0021641B"/>
    <w:rsid w:val="002173E1"/>
    <w:rsid w:val="00222FD3"/>
    <w:rsid w:val="0023693D"/>
    <w:rsid w:val="002374CD"/>
    <w:rsid w:val="00241377"/>
    <w:rsid w:val="00250209"/>
    <w:rsid w:val="00254134"/>
    <w:rsid w:val="00255065"/>
    <w:rsid w:val="0026689F"/>
    <w:rsid w:val="002733FD"/>
    <w:rsid w:val="00285E97"/>
    <w:rsid w:val="00291966"/>
    <w:rsid w:val="002A48F9"/>
    <w:rsid w:val="002A5CEA"/>
    <w:rsid w:val="002A6FDB"/>
    <w:rsid w:val="002B2ADF"/>
    <w:rsid w:val="002B33DF"/>
    <w:rsid w:val="002B53B7"/>
    <w:rsid w:val="002B7A71"/>
    <w:rsid w:val="002C6403"/>
    <w:rsid w:val="002F0B97"/>
    <w:rsid w:val="002F6BDB"/>
    <w:rsid w:val="00300F4A"/>
    <w:rsid w:val="003048E9"/>
    <w:rsid w:val="003148A5"/>
    <w:rsid w:val="00317747"/>
    <w:rsid w:val="00321F99"/>
    <w:rsid w:val="00334566"/>
    <w:rsid w:val="00336EB5"/>
    <w:rsid w:val="00352174"/>
    <w:rsid w:val="00355ECB"/>
    <w:rsid w:val="00361393"/>
    <w:rsid w:val="00361720"/>
    <w:rsid w:val="00362BF6"/>
    <w:rsid w:val="003657E7"/>
    <w:rsid w:val="003735AE"/>
    <w:rsid w:val="00373E82"/>
    <w:rsid w:val="003854DB"/>
    <w:rsid w:val="00393A31"/>
    <w:rsid w:val="003A57B5"/>
    <w:rsid w:val="003C3820"/>
    <w:rsid w:val="003C7894"/>
    <w:rsid w:val="003F094C"/>
    <w:rsid w:val="003F5AD9"/>
    <w:rsid w:val="003F5AE3"/>
    <w:rsid w:val="004021E8"/>
    <w:rsid w:val="004043BE"/>
    <w:rsid w:val="004054EB"/>
    <w:rsid w:val="0040639F"/>
    <w:rsid w:val="00415E26"/>
    <w:rsid w:val="00423CE0"/>
    <w:rsid w:val="0042734B"/>
    <w:rsid w:val="0042773D"/>
    <w:rsid w:val="004336C7"/>
    <w:rsid w:val="0044064F"/>
    <w:rsid w:val="00447E1C"/>
    <w:rsid w:val="004515DE"/>
    <w:rsid w:val="004572EB"/>
    <w:rsid w:val="00482662"/>
    <w:rsid w:val="004853E4"/>
    <w:rsid w:val="00485D9F"/>
    <w:rsid w:val="004945E2"/>
    <w:rsid w:val="004969E8"/>
    <w:rsid w:val="004E06AB"/>
    <w:rsid w:val="004E1C81"/>
    <w:rsid w:val="004F2E3F"/>
    <w:rsid w:val="004F6AD9"/>
    <w:rsid w:val="005078A6"/>
    <w:rsid w:val="005110B2"/>
    <w:rsid w:val="00512B7C"/>
    <w:rsid w:val="00513EC0"/>
    <w:rsid w:val="005174FE"/>
    <w:rsid w:val="005510D6"/>
    <w:rsid w:val="005510E1"/>
    <w:rsid w:val="005542B2"/>
    <w:rsid w:val="00560A1E"/>
    <w:rsid w:val="005646C6"/>
    <w:rsid w:val="00575708"/>
    <w:rsid w:val="00576C93"/>
    <w:rsid w:val="00593AD5"/>
    <w:rsid w:val="005A6A10"/>
    <w:rsid w:val="005D5C2E"/>
    <w:rsid w:val="005D68CF"/>
    <w:rsid w:val="005D7878"/>
    <w:rsid w:val="005F4DA8"/>
    <w:rsid w:val="006031BE"/>
    <w:rsid w:val="00606239"/>
    <w:rsid w:val="00610579"/>
    <w:rsid w:val="00627A6D"/>
    <w:rsid w:val="00635E3D"/>
    <w:rsid w:val="00640D16"/>
    <w:rsid w:val="00644237"/>
    <w:rsid w:val="00645E31"/>
    <w:rsid w:val="006461CF"/>
    <w:rsid w:val="00647E0E"/>
    <w:rsid w:val="00650FA2"/>
    <w:rsid w:val="00661DE7"/>
    <w:rsid w:val="00667529"/>
    <w:rsid w:val="00676D55"/>
    <w:rsid w:val="00683B0C"/>
    <w:rsid w:val="0068749D"/>
    <w:rsid w:val="00687919"/>
    <w:rsid w:val="006B37CF"/>
    <w:rsid w:val="006B4111"/>
    <w:rsid w:val="006B6180"/>
    <w:rsid w:val="006C152D"/>
    <w:rsid w:val="006C7F51"/>
    <w:rsid w:val="006F59F0"/>
    <w:rsid w:val="00710246"/>
    <w:rsid w:val="00710CD7"/>
    <w:rsid w:val="00715F8C"/>
    <w:rsid w:val="007222A9"/>
    <w:rsid w:val="007226B8"/>
    <w:rsid w:val="00732803"/>
    <w:rsid w:val="00734CDF"/>
    <w:rsid w:val="00735F58"/>
    <w:rsid w:val="007361CF"/>
    <w:rsid w:val="00741BE1"/>
    <w:rsid w:val="007573B9"/>
    <w:rsid w:val="00775203"/>
    <w:rsid w:val="00785914"/>
    <w:rsid w:val="007933AB"/>
    <w:rsid w:val="0079387E"/>
    <w:rsid w:val="00796726"/>
    <w:rsid w:val="007A30BE"/>
    <w:rsid w:val="007B0117"/>
    <w:rsid w:val="007B77B0"/>
    <w:rsid w:val="007C36F4"/>
    <w:rsid w:val="007C6333"/>
    <w:rsid w:val="007D1710"/>
    <w:rsid w:val="007D44CE"/>
    <w:rsid w:val="007E3213"/>
    <w:rsid w:val="007E3FD2"/>
    <w:rsid w:val="007E5228"/>
    <w:rsid w:val="008103B4"/>
    <w:rsid w:val="00814B23"/>
    <w:rsid w:val="00821B8F"/>
    <w:rsid w:val="00821DAF"/>
    <w:rsid w:val="00823D5E"/>
    <w:rsid w:val="00830D66"/>
    <w:rsid w:val="00835F45"/>
    <w:rsid w:val="00860475"/>
    <w:rsid w:val="008646DA"/>
    <w:rsid w:val="00872D75"/>
    <w:rsid w:val="00886A9F"/>
    <w:rsid w:val="00886F6F"/>
    <w:rsid w:val="00895392"/>
    <w:rsid w:val="008958B2"/>
    <w:rsid w:val="00896E96"/>
    <w:rsid w:val="008A087F"/>
    <w:rsid w:val="008B4188"/>
    <w:rsid w:val="008B6F28"/>
    <w:rsid w:val="008C1D8D"/>
    <w:rsid w:val="008D0278"/>
    <w:rsid w:val="008D3DBE"/>
    <w:rsid w:val="008D67BC"/>
    <w:rsid w:val="008E228C"/>
    <w:rsid w:val="008E6C24"/>
    <w:rsid w:val="00912642"/>
    <w:rsid w:val="009240AC"/>
    <w:rsid w:val="00925004"/>
    <w:rsid w:val="009331E1"/>
    <w:rsid w:val="0093539F"/>
    <w:rsid w:val="009462B5"/>
    <w:rsid w:val="0098563C"/>
    <w:rsid w:val="00994730"/>
    <w:rsid w:val="009A030E"/>
    <w:rsid w:val="009A4FBD"/>
    <w:rsid w:val="009A51A6"/>
    <w:rsid w:val="009A7F75"/>
    <w:rsid w:val="009D47F8"/>
    <w:rsid w:val="009D6467"/>
    <w:rsid w:val="009D7EE4"/>
    <w:rsid w:val="009F3A6B"/>
    <w:rsid w:val="009F780D"/>
    <w:rsid w:val="00A025BE"/>
    <w:rsid w:val="00A033C7"/>
    <w:rsid w:val="00A07EF2"/>
    <w:rsid w:val="00A21621"/>
    <w:rsid w:val="00A22006"/>
    <w:rsid w:val="00A220CE"/>
    <w:rsid w:val="00A23239"/>
    <w:rsid w:val="00A35B5C"/>
    <w:rsid w:val="00A4364D"/>
    <w:rsid w:val="00A50BDE"/>
    <w:rsid w:val="00A5276F"/>
    <w:rsid w:val="00A539AB"/>
    <w:rsid w:val="00A64906"/>
    <w:rsid w:val="00A6700A"/>
    <w:rsid w:val="00A7233D"/>
    <w:rsid w:val="00A72679"/>
    <w:rsid w:val="00A93A49"/>
    <w:rsid w:val="00AA03F0"/>
    <w:rsid w:val="00AA0C4E"/>
    <w:rsid w:val="00AC29A2"/>
    <w:rsid w:val="00AD5E55"/>
    <w:rsid w:val="00AE2536"/>
    <w:rsid w:val="00AF6B52"/>
    <w:rsid w:val="00AF6CC7"/>
    <w:rsid w:val="00B12771"/>
    <w:rsid w:val="00B12B5B"/>
    <w:rsid w:val="00B17578"/>
    <w:rsid w:val="00B41C2B"/>
    <w:rsid w:val="00B602C6"/>
    <w:rsid w:val="00B61679"/>
    <w:rsid w:val="00B758BB"/>
    <w:rsid w:val="00B80E5F"/>
    <w:rsid w:val="00B92695"/>
    <w:rsid w:val="00B94005"/>
    <w:rsid w:val="00BB01C8"/>
    <w:rsid w:val="00BC108A"/>
    <w:rsid w:val="00BD09D2"/>
    <w:rsid w:val="00BF6889"/>
    <w:rsid w:val="00C06E74"/>
    <w:rsid w:val="00C0779D"/>
    <w:rsid w:val="00C11A05"/>
    <w:rsid w:val="00C12BD7"/>
    <w:rsid w:val="00C31E8E"/>
    <w:rsid w:val="00C33AF6"/>
    <w:rsid w:val="00C34EE6"/>
    <w:rsid w:val="00C36A96"/>
    <w:rsid w:val="00C44C4F"/>
    <w:rsid w:val="00C47C96"/>
    <w:rsid w:val="00C578AE"/>
    <w:rsid w:val="00C71580"/>
    <w:rsid w:val="00C71FE8"/>
    <w:rsid w:val="00C81F35"/>
    <w:rsid w:val="00C91773"/>
    <w:rsid w:val="00CA6E9A"/>
    <w:rsid w:val="00CC2FCC"/>
    <w:rsid w:val="00CD0057"/>
    <w:rsid w:val="00CD5F3F"/>
    <w:rsid w:val="00CE1029"/>
    <w:rsid w:val="00CE75CF"/>
    <w:rsid w:val="00CF0253"/>
    <w:rsid w:val="00CF4AF9"/>
    <w:rsid w:val="00CF51C3"/>
    <w:rsid w:val="00D3037D"/>
    <w:rsid w:val="00D3108B"/>
    <w:rsid w:val="00D443E5"/>
    <w:rsid w:val="00D51358"/>
    <w:rsid w:val="00D61851"/>
    <w:rsid w:val="00D658AA"/>
    <w:rsid w:val="00D76B45"/>
    <w:rsid w:val="00D777E9"/>
    <w:rsid w:val="00D85F61"/>
    <w:rsid w:val="00D876F0"/>
    <w:rsid w:val="00D90DEC"/>
    <w:rsid w:val="00D91A52"/>
    <w:rsid w:val="00DA2FE9"/>
    <w:rsid w:val="00DB0054"/>
    <w:rsid w:val="00DB40E1"/>
    <w:rsid w:val="00DB430D"/>
    <w:rsid w:val="00DB4D9A"/>
    <w:rsid w:val="00DC5324"/>
    <w:rsid w:val="00DC6934"/>
    <w:rsid w:val="00DD64E5"/>
    <w:rsid w:val="00DF1279"/>
    <w:rsid w:val="00DF7E0D"/>
    <w:rsid w:val="00E029E3"/>
    <w:rsid w:val="00E03C23"/>
    <w:rsid w:val="00E06953"/>
    <w:rsid w:val="00E1171C"/>
    <w:rsid w:val="00E30BE1"/>
    <w:rsid w:val="00E33BF2"/>
    <w:rsid w:val="00E4195E"/>
    <w:rsid w:val="00E42A47"/>
    <w:rsid w:val="00E521B8"/>
    <w:rsid w:val="00E54D24"/>
    <w:rsid w:val="00E56996"/>
    <w:rsid w:val="00E62466"/>
    <w:rsid w:val="00E66432"/>
    <w:rsid w:val="00E71ED3"/>
    <w:rsid w:val="00E778A2"/>
    <w:rsid w:val="00E84148"/>
    <w:rsid w:val="00E87763"/>
    <w:rsid w:val="00E92B87"/>
    <w:rsid w:val="00E95267"/>
    <w:rsid w:val="00E952D0"/>
    <w:rsid w:val="00EA051E"/>
    <w:rsid w:val="00EA1241"/>
    <w:rsid w:val="00EA5992"/>
    <w:rsid w:val="00EA61BB"/>
    <w:rsid w:val="00EB0E22"/>
    <w:rsid w:val="00EB5066"/>
    <w:rsid w:val="00EC3F05"/>
    <w:rsid w:val="00ED5626"/>
    <w:rsid w:val="00ED68AF"/>
    <w:rsid w:val="00EE1472"/>
    <w:rsid w:val="00EE14CE"/>
    <w:rsid w:val="00EE6C27"/>
    <w:rsid w:val="00EE7DBE"/>
    <w:rsid w:val="00EF2566"/>
    <w:rsid w:val="00EF35DA"/>
    <w:rsid w:val="00F04045"/>
    <w:rsid w:val="00F21990"/>
    <w:rsid w:val="00F32ABE"/>
    <w:rsid w:val="00F52EAA"/>
    <w:rsid w:val="00F56852"/>
    <w:rsid w:val="00F6103B"/>
    <w:rsid w:val="00F617C0"/>
    <w:rsid w:val="00F63642"/>
    <w:rsid w:val="00F6457F"/>
    <w:rsid w:val="00F66F84"/>
    <w:rsid w:val="00F72B46"/>
    <w:rsid w:val="00F7601B"/>
    <w:rsid w:val="00F83281"/>
    <w:rsid w:val="00F84038"/>
    <w:rsid w:val="00F94D21"/>
    <w:rsid w:val="00FA2899"/>
    <w:rsid w:val="00FA6346"/>
    <w:rsid w:val="00FB4B6C"/>
    <w:rsid w:val="00FB678C"/>
    <w:rsid w:val="00FB6FE2"/>
    <w:rsid w:val="00FD69F7"/>
    <w:rsid w:val="00FE15EF"/>
    <w:rsid w:val="00FE1A84"/>
    <w:rsid w:val="00FE1FAD"/>
    <w:rsid w:val="012A05C9"/>
    <w:rsid w:val="017364EA"/>
    <w:rsid w:val="03157852"/>
    <w:rsid w:val="068A6CC7"/>
    <w:rsid w:val="08D40E0B"/>
    <w:rsid w:val="093C2CD3"/>
    <w:rsid w:val="099866AB"/>
    <w:rsid w:val="0D46360C"/>
    <w:rsid w:val="141E2828"/>
    <w:rsid w:val="17BA1E71"/>
    <w:rsid w:val="1DFB3FD1"/>
    <w:rsid w:val="1EEA64DC"/>
    <w:rsid w:val="20EE1616"/>
    <w:rsid w:val="221C2FC6"/>
    <w:rsid w:val="226D2D8C"/>
    <w:rsid w:val="251F3D5E"/>
    <w:rsid w:val="27356B4D"/>
    <w:rsid w:val="28B1694E"/>
    <w:rsid w:val="2E5C5952"/>
    <w:rsid w:val="304450BD"/>
    <w:rsid w:val="34380ABB"/>
    <w:rsid w:val="354F12DA"/>
    <w:rsid w:val="361B0B3B"/>
    <w:rsid w:val="38E87B14"/>
    <w:rsid w:val="3B7572E6"/>
    <w:rsid w:val="40A01504"/>
    <w:rsid w:val="45E73BEB"/>
    <w:rsid w:val="541A3B00"/>
    <w:rsid w:val="54BA5864"/>
    <w:rsid w:val="5536079B"/>
    <w:rsid w:val="5B44265B"/>
    <w:rsid w:val="653B7642"/>
    <w:rsid w:val="6837248C"/>
    <w:rsid w:val="692247D5"/>
    <w:rsid w:val="69BB27C8"/>
    <w:rsid w:val="6CCF6D90"/>
    <w:rsid w:val="6E44337C"/>
    <w:rsid w:val="704B06E5"/>
    <w:rsid w:val="71002A90"/>
    <w:rsid w:val="7C6F00EF"/>
    <w:rsid w:val="7FB80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70" w:lineRule="exact"/>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2"/>
    <w:autoRedefine/>
    <w:semiHidden/>
    <w:unhideWhenUsed/>
    <w:qFormat/>
    <w:uiPriority w:val="99"/>
    <w:pPr>
      <w:spacing w:line="240" w:lineRule="auto"/>
    </w:pPr>
    <w:rPr>
      <w:rFonts w:ascii="宋体" w:hAnsi="Courier New" w:cs="Courier New"/>
      <w:szCs w:val="21"/>
    </w:rPr>
  </w:style>
  <w:style w:type="paragraph" w:styleId="3">
    <w:name w:val="Balloon Text"/>
    <w:basedOn w:val="1"/>
    <w:link w:val="13"/>
    <w:autoRedefine/>
    <w:semiHidden/>
    <w:unhideWhenUsed/>
    <w:qFormat/>
    <w:uiPriority w:val="99"/>
    <w:pPr>
      <w:spacing w:line="240" w:lineRule="auto"/>
    </w:pPr>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rPr>
      <w:sz w:val="24"/>
    </w:rPr>
  </w:style>
  <w:style w:type="character" w:styleId="9">
    <w:name w:val="Hyperlink"/>
    <w:basedOn w:val="8"/>
    <w:autoRedefine/>
    <w:semiHidden/>
    <w:unhideWhenUsed/>
    <w:qFormat/>
    <w:uiPriority w:val="99"/>
    <w:rPr>
      <w:color w:val="0000FF"/>
      <w:u w:val="single"/>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纯文本 Char"/>
    <w:basedOn w:val="8"/>
    <w:link w:val="2"/>
    <w:autoRedefine/>
    <w:semiHidden/>
    <w:qFormat/>
    <w:uiPriority w:val="99"/>
    <w:rPr>
      <w:rFonts w:ascii="宋体" w:hAnsi="Courier New" w:eastAsia="宋体" w:cs="Courier New"/>
      <w:szCs w:val="21"/>
    </w:rPr>
  </w:style>
  <w:style w:type="character" w:customStyle="1" w:styleId="13">
    <w:name w:val="批注框文本 Char"/>
    <w:basedOn w:val="8"/>
    <w:link w:val="3"/>
    <w:autoRedefine/>
    <w:semiHidden/>
    <w:qFormat/>
    <w:uiPriority w:val="99"/>
    <w:rPr>
      <w:rFonts w:ascii="Calibri" w:hAnsi="Calibri" w:eastAsia="宋体" w:cs="Times New Roman"/>
      <w:sz w:val="18"/>
      <w:szCs w:val="18"/>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extobjs>
    <extobj name="ECB019B1-382A-4266-B25C-5B523AA43C14-1">
      <extobjdata type="ECB019B1-382A-4266-B25C-5B523AA43C14" data="ewogICAiRmlsZUlkIiA6ICIxMjIyMDE4NjAxODQiLAogICAiR3JvdXBJZCIgOiAiOTUwOTAxNDciLAogICAiSW1hZ2UiIDogImlWQk9SdzBLR2dvQUFBQU5TVWhFVWdBQUFkTUFBQUcrQ0FZQUFBRElsTzRwQUFBQUNYQklXWE1BQUFzVEFBQUxFd0VBbXB3WUFBQWdBRWxFUVZSNG5PemRmM3dNZC80SDhOZHNOa0dpaWFKSy9laGR1ZVNPTHk2elJYOVJsQlpGaU5JcTZtaFVsVHphbmwvcG9ialMrdkhWSHRYU0J2V3pWQ1JwQktHSzVFdU8xTzNtbXBhZVNOWFBJQ0xrcDJTenU1L3ZIN0Z6MldUemc5M3M3UEo2UGg0ZVptZG1aOSs3MlpuWHpHYytNd3NR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839</Words>
  <Characters>888</Characters>
  <Lines>38</Lines>
  <Paragraphs>10</Paragraphs>
  <TotalTime>0</TotalTime>
  <ScaleCrop>false</ScaleCrop>
  <LinksUpToDate>false</LinksUpToDate>
  <CharactersWithSpaces>1084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2018-04-18T05:28:00Z</dcterms:created>
  <dc:creator>acer</dc:creator>
  <cp:lastModifiedBy>可乐、</cp:lastModifiedBy>
  <cp:lastPrinted>2024-05-20T07:19:00Z</cp:lastPrinted>
  <dcterms:modified xsi:type="dcterms:W3CDTF">2026-05-18T06:22:12Z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D5EDF6F15F5A4AD380AC152DF42AADD9_13</vt:lpwstr>
  </property>
  <property fmtid="{D5CDD505-2E9C-101B-9397-08002B2CF9AE}" pid="4" name="KSOTemplateDocerSaveRecord">
    <vt:lpwstr>eyJoZGlkIjoiYzdjNmYyOTQ1ZTkzZGY5ODAzM2FiZjg0NjY2MWExNTQiLCJ1c2VySWQiOiI0MjY0MjE0OTQifQ==</vt:lpwstr>
  </property>
</Properties>
</file>