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3A47A">
      <w:pPr>
        <w:rPr>
          <w:rFonts w:hint="eastAsia" w:ascii="Times New Roman" w:hAnsi="Times New Roman" w:eastAsia="仿宋" w:cs="Times New Roman"/>
          <w:color w:val="auto"/>
          <w:sz w:val="32"/>
          <w:szCs w:val="32"/>
          <w:highlight w:val="none"/>
          <w:lang w:val="en-US" w:eastAsia="zh-CN"/>
        </w:rPr>
      </w:pPr>
    </w:p>
    <w:p w14:paraId="6D63C433">
      <w:pPr>
        <w:rPr>
          <w:rFonts w:hint="default" w:ascii="Times New Roman" w:hAnsi="Times New Roman" w:eastAsia="仿宋" w:cs="Times New Roman"/>
          <w:color w:val="auto"/>
          <w:sz w:val="36"/>
          <w:szCs w:val="36"/>
          <w:highlight w:val="none"/>
        </w:rPr>
      </w:pPr>
    </w:p>
    <w:p w14:paraId="1FA3407C">
      <w:pPr>
        <w:rPr>
          <w:rFonts w:hint="default" w:ascii="Times New Roman" w:hAnsi="Times New Roman" w:eastAsia="仿宋" w:cs="Times New Roman"/>
          <w:color w:val="auto"/>
          <w:sz w:val="36"/>
          <w:szCs w:val="36"/>
          <w:highlight w:val="none"/>
        </w:rPr>
      </w:pPr>
    </w:p>
    <w:p w14:paraId="0BB2C971">
      <w:pPr>
        <w:rPr>
          <w:rFonts w:hint="default" w:ascii="Times New Roman" w:hAnsi="Times New Roman" w:eastAsia="仿宋" w:cs="Times New Roman"/>
          <w:color w:val="auto"/>
          <w:sz w:val="36"/>
          <w:szCs w:val="36"/>
          <w:highlight w:val="none"/>
        </w:rPr>
      </w:pPr>
    </w:p>
    <w:p w14:paraId="562AB4A2">
      <w:pPr>
        <w:adjustRightInd w:val="0"/>
        <w:snapToGrid w:val="0"/>
        <w:jc w:val="center"/>
        <w:outlineLvl w:val="0"/>
        <w:rPr>
          <w:rFonts w:hint="default" w:ascii="Times New Roman" w:hAnsi="Times New Roman" w:eastAsia="仿宋" w:cs="Times New Roman"/>
          <w:bCs/>
          <w:color w:val="auto"/>
          <w:sz w:val="72"/>
          <w:szCs w:val="72"/>
          <w:highlight w:val="none"/>
        </w:rPr>
      </w:pPr>
      <w:r>
        <w:rPr>
          <w:rFonts w:hint="default" w:ascii="Times New Roman" w:hAnsi="Times New Roman" w:eastAsia="仿宋" w:cs="Times New Roman"/>
          <w:bCs/>
          <w:color w:val="auto"/>
          <w:sz w:val="72"/>
          <w:szCs w:val="72"/>
          <w:highlight w:val="none"/>
        </w:rPr>
        <w:t>建设项目环境影响报告表</w:t>
      </w:r>
    </w:p>
    <w:p w14:paraId="0F5D4743">
      <w:pPr>
        <w:jc w:val="center"/>
        <w:rPr>
          <w:rFonts w:hint="default" w:ascii="Times New Roman" w:hAnsi="Times New Roman" w:eastAsia="仿宋" w:cs="Times New Roman"/>
          <w:color w:val="auto"/>
          <w:sz w:val="52"/>
          <w:szCs w:val="52"/>
          <w:highlight w:val="none"/>
        </w:rPr>
      </w:pPr>
      <w:r>
        <w:rPr>
          <w:rFonts w:hint="eastAsia" w:ascii="仿宋" w:hAnsi="仿宋" w:eastAsia="仿宋" w:cs="仿宋"/>
          <w:bCs/>
          <w:sz w:val="48"/>
          <w:szCs w:val="48"/>
        </w:rPr>
        <w:t>（污染影响类）</w:t>
      </w:r>
    </w:p>
    <w:p w14:paraId="1F75893F">
      <w:pPr>
        <w:ind w:firstLine="1040"/>
        <w:rPr>
          <w:rFonts w:hint="default" w:ascii="Times New Roman" w:hAnsi="Times New Roman" w:eastAsia="仿宋" w:cs="Times New Roman"/>
          <w:color w:val="auto"/>
          <w:sz w:val="44"/>
          <w:szCs w:val="44"/>
          <w:highlight w:val="none"/>
        </w:rPr>
      </w:pPr>
    </w:p>
    <w:p w14:paraId="6107F602">
      <w:pPr>
        <w:tabs>
          <w:tab w:val="left" w:pos="6104"/>
        </w:tabs>
        <w:ind w:firstLine="1040"/>
        <w:rPr>
          <w:rFonts w:hint="default" w:ascii="Times New Roman" w:hAnsi="Times New Roman" w:eastAsia="仿宋" w:cs="Times New Roman"/>
          <w:color w:val="auto"/>
          <w:sz w:val="44"/>
          <w:szCs w:val="44"/>
          <w:highlight w:val="none"/>
          <w:lang w:eastAsia="zh-CN"/>
        </w:rPr>
      </w:pPr>
      <w:r>
        <w:rPr>
          <w:rFonts w:hint="default" w:ascii="Times New Roman" w:hAnsi="Times New Roman" w:eastAsia="仿宋" w:cs="Times New Roman"/>
          <w:color w:val="auto"/>
          <w:sz w:val="44"/>
          <w:szCs w:val="44"/>
          <w:highlight w:val="none"/>
          <w:lang w:eastAsia="zh-CN"/>
        </w:rPr>
        <w:tab/>
      </w:r>
    </w:p>
    <w:p w14:paraId="62986A97">
      <w:pPr>
        <w:ind w:firstLine="1040"/>
        <w:rPr>
          <w:rFonts w:hint="default" w:ascii="Times New Roman" w:hAnsi="Times New Roman" w:eastAsia="仿宋" w:cs="Times New Roman"/>
          <w:color w:val="auto"/>
          <w:sz w:val="44"/>
          <w:szCs w:val="44"/>
          <w:highlight w:val="none"/>
        </w:rPr>
      </w:pPr>
    </w:p>
    <w:p w14:paraId="5E30B1C4">
      <w:pPr>
        <w:pStyle w:val="14"/>
        <w:rPr>
          <w:rFonts w:hint="default" w:ascii="Times New Roman" w:hAnsi="Times New Roman" w:eastAsia="仿宋" w:cs="Times New Roman"/>
          <w:color w:val="auto"/>
          <w:sz w:val="44"/>
          <w:szCs w:val="44"/>
          <w:highlight w:val="none"/>
        </w:rPr>
      </w:pPr>
    </w:p>
    <w:p w14:paraId="43A9E3F8">
      <w:pPr>
        <w:pStyle w:val="14"/>
        <w:rPr>
          <w:rFonts w:hint="default" w:ascii="Times New Roman" w:hAnsi="Times New Roman" w:eastAsia="仿宋" w:cs="Times New Roman"/>
          <w:color w:val="auto"/>
          <w:sz w:val="44"/>
          <w:szCs w:val="44"/>
          <w:highlight w:val="none"/>
        </w:rPr>
      </w:pPr>
    </w:p>
    <w:p w14:paraId="3499102A">
      <w:pPr>
        <w:ind w:firstLine="1040"/>
        <w:rPr>
          <w:rFonts w:hint="default" w:ascii="Times New Roman" w:hAnsi="Times New Roman" w:eastAsia="仿宋" w:cs="Times New Roman"/>
          <w:color w:val="auto"/>
          <w:sz w:val="44"/>
          <w:szCs w:val="44"/>
          <w:highlight w:val="none"/>
        </w:rPr>
      </w:pPr>
    </w:p>
    <w:p w14:paraId="15E54386">
      <w:pPr>
        <w:ind w:firstLine="1040"/>
        <w:rPr>
          <w:rFonts w:hint="default" w:ascii="Times New Roman" w:hAnsi="Times New Roman" w:eastAsia="仿宋" w:cs="Times New Roman"/>
          <w:color w:val="auto"/>
          <w:sz w:val="44"/>
          <w:szCs w:val="44"/>
          <w:highlight w:val="none"/>
        </w:rPr>
      </w:pPr>
    </w:p>
    <w:p w14:paraId="0C49C30E">
      <w:pPr>
        <w:wordWrap w:val="0"/>
        <w:adjustRightInd w:val="0"/>
        <w:snapToGrid w:val="0"/>
        <w:spacing w:line="360" w:lineRule="auto"/>
        <w:ind w:left="1800" w:hanging="1800" w:hangingChars="500"/>
        <w:jc w:val="right"/>
        <w:rPr>
          <w:rFonts w:hint="default" w:ascii="Times New Roman" w:hAnsi="Times New Roman" w:eastAsia="仿宋" w:cs="Times New Roman"/>
          <w:color w:val="auto"/>
          <w:sz w:val="36"/>
          <w:szCs w:val="36"/>
          <w:highlight w:val="none"/>
          <w:u w:val="single"/>
          <w:lang w:val="en-US"/>
        </w:rPr>
      </w:pPr>
      <w:bookmarkStart w:id="0" w:name="_Hlk57884087"/>
      <w:r>
        <w:rPr>
          <w:rFonts w:hint="default" w:ascii="Times New Roman" w:hAnsi="Times New Roman" w:eastAsia="仿宋" w:cs="Times New Roman"/>
          <w:color w:val="auto"/>
          <w:sz w:val="36"/>
          <w:szCs w:val="36"/>
          <w:highlight w:val="none"/>
        </w:rPr>
        <w:t>项目名称：</w:t>
      </w:r>
      <w:r>
        <w:rPr>
          <w:rFonts w:hint="default" w:ascii="Times New Roman" w:hAnsi="Times New Roman" w:eastAsia="仿宋" w:cs="Times New Roman"/>
          <w:color w:val="auto"/>
          <w:sz w:val="36"/>
          <w:szCs w:val="36"/>
          <w:highlight w:val="none"/>
          <w:u w:val="single"/>
        </w:rPr>
        <w:t xml:space="preserve">               </w:t>
      </w:r>
      <w:r>
        <w:rPr>
          <w:rFonts w:hint="eastAsia" w:ascii="Times New Roman" w:hAnsi="Times New Roman" w:eastAsia="仿宋" w:cs="Times New Roman"/>
          <w:color w:val="auto"/>
          <w:sz w:val="36"/>
          <w:szCs w:val="36"/>
          <w:highlight w:val="none"/>
          <w:u w:val="single"/>
          <w:lang w:val="en-US" w:eastAsia="zh-CN"/>
        </w:rPr>
        <w:t xml:space="preserve">             </w:t>
      </w:r>
      <w:r>
        <w:rPr>
          <w:rFonts w:hint="eastAsia" w:ascii="Times New Roman" w:hAnsi="Times New Roman" w:eastAsia="仿宋" w:cs="Times New Roman"/>
          <w:color w:val="auto"/>
          <w:sz w:val="36"/>
          <w:szCs w:val="36"/>
          <w:highlight w:val="none"/>
          <w:u w:val="single"/>
          <w:lang w:eastAsia="zh-CN"/>
        </w:rPr>
        <w:t>年产1亿只唇刷项目</w:t>
      </w:r>
      <w:r>
        <w:rPr>
          <w:rFonts w:hint="eastAsia" w:ascii="Times New Roman" w:hAnsi="Times New Roman" w:eastAsia="仿宋" w:cs="Times New Roman"/>
          <w:color w:val="auto"/>
          <w:sz w:val="36"/>
          <w:szCs w:val="36"/>
          <w:highlight w:val="none"/>
          <w:u w:val="single"/>
          <w:lang w:val="en-US" w:eastAsia="zh-CN"/>
        </w:rPr>
        <w:t xml:space="preserve">                 </w:t>
      </w:r>
    </w:p>
    <w:p w14:paraId="5D122FCF">
      <w:pPr>
        <w:wordWrap w:val="0"/>
        <w:adjustRightInd w:val="0"/>
        <w:snapToGrid w:val="0"/>
        <w:spacing w:line="360" w:lineRule="auto"/>
        <w:jc w:val="left"/>
        <w:rPr>
          <w:rFonts w:hint="default" w:ascii="Times New Roman" w:hAnsi="Times New Roman" w:eastAsia="仿宋" w:cs="Times New Roman"/>
          <w:color w:val="auto"/>
          <w:sz w:val="36"/>
          <w:szCs w:val="36"/>
          <w:highlight w:val="none"/>
          <w:u w:val="single"/>
          <w:lang w:val="en-US"/>
        </w:rPr>
      </w:pPr>
      <w:r>
        <w:rPr>
          <w:rFonts w:hint="default" w:ascii="Times New Roman" w:hAnsi="Times New Roman" w:eastAsia="仿宋" w:cs="Times New Roman"/>
          <w:color w:val="auto"/>
          <w:sz w:val="36"/>
          <w:szCs w:val="36"/>
          <w:highlight w:val="none"/>
        </w:rPr>
        <w:t>建设单位（盖章）：</w:t>
      </w:r>
      <w:r>
        <w:rPr>
          <w:rFonts w:hint="default" w:ascii="Times New Roman" w:hAnsi="Times New Roman" w:eastAsia="仿宋" w:cs="Times New Roman"/>
          <w:color w:val="auto"/>
          <w:sz w:val="36"/>
          <w:szCs w:val="36"/>
          <w:highlight w:val="none"/>
          <w:u w:val="single"/>
        </w:rPr>
        <w:t xml:space="preserve">   </w:t>
      </w:r>
      <w:r>
        <w:rPr>
          <w:rFonts w:hint="eastAsia" w:ascii="Times New Roman" w:hAnsi="Times New Roman" w:eastAsia="仿宋" w:cs="Times New Roman"/>
          <w:color w:val="auto"/>
          <w:sz w:val="36"/>
          <w:szCs w:val="36"/>
          <w:highlight w:val="none"/>
          <w:u w:val="single"/>
          <w:lang w:eastAsia="zh-CN"/>
        </w:rPr>
        <w:t>伊轩品牌管理（江苏）有限公司</w:t>
      </w:r>
      <w:r>
        <w:rPr>
          <w:rFonts w:hint="eastAsia" w:eastAsia="仿宋" w:cs="Times New Roman"/>
          <w:color w:val="auto"/>
          <w:sz w:val="36"/>
          <w:szCs w:val="36"/>
          <w:highlight w:val="none"/>
          <w:u w:val="single"/>
          <w:lang w:val="en-US" w:eastAsia="zh-CN"/>
        </w:rPr>
        <w:t xml:space="preserve">     </w:t>
      </w:r>
    </w:p>
    <w:p w14:paraId="43085EFA">
      <w:pPr>
        <w:wordWrap w:val="0"/>
        <w:adjustRightInd w:val="0"/>
        <w:snapToGrid w:val="0"/>
        <w:spacing w:line="360" w:lineRule="auto"/>
        <w:jc w:val="right"/>
        <w:rPr>
          <w:rFonts w:hint="default" w:ascii="Times New Roman" w:hAnsi="Times New Roman" w:eastAsia="仿宋" w:cs="Times New Roman"/>
          <w:color w:val="auto"/>
          <w:sz w:val="36"/>
          <w:szCs w:val="36"/>
          <w:highlight w:val="none"/>
          <w:u w:val="single"/>
        </w:rPr>
      </w:pPr>
      <w:r>
        <w:rPr>
          <w:rFonts w:hint="default" w:ascii="Times New Roman" w:hAnsi="Times New Roman" w:eastAsia="仿宋" w:cs="Times New Roman"/>
          <w:color w:val="auto"/>
          <w:sz w:val="36"/>
          <w:szCs w:val="36"/>
          <w:highlight w:val="none"/>
        </w:rPr>
        <w:t>编制日期：</w:t>
      </w:r>
      <w:r>
        <w:rPr>
          <w:rFonts w:hint="default" w:ascii="Times New Roman" w:hAnsi="Times New Roman" w:eastAsia="仿宋" w:cs="Times New Roman"/>
          <w:color w:val="auto"/>
          <w:sz w:val="36"/>
          <w:szCs w:val="36"/>
          <w:highlight w:val="none"/>
          <w:u w:val="single"/>
        </w:rPr>
        <w:t xml:space="preserve">                              202</w:t>
      </w:r>
      <w:r>
        <w:rPr>
          <w:rFonts w:hint="eastAsia" w:ascii="Times New Roman" w:hAnsi="Times New Roman" w:eastAsia="仿宋" w:cs="Times New Roman"/>
          <w:color w:val="auto"/>
          <w:sz w:val="36"/>
          <w:szCs w:val="36"/>
          <w:highlight w:val="none"/>
          <w:u w:val="single"/>
          <w:lang w:val="en-US" w:eastAsia="zh-CN"/>
        </w:rPr>
        <w:t>6</w:t>
      </w:r>
      <w:r>
        <w:rPr>
          <w:rFonts w:hint="default" w:ascii="Times New Roman" w:hAnsi="Times New Roman" w:eastAsia="仿宋" w:cs="Times New Roman"/>
          <w:color w:val="auto"/>
          <w:sz w:val="36"/>
          <w:szCs w:val="36"/>
          <w:highlight w:val="none"/>
          <w:u w:val="single"/>
        </w:rPr>
        <w:t>年</w:t>
      </w:r>
      <w:r>
        <w:rPr>
          <w:rFonts w:hint="eastAsia" w:eastAsia="仿宋" w:cs="Times New Roman"/>
          <w:color w:val="auto"/>
          <w:sz w:val="36"/>
          <w:szCs w:val="36"/>
          <w:highlight w:val="none"/>
          <w:u w:val="single"/>
          <w:lang w:val="en-US" w:eastAsia="zh-CN"/>
        </w:rPr>
        <w:t>5</w:t>
      </w:r>
      <w:r>
        <w:rPr>
          <w:rFonts w:hint="default" w:ascii="Times New Roman" w:hAnsi="Times New Roman" w:eastAsia="仿宋" w:cs="Times New Roman"/>
          <w:color w:val="auto"/>
          <w:sz w:val="36"/>
          <w:szCs w:val="36"/>
          <w:highlight w:val="none"/>
          <w:u w:val="single"/>
        </w:rPr>
        <w:t xml:space="preserve">月                             </w:t>
      </w:r>
      <w:r>
        <w:rPr>
          <w:rFonts w:hint="default" w:ascii="Times New Roman" w:hAnsi="Times New Roman" w:eastAsia="仿宋" w:cs="Times New Roman"/>
          <w:color w:val="auto"/>
          <w:sz w:val="36"/>
          <w:szCs w:val="36"/>
          <w:highlight w:val="none"/>
        </w:rPr>
        <w:t xml:space="preserve"> </w:t>
      </w:r>
    </w:p>
    <w:p w14:paraId="54D0C6BC">
      <w:pPr>
        <w:adjustRightInd w:val="0"/>
        <w:snapToGrid w:val="0"/>
        <w:spacing w:line="288" w:lineRule="auto"/>
        <w:ind w:firstLine="1040"/>
        <w:rPr>
          <w:rFonts w:hint="default" w:ascii="Times New Roman" w:hAnsi="Times New Roman" w:eastAsia="仿宋" w:cs="Times New Roman"/>
          <w:color w:val="auto"/>
          <w:sz w:val="36"/>
          <w:szCs w:val="36"/>
          <w:highlight w:val="none"/>
        </w:rPr>
      </w:pPr>
    </w:p>
    <w:p w14:paraId="4CDBD04A">
      <w:pPr>
        <w:adjustRightInd w:val="0"/>
        <w:snapToGrid w:val="0"/>
        <w:spacing w:line="288" w:lineRule="auto"/>
        <w:ind w:firstLine="1040"/>
        <w:rPr>
          <w:rFonts w:hint="default" w:ascii="Times New Roman" w:hAnsi="Times New Roman" w:eastAsia="仿宋" w:cs="Times New Roman"/>
          <w:color w:val="auto"/>
          <w:sz w:val="36"/>
          <w:szCs w:val="36"/>
          <w:highlight w:val="none"/>
        </w:rPr>
      </w:pPr>
    </w:p>
    <w:p w14:paraId="3DA8AF84">
      <w:pPr>
        <w:adjustRightInd w:val="0"/>
        <w:snapToGrid w:val="0"/>
        <w:spacing w:line="288" w:lineRule="auto"/>
        <w:ind w:firstLine="1040"/>
        <w:rPr>
          <w:rFonts w:hint="default" w:ascii="Times New Roman" w:hAnsi="Times New Roman" w:eastAsia="仿宋" w:cs="Times New Roman"/>
          <w:color w:val="auto"/>
          <w:sz w:val="36"/>
          <w:szCs w:val="36"/>
          <w:highlight w:val="none"/>
        </w:rPr>
      </w:pPr>
    </w:p>
    <w:p w14:paraId="6FFF34D5">
      <w:pPr>
        <w:adjustRightInd w:val="0"/>
        <w:snapToGrid w:val="0"/>
        <w:spacing w:line="288" w:lineRule="auto"/>
        <w:ind w:firstLine="1040"/>
        <w:rPr>
          <w:rFonts w:hint="default" w:ascii="Times New Roman" w:hAnsi="Times New Roman" w:eastAsia="仿宋" w:cs="Times New Roman"/>
          <w:color w:val="auto"/>
          <w:sz w:val="36"/>
          <w:szCs w:val="36"/>
          <w:highlight w:val="none"/>
        </w:rPr>
      </w:pPr>
    </w:p>
    <w:p w14:paraId="1EE69003">
      <w:pPr>
        <w:adjustRightInd w:val="0"/>
        <w:snapToGrid w:val="0"/>
        <w:spacing w:line="288" w:lineRule="auto"/>
        <w:ind w:firstLine="1040"/>
        <w:rPr>
          <w:rFonts w:hint="default" w:ascii="Times New Roman" w:hAnsi="Times New Roman" w:eastAsia="仿宋" w:cs="Times New Roman"/>
          <w:color w:val="auto"/>
          <w:sz w:val="36"/>
          <w:szCs w:val="36"/>
          <w:highlight w:val="none"/>
        </w:rPr>
      </w:pPr>
    </w:p>
    <w:p w14:paraId="7281BFCB">
      <w:pPr>
        <w:adjustRightInd w:val="0"/>
        <w:snapToGrid w:val="0"/>
        <w:spacing w:line="288" w:lineRule="auto"/>
        <w:ind w:firstLine="1040"/>
        <w:rPr>
          <w:rFonts w:hint="default" w:ascii="Times New Roman" w:hAnsi="Times New Roman" w:eastAsia="仿宋" w:cs="Times New Roman"/>
          <w:color w:val="auto"/>
          <w:sz w:val="36"/>
          <w:szCs w:val="36"/>
          <w:highlight w:val="none"/>
        </w:rPr>
      </w:pPr>
    </w:p>
    <w:bookmarkEnd w:id="0"/>
    <w:p w14:paraId="1A43372A">
      <w:pPr>
        <w:adjustRightInd w:val="0"/>
        <w:snapToGrid w:val="0"/>
        <w:spacing w:line="288" w:lineRule="auto"/>
        <w:jc w:val="center"/>
        <w:rPr>
          <w:rFonts w:hint="default" w:ascii="Times New Roman" w:hAnsi="Times New Roman" w:eastAsia="仿宋" w:cs="Times New Roman"/>
          <w:color w:val="auto"/>
          <w:sz w:val="36"/>
          <w:szCs w:val="36"/>
          <w:highlight w:val="none"/>
        </w:rPr>
      </w:pPr>
      <w:r>
        <w:rPr>
          <w:rFonts w:hint="default" w:ascii="Times New Roman" w:hAnsi="Times New Roman" w:eastAsia="仿宋" w:cs="Times New Roman"/>
          <w:color w:val="auto"/>
          <w:sz w:val="36"/>
          <w:szCs w:val="36"/>
          <w:highlight w:val="none"/>
        </w:rPr>
        <w:t>中华人民共和国生态环境部制</w:t>
      </w:r>
    </w:p>
    <w:p w14:paraId="2154A825">
      <w:pPr>
        <w:adjustRightInd w:val="0"/>
        <w:snapToGrid w:val="0"/>
        <w:spacing w:line="288" w:lineRule="auto"/>
        <w:ind w:firstLine="1040"/>
        <w:rPr>
          <w:rFonts w:hint="default" w:ascii="Times New Roman" w:hAnsi="Times New Roman" w:eastAsia="仿宋" w:cs="Times New Roman"/>
          <w:color w:val="auto"/>
          <w:sz w:val="36"/>
          <w:szCs w:val="36"/>
          <w:highlight w:val="none"/>
        </w:rPr>
        <w:sectPr>
          <w:headerReference r:id="rId3" w:type="default"/>
          <w:footerReference r:id="rId4" w:type="default"/>
          <w:footerReference r:id="rId5" w:type="even"/>
          <w:pgSz w:w="11906" w:h="16838"/>
          <w:pgMar w:top="1701" w:right="1274"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3AA7EE6">
      <w:pPr>
        <w:rPr>
          <w:rFonts w:hint="default" w:ascii="Times New Roman" w:hAnsi="Times New Roman" w:eastAsia="仿宋" w:cs="Times New Roman"/>
          <w:b/>
          <w:bCs/>
          <w:snapToGrid w:val="0"/>
          <w:color w:val="auto"/>
          <w:sz w:val="30"/>
          <w:szCs w:val="30"/>
          <w:highlight w:val="none"/>
        </w:rPr>
      </w:pPr>
      <w:r>
        <w:rPr>
          <w:rFonts w:hint="eastAsia" w:ascii="Times New Roman" w:hAnsi="Times New Roman" w:eastAsia="仿宋" w:cs="Times New Roman"/>
          <w:color w:val="auto"/>
          <w:sz w:val="36"/>
          <w:szCs w:val="36"/>
          <w:highlight w:val="none"/>
          <w:lang w:eastAsia="zh-CN"/>
        </w:rPr>
        <w:drawing>
          <wp:anchor distT="0" distB="0" distL="114300" distR="114300" simplePos="0" relativeHeight="251661312" behindDoc="0" locked="0" layoutInCell="1" allowOverlap="1">
            <wp:simplePos x="0" y="0"/>
            <wp:positionH relativeFrom="column">
              <wp:posOffset>-628650</wp:posOffset>
            </wp:positionH>
            <wp:positionV relativeFrom="paragraph">
              <wp:posOffset>177800</wp:posOffset>
            </wp:positionV>
            <wp:extent cx="6824345" cy="7385050"/>
            <wp:effectExtent l="0" t="0" r="3175" b="6350"/>
            <wp:wrapTopAndBottom/>
            <wp:docPr id="51" name="图片 51" descr="页面提取自－2.伊轩年产1亿支唇刷项目（完整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页面提取自－2.伊轩年产1亿支唇刷项目（完整版）"/>
                    <pic:cNvPicPr>
                      <a:picLocks noChangeAspect="1"/>
                    </pic:cNvPicPr>
                  </pic:nvPicPr>
                  <pic:blipFill>
                    <a:blip r:embed="rId11"/>
                    <a:stretch>
                      <a:fillRect/>
                    </a:stretch>
                  </pic:blipFill>
                  <pic:spPr>
                    <a:xfrm>
                      <a:off x="0" y="0"/>
                      <a:ext cx="6824345" cy="7385050"/>
                    </a:xfrm>
                    <a:prstGeom prst="rect">
                      <a:avLst/>
                    </a:prstGeom>
                  </pic:spPr>
                </pic:pic>
              </a:graphicData>
            </a:graphic>
          </wp:anchor>
        </w:drawing>
      </w:r>
      <w:r>
        <w:rPr>
          <w:rFonts w:hint="default" w:ascii="Times New Roman" w:hAnsi="Times New Roman" w:eastAsia="仿宋" w:cs="Times New Roman"/>
          <w:b/>
          <w:bCs/>
          <w:snapToGrid w:val="0"/>
          <w:color w:val="auto"/>
          <w:sz w:val="30"/>
          <w:szCs w:val="30"/>
          <w:highlight w:val="none"/>
        </w:rPr>
        <w:br w:type="page"/>
      </w:r>
    </w:p>
    <w:p w14:paraId="0D89E6CD">
      <w:pPr>
        <w:adjustRightInd w:val="0"/>
        <w:snapToGrid w:val="0"/>
        <w:outlineLvl w:val="0"/>
        <w:rPr>
          <w:rFonts w:hint="default" w:ascii="Times New Roman" w:hAnsi="Times New Roman" w:eastAsia="仿宋" w:cs="Times New Roman"/>
          <w:b/>
          <w:bCs/>
          <w:snapToGrid w:val="0"/>
          <w:color w:val="auto"/>
          <w:sz w:val="30"/>
          <w:szCs w:val="30"/>
          <w:highlight w:val="none"/>
        </w:rPr>
      </w:pPr>
      <w:r>
        <w:rPr>
          <w:rFonts w:hint="default" w:ascii="Times New Roman" w:hAnsi="Times New Roman" w:eastAsia="仿宋" w:cs="Times New Roman"/>
          <w:b/>
          <w:bCs/>
          <w:snapToGrid w:val="0"/>
          <w:color w:val="auto"/>
          <w:sz w:val="30"/>
          <w:szCs w:val="30"/>
          <w:highlight w:val="none"/>
        </w:rPr>
        <w:t>一、建设项目基本情况</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64"/>
        <w:gridCol w:w="992"/>
        <w:gridCol w:w="2163"/>
        <w:gridCol w:w="2212"/>
        <w:gridCol w:w="2639"/>
      </w:tblGrid>
      <w:tr w14:paraId="1627D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noWrap w:val="0"/>
            <w:tcMar>
              <w:top w:w="16" w:type="dxa"/>
              <w:left w:w="16" w:type="dxa"/>
              <w:right w:w="16" w:type="dxa"/>
            </w:tcMar>
            <w:vAlign w:val="center"/>
          </w:tcPr>
          <w:p w14:paraId="7DFD9835">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建设项目名称</w:t>
            </w:r>
          </w:p>
        </w:tc>
        <w:tc>
          <w:tcPr>
            <w:tcW w:w="7014" w:type="dxa"/>
            <w:gridSpan w:val="3"/>
            <w:noWrap w:val="0"/>
            <w:vAlign w:val="center"/>
          </w:tcPr>
          <w:p w14:paraId="21C52F38">
            <w:pPr>
              <w:tabs>
                <w:tab w:val="left" w:pos="2315"/>
                <w:tab w:val="center" w:pos="3559"/>
              </w:tabs>
              <w:adjustRightInd w:val="0"/>
              <w:snapToGrid w:val="0"/>
              <w:jc w:val="left"/>
              <w:rPr>
                <w:rFonts w:hint="default" w:ascii="Times New Roman" w:hAnsi="Times New Roman" w:eastAsia="仿宋" w:cs="Times New Roman"/>
                <w:color w:val="auto"/>
                <w:sz w:val="24"/>
                <w:highlight w:val="none"/>
                <w:lang w:eastAsia="zh-CN"/>
              </w:rPr>
            </w:pPr>
            <w:r>
              <w:rPr>
                <w:rFonts w:hint="eastAsia" w:eastAsia="仿宋" w:cs="Times New Roman"/>
                <w:color w:val="auto"/>
                <w:sz w:val="24"/>
                <w:highlight w:val="none"/>
                <w:lang w:eastAsia="zh-CN"/>
              </w:rPr>
              <w:tab/>
            </w:r>
            <w:r>
              <w:rPr>
                <w:rFonts w:hint="eastAsia" w:eastAsia="仿宋" w:cs="Times New Roman"/>
                <w:color w:val="auto"/>
                <w:sz w:val="24"/>
                <w:highlight w:val="none"/>
                <w:lang w:eastAsia="zh-CN"/>
              </w:rPr>
              <w:tab/>
            </w:r>
            <w:r>
              <w:rPr>
                <w:rFonts w:hint="default" w:ascii="Times New Roman" w:hAnsi="Times New Roman" w:eastAsia="仿宋" w:cs="Times New Roman"/>
                <w:color w:val="auto"/>
                <w:sz w:val="24"/>
                <w:highlight w:val="none"/>
                <w:lang w:eastAsia="zh-CN"/>
              </w:rPr>
              <w:t>年产1亿只唇刷项目</w:t>
            </w:r>
          </w:p>
        </w:tc>
      </w:tr>
      <w:tr w14:paraId="176C2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noWrap w:val="0"/>
            <w:tcMar>
              <w:top w:w="16" w:type="dxa"/>
              <w:left w:w="16" w:type="dxa"/>
              <w:right w:w="16" w:type="dxa"/>
            </w:tcMar>
            <w:vAlign w:val="center"/>
          </w:tcPr>
          <w:p w14:paraId="5BFF74D8">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项目代码</w:t>
            </w:r>
          </w:p>
        </w:tc>
        <w:tc>
          <w:tcPr>
            <w:tcW w:w="7014" w:type="dxa"/>
            <w:gridSpan w:val="3"/>
            <w:noWrap w:val="0"/>
            <w:vAlign w:val="center"/>
          </w:tcPr>
          <w:p w14:paraId="583B6962">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2602-320458-89-01-110031</w:t>
            </w:r>
          </w:p>
        </w:tc>
      </w:tr>
      <w:tr w14:paraId="2392FE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noWrap w:val="0"/>
            <w:tcMar>
              <w:top w:w="16" w:type="dxa"/>
              <w:left w:w="16" w:type="dxa"/>
              <w:right w:w="16" w:type="dxa"/>
            </w:tcMar>
            <w:vAlign w:val="center"/>
          </w:tcPr>
          <w:p w14:paraId="344B3D44">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建设单位联系人</w:t>
            </w:r>
          </w:p>
        </w:tc>
        <w:tc>
          <w:tcPr>
            <w:tcW w:w="2163" w:type="dxa"/>
            <w:noWrap w:val="0"/>
            <w:vAlign w:val="center"/>
          </w:tcPr>
          <w:p w14:paraId="0BFF2D1A">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eastAsia="仿宋" w:cs="Times New Roman"/>
                <w:color w:val="auto"/>
                <w:sz w:val="24"/>
                <w:highlight w:val="none"/>
                <w:lang w:val="en-US" w:eastAsia="zh-CN"/>
              </w:rPr>
              <w:t>***</w:t>
            </w:r>
          </w:p>
        </w:tc>
        <w:tc>
          <w:tcPr>
            <w:tcW w:w="2212" w:type="dxa"/>
            <w:noWrap w:val="0"/>
            <w:vAlign w:val="center"/>
          </w:tcPr>
          <w:p w14:paraId="3A78027F">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联系方式</w:t>
            </w:r>
          </w:p>
        </w:tc>
        <w:tc>
          <w:tcPr>
            <w:tcW w:w="2639" w:type="dxa"/>
            <w:noWrap w:val="0"/>
            <w:vAlign w:val="center"/>
          </w:tcPr>
          <w:p w14:paraId="14E452E0">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eastAsia="仿宋" w:cs="Times New Roman"/>
                <w:color w:val="auto"/>
                <w:sz w:val="24"/>
                <w:highlight w:val="none"/>
                <w:lang w:val="en-US" w:eastAsia="zh-CN"/>
              </w:rPr>
              <w:t>****</w:t>
            </w:r>
          </w:p>
        </w:tc>
      </w:tr>
      <w:tr w14:paraId="7A263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noWrap w:val="0"/>
            <w:tcMar>
              <w:top w:w="16" w:type="dxa"/>
              <w:left w:w="16" w:type="dxa"/>
              <w:right w:w="16" w:type="dxa"/>
            </w:tcMar>
            <w:vAlign w:val="center"/>
          </w:tcPr>
          <w:p w14:paraId="190A7770">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建设地点</w:t>
            </w:r>
          </w:p>
        </w:tc>
        <w:tc>
          <w:tcPr>
            <w:tcW w:w="7014" w:type="dxa"/>
            <w:gridSpan w:val="3"/>
            <w:noWrap w:val="0"/>
            <w:vAlign w:val="center"/>
          </w:tcPr>
          <w:p w14:paraId="751EF5F4">
            <w:pPr>
              <w:adjustRightInd w:val="0"/>
              <w:snapToGrid w:val="0"/>
              <w:jc w:val="center"/>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lang w:val="en-US" w:eastAsia="zh-CN"/>
              </w:rPr>
              <w:t>江苏省金坛经济开发区盐港东路39号8幢6号</w:t>
            </w:r>
          </w:p>
        </w:tc>
      </w:tr>
      <w:tr w14:paraId="50FBD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noWrap w:val="0"/>
            <w:tcMar>
              <w:top w:w="16" w:type="dxa"/>
              <w:left w:w="16" w:type="dxa"/>
              <w:right w:w="16" w:type="dxa"/>
            </w:tcMar>
            <w:vAlign w:val="center"/>
          </w:tcPr>
          <w:p w14:paraId="79CA1115">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地理坐标</w:t>
            </w:r>
          </w:p>
        </w:tc>
        <w:tc>
          <w:tcPr>
            <w:tcW w:w="7014" w:type="dxa"/>
            <w:gridSpan w:val="3"/>
            <w:noWrap w:val="0"/>
            <w:vAlign w:val="center"/>
          </w:tcPr>
          <w:p w14:paraId="0023F5D9">
            <w:pPr>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u w:val="single"/>
              </w:rPr>
              <w:t>119</w:t>
            </w:r>
            <w:r>
              <w:rPr>
                <w:rFonts w:hint="default" w:ascii="Times New Roman" w:hAnsi="Times New Roman" w:eastAsia="仿宋" w:cs="Times New Roman"/>
                <w:color w:val="auto"/>
                <w:sz w:val="24"/>
                <w:highlight w:val="none"/>
              </w:rPr>
              <w:t>度</w:t>
            </w:r>
            <w:r>
              <w:rPr>
                <w:rFonts w:hint="default" w:ascii="Times New Roman" w:hAnsi="Times New Roman" w:eastAsia="仿宋" w:cs="Times New Roman"/>
                <w:color w:val="auto"/>
                <w:sz w:val="24"/>
                <w:highlight w:val="none"/>
                <w:u w:val="single"/>
              </w:rPr>
              <w:t>3</w:t>
            </w:r>
            <w:r>
              <w:rPr>
                <w:rFonts w:hint="default" w:ascii="Times New Roman" w:hAnsi="Times New Roman" w:eastAsia="仿宋" w:cs="Times New Roman"/>
                <w:color w:val="auto"/>
                <w:sz w:val="24"/>
                <w:highlight w:val="none"/>
                <w:u w:val="single"/>
                <w:lang w:val="en-US" w:eastAsia="zh-CN"/>
              </w:rPr>
              <w:t>5</w:t>
            </w:r>
            <w:r>
              <w:rPr>
                <w:rFonts w:hint="default" w:ascii="Times New Roman" w:hAnsi="Times New Roman" w:eastAsia="仿宋" w:cs="Times New Roman"/>
                <w:color w:val="auto"/>
                <w:sz w:val="24"/>
                <w:highlight w:val="none"/>
              </w:rPr>
              <w:t>分</w:t>
            </w:r>
            <w:r>
              <w:rPr>
                <w:rFonts w:hint="default" w:ascii="Times New Roman" w:hAnsi="Times New Roman" w:eastAsia="仿宋" w:cs="Times New Roman"/>
                <w:color w:val="auto"/>
                <w:sz w:val="24"/>
                <w:highlight w:val="none"/>
                <w:u w:val="single"/>
                <w:lang w:val="en-US" w:eastAsia="zh-CN"/>
              </w:rPr>
              <w:t>21.935</w:t>
            </w:r>
            <w:r>
              <w:rPr>
                <w:rFonts w:hint="default" w:ascii="Times New Roman" w:hAnsi="Times New Roman" w:eastAsia="仿宋" w:cs="Times New Roman"/>
                <w:color w:val="auto"/>
                <w:sz w:val="24"/>
                <w:highlight w:val="none"/>
              </w:rPr>
              <w:t>秒，</w:t>
            </w:r>
            <w:r>
              <w:rPr>
                <w:rFonts w:hint="default" w:ascii="Times New Roman" w:hAnsi="Times New Roman" w:eastAsia="仿宋" w:cs="Times New Roman"/>
                <w:color w:val="auto"/>
                <w:sz w:val="24"/>
                <w:highlight w:val="none"/>
                <w:u w:val="single"/>
              </w:rPr>
              <w:t>31</w:t>
            </w:r>
            <w:r>
              <w:rPr>
                <w:rFonts w:hint="default" w:ascii="Times New Roman" w:hAnsi="Times New Roman" w:eastAsia="仿宋" w:cs="Times New Roman"/>
                <w:color w:val="auto"/>
                <w:sz w:val="24"/>
                <w:highlight w:val="none"/>
              </w:rPr>
              <w:t>度</w:t>
            </w:r>
            <w:r>
              <w:rPr>
                <w:rFonts w:hint="default" w:ascii="Times New Roman" w:hAnsi="Times New Roman" w:eastAsia="仿宋" w:cs="Times New Roman"/>
                <w:color w:val="auto"/>
                <w:sz w:val="24"/>
                <w:highlight w:val="none"/>
                <w:u w:val="single"/>
              </w:rPr>
              <w:t>4</w:t>
            </w:r>
            <w:r>
              <w:rPr>
                <w:rFonts w:hint="default" w:ascii="Times New Roman" w:hAnsi="Times New Roman" w:eastAsia="仿宋" w:cs="Times New Roman"/>
                <w:color w:val="auto"/>
                <w:sz w:val="24"/>
                <w:highlight w:val="none"/>
                <w:u w:val="single"/>
                <w:lang w:val="en-US" w:eastAsia="zh-CN"/>
              </w:rPr>
              <w:t>6</w:t>
            </w:r>
            <w:r>
              <w:rPr>
                <w:rFonts w:hint="default" w:ascii="Times New Roman" w:hAnsi="Times New Roman" w:eastAsia="仿宋" w:cs="Times New Roman"/>
                <w:color w:val="auto"/>
                <w:sz w:val="24"/>
                <w:highlight w:val="none"/>
              </w:rPr>
              <w:t>分</w:t>
            </w:r>
            <w:r>
              <w:rPr>
                <w:rFonts w:hint="default" w:ascii="Times New Roman" w:hAnsi="Times New Roman" w:eastAsia="仿宋" w:cs="Times New Roman"/>
                <w:color w:val="auto"/>
                <w:sz w:val="24"/>
                <w:highlight w:val="none"/>
                <w:u w:val="single"/>
                <w:lang w:val="en-US" w:eastAsia="zh-CN"/>
              </w:rPr>
              <w:t>41.735</w:t>
            </w:r>
            <w:r>
              <w:rPr>
                <w:rFonts w:hint="default" w:ascii="Times New Roman" w:hAnsi="Times New Roman" w:eastAsia="仿宋" w:cs="Times New Roman"/>
                <w:color w:val="auto"/>
                <w:sz w:val="24"/>
                <w:highlight w:val="none"/>
              </w:rPr>
              <w:t>秒）</w:t>
            </w:r>
          </w:p>
          <w:p w14:paraId="3B823E21">
            <w:pPr>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（注：本项目距离最近的国控站点金坛城区直线距离约</w:t>
            </w:r>
            <w:r>
              <w:rPr>
                <w:rFonts w:hint="default" w:ascii="Times New Roman" w:hAnsi="Times New Roman" w:eastAsia="仿宋" w:cs="Times New Roman"/>
                <w:color w:val="auto"/>
                <w:sz w:val="24"/>
                <w:highlight w:val="none"/>
                <w:lang w:val="en-US" w:eastAsia="zh-CN"/>
              </w:rPr>
              <w:t>5.8</w:t>
            </w:r>
            <w:r>
              <w:rPr>
                <w:rFonts w:hint="default" w:ascii="Times New Roman" w:hAnsi="Times New Roman" w:eastAsia="仿宋" w:cs="Times New Roman"/>
                <w:color w:val="auto"/>
                <w:sz w:val="24"/>
                <w:highlight w:val="none"/>
              </w:rPr>
              <w:t>km，不在重点区域3km范围内）</w:t>
            </w:r>
          </w:p>
        </w:tc>
      </w:tr>
      <w:tr w14:paraId="7C60C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56" w:type="dxa"/>
            <w:gridSpan w:val="2"/>
            <w:noWrap w:val="0"/>
            <w:tcMar>
              <w:top w:w="16" w:type="dxa"/>
              <w:left w:w="16" w:type="dxa"/>
              <w:right w:w="16" w:type="dxa"/>
            </w:tcMar>
            <w:vAlign w:val="center"/>
          </w:tcPr>
          <w:p w14:paraId="5DBA9E99">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国民经济行业</w:t>
            </w:r>
          </w:p>
          <w:p w14:paraId="5C27B007">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类别</w:t>
            </w:r>
          </w:p>
        </w:tc>
        <w:tc>
          <w:tcPr>
            <w:tcW w:w="2163" w:type="dxa"/>
            <w:noWrap w:val="0"/>
            <w:vAlign w:val="center"/>
          </w:tcPr>
          <w:p w14:paraId="764708FC">
            <w:pPr>
              <w:adjustRightInd w:val="0"/>
              <w:snapToGrid w:val="0"/>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C2929塑料零件及其他塑料制品制造</w:t>
            </w:r>
          </w:p>
          <w:p w14:paraId="25AF3AE0">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C4111</w:t>
            </w:r>
            <w:r>
              <w:rPr>
                <w:rFonts w:hint="default" w:ascii="Times New Roman" w:hAnsi="Times New Roman" w:eastAsia="仿宋" w:cs="Times New Roman"/>
                <w:color w:val="auto"/>
                <w:sz w:val="24"/>
                <w:highlight w:val="none"/>
              </w:rPr>
              <w:t>鬃毛加工、制刷及清扫工具制造</w:t>
            </w:r>
          </w:p>
        </w:tc>
        <w:tc>
          <w:tcPr>
            <w:tcW w:w="2212" w:type="dxa"/>
            <w:noWrap w:val="0"/>
            <w:vAlign w:val="center"/>
          </w:tcPr>
          <w:p w14:paraId="69D9843E">
            <w:pPr>
              <w:adjustRightInd w:val="0"/>
              <w:snapToGrid w:val="0"/>
              <w:jc w:val="center"/>
              <w:rPr>
                <w:rFonts w:hint="default" w:ascii="Times New Roman" w:hAnsi="Times New Roman" w:eastAsia="仿宋" w:cs="Times New Roman"/>
                <w:color w:val="auto"/>
                <w:sz w:val="24"/>
                <w:highlight w:val="none"/>
              </w:rPr>
            </w:pPr>
            <w:bookmarkStart w:id="1" w:name="_Hlk49843745"/>
            <w:r>
              <w:rPr>
                <w:rFonts w:hint="default" w:ascii="Times New Roman" w:hAnsi="Times New Roman" w:eastAsia="仿宋" w:cs="Times New Roman"/>
                <w:color w:val="auto"/>
                <w:sz w:val="24"/>
                <w:highlight w:val="none"/>
              </w:rPr>
              <w:t>建设项目行业类别</w:t>
            </w:r>
            <w:bookmarkEnd w:id="1"/>
          </w:p>
        </w:tc>
        <w:tc>
          <w:tcPr>
            <w:tcW w:w="2639" w:type="dxa"/>
            <w:noWrap w:val="0"/>
            <w:vAlign w:val="center"/>
          </w:tcPr>
          <w:p w14:paraId="426C175E">
            <w:pPr>
              <w:adjustRightInd w:val="0"/>
              <w:snapToGrid w:val="0"/>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二十六、橡胶和塑料制品业29，53、塑料制品业292</w:t>
            </w:r>
          </w:p>
          <w:p w14:paraId="18FD2996">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三十八</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val="en-US" w:eastAsia="zh-CN"/>
              </w:rPr>
              <w:t>其他制造业41，84、日用杂品制造411</w:t>
            </w:r>
          </w:p>
        </w:tc>
      </w:tr>
      <w:tr w14:paraId="28FF0A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56" w:type="dxa"/>
            <w:gridSpan w:val="2"/>
            <w:noWrap w:val="0"/>
            <w:tcMar>
              <w:top w:w="16" w:type="dxa"/>
              <w:left w:w="16" w:type="dxa"/>
              <w:right w:w="16" w:type="dxa"/>
            </w:tcMar>
            <w:vAlign w:val="center"/>
          </w:tcPr>
          <w:p w14:paraId="2A6FE4B8">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建设性质</w:t>
            </w:r>
          </w:p>
        </w:tc>
        <w:tc>
          <w:tcPr>
            <w:tcW w:w="2163" w:type="dxa"/>
            <w:noWrap w:val="0"/>
            <w:vAlign w:val="center"/>
          </w:tcPr>
          <w:p w14:paraId="2B533EA5">
            <w:pPr>
              <w:adjustRightInd w:val="0"/>
              <w:snapToGrid w:val="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□新建（迁建）</w:t>
            </w:r>
          </w:p>
          <w:p w14:paraId="6C4CEF92">
            <w:pPr>
              <w:adjustRightInd w:val="0"/>
              <w:snapToGrid w:val="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□改建</w:t>
            </w:r>
          </w:p>
          <w:p w14:paraId="4EAC2FFC">
            <w:pPr>
              <w:adjustRightInd w:val="0"/>
              <w:snapToGrid w:val="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fldChar w:fldCharType="begin"/>
            </w:r>
            <w:r>
              <w:rPr>
                <w:rFonts w:hint="default" w:ascii="Times New Roman" w:hAnsi="Times New Roman" w:eastAsia="仿宋" w:cs="Times New Roman"/>
                <w:color w:val="auto"/>
                <w:sz w:val="24"/>
                <w:highlight w:val="none"/>
              </w:rPr>
              <w:instrText xml:space="preserve"> eq \o\ac(□,√)</w:instrText>
            </w:r>
            <w:r>
              <w:rPr>
                <w:rFonts w:hint="default" w:ascii="Times New Roman" w:hAnsi="Times New Roman" w:eastAsia="仿宋" w:cs="Times New Roman"/>
                <w:color w:val="auto"/>
                <w:sz w:val="24"/>
                <w:highlight w:val="none"/>
              </w:rPr>
              <w:fldChar w:fldCharType="end"/>
            </w:r>
            <w:r>
              <w:rPr>
                <w:rFonts w:hint="default" w:ascii="Times New Roman" w:hAnsi="Times New Roman" w:eastAsia="仿宋" w:cs="Times New Roman"/>
                <w:color w:val="auto"/>
                <w:sz w:val="24"/>
                <w:highlight w:val="none"/>
              </w:rPr>
              <w:t>扩建</w:t>
            </w:r>
          </w:p>
          <w:p w14:paraId="1F3E9F3E">
            <w:pPr>
              <w:adjustRightInd w:val="0"/>
              <w:snapToGrid w:val="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□技术改造</w:t>
            </w:r>
          </w:p>
        </w:tc>
        <w:tc>
          <w:tcPr>
            <w:tcW w:w="2212" w:type="dxa"/>
            <w:noWrap w:val="0"/>
            <w:vAlign w:val="center"/>
          </w:tcPr>
          <w:p w14:paraId="635F6096">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建设项目申报情形</w:t>
            </w:r>
          </w:p>
        </w:tc>
        <w:tc>
          <w:tcPr>
            <w:tcW w:w="2639" w:type="dxa"/>
            <w:noWrap w:val="0"/>
            <w:vAlign w:val="center"/>
          </w:tcPr>
          <w:p w14:paraId="68A26512">
            <w:pPr>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fldChar w:fldCharType="begin"/>
            </w:r>
            <w:r>
              <w:rPr>
                <w:rFonts w:hint="default" w:ascii="Times New Roman" w:hAnsi="Times New Roman" w:eastAsia="仿宋" w:cs="Times New Roman"/>
                <w:color w:val="auto"/>
                <w:sz w:val="24"/>
                <w:highlight w:val="none"/>
              </w:rPr>
              <w:instrText xml:space="preserve"> eq \o\ac(□,√)</w:instrText>
            </w:r>
            <w:r>
              <w:rPr>
                <w:rFonts w:hint="default" w:ascii="Times New Roman" w:hAnsi="Times New Roman" w:eastAsia="仿宋" w:cs="Times New Roman"/>
                <w:color w:val="auto"/>
                <w:sz w:val="24"/>
                <w:highlight w:val="none"/>
              </w:rPr>
              <w:fldChar w:fldCharType="end"/>
            </w:r>
            <w:r>
              <w:rPr>
                <w:rFonts w:hint="default" w:ascii="Times New Roman" w:hAnsi="Times New Roman" w:eastAsia="仿宋" w:cs="Times New Roman"/>
                <w:color w:val="auto"/>
                <w:sz w:val="24"/>
                <w:highlight w:val="none"/>
              </w:rPr>
              <w:t>首次申报项目</w:t>
            </w:r>
          </w:p>
          <w:p w14:paraId="7C199DCD">
            <w:pPr>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□不予批准后再次申报项目</w:t>
            </w:r>
          </w:p>
          <w:p w14:paraId="4EB99E82">
            <w:pPr>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□超五年重新审核项目</w:t>
            </w:r>
          </w:p>
          <w:p w14:paraId="1CB9BCAC">
            <w:pPr>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□重大变动重新报批项目</w:t>
            </w:r>
          </w:p>
        </w:tc>
      </w:tr>
      <w:tr w14:paraId="2F0DE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7" w:hRule="atLeast"/>
          <w:jc w:val="center"/>
        </w:trPr>
        <w:tc>
          <w:tcPr>
            <w:tcW w:w="1856" w:type="dxa"/>
            <w:gridSpan w:val="2"/>
            <w:noWrap w:val="0"/>
            <w:tcMar>
              <w:top w:w="16" w:type="dxa"/>
              <w:left w:w="16" w:type="dxa"/>
              <w:right w:w="16" w:type="dxa"/>
            </w:tcMar>
            <w:vAlign w:val="center"/>
          </w:tcPr>
          <w:p w14:paraId="03B60FD2">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项目审批备案</w:t>
            </w:r>
          </w:p>
          <w:p w14:paraId="67E1C067">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部门</w:t>
            </w:r>
          </w:p>
        </w:tc>
        <w:tc>
          <w:tcPr>
            <w:tcW w:w="2163" w:type="dxa"/>
            <w:noWrap w:val="0"/>
            <w:vAlign w:val="center"/>
          </w:tcPr>
          <w:p w14:paraId="19C4E36C">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江苏金坛经济开发区经济发展局</w:t>
            </w:r>
          </w:p>
        </w:tc>
        <w:tc>
          <w:tcPr>
            <w:tcW w:w="2212" w:type="dxa"/>
            <w:noWrap w:val="0"/>
            <w:vAlign w:val="center"/>
          </w:tcPr>
          <w:p w14:paraId="12A3FE20">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项目审批备案文号</w:t>
            </w:r>
          </w:p>
        </w:tc>
        <w:tc>
          <w:tcPr>
            <w:tcW w:w="2639" w:type="dxa"/>
            <w:noWrap w:val="0"/>
            <w:vAlign w:val="center"/>
          </w:tcPr>
          <w:p w14:paraId="01CF24F3">
            <w:pPr>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坛开经发备字〔2026〕44号</w:t>
            </w:r>
          </w:p>
        </w:tc>
      </w:tr>
      <w:tr w14:paraId="07477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noWrap w:val="0"/>
            <w:tcMar>
              <w:top w:w="16" w:type="dxa"/>
              <w:left w:w="16" w:type="dxa"/>
              <w:right w:w="16" w:type="dxa"/>
            </w:tcMar>
            <w:vAlign w:val="center"/>
          </w:tcPr>
          <w:p w14:paraId="180AB3E8">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总投资（万元）</w:t>
            </w:r>
          </w:p>
        </w:tc>
        <w:tc>
          <w:tcPr>
            <w:tcW w:w="2163" w:type="dxa"/>
            <w:noWrap w:val="0"/>
            <w:vAlign w:val="center"/>
          </w:tcPr>
          <w:p w14:paraId="06A04803">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rPr>
              <w:t>000</w:t>
            </w:r>
          </w:p>
        </w:tc>
        <w:tc>
          <w:tcPr>
            <w:tcW w:w="2212" w:type="dxa"/>
            <w:noWrap w:val="0"/>
            <w:tcMar>
              <w:top w:w="16" w:type="dxa"/>
              <w:left w:w="16" w:type="dxa"/>
              <w:right w:w="16" w:type="dxa"/>
            </w:tcMar>
            <w:vAlign w:val="center"/>
          </w:tcPr>
          <w:p w14:paraId="0CD6FDDF">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环保投资（万元）</w:t>
            </w:r>
          </w:p>
        </w:tc>
        <w:tc>
          <w:tcPr>
            <w:tcW w:w="2639" w:type="dxa"/>
            <w:noWrap w:val="0"/>
            <w:vAlign w:val="center"/>
          </w:tcPr>
          <w:p w14:paraId="263DB07F">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lang w:val="en-US" w:eastAsia="zh-CN"/>
              </w:rPr>
              <w:t>9</w:t>
            </w:r>
          </w:p>
        </w:tc>
      </w:tr>
      <w:tr w14:paraId="360B6C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noWrap w:val="0"/>
            <w:tcMar>
              <w:top w:w="16" w:type="dxa"/>
              <w:left w:w="16" w:type="dxa"/>
              <w:right w:w="16" w:type="dxa"/>
            </w:tcMar>
            <w:vAlign w:val="center"/>
          </w:tcPr>
          <w:p w14:paraId="7B70FB43">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环保投资占比（%）</w:t>
            </w:r>
          </w:p>
        </w:tc>
        <w:tc>
          <w:tcPr>
            <w:tcW w:w="2163" w:type="dxa"/>
            <w:noWrap w:val="0"/>
            <w:vAlign w:val="center"/>
          </w:tcPr>
          <w:p w14:paraId="78739D7F">
            <w:pPr>
              <w:adjustRightInd w:val="0"/>
              <w:snapToGrid w:val="0"/>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1.</w:t>
            </w:r>
            <w:r>
              <w:rPr>
                <w:rFonts w:hint="eastAsia" w:eastAsia="仿宋" w:cs="Times New Roman"/>
                <w:color w:val="auto"/>
                <w:sz w:val="24"/>
                <w:highlight w:val="none"/>
                <w:lang w:val="en-US" w:eastAsia="zh-CN"/>
              </w:rPr>
              <w:t>9</w:t>
            </w:r>
            <w:r>
              <w:rPr>
                <w:rFonts w:hint="default" w:ascii="Times New Roman" w:hAnsi="Times New Roman" w:eastAsia="仿宋" w:cs="Times New Roman"/>
                <w:color w:val="auto"/>
                <w:sz w:val="24"/>
                <w:highlight w:val="none"/>
                <w:lang w:val="en-US" w:eastAsia="zh-CN"/>
              </w:rPr>
              <w:t>5</w:t>
            </w:r>
          </w:p>
        </w:tc>
        <w:tc>
          <w:tcPr>
            <w:tcW w:w="2212" w:type="dxa"/>
            <w:noWrap w:val="0"/>
            <w:tcMar>
              <w:top w:w="16" w:type="dxa"/>
              <w:left w:w="16" w:type="dxa"/>
              <w:right w:w="16" w:type="dxa"/>
            </w:tcMar>
            <w:vAlign w:val="center"/>
          </w:tcPr>
          <w:p w14:paraId="7356922C">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施工工期</w:t>
            </w:r>
          </w:p>
        </w:tc>
        <w:tc>
          <w:tcPr>
            <w:tcW w:w="2639" w:type="dxa"/>
            <w:noWrap w:val="0"/>
            <w:vAlign w:val="center"/>
          </w:tcPr>
          <w:p w14:paraId="51707AD5">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3个月</w:t>
            </w:r>
          </w:p>
        </w:tc>
      </w:tr>
      <w:tr w14:paraId="6438F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856" w:type="dxa"/>
            <w:gridSpan w:val="2"/>
            <w:noWrap w:val="0"/>
            <w:tcMar>
              <w:top w:w="16" w:type="dxa"/>
              <w:left w:w="16" w:type="dxa"/>
              <w:right w:w="16" w:type="dxa"/>
            </w:tcMar>
            <w:vAlign w:val="center"/>
          </w:tcPr>
          <w:p w14:paraId="224AE841">
            <w:pPr>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是否开工建设</w:t>
            </w:r>
          </w:p>
        </w:tc>
        <w:tc>
          <w:tcPr>
            <w:tcW w:w="2163" w:type="dxa"/>
            <w:noWrap w:val="0"/>
            <w:vAlign w:val="center"/>
          </w:tcPr>
          <w:p w14:paraId="71DF06BA">
            <w:pPr>
              <w:adjustRightInd w:val="0"/>
              <w:snapToGrid w:val="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fldChar w:fldCharType="begin"/>
            </w:r>
            <w:r>
              <w:rPr>
                <w:rFonts w:hint="default" w:ascii="Times New Roman" w:hAnsi="Times New Roman" w:eastAsia="仿宋" w:cs="Times New Roman"/>
                <w:color w:val="auto"/>
                <w:sz w:val="24"/>
                <w:highlight w:val="none"/>
              </w:rPr>
              <w:instrText xml:space="preserve"> eq \o\ac(□,√)</w:instrText>
            </w:r>
            <w:r>
              <w:rPr>
                <w:rFonts w:hint="default" w:ascii="Times New Roman" w:hAnsi="Times New Roman" w:eastAsia="仿宋" w:cs="Times New Roman"/>
                <w:color w:val="auto"/>
                <w:sz w:val="24"/>
                <w:highlight w:val="none"/>
              </w:rPr>
              <w:fldChar w:fldCharType="end"/>
            </w:r>
            <w:r>
              <w:rPr>
                <w:rFonts w:hint="default" w:ascii="Times New Roman" w:hAnsi="Times New Roman" w:eastAsia="仿宋" w:cs="Times New Roman"/>
                <w:color w:val="auto"/>
                <w:sz w:val="24"/>
                <w:highlight w:val="none"/>
              </w:rPr>
              <w:t>否</w:t>
            </w:r>
          </w:p>
          <w:p w14:paraId="14216F91">
            <w:pPr>
              <w:adjustRightInd w:val="0"/>
              <w:snapToGrid w:val="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rPr>
              <w:t>□是</w:t>
            </w:r>
            <w:r>
              <w:rPr>
                <w:rFonts w:hint="default" w:ascii="Times New Roman" w:hAnsi="Times New Roman" w:eastAsia="仿宋" w:cs="Times New Roman"/>
                <w:color w:val="auto"/>
                <w:sz w:val="24"/>
                <w:highlight w:val="none"/>
                <w:lang w:eastAsia="zh-CN"/>
              </w:rPr>
              <w:t>：</w:t>
            </w:r>
          </w:p>
        </w:tc>
        <w:tc>
          <w:tcPr>
            <w:tcW w:w="2212" w:type="dxa"/>
            <w:noWrap w:val="0"/>
            <w:tcMar>
              <w:top w:w="16" w:type="dxa"/>
              <w:left w:w="16" w:type="dxa"/>
              <w:right w:w="16" w:type="dxa"/>
            </w:tcMar>
            <w:vAlign w:val="center"/>
          </w:tcPr>
          <w:p w14:paraId="70E4422E">
            <w:pPr>
              <w:adjustRightInd w:val="0"/>
              <w:snapToGrid w:val="0"/>
              <w:jc w:val="center"/>
              <w:rPr>
                <w:rFonts w:hint="default" w:ascii="Times New Roman" w:hAnsi="Times New Roman" w:eastAsia="仿宋" w:cs="Times New Roman"/>
                <w:color w:val="auto"/>
                <w:spacing w:val="-6"/>
                <w:sz w:val="24"/>
                <w:highlight w:val="none"/>
              </w:rPr>
            </w:pPr>
            <w:r>
              <w:rPr>
                <w:rFonts w:hint="default" w:ascii="Times New Roman" w:hAnsi="Times New Roman" w:eastAsia="仿宋" w:cs="Times New Roman"/>
                <w:color w:val="auto"/>
                <w:spacing w:val="-6"/>
                <w:sz w:val="24"/>
                <w:highlight w:val="none"/>
              </w:rPr>
              <w:t>用地面积</w:t>
            </w:r>
            <w:r>
              <w:rPr>
                <w:rFonts w:hint="default" w:ascii="Times New Roman" w:hAnsi="Times New Roman" w:eastAsia="仿宋" w:cs="Times New Roman"/>
                <w:color w:val="auto"/>
                <w:kern w:val="0"/>
                <w:sz w:val="24"/>
                <w:highlight w:val="none"/>
              </w:rPr>
              <w:t>（m</w:t>
            </w:r>
            <w:r>
              <w:rPr>
                <w:rFonts w:hint="default" w:ascii="Times New Roman" w:hAnsi="Times New Roman" w:eastAsia="仿宋" w:cs="Times New Roman"/>
                <w:color w:val="auto"/>
                <w:kern w:val="0"/>
                <w:sz w:val="24"/>
                <w:highlight w:val="none"/>
                <w:vertAlign w:val="superscript"/>
              </w:rPr>
              <w:t>2</w:t>
            </w:r>
            <w:r>
              <w:rPr>
                <w:rFonts w:hint="default" w:ascii="Times New Roman" w:hAnsi="Times New Roman" w:eastAsia="仿宋" w:cs="Times New Roman"/>
                <w:color w:val="auto"/>
                <w:kern w:val="0"/>
                <w:sz w:val="24"/>
                <w:highlight w:val="none"/>
              </w:rPr>
              <w:t>）</w:t>
            </w:r>
          </w:p>
        </w:tc>
        <w:tc>
          <w:tcPr>
            <w:tcW w:w="2639" w:type="dxa"/>
            <w:noWrap w:val="0"/>
            <w:vAlign w:val="center"/>
          </w:tcPr>
          <w:p w14:paraId="51A66D43">
            <w:pPr>
              <w:autoSpaceDE w:val="0"/>
              <w:autoSpaceDN w:val="0"/>
              <w:adjustRightInd w:val="0"/>
              <w:snapToGrid w:val="0"/>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val="en-US" w:eastAsia="zh-CN"/>
              </w:rPr>
              <w:t>1185.27</w:t>
            </w:r>
            <w:r>
              <w:rPr>
                <w:rFonts w:hint="default" w:ascii="Times New Roman" w:hAnsi="Times New Roman" w:eastAsia="仿宋" w:cs="Times New Roman"/>
                <w:color w:val="auto"/>
                <w:sz w:val="24"/>
                <w:highlight w:val="none"/>
              </w:rPr>
              <w:t>（建筑面积）</w:t>
            </w:r>
          </w:p>
        </w:tc>
      </w:tr>
      <w:tr w14:paraId="05468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64" w:type="dxa"/>
            <w:noWrap w:val="0"/>
            <w:vAlign w:val="center"/>
          </w:tcPr>
          <w:p w14:paraId="58B01522">
            <w:pPr>
              <w:autoSpaceDE w:val="0"/>
              <w:autoSpaceDN w:val="0"/>
              <w:adjustRightInd w:val="0"/>
              <w:snapToGrid w:val="0"/>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专项评价设置情况</w:t>
            </w:r>
          </w:p>
        </w:tc>
        <w:tc>
          <w:tcPr>
            <w:tcW w:w="8006" w:type="dxa"/>
            <w:gridSpan w:val="4"/>
            <w:noWrap w:val="0"/>
            <w:vAlign w:val="center"/>
          </w:tcPr>
          <w:p w14:paraId="278C645A">
            <w:pPr>
              <w:adjustRightInd w:val="0"/>
              <w:snapToGrid w:val="0"/>
              <w:spacing w:before="120" w:beforeLines="50" w:line="360" w:lineRule="auto"/>
              <w:ind w:firstLine="480" w:firstLineChars="20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根据《建设项目环境影响报告表编制技术指南（污染影响类）试行》，</w:t>
            </w:r>
            <w:r>
              <w:rPr>
                <w:rFonts w:hint="default" w:ascii="Times New Roman" w:hAnsi="Times New Roman" w:eastAsia="仿宋" w:cs="Times New Roman"/>
                <w:b w:val="0"/>
                <w:bCs w:val="0"/>
                <w:color w:val="auto"/>
                <w:kern w:val="0"/>
                <w:sz w:val="24"/>
                <w:highlight w:val="none"/>
              </w:rPr>
              <w:t>本项目不需设置专项评价，</w:t>
            </w:r>
            <w:r>
              <w:rPr>
                <w:rFonts w:hint="default" w:ascii="Times New Roman" w:hAnsi="Times New Roman" w:eastAsia="仿宋" w:cs="Times New Roman"/>
                <w:color w:val="auto"/>
                <w:kern w:val="0"/>
                <w:sz w:val="24"/>
                <w:highlight w:val="none"/>
              </w:rPr>
              <w:t>具体分析</w:t>
            </w:r>
            <w:r>
              <w:rPr>
                <w:rFonts w:hint="default" w:ascii="Times New Roman" w:hAnsi="Times New Roman" w:eastAsia="仿宋" w:cs="Times New Roman"/>
                <w:color w:val="auto"/>
                <w:kern w:val="0"/>
                <w:sz w:val="24"/>
                <w:highlight w:val="none"/>
                <w:lang w:val="en-US" w:eastAsia="zh-CN"/>
              </w:rPr>
              <w:t>见</w:t>
            </w:r>
            <w:r>
              <w:rPr>
                <w:rFonts w:hint="default" w:ascii="Times New Roman" w:hAnsi="Times New Roman" w:eastAsia="仿宋" w:cs="Times New Roman"/>
                <w:color w:val="auto"/>
                <w:kern w:val="0"/>
                <w:sz w:val="24"/>
                <w:highlight w:val="none"/>
              </w:rPr>
              <w:t>下表：</w:t>
            </w:r>
          </w:p>
          <w:p w14:paraId="4C5010AB">
            <w:pPr>
              <w:adjustRightInd w:val="0"/>
              <w:snapToGrid w:val="0"/>
              <w:jc w:val="center"/>
              <w:rPr>
                <w:rFonts w:hint="default" w:ascii="Times New Roman" w:hAnsi="Times New Roman" w:eastAsia="仿宋" w:cs="Times New Roman"/>
                <w:b/>
                <w:bCs/>
                <w:color w:val="auto"/>
                <w:kern w:val="0"/>
                <w:sz w:val="24"/>
                <w:highlight w:val="none"/>
              </w:rPr>
            </w:pPr>
            <w:r>
              <w:rPr>
                <w:rFonts w:hint="default" w:ascii="Times New Roman" w:hAnsi="Times New Roman" w:eastAsia="仿宋" w:cs="Times New Roman"/>
                <w:b/>
                <w:bCs/>
                <w:color w:val="auto"/>
                <w:kern w:val="0"/>
                <w:sz w:val="24"/>
                <w:highlight w:val="none"/>
              </w:rPr>
              <w:t>表1-1  专项评价设置对照表</w:t>
            </w:r>
          </w:p>
          <w:tbl>
            <w:tblPr>
              <w:tblStyle w:val="2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8"/>
              <w:gridCol w:w="3938"/>
              <w:gridCol w:w="2062"/>
              <w:gridCol w:w="1112"/>
            </w:tblGrid>
            <w:tr w14:paraId="52CDE6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5" w:type="pct"/>
                  <w:tcBorders>
                    <w:top w:val="single" w:color="000000" w:sz="12" w:space="0"/>
                    <w:left w:val="nil"/>
                    <w:bottom w:val="single" w:color="000000" w:sz="4" w:space="0"/>
                    <w:right w:val="single" w:color="000000" w:sz="4" w:space="0"/>
                  </w:tcBorders>
                  <w:noWrap w:val="0"/>
                  <w:vAlign w:val="center"/>
                </w:tcPr>
                <w:p w14:paraId="75461C7E">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类别</w:t>
                  </w:r>
                </w:p>
              </w:tc>
              <w:tc>
                <w:tcPr>
                  <w:tcW w:w="2527" w:type="pct"/>
                  <w:tcBorders>
                    <w:top w:val="single" w:color="000000" w:sz="12" w:space="0"/>
                    <w:left w:val="single" w:color="000000" w:sz="4" w:space="0"/>
                    <w:bottom w:val="single" w:color="000000" w:sz="4" w:space="0"/>
                    <w:right w:val="single" w:color="000000" w:sz="4" w:space="0"/>
                  </w:tcBorders>
                  <w:noWrap w:val="0"/>
                  <w:vAlign w:val="center"/>
                </w:tcPr>
                <w:p w14:paraId="590C8B97">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设置原则</w:t>
                  </w:r>
                </w:p>
              </w:tc>
              <w:tc>
                <w:tcPr>
                  <w:tcW w:w="1323" w:type="pct"/>
                  <w:tcBorders>
                    <w:top w:val="single" w:color="000000" w:sz="12" w:space="0"/>
                    <w:left w:val="single" w:color="000000" w:sz="4" w:space="0"/>
                    <w:bottom w:val="single" w:color="000000" w:sz="4" w:space="0"/>
                    <w:right w:val="single" w:color="000000" w:sz="4" w:space="0"/>
                  </w:tcBorders>
                  <w:noWrap w:val="0"/>
                  <w:vAlign w:val="center"/>
                </w:tcPr>
                <w:p w14:paraId="2D4D906F">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对照情况</w:t>
                  </w:r>
                </w:p>
              </w:tc>
              <w:tc>
                <w:tcPr>
                  <w:tcW w:w="713" w:type="pct"/>
                  <w:tcBorders>
                    <w:top w:val="single" w:color="000000" w:sz="12" w:space="0"/>
                    <w:left w:val="single" w:color="000000" w:sz="4" w:space="0"/>
                    <w:bottom w:val="single" w:color="000000" w:sz="4" w:space="0"/>
                    <w:right w:val="nil"/>
                  </w:tcBorders>
                  <w:noWrap w:val="0"/>
                  <w:vAlign w:val="center"/>
                </w:tcPr>
                <w:p w14:paraId="2C9C8C03">
                  <w:pPr>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是否设置</w:t>
                  </w:r>
                </w:p>
              </w:tc>
            </w:tr>
            <w:tr w14:paraId="446560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5" w:type="pct"/>
                  <w:tcBorders>
                    <w:top w:val="single" w:color="000000" w:sz="4" w:space="0"/>
                    <w:left w:val="nil"/>
                    <w:bottom w:val="single" w:color="000000" w:sz="4" w:space="0"/>
                    <w:right w:val="single" w:color="000000" w:sz="4" w:space="0"/>
                  </w:tcBorders>
                  <w:noWrap w:val="0"/>
                  <w:vAlign w:val="center"/>
                </w:tcPr>
                <w:p w14:paraId="7E6947E7">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大气</w:t>
                  </w:r>
                </w:p>
              </w:tc>
              <w:tc>
                <w:tcPr>
                  <w:tcW w:w="2527" w:type="pct"/>
                  <w:tcBorders>
                    <w:top w:val="single" w:color="000000" w:sz="4" w:space="0"/>
                    <w:left w:val="single" w:color="000000" w:sz="4" w:space="0"/>
                    <w:bottom w:val="single" w:color="000000" w:sz="4" w:space="0"/>
                    <w:right w:val="single" w:color="000000" w:sz="4" w:space="0"/>
                  </w:tcBorders>
                  <w:noWrap w:val="0"/>
                  <w:vAlign w:val="center"/>
                </w:tcPr>
                <w:p w14:paraId="4934A042">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排放废气含有毒有害污染物</w:t>
                  </w:r>
                  <w:r>
                    <w:rPr>
                      <w:rFonts w:hint="default" w:ascii="Times New Roman" w:hAnsi="Times New Roman" w:eastAsia="仿宋" w:cs="Times New Roman"/>
                      <w:color w:val="auto"/>
                      <w:sz w:val="21"/>
                      <w:szCs w:val="21"/>
                      <w:highlight w:val="none"/>
                      <w:vertAlign w:val="superscript"/>
                    </w:rPr>
                    <w:t>1</w:t>
                  </w:r>
                  <w:r>
                    <w:rPr>
                      <w:rFonts w:hint="default" w:ascii="Times New Roman" w:hAnsi="Times New Roman" w:eastAsia="仿宋" w:cs="Times New Roman"/>
                      <w:color w:val="auto"/>
                      <w:sz w:val="21"/>
                      <w:szCs w:val="21"/>
                      <w:highlight w:val="none"/>
                    </w:rPr>
                    <w:t>、二噁英、苯并[a]芘、氰化物、氯气且厂界外500米范围内有环境空气保护目标</w:t>
                  </w:r>
                  <w:r>
                    <w:rPr>
                      <w:rFonts w:hint="default" w:ascii="Times New Roman" w:hAnsi="Times New Roman" w:eastAsia="仿宋" w:cs="Times New Roman"/>
                      <w:color w:val="auto"/>
                      <w:sz w:val="21"/>
                      <w:szCs w:val="21"/>
                      <w:highlight w:val="none"/>
                      <w:vertAlign w:val="superscript"/>
                    </w:rPr>
                    <w:t>2</w:t>
                  </w:r>
                  <w:r>
                    <w:rPr>
                      <w:rFonts w:hint="default" w:ascii="Times New Roman" w:hAnsi="Times New Roman" w:eastAsia="仿宋" w:cs="Times New Roman"/>
                      <w:color w:val="auto"/>
                      <w:sz w:val="21"/>
                      <w:szCs w:val="21"/>
                      <w:highlight w:val="none"/>
                    </w:rPr>
                    <w:t>的建设项目</w:t>
                  </w:r>
                </w:p>
              </w:tc>
              <w:tc>
                <w:tcPr>
                  <w:tcW w:w="1323" w:type="pct"/>
                  <w:tcBorders>
                    <w:top w:val="single" w:color="000000" w:sz="4" w:space="0"/>
                    <w:left w:val="single" w:color="000000" w:sz="4" w:space="0"/>
                    <w:bottom w:val="single" w:color="000000" w:sz="4" w:space="0"/>
                    <w:right w:val="single" w:color="000000" w:sz="4" w:space="0"/>
                  </w:tcBorders>
                  <w:noWrap w:val="0"/>
                  <w:vAlign w:val="center"/>
                </w:tcPr>
                <w:p w14:paraId="1310B228">
                  <w:pPr>
                    <w:adjustRightInd w:val="0"/>
                    <w:snapToGrid w:val="0"/>
                    <w:jc w:val="center"/>
                    <w:rPr>
                      <w:rFonts w:hint="eastAsia"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szCs w:val="21"/>
                    </w:rPr>
                    <w:t>本项目不排放有毒有害污染物、二噁英等废</w:t>
                  </w:r>
                  <w:r>
                    <w:rPr>
                      <w:rFonts w:hint="eastAsia" w:eastAsia="仿宋" w:cs="Times New Roman"/>
                      <w:szCs w:val="21"/>
                      <w:lang w:val="en-US" w:eastAsia="zh-CN"/>
                    </w:rPr>
                    <w:t>气</w:t>
                  </w:r>
                </w:p>
              </w:tc>
              <w:tc>
                <w:tcPr>
                  <w:tcW w:w="713" w:type="pct"/>
                  <w:tcBorders>
                    <w:top w:val="single" w:color="000000" w:sz="4" w:space="0"/>
                    <w:left w:val="single" w:color="000000" w:sz="4" w:space="0"/>
                    <w:bottom w:val="single" w:color="000000" w:sz="4" w:space="0"/>
                    <w:right w:val="nil"/>
                  </w:tcBorders>
                  <w:noWrap w:val="0"/>
                  <w:vAlign w:val="center"/>
                </w:tcPr>
                <w:p w14:paraId="26BE2FB0">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否</w:t>
                  </w:r>
                </w:p>
              </w:tc>
            </w:tr>
            <w:tr w14:paraId="03B727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5" w:type="pct"/>
                  <w:tcBorders>
                    <w:top w:val="single" w:color="000000" w:sz="4" w:space="0"/>
                    <w:left w:val="nil"/>
                    <w:bottom w:val="single" w:color="000000" w:sz="4" w:space="0"/>
                    <w:right w:val="single" w:color="000000" w:sz="4" w:space="0"/>
                  </w:tcBorders>
                  <w:noWrap w:val="0"/>
                  <w:vAlign w:val="center"/>
                </w:tcPr>
                <w:p w14:paraId="15322765">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地表水</w:t>
                  </w:r>
                </w:p>
              </w:tc>
              <w:tc>
                <w:tcPr>
                  <w:tcW w:w="2527" w:type="pct"/>
                  <w:tcBorders>
                    <w:top w:val="single" w:color="000000" w:sz="4" w:space="0"/>
                    <w:left w:val="single" w:color="000000" w:sz="4" w:space="0"/>
                    <w:bottom w:val="single" w:color="000000" w:sz="4" w:space="0"/>
                    <w:right w:val="single" w:color="000000" w:sz="4" w:space="0"/>
                  </w:tcBorders>
                  <w:noWrap w:val="0"/>
                  <w:vAlign w:val="center"/>
                </w:tcPr>
                <w:p w14:paraId="55CF7530">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新增工业废水直排建设项目（槽罐车外送污水处理厂的除外）；新增废水直排的污水集中处理厂</w:t>
                  </w:r>
                </w:p>
              </w:tc>
              <w:tc>
                <w:tcPr>
                  <w:tcW w:w="1323" w:type="pct"/>
                  <w:tcBorders>
                    <w:top w:val="single" w:color="000000" w:sz="4" w:space="0"/>
                    <w:left w:val="single" w:color="000000" w:sz="4" w:space="0"/>
                    <w:bottom w:val="single" w:color="000000" w:sz="4" w:space="0"/>
                    <w:right w:val="single" w:color="000000" w:sz="4" w:space="0"/>
                  </w:tcBorders>
                  <w:noWrap w:val="0"/>
                  <w:vAlign w:val="center"/>
                </w:tcPr>
                <w:p w14:paraId="78F99263">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val="en-US" w:eastAsia="zh-CN"/>
                    </w:rPr>
                    <w:t>仅</w:t>
                  </w:r>
                  <w:r>
                    <w:rPr>
                      <w:rFonts w:hint="default" w:ascii="Times New Roman" w:hAnsi="Times New Roman" w:eastAsia="仿宋" w:cs="Times New Roman"/>
                      <w:color w:val="auto"/>
                      <w:sz w:val="21"/>
                      <w:szCs w:val="21"/>
                      <w:highlight w:val="none"/>
                    </w:rPr>
                    <w:t>排放生活污水，生活污水接管排放，不涉及废水直排</w:t>
                  </w:r>
                </w:p>
              </w:tc>
              <w:tc>
                <w:tcPr>
                  <w:tcW w:w="713" w:type="pct"/>
                  <w:tcBorders>
                    <w:top w:val="single" w:color="000000" w:sz="4" w:space="0"/>
                    <w:left w:val="single" w:color="000000" w:sz="4" w:space="0"/>
                    <w:bottom w:val="single" w:color="000000" w:sz="4" w:space="0"/>
                    <w:right w:val="nil"/>
                  </w:tcBorders>
                  <w:noWrap w:val="0"/>
                  <w:vAlign w:val="center"/>
                </w:tcPr>
                <w:p w14:paraId="283DBC87">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否</w:t>
                  </w:r>
                </w:p>
              </w:tc>
            </w:tr>
            <w:tr w14:paraId="1EA538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5" w:type="pct"/>
                  <w:tcBorders>
                    <w:top w:val="single" w:color="000000" w:sz="4" w:space="0"/>
                    <w:left w:val="nil"/>
                    <w:bottom w:val="single" w:color="000000" w:sz="4" w:space="0"/>
                    <w:right w:val="single" w:color="000000" w:sz="4" w:space="0"/>
                  </w:tcBorders>
                  <w:noWrap w:val="0"/>
                  <w:vAlign w:val="center"/>
                </w:tcPr>
                <w:p w14:paraId="7D8393AF">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环境</w:t>
                  </w:r>
                </w:p>
                <w:p w14:paraId="1994FCFC">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风险</w:t>
                  </w:r>
                </w:p>
              </w:tc>
              <w:tc>
                <w:tcPr>
                  <w:tcW w:w="2527" w:type="pct"/>
                  <w:tcBorders>
                    <w:top w:val="single" w:color="000000" w:sz="4" w:space="0"/>
                    <w:left w:val="single" w:color="000000" w:sz="4" w:space="0"/>
                    <w:bottom w:val="single" w:color="000000" w:sz="4" w:space="0"/>
                    <w:right w:val="single" w:color="000000" w:sz="4" w:space="0"/>
                  </w:tcBorders>
                  <w:noWrap w:val="0"/>
                  <w:vAlign w:val="center"/>
                </w:tcPr>
                <w:p w14:paraId="1F77B5CF">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有毒有害和易燃易爆危险物质存储量超过临界量</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eastAsia="仿宋" w:cs="Times New Roman"/>
                      <w:color w:val="auto"/>
                      <w:sz w:val="21"/>
                      <w:szCs w:val="21"/>
                      <w:highlight w:val="none"/>
                    </w:rPr>
                    <w:t>的建设项目</w:t>
                  </w:r>
                </w:p>
              </w:tc>
              <w:tc>
                <w:tcPr>
                  <w:tcW w:w="1323" w:type="pct"/>
                  <w:tcBorders>
                    <w:top w:val="single" w:color="000000" w:sz="4" w:space="0"/>
                    <w:left w:val="single" w:color="000000" w:sz="4" w:space="0"/>
                    <w:bottom w:val="single" w:color="000000" w:sz="4" w:space="0"/>
                    <w:right w:val="single" w:color="000000" w:sz="4" w:space="0"/>
                  </w:tcBorders>
                  <w:noWrap w:val="0"/>
                  <w:vAlign w:val="center"/>
                </w:tcPr>
                <w:p w14:paraId="1FD56D06">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根据计算，本项目危险物质最大存在量</w:t>
                  </w:r>
                  <w:r>
                    <w:rPr>
                      <w:rFonts w:hint="default" w:ascii="Times New Roman" w:hAnsi="Times New Roman" w:eastAsia="仿宋" w:cs="Times New Roman"/>
                      <w:color w:val="auto"/>
                      <w:sz w:val="21"/>
                      <w:szCs w:val="21"/>
                      <w:highlight w:val="none"/>
                      <w:lang w:val="en-US" w:eastAsia="zh-CN"/>
                    </w:rPr>
                    <w:t>未</w:t>
                  </w:r>
                  <w:r>
                    <w:rPr>
                      <w:rFonts w:hint="default" w:ascii="Times New Roman" w:hAnsi="Times New Roman" w:eastAsia="仿宋" w:cs="Times New Roman"/>
                      <w:color w:val="auto"/>
                      <w:sz w:val="21"/>
                      <w:szCs w:val="21"/>
                      <w:highlight w:val="none"/>
                    </w:rPr>
                    <w:t>超过临界量</w:t>
                  </w:r>
                </w:p>
              </w:tc>
              <w:tc>
                <w:tcPr>
                  <w:tcW w:w="713" w:type="pct"/>
                  <w:tcBorders>
                    <w:top w:val="single" w:color="000000" w:sz="4" w:space="0"/>
                    <w:left w:val="single" w:color="000000" w:sz="4" w:space="0"/>
                    <w:bottom w:val="single" w:color="000000" w:sz="4" w:space="0"/>
                    <w:right w:val="nil"/>
                  </w:tcBorders>
                  <w:noWrap w:val="0"/>
                  <w:vAlign w:val="center"/>
                </w:tcPr>
                <w:p w14:paraId="42BA114A">
                  <w:pPr>
                    <w:adjustRightInd w:val="0"/>
                    <w:snapToGrid w:val="0"/>
                    <w:jc w:val="center"/>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否</w:t>
                  </w:r>
                </w:p>
              </w:tc>
            </w:tr>
            <w:tr w14:paraId="2853F2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5" w:type="pct"/>
                  <w:tcBorders>
                    <w:top w:val="single" w:color="000000" w:sz="4" w:space="0"/>
                    <w:left w:val="nil"/>
                    <w:bottom w:val="single" w:color="000000" w:sz="4" w:space="0"/>
                    <w:right w:val="single" w:color="000000" w:sz="4" w:space="0"/>
                  </w:tcBorders>
                  <w:noWrap w:val="0"/>
                  <w:vAlign w:val="center"/>
                </w:tcPr>
                <w:p w14:paraId="116FAB67">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生态</w:t>
                  </w:r>
                </w:p>
              </w:tc>
              <w:tc>
                <w:tcPr>
                  <w:tcW w:w="2527" w:type="pct"/>
                  <w:tcBorders>
                    <w:top w:val="single" w:color="000000" w:sz="4" w:space="0"/>
                    <w:left w:val="single" w:color="000000" w:sz="4" w:space="0"/>
                    <w:bottom w:val="single" w:color="000000" w:sz="4" w:space="0"/>
                    <w:right w:val="single" w:color="000000" w:sz="4" w:space="0"/>
                  </w:tcBorders>
                  <w:noWrap w:val="0"/>
                  <w:vAlign w:val="center"/>
                </w:tcPr>
                <w:p w14:paraId="0E78CA68">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取水口下游500米范围内有重要水生生物的自然产卵场、索饵场、越冬场和洄游通道的新增河道取水的污染类建设项目</w:t>
                  </w:r>
                </w:p>
              </w:tc>
              <w:tc>
                <w:tcPr>
                  <w:tcW w:w="2062" w:type="dxa"/>
                  <w:tcBorders>
                    <w:top w:val="single" w:color="000000" w:sz="4" w:space="0"/>
                    <w:left w:val="single" w:color="000000" w:sz="4" w:space="0"/>
                    <w:bottom w:val="single" w:color="000000" w:sz="4" w:space="0"/>
                    <w:right w:val="single" w:color="000000" w:sz="4" w:space="0"/>
                  </w:tcBorders>
                  <w:noWrap w:val="0"/>
                  <w:vAlign w:val="center"/>
                </w:tcPr>
                <w:p w14:paraId="68AE705E">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szCs w:val="21"/>
                    </w:rPr>
                    <w:t>本项目不涉及</w:t>
                  </w:r>
                </w:p>
              </w:tc>
              <w:tc>
                <w:tcPr>
                  <w:tcW w:w="713" w:type="pct"/>
                  <w:tcBorders>
                    <w:top w:val="single" w:color="000000" w:sz="4" w:space="0"/>
                    <w:left w:val="single" w:color="000000" w:sz="4" w:space="0"/>
                    <w:bottom w:val="single" w:color="000000" w:sz="4" w:space="0"/>
                    <w:right w:val="nil"/>
                  </w:tcBorders>
                  <w:noWrap w:val="0"/>
                  <w:vAlign w:val="center"/>
                </w:tcPr>
                <w:p w14:paraId="5E898FAD">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否</w:t>
                  </w:r>
                </w:p>
              </w:tc>
            </w:tr>
            <w:tr w14:paraId="31F951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35" w:type="pct"/>
                  <w:tcBorders>
                    <w:top w:val="single" w:color="000000" w:sz="4" w:space="0"/>
                    <w:left w:val="nil"/>
                    <w:bottom w:val="single" w:color="000000" w:sz="12" w:space="0"/>
                    <w:right w:val="single" w:color="000000" w:sz="4" w:space="0"/>
                  </w:tcBorders>
                  <w:noWrap w:val="0"/>
                  <w:vAlign w:val="center"/>
                </w:tcPr>
                <w:p w14:paraId="5F3338FA">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海洋</w:t>
                  </w:r>
                </w:p>
              </w:tc>
              <w:tc>
                <w:tcPr>
                  <w:tcW w:w="2527" w:type="pct"/>
                  <w:tcBorders>
                    <w:top w:val="single" w:color="000000" w:sz="4" w:space="0"/>
                    <w:left w:val="single" w:color="000000" w:sz="4" w:space="0"/>
                    <w:bottom w:val="single" w:color="000000" w:sz="12" w:space="0"/>
                    <w:right w:val="single" w:color="000000" w:sz="4" w:space="0"/>
                  </w:tcBorders>
                  <w:noWrap w:val="0"/>
                  <w:vAlign w:val="center"/>
                </w:tcPr>
                <w:p w14:paraId="765A217A">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直接向海排放污染物的海洋工程建设项目</w:t>
                  </w:r>
                </w:p>
              </w:tc>
              <w:tc>
                <w:tcPr>
                  <w:tcW w:w="2062" w:type="dxa"/>
                  <w:tcBorders>
                    <w:top w:val="single" w:color="000000" w:sz="4" w:space="0"/>
                    <w:left w:val="single" w:color="000000" w:sz="4" w:space="0"/>
                    <w:bottom w:val="single" w:color="000000" w:sz="12" w:space="0"/>
                    <w:right w:val="single" w:color="000000" w:sz="4" w:space="0"/>
                  </w:tcBorders>
                  <w:noWrap w:val="0"/>
                  <w:vAlign w:val="center"/>
                </w:tcPr>
                <w:p w14:paraId="52642C49">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szCs w:val="21"/>
                    </w:rPr>
                    <w:t>本项目不涉及</w:t>
                  </w:r>
                </w:p>
              </w:tc>
              <w:tc>
                <w:tcPr>
                  <w:tcW w:w="713" w:type="pct"/>
                  <w:tcBorders>
                    <w:top w:val="single" w:color="000000" w:sz="4" w:space="0"/>
                    <w:left w:val="single" w:color="000000" w:sz="4" w:space="0"/>
                    <w:bottom w:val="single" w:color="000000" w:sz="12" w:space="0"/>
                    <w:right w:val="nil"/>
                  </w:tcBorders>
                  <w:noWrap w:val="0"/>
                  <w:vAlign w:val="center"/>
                </w:tcPr>
                <w:p w14:paraId="2711A57C">
                  <w:pPr>
                    <w:adjustRightInd w:val="0"/>
                    <w:snapToGrid w:val="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否</w:t>
                  </w:r>
                </w:p>
              </w:tc>
            </w:tr>
          </w:tbl>
          <w:p w14:paraId="5D26C9C6">
            <w:pPr>
              <w:autoSpaceDE w:val="0"/>
              <w:autoSpaceDN w:val="0"/>
              <w:adjustRightInd w:val="0"/>
              <w:snapToGrid w:val="0"/>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注：1.废气中有毒有害污染物指纳入《有毒有害大气污染物名录（2018年）》的污染物（不包括无排放标准的污染物）；</w:t>
            </w:r>
          </w:p>
          <w:p w14:paraId="5DCE3C65">
            <w:pPr>
              <w:autoSpaceDE w:val="0"/>
              <w:autoSpaceDN w:val="0"/>
              <w:adjustRightInd w:val="0"/>
              <w:snapToGrid w:val="0"/>
              <w:rPr>
                <w:rFonts w:hint="default" w:ascii="Times New Roman" w:hAnsi="Times New Roman" w:eastAsia="仿宋" w:cs="Times New Roman"/>
                <w:color w:val="auto"/>
                <w:kern w:val="0"/>
                <w:sz w:val="18"/>
                <w:szCs w:val="18"/>
                <w:highlight w:val="none"/>
              </w:rPr>
            </w:pPr>
            <w:r>
              <w:rPr>
                <w:rFonts w:hint="default" w:ascii="Times New Roman" w:hAnsi="Times New Roman" w:eastAsia="仿宋" w:cs="Times New Roman"/>
                <w:color w:val="auto"/>
                <w:kern w:val="0"/>
                <w:sz w:val="18"/>
                <w:szCs w:val="18"/>
                <w:highlight w:val="none"/>
              </w:rPr>
              <w:t>2.环境空气保护目标指自然保护区、风景名胜区、居住区、文化区和农村地区中人群较集中的区域；</w:t>
            </w:r>
          </w:p>
          <w:p w14:paraId="07F5751C">
            <w:pPr>
              <w:adjustRightInd w:val="0"/>
              <w:snapToGrid w:val="0"/>
              <w:jc w:val="left"/>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spacing w:val="-3"/>
                <w:kern w:val="0"/>
                <w:sz w:val="18"/>
                <w:szCs w:val="18"/>
                <w:highlight w:val="none"/>
              </w:rPr>
              <w:t>3.临界量及其计算方法可参考《建设项目环境风险评价技术导则》（HJ</w:t>
            </w:r>
            <w:r>
              <w:rPr>
                <w:rFonts w:hint="default" w:ascii="Times New Roman" w:hAnsi="Times New Roman" w:eastAsia="仿宋" w:cs="Times New Roman"/>
                <w:color w:val="auto"/>
                <w:spacing w:val="-5"/>
                <w:kern w:val="0"/>
                <w:sz w:val="18"/>
                <w:szCs w:val="18"/>
                <w:highlight w:val="none"/>
              </w:rPr>
              <w:t>169-2018）附录</w:t>
            </w:r>
            <w:r>
              <w:rPr>
                <w:rFonts w:hint="default" w:ascii="Times New Roman" w:hAnsi="Times New Roman" w:eastAsia="仿宋" w:cs="Times New Roman"/>
                <w:color w:val="auto"/>
                <w:spacing w:val="-7"/>
                <w:kern w:val="0"/>
                <w:sz w:val="18"/>
                <w:szCs w:val="18"/>
                <w:highlight w:val="none"/>
              </w:rPr>
              <w:t>B、附录</w:t>
            </w:r>
            <w:r>
              <w:rPr>
                <w:rFonts w:hint="default" w:ascii="Times New Roman" w:hAnsi="Times New Roman" w:eastAsia="仿宋" w:cs="Times New Roman"/>
                <w:color w:val="auto"/>
                <w:kern w:val="0"/>
                <w:sz w:val="18"/>
                <w:szCs w:val="18"/>
                <w:highlight w:val="none"/>
              </w:rPr>
              <w:t>C。</w:t>
            </w:r>
          </w:p>
        </w:tc>
      </w:tr>
      <w:tr w14:paraId="022AA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 w:type="dxa"/>
            <w:noWrap w:val="0"/>
            <w:vAlign w:val="center"/>
          </w:tcPr>
          <w:p w14:paraId="6AE190E3">
            <w:pPr>
              <w:autoSpaceDE w:val="0"/>
              <w:autoSpaceDN w:val="0"/>
              <w:adjustRightInd w:val="0"/>
              <w:snapToGrid w:val="0"/>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规划情况</w:t>
            </w:r>
          </w:p>
        </w:tc>
        <w:tc>
          <w:tcPr>
            <w:tcW w:w="8006" w:type="dxa"/>
            <w:gridSpan w:val="4"/>
            <w:noWrap w:val="0"/>
            <w:vAlign w:val="center"/>
          </w:tcPr>
          <w:p w14:paraId="5D36F42F">
            <w:pPr>
              <w:adjustRightInd w:val="0"/>
              <w:snapToGrid w:val="0"/>
              <w:spacing w:before="120" w:beforeLines="50" w:line="360" w:lineRule="auto"/>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规划名称：《</w:t>
            </w:r>
            <w:r>
              <w:rPr>
                <w:rFonts w:hint="eastAsia" w:eastAsia="仿宋" w:cs="Times New Roman"/>
                <w:color w:val="auto"/>
                <w:kern w:val="0"/>
                <w:sz w:val="24"/>
                <w:highlight w:val="none"/>
                <w:lang w:val="en-US" w:eastAsia="zh-CN"/>
              </w:rPr>
              <w:t>江苏金坛经济开发区开发建设规划（2025-2035年）</w:t>
            </w:r>
            <w:r>
              <w:rPr>
                <w:rFonts w:hint="default" w:ascii="Times New Roman" w:hAnsi="Times New Roman" w:eastAsia="仿宋" w:cs="Times New Roman"/>
                <w:color w:val="auto"/>
                <w:kern w:val="0"/>
                <w:sz w:val="24"/>
                <w:highlight w:val="none"/>
              </w:rPr>
              <w:t>》；</w:t>
            </w:r>
          </w:p>
          <w:p w14:paraId="0FC6F18B">
            <w:pPr>
              <w:adjustRightInd w:val="0"/>
              <w:snapToGrid w:val="0"/>
              <w:spacing w:line="360" w:lineRule="auto"/>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审批机关：</w:t>
            </w:r>
            <w:r>
              <w:rPr>
                <w:rFonts w:hint="default" w:ascii="Times New Roman" w:hAnsi="Times New Roman" w:eastAsia="仿宋" w:cs="Times New Roman"/>
                <w:color w:val="auto"/>
                <w:kern w:val="0"/>
                <w:sz w:val="24"/>
                <w:highlight w:val="none"/>
                <w:lang w:val="en-US" w:eastAsia="zh-CN"/>
              </w:rPr>
              <w:t>金坛</w:t>
            </w:r>
            <w:r>
              <w:rPr>
                <w:rFonts w:hint="eastAsia" w:eastAsia="仿宋" w:cs="Times New Roman"/>
                <w:color w:val="auto"/>
                <w:kern w:val="0"/>
                <w:sz w:val="24"/>
                <w:highlight w:val="none"/>
                <w:lang w:val="en-US" w:eastAsia="zh-CN"/>
              </w:rPr>
              <w:t>区</w:t>
            </w:r>
            <w:r>
              <w:rPr>
                <w:rFonts w:hint="default" w:ascii="Times New Roman" w:hAnsi="Times New Roman" w:eastAsia="仿宋" w:cs="Times New Roman"/>
                <w:color w:val="auto"/>
                <w:kern w:val="0"/>
                <w:sz w:val="24"/>
                <w:highlight w:val="none"/>
                <w:lang w:val="en-US" w:eastAsia="zh-CN"/>
              </w:rPr>
              <w:t>人民政府</w:t>
            </w:r>
            <w:r>
              <w:rPr>
                <w:rFonts w:hint="default" w:ascii="Times New Roman" w:hAnsi="Times New Roman" w:eastAsia="仿宋" w:cs="Times New Roman"/>
                <w:color w:val="auto"/>
                <w:kern w:val="0"/>
                <w:sz w:val="24"/>
                <w:highlight w:val="none"/>
              </w:rPr>
              <w:t>；</w:t>
            </w:r>
          </w:p>
          <w:p w14:paraId="2C48296B">
            <w:pPr>
              <w:adjustRightInd w:val="0"/>
              <w:snapToGrid w:val="0"/>
              <w:spacing w:line="360" w:lineRule="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kern w:val="0"/>
                <w:sz w:val="24"/>
                <w:highlight w:val="none"/>
              </w:rPr>
              <w:t>审批文件文号：</w:t>
            </w:r>
            <w:r>
              <w:rPr>
                <w:rFonts w:hint="default" w:ascii="Times New Roman" w:hAnsi="Times New Roman" w:eastAsia="仿宋" w:cs="Times New Roman"/>
                <w:color w:val="auto"/>
                <w:kern w:val="0"/>
                <w:sz w:val="24"/>
                <w:highlight w:val="none"/>
                <w:lang w:val="en-US" w:eastAsia="zh-CN"/>
              </w:rPr>
              <w:t>坛</w:t>
            </w:r>
            <w:r>
              <w:rPr>
                <w:rFonts w:hint="default" w:ascii="Times New Roman" w:hAnsi="Times New Roman" w:eastAsia="仿宋" w:cs="Times New Roman"/>
                <w:color w:val="auto"/>
                <w:kern w:val="0"/>
                <w:sz w:val="24"/>
                <w:highlight w:val="none"/>
              </w:rPr>
              <w:t>政复〔</w:t>
            </w:r>
            <w:r>
              <w:rPr>
                <w:rFonts w:hint="default" w:ascii="Times New Roman" w:hAnsi="Times New Roman" w:eastAsia="仿宋" w:cs="Times New Roman"/>
                <w:color w:val="auto"/>
                <w:kern w:val="0"/>
                <w:sz w:val="24"/>
                <w:highlight w:val="none"/>
                <w:lang w:val="en-US" w:eastAsia="zh-CN"/>
              </w:rPr>
              <w:t>20</w:t>
            </w:r>
            <w:r>
              <w:rPr>
                <w:rFonts w:hint="eastAsia" w:eastAsia="仿宋" w:cs="Times New Roman"/>
                <w:color w:val="auto"/>
                <w:kern w:val="0"/>
                <w:sz w:val="24"/>
                <w:highlight w:val="none"/>
                <w:lang w:val="en-US" w:eastAsia="zh-CN"/>
              </w:rPr>
              <w:t>24</w:t>
            </w:r>
            <w:r>
              <w:rPr>
                <w:rFonts w:hint="default" w:ascii="Times New Roman" w:hAnsi="Times New Roman" w:eastAsia="仿宋" w:cs="Times New Roman"/>
                <w:color w:val="auto"/>
                <w:kern w:val="0"/>
                <w:sz w:val="24"/>
                <w:highlight w:val="none"/>
              </w:rPr>
              <w:t>〕</w:t>
            </w:r>
            <w:r>
              <w:rPr>
                <w:rFonts w:hint="eastAsia" w:eastAsia="仿宋" w:cs="Times New Roman"/>
                <w:color w:val="auto"/>
                <w:kern w:val="0"/>
                <w:sz w:val="24"/>
                <w:highlight w:val="none"/>
                <w:lang w:val="en-US" w:eastAsia="zh-CN"/>
              </w:rPr>
              <w:t>5</w:t>
            </w:r>
            <w:r>
              <w:rPr>
                <w:rFonts w:hint="default" w:ascii="Times New Roman" w:hAnsi="Times New Roman" w:eastAsia="仿宋" w:cs="Times New Roman"/>
                <w:color w:val="auto"/>
                <w:kern w:val="0"/>
                <w:sz w:val="24"/>
                <w:highlight w:val="none"/>
              </w:rPr>
              <w:t>号。</w:t>
            </w:r>
          </w:p>
        </w:tc>
      </w:tr>
      <w:tr w14:paraId="79352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64" w:type="dxa"/>
            <w:noWrap w:val="0"/>
            <w:vAlign w:val="center"/>
          </w:tcPr>
          <w:p w14:paraId="6869E119">
            <w:pPr>
              <w:adjustRightInd w:val="0"/>
              <w:snapToGrid w:val="0"/>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sz w:val="24"/>
                <w:highlight w:val="none"/>
              </w:rPr>
              <w:t>规划环境影响评价情况</w:t>
            </w:r>
          </w:p>
        </w:tc>
        <w:tc>
          <w:tcPr>
            <w:tcW w:w="8006" w:type="dxa"/>
            <w:gridSpan w:val="4"/>
            <w:noWrap w:val="0"/>
            <w:vAlign w:val="center"/>
          </w:tcPr>
          <w:p w14:paraId="0E7F6033">
            <w:pPr>
              <w:adjustRightInd w:val="0"/>
              <w:snapToGrid w:val="0"/>
              <w:spacing w:before="120" w:beforeLines="50" w:line="360" w:lineRule="auto"/>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规划环评名称：《</w:t>
            </w:r>
            <w:r>
              <w:rPr>
                <w:rFonts w:hint="eastAsia" w:eastAsia="仿宋" w:cs="Times New Roman"/>
                <w:color w:val="auto"/>
                <w:kern w:val="0"/>
                <w:sz w:val="24"/>
                <w:highlight w:val="none"/>
                <w:lang w:val="en-US" w:eastAsia="zh-CN"/>
              </w:rPr>
              <w:t>江苏</w:t>
            </w:r>
            <w:r>
              <w:rPr>
                <w:rFonts w:hint="default" w:ascii="Times New Roman" w:hAnsi="Times New Roman" w:eastAsia="仿宋" w:cs="Times New Roman"/>
                <w:color w:val="auto"/>
                <w:kern w:val="0"/>
                <w:sz w:val="24"/>
                <w:highlight w:val="none"/>
              </w:rPr>
              <w:t>金坛经济开发区</w:t>
            </w:r>
            <w:r>
              <w:rPr>
                <w:rFonts w:hint="eastAsia" w:eastAsia="仿宋" w:cs="Times New Roman"/>
                <w:color w:val="auto"/>
                <w:kern w:val="0"/>
                <w:sz w:val="24"/>
                <w:highlight w:val="none"/>
                <w:lang w:val="en-US" w:eastAsia="zh-CN"/>
              </w:rPr>
              <w:t>开发建设</w:t>
            </w:r>
            <w:r>
              <w:rPr>
                <w:rFonts w:hint="default" w:ascii="Times New Roman" w:hAnsi="Times New Roman" w:eastAsia="仿宋" w:cs="Times New Roman"/>
                <w:color w:val="auto"/>
                <w:kern w:val="0"/>
                <w:sz w:val="24"/>
                <w:highlight w:val="none"/>
              </w:rPr>
              <w:t>规划</w:t>
            </w:r>
            <w:r>
              <w:rPr>
                <w:rFonts w:hint="eastAsia" w:eastAsia="仿宋" w:cs="Times New Roman"/>
                <w:color w:val="auto"/>
                <w:kern w:val="0"/>
                <w:sz w:val="24"/>
                <w:highlight w:val="none"/>
                <w:lang w:eastAsia="zh-CN"/>
              </w:rPr>
              <w:t>（</w:t>
            </w:r>
            <w:r>
              <w:rPr>
                <w:rFonts w:hint="eastAsia" w:eastAsia="仿宋" w:cs="Times New Roman"/>
                <w:color w:val="auto"/>
                <w:kern w:val="0"/>
                <w:sz w:val="24"/>
                <w:highlight w:val="none"/>
                <w:lang w:val="en-US" w:eastAsia="zh-CN"/>
              </w:rPr>
              <w:t>2025-2035年</w:t>
            </w:r>
            <w:r>
              <w:rPr>
                <w:rFonts w:hint="eastAsia" w:eastAsia="仿宋" w:cs="Times New Roman"/>
                <w:color w:val="auto"/>
                <w:kern w:val="0"/>
                <w:sz w:val="24"/>
                <w:highlight w:val="none"/>
                <w:lang w:eastAsia="zh-CN"/>
              </w:rPr>
              <w:t>）</w:t>
            </w:r>
            <w:r>
              <w:rPr>
                <w:rFonts w:hint="default" w:ascii="Times New Roman" w:hAnsi="Times New Roman" w:eastAsia="仿宋" w:cs="Times New Roman"/>
                <w:color w:val="auto"/>
                <w:kern w:val="0"/>
                <w:sz w:val="24"/>
                <w:highlight w:val="none"/>
              </w:rPr>
              <w:t>环境影响报告书》；</w:t>
            </w:r>
          </w:p>
          <w:p w14:paraId="7032E10D">
            <w:pPr>
              <w:adjustRightInd w:val="0"/>
              <w:snapToGrid w:val="0"/>
              <w:spacing w:line="360" w:lineRule="auto"/>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召集审查机关：江苏省环境保护厅；</w:t>
            </w:r>
          </w:p>
          <w:p w14:paraId="655014DB">
            <w:pPr>
              <w:adjustRightInd w:val="0"/>
              <w:snapToGrid w:val="0"/>
              <w:spacing w:line="360" w:lineRule="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kern w:val="0"/>
                <w:sz w:val="24"/>
                <w:highlight w:val="none"/>
              </w:rPr>
              <w:t>审查文件名称及文号：《</w:t>
            </w:r>
            <w:r>
              <w:rPr>
                <w:rFonts w:hint="eastAsia" w:eastAsia="仿宋" w:cs="Times New Roman"/>
                <w:color w:val="auto"/>
                <w:kern w:val="0"/>
                <w:sz w:val="24"/>
                <w:highlight w:val="none"/>
                <w:lang w:val="en-US" w:eastAsia="zh-CN"/>
              </w:rPr>
              <w:t>省生态环境厅关于江苏金坛经济开发区开发建设规划（2025-2035年）</w:t>
            </w:r>
            <w:r>
              <w:rPr>
                <w:rFonts w:hint="default" w:ascii="Times New Roman" w:hAnsi="Times New Roman" w:eastAsia="仿宋" w:cs="Times New Roman"/>
                <w:color w:val="auto"/>
                <w:kern w:val="0"/>
                <w:sz w:val="24"/>
                <w:highlight w:val="none"/>
              </w:rPr>
              <w:t>环境影响评价</w:t>
            </w:r>
            <w:r>
              <w:rPr>
                <w:rFonts w:hint="eastAsia" w:eastAsia="仿宋" w:cs="Times New Roman"/>
                <w:color w:val="auto"/>
                <w:kern w:val="0"/>
                <w:sz w:val="24"/>
                <w:highlight w:val="none"/>
                <w:lang w:val="en-US" w:eastAsia="zh-CN"/>
              </w:rPr>
              <w:t>报告书的</w:t>
            </w:r>
            <w:r>
              <w:rPr>
                <w:rFonts w:hint="default" w:ascii="Times New Roman" w:hAnsi="Times New Roman" w:eastAsia="仿宋" w:cs="Times New Roman"/>
                <w:color w:val="auto"/>
                <w:kern w:val="0"/>
                <w:sz w:val="24"/>
                <w:highlight w:val="none"/>
              </w:rPr>
              <w:t>审查意见》（苏环审</w:t>
            </w:r>
            <w:r>
              <w:rPr>
                <w:rFonts w:hint="default" w:ascii="Times New Roman" w:hAnsi="Times New Roman" w:eastAsia="仿宋" w:cs="Times New Roman"/>
                <w:color w:val="auto"/>
                <w:kern w:val="0"/>
                <w:sz w:val="24"/>
                <w:highlight w:val="none"/>
                <w:lang w:eastAsia="zh-CN"/>
              </w:rPr>
              <w:t>〔20</w:t>
            </w:r>
            <w:r>
              <w:rPr>
                <w:rFonts w:hint="eastAsia" w:eastAsia="仿宋" w:cs="Times New Roman"/>
                <w:color w:val="auto"/>
                <w:kern w:val="0"/>
                <w:sz w:val="24"/>
                <w:highlight w:val="none"/>
                <w:lang w:val="en-US" w:eastAsia="zh-CN"/>
              </w:rPr>
              <w:t>26</w:t>
            </w:r>
            <w:r>
              <w:rPr>
                <w:rFonts w:hint="default" w:ascii="Times New Roman" w:hAnsi="Times New Roman" w:eastAsia="仿宋" w:cs="Times New Roman"/>
                <w:color w:val="auto"/>
                <w:kern w:val="0"/>
                <w:sz w:val="24"/>
                <w:highlight w:val="none"/>
                <w:lang w:eastAsia="zh-CN"/>
              </w:rPr>
              <w:t>〕</w:t>
            </w:r>
            <w:r>
              <w:rPr>
                <w:rFonts w:hint="eastAsia" w:eastAsia="仿宋" w:cs="Times New Roman"/>
                <w:color w:val="auto"/>
                <w:kern w:val="0"/>
                <w:sz w:val="24"/>
                <w:highlight w:val="none"/>
                <w:lang w:val="en-US" w:eastAsia="zh-CN"/>
              </w:rPr>
              <w:t>17</w:t>
            </w:r>
            <w:r>
              <w:rPr>
                <w:rFonts w:hint="default" w:ascii="Times New Roman" w:hAnsi="Times New Roman" w:eastAsia="仿宋" w:cs="Times New Roman"/>
                <w:color w:val="auto"/>
                <w:kern w:val="0"/>
                <w:sz w:val="24"/>
                <w:highlight w:val="none"/>
                <w:lang w:eastAsia="zh-CN"/>
              </w:rPr>
              <w:t>号</w:t>
            </w:r>
            <w:r>
              <w:rPr>
                <w:rFonts w:hint="default" w:ascii="Times New Roman" w:hAnsi="Times New Roman" w:eastAsia="仿宋" w:cs="Times New Roman"/>
                <w:color w:val="auto"/>
                <w:kern w:val="0"/>
                <w:sz w:val="24"/>
                <w:highlight w:val="none"/>
              </w:rPr>
              <w:t>）。</w:t>
            </w:r>
          </w:p>
        </w:tc>
      </w:tr>
      <w:tr w14:paraId="30DE4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64" w:type="dxa"/>
            <w:noWrap w:val="0"/>
            <w:vAlign w:val="center"/>
          </w:tcPr>
          <w:p w14:paraId="45CBE213">
            <w:pPr>
              <w:autoSpaceDE w:val="0"/>
              <w:autoSpaceDN w:val="0"/>
              <w:adjustRightInd w:val="0"/>
              <w:snapToGrid w:val="0"/>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规划及规划环境影响评价符合性分析</w:t>
            </w:r>
          </w:p>
        </w:tc>
        <w:tc>
          <w:tcPr>
            <w:tcW w:w="8006" w:type="dxa"/>
            <w:gridSpan w:val="4"/>
            <w:noWrap w:val="0"/>
            <w:vAlign w:val="center"/>
          </w:tcPr>
          <w:p w14:paraId="3133C5A9">
            <w:pPr>
              <w:autoSpaceDE w:val="0"/>
              <w:autoSpaceDN w:val="0"/>
              <w:adjustRightInd w:val="0"/>
              <w:snapToGrid w:val="0"/>
              <w:spacing w:before="120" w:beforeLines="50" w:line="360" w:lineRule="auto"/>
              <w:ind w:firstLine="480" w:firstLineChars="20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1、与</w:t>
            </w:r>
            <w:r>
              <w:rPr>
                <w:rFonts w:hint="default" w:ascii="Times New Roman" w:hAnsi="Times New Roman" w:eastAsia="仿宋" w:cs="Times New Roman"/>
                <w:color w:val="auto"/>
                <w:sz w:val="24"/>
                <w:szCs w:val="24"/>
                <w:highlight w:val="none"/>
              </w:rPr>
              <w:t>规划</w:t>
            </w:r>
            <w:r>
              <w:rPr>
                <w:rFonts w:hint="default" w:ascii="Times New Roman" w:hAnsi="Times New Roman" w:eastAsia="仿宋" w:cs="Times New Roman"/>
                <w:color w:val="auto"/>
                <w:kern w:val="0"/>
                <w:sz w:val="24"/>
                <w:szCs w:val="24"/>
                <w:highlight w:val="none"/>
              </w:rPr>
              <w:t>相符性分析</w:t>
            </w:r>
          </w:p>
          <w:p w14:paraId="701FF968">
            <w:pPr>
              <w:autoSpaceDE w:val="0"/>
              <w:autoSpaceDN w:val="0"/>
              <w:adjustRightInd w:val="0"/>
              <w:snapToGrid w:val="0"/>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w:t>
            </w:r>
            <w:r>
              <w:rPr>
                <w:rFonts w:hint="default" w:ascii="Times New Roman" w:hAnsi="Times New Roman" w:eastAsia="仿宋" w:cs="Times New Roman"/>
                <w:color w:val="auto"/>
                <w:kern w:val="0"/>
                <w:sz w:val="24"/>
                <w:highlight w:val="none"/>
              </w:rPr>
              <w:t>《</w:t>
            </w:r>
            <w:r>
              <w:rPr>
                <w:rFonts w:hint="eastAsia" w:eastAsia="仿宋" w:cs="Times New Roman"/>
                <w:color w:val="auto"/>
                <w:kern w:val="0"/>
                <w:sz w:val="24"/>
                <w:highlight w:val="none"/>
                <w:lang w:val="en-US" w:eastAsia="zh-CN"/>
              </w:rPr>
              <w:t>江苏金坛经济开发区开发建设规划（2025-2035年）</w:t>
            </w:r>
            <w:r>
              <w:rPr>
                <w:rFonts w:hint="default" w:ascii="Times New Roman" w:hAnsi="Times New Roman" w:eastAsia="仿宋" w:cs="Times New Roman"/>
                <w:color w:val="auto"/>
                <w:kern w:val="0"/>
                <w:sz w:val="24"/>
                <w:highlight w:val="none"/>
              </w:rPr>
              <w:t>》</w:t>
            </w:r>
            <w:r>
              <w:rPr>
                <w:rFonts w:hint="default" w:ascii="Times New Roman" w:hAnsi="Times New Roman" w:eastAsia="仿宋" w:cs="Times New Roman"/>
                <w:color w:val="auto"/>
                <w:sz w:val="24"/>
                <w:szCs w:val="24"/>
                <w:highlight w:val="none"/>
              </w:rPr>
              <w:t>，金坛经济开发区规划范围为：</w:t>
            </w:r>
            <w:r>
              <w:rPr>
                <w:rFonts w:hint="default" w:ascii="Times New Roman" w:hAnsi="Times New Roman" w:eastAsia="仿宋" w:cs="Times New Roman"/>
                <w:color w:val="auto"/>
                <w:sz w:val="24"/>
                <w:szCs w:val="24"/>
                <w:highlight w:val="none"/>
                <w:lang w:val="en-US" w:eastAsia="zh-CN"/>
              </w:rPr>
              <w:t>东至银湖路、南至金坛大道—鑫城大道—华城路，西至丹金溧漕河，北至华洲路—通闸路—金城大道，总用地面积36.53km</w:t>
            </w:r>
            <w:r>
              <w:rPr>
                <w:rFonts w:hint="default" w:ascii="Times New Roman" w:hAnsi="Times New Roman" w:eastAsia="仿宋" w:cs="Times New Roman"/>
                <w:color w:val="auto"/>
                <w:sz w:val="24"/>
                <w:szCs w:val="24"/>
                <w:highlight w:val="none"/>
                <w:vertAlign w:val="superscript"/>
                <w:lang w:val="en-US" w:eastAsia="zh-CN"/>
              </w:rPr>
              <w:t>2</w:t>
            </w:r>
            <w:r>
              <w:rPr>
                <w:rFonts w:hint="default" w:ascii="Times New Roman" w:hAnsi="Times New Roman" w:eastAsia="仿宋" w:cs="Times New Roman"/>
                <w:color w:val="auto"/>
                <w:sz w:val="24"/>
                <w:szCs w:val="24"/>
                <w:highlight w:val="none"/>
              </w:rPr>
              <w:t>。</w:t>
            </w:r>
            <w:r>
              <w:rPr>
                <w:rFonts w:hint="eastAsia" w:eastAsia="仿宋" w:cs="Times New Roman"/>
                <w:color w:val="auto"/>
                <w:sz w:val="24"/>
                <w:szCs w:val="24"/>
                <w:highlight w:val="none"/>
                <w:lang w:val="en-US" w:eastAsia="zh-CN"/>
              </w:rPr>
              <w:t>产业定位：金坛经济开发区立足自身发展实际，在转型提质传统产业的基础上构建“五新产业”发展体系，巩固壮大新能源、新能源汽车、新智能、新医药、新材料5大产业，提速发展数字经济，加快智能化改造、数字化转型。</w:t>
            </w:r>
            <w:r>
              <w:rPr>
                <w:rFonts w:hint="default" w:ascii="Times New Roman" w:hAnsi="Times New Roman" w:eastAsia="仿宋" w:cs="Times New Roman"/>
                <w:color w:val="auto"/>
                <w:sz w:val="24"/>
                <w:szCs w:val="24"/>
                <w:lang w:val="en-US" w:eastAsia="zh-CN"/>
              </w:rPr>
              <w:t>企业</w:t>
            </w:r>
            <w:r>
              <w:rPr>
                <w:rFonts w:hint="default" w:ascii="Times New Roman" w:hAnsi="Times New Roman" w:eastAsia="仿宋" w:cs="Times New Roman"/>
                <w:color w:val="auto"/>
                <w:sz w:val="24"/>
                <w:szCs w:val="24"/>
              </w:rPr>
              <w:t>环保设施规划：采用雨污分流排水体制，污水经收集后排入常州金坛区第二污水处理有限公司集中处理。环卫：</w:t>
            </w:r>
            <w:r>
              <w:rPr>
                <w:rFonts w:hint="default" w:ascii="Times New Roman" w:hAnsi="Times New Roman" w:eastAsia="仿宋" w:cs="Times New Roman"/>
                <w:color w:val="auto"/>
                <w:sz w:val="24"/>
                <w:szCs w:val="24"/>
                <w:lang w:val="en-US" w:eastAsia="zh-CN"/>
              </w:rPr>
              <w:t>生活垃圾由金坛垃圾焚烧厂进行焚烧处置</w:t>
            </w:r>
            <w:r>
              <w:rPr>
                <w:rFonts w:hint="default" w:ascii="Times New Roman" w:hAnsi="Times New Roman" w:eastAsia="仿宋" w:cs="Times New Roman"/>
                <w:color w:val="auto"/>
                <w:sz w:val="24"/>
                <w:szCs w:val="24"/>
              </w:rPr>
              <w:t>。</w:t>
            </w:r>
          </w:p>
          <w:p w14:paraId="245F7A56">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本项目位于</w:t>
            </w:r>
            <w:r>
              <w:rPr>
                <w:rFonts w:hint="default" w:ascii="Times New Roman" w:hAnsi="Times New Roman" w:eastAsia="仿宋" w:cs="Times New Roman"/>
                <w:color w:val="auto"/>
                <w:kern w:val="0"/>
                <w:sz w:val="24"/>
                <w:szCs w:val="24"/>
                <w:highlight w:val="none"/>
                <w:lang w:val="en-US" w:eastAsia="zh-CN"/>
              </w:rPr>
              <w:t>江苏省金坛经济开发区盐港东路39号8幢6号</w:t>
            </w:r>
            <w:r>
              <w:rPr>
                <w:rFonts w:hint="default" w:ascii="Times New Roman" w:hAnsi="Times New Roman" w:eastAsia="仿宋" w:cs="Times New Roman"/>
                <w:color w:val="auto"/>
                <w:kern w:val="0"/>
                <w:sz w:val="24"/>
                <w:szCs w:val="24"/>
                <w:highlight w:val="none"/>
              </w:rPr>
              <w:t>，</w:t>
            </w:r>
            <w:r>
              <w:rPr>
                <w:rFonts w:hint="default" w:ascii="Times New Roman" w:hAnsi="Times New Roman" w:eastAsia="仿宋" w:cs="Times New Roman"/>
                <w:bCs/>
                <w:color w:val="auto"/>
                <w:sz w:val="24"/>
                <w:szCs w:val="24"/>
                <w:highlight w:val="none"/>
                <w:lang w:val="en-US" w:eastAsia="zh-CN"/>
              </w:rPr>
              <w:t>在</w:t>
            </w:r>
            <w:r>
              <w:rPr>
                <w:rFonts w:hint="default" w:ascii="Times New Roman" w:hAnsi="Times New Roman" w:eastAsia="仿宋" w:cs="Times New Roman"/>
                <w:bCs/>
                <w:color w:val="auto"/>
                <w:sz w:val="24"/>
                <w:szCs w:val="24"/>
                <w:highlight w:val="none"/>
              </w:rPr>
              <w:t>金坛经济开发区</w:t>
            </w:r>
            <w:r>
              <w:rPr>
                <w:rFonts w:hint="default" w:ascii="Times New Roman" w:hAnsi="Times New Roman" w:eastAsia="仿宋" w:cs="Times New Roman"/>
                <w:bCs/>
                <w:color w:val="auto"/>
                <w:sz w:val="24"/>
                <w:szCs w:val="24"/>
                <w:highlight w:val="none"/>
                <w:lang w:val="en-US" w:eastAsia="zh-CN"/>
              </w:rPr>
              <w:t>规划范围内</w:t>
            </w:r>
            <w:r>
              <w:rPr>
                <w:rFonts w:hint="default" w:ascii="Times New Roman" w:hAnsi="Times New Roman" w:eastAsia="仿宋" w:cs="Times New Roman"/>
                <w:bCs/>
                <w:color w:val="auto"/>
                <w:sz w:val="24"/>
                <w:szCs w:val="24"/>
                <w:highlight w:val="none"/>
              </w:rPr>
              <w:t>，</w:t>
            </w:r>
            <w:r>
              <w:rPr>
                <w:rFonts w:hint="default" w:ascii="Times New Roman" w:hAnsi="Times New Roman" w:eastAsia="仿宋" w:cs="Times New Roman"/>
                <w:bCs/>
                <w:color w:val="auto"/>
                <w:sz w:val="24"/>
                <w:szCs w:val="24"/>
                <w:highlight w:val="none"/>
                <w:lang w:eastAsia="zh-CN"/>
              </w:rPr>
              <w:t>从事</w:t>
            </w:r>
            <w:r>
              <w:rPr>
                <w:rFonts w:hint="default" w:ascii="Times New Roman" w:hAnsi="Times New Roman" w:eastAsia="仿宋" w:cs="Times New Roman"/>
                <w:bCs/>
                <w:color w:val="auto"/>
                <w:sz w:val="24"/>
                <w:szCs w:val="24"/>
                <w:highlight w:val="none"/>
                <w:lang w:val="en-US" w:eastAsia="zh-CN"/>
              </w:rPr>
              <w:t>唇刷的生产</w:t>
            </w:r>
            <w:r>
              <w:rPr>
                <w:rFonts w:hint="default" w:ascii="Times New Roman" w:hAnsi="Times New Roman" w:eastAsia="仿宋" w:cs="Times New Roman"/>
                <w:bCs/>
                <w:color w:val="auto"/>
                <w:sz w:val="24"/>
                <w:szCs w:val="24"/>
                <w:highlight w:val="none"/>
              </w:rPr>
              <w:t>，</w:t>
            </w:r>
            <w:r>
              <w:rPr>
                <w:rFonts w:hint="default" w:ascii="Times New Roman" w:hAnsi="Times New Roman" w:eastAsia="仿宋" w:cs="Times New Roman"/>
                <w:color w:val="auto"/>
                <w:kern w:val="0"/>
                <w:sz w:val="24"/>
                <w:szCs w:val="24"/>
                <w:lang w:val="en-US" w:eastAsia="zh-CN"/>
              </w:rPr>
              <w:t>不违背</w:t>
            </w:r>
            <w:r>
              <w:rPr>
                <w:rFonts w:hint="default" w:ascii="Times New Roman" w:hAnsi="Times New Roman" w:eastAsia="仿宋" w:cs="Times New Roman"/>
                <w:color w:val="auto"/>
                <w:kern w:val="0"/>
                <w:sz w:val="24"/>
                <w:szCs w:val="24"/>
              </w:rPr>
              <w:t>园区产业定位；</w:t>
            </w:r>
            <w:r>
              <w:rPr>
                <w:rFonts w:hint="default" w:ascii="Times New Roman" w:hAnsi="Times New Roman" w:eastAsia="仿宋" w:cs="Times New Roman"/>
                <w:color w:val="auto"/>
                <w:sz w:val="24"/>
                <w:szCs w:val="24"/>
                <w:highlight w:val="none"/>
              </w:rPr>
              <w:t>根据</w:t>
            </w:r>
            <w:r>
              <w:rPr>
                <w:rFonts w:hint="eastAsia" w:eastAsia="仿宋" w:cs="Times New Roman"/>
                <w:color w:val="auto"/>
                <w:kern w:val="0"/>
                <w:sz w:val="24"/>
                <w:highlight w:val="none"/>
                <w:lang w:val="en-US" w:eastAsia="zh-CN"/>
              </w:rPr>
              <w:t>江苏</w:t>
            </w:r>
            <w:r>
              <w:rPr>
                <w:rFonts w:hint="default" w:ascii="Times New Roman" w:hAnsi="Times New Roman" w:eastAsia="仿宋" w:cs="Times New Roman"/>
                <w:color w:val="auto"/>
                <w:kern w:val="0"/>
                <w:sz w:val="24"/>
                <w:highlight w:val="none"/>
              </w:rPr>
              <w:t>金坛区</w:t>
            </w:r>
            <w:r>
              <w:rPr>
                <w:rFonts w:hint="eastAsia" w:eastAsia="仿宋" w:cs="Times New Roman"/>
                <w:color w:val="auto"/>
                <w:kern w:val="0"/>
                <w:sz w:val="24"/>
                <w:highlight w:val="none"/>
                <w:lang w:val="en-US" w:eastAsia="zh-CN"/>
              </w:rPr>
              <w:t>近期土地利用</w:t>
            </w:r>
            <w:r>
              <w:rPr>
                <w:rFonts w:hint="default" w:ascii="Times New Roman" w:hAnsi="Times New Roman" w:eastAsia="仿宋" w:cs="Times New Roman"/>
                <w:color w:val="auto"/>
                <w:kern w:val="0"/>
                <w:sz w:val="24"/>
                <w:highlight w:val="none"/>
              </w:rPr>
              <w:t>规划</w:t>
            </w:r>
            <w:r>
              <w:rPr>
                <w:rFonts w:hint="eastAsia" w:eastAsia="仿宋" w:cs="Times New Roman"/>
                <w:color w:val="auto"/>
                <w:kern w:val="0"/>
                <w:sz w:val="24"/>
                <w:highlight w:val="none"/>
                <w:lang w:val="en-US" w:eastAsia="zh-CN"/>
              </w:rPr>
              <w:t>图</w:t>
            </w:r>
            <w:r>
              <w:rPr>
                <w:rFonts w:hint="default" w:ascii="Times New Roman" w:hAnsi="Times New Roman" w:eastAsia="仿宋" w:cs="Times New Roman"/>
                <w:color w:val="auto"/>
                <w:sz w:val="24"/>
                <w:szCs w:val="24"/>
                <w:highlight w:val="none"/>
              </w:rPr>
              <w:t>（见附图），本项目所在地块规划为二类工业用地，且根据建设单位提供《不动产权证》（苏(202</w:t>
            </w:r>
            <w:r>
              <w:rPr>
                <w:rFonts w:hint="default" w:ascii="Times New Roman" w:hAnsi="Times New Roman" w:eastAsia="仿宋" w:cs="Times New Roman"/>
                <w:color w:val="auto"/>
                <w:sz w:val="24"/>
                <w:szCs w:val="24"/>
                <w:highlight w:val="none"/>
                <w:lang w:val="en-US" w:eastAsia="zh-CN"/>
              </w:rPr>
              <w:t>5</w:t>
            </w:r>
            <w:r>
              <w:rPr>
                <w:rFonts w:hint="default" w:ascii="Times New Roman" w:hAnsi="Times New Roman" w:eastAsia="仿宋" w:cs="Times New Roman"/>
                <w:color w:val="auto"/>
                <w:sz w:val="24"/>
                <w:szCs w:val="24"/>
                <w:highlight w:val="none"/>
              </w:rPr>
              <w:t>)金坛区不动产权第0</w:t>
            </w:r>
            <w:r>
              <w:rPr>
                <w:rFonts w:hint="default" w:ascii="Times New Roman" w:hAnsi="Times New Roman" w:eastAsia="仿宋" w:cs="Times New Roman"/>
                <w:color w:val="auto"/>
                <w:sz w:val="24"/>
                <w:szCs w:val="24"/>
                <w:highlight w:val="none"/>
                <w:lang w:val="en-US" w:eastAsia="zh-CN"/>
              </w:rPr>
              <w:t>173692</w:t>
            </w:r>
            <w:r>
              <w:rPr>
                <w:rFonts w:hint="default" w:ascii="Times New Roman" w:hAnsi="Times New Roman" w:eastAsia="仿宋" w:cs="Times New Roman"/>
                <w:color w:val="auto"/>
                <w:sz w:val="24"/>
                <w:szCs w:val="24"/>
                <w:highlight w:val="none"/>
              </w:rPr>
              <w:t>号），项目所在地块用地性质为工业用地，</w:t>
            </w:r>
            <w:r>
              <w:rPr>
                <w:rFonts w:hint="eastAsia" w:ascii="仿宋" w:hAnsi="仿宋" w:eastAsia="仿宋" w:cs="宋体"/>
                <w:color w:val="auto"/>
                <w:kern w:val="0"/>
                <w:sz w:val="24"/>
              </w:rPr>
              <w:t>符合区域用地规划要求，与开发区用地规划相符。项目所在地金坛经济开发区已采用雨污分流制，本项目生活污水接管排入常州金坛区第二污水处理有限公司集中处理，</w:t>
            </w:r>
            <w:r>
              <w:rPr>
                <w:rFonts w:hint="eastAsia" w:ascii="仿宋" w:hAnsi="仿宋" w:eastAsia="仿宋" w:cs="宋体"/>
                <w:color w:val="auto"/>
                <w:kern w:val="0"/>
                <w:sz w:val="24"/>
                <w:lang w:val="en-US" w:eastAsia="zh-CN"/>
              </w:rPr>
              <w:t>一般固体废物外售综合利用，危险废物委托有资质单位合理处置，</w:t>
            </w:r>
            <w:r>
              <w:rPr>
                <w:rFonts w:hint="eastAsia" w:ascii="仿宋" w:hAnsi="仿宋" w:eastAsia="仿宋" w:cs="宋体"/>
                <w:color w:val="auto"/>
                <w:kern w:val="0"/>
                <w:sz w:val="24"/>
              </w:rPr>
              <w:t>生活垃圾由环卫</w:t>
            </w:r>
            <w:r>
              <w:rPr>
                <w:rFonts w:hint="eastAsia" w:ascii="仿宋" w:hAnsi="仿宋" w:eastAsia="仿宋" w:cs="宋体"/>
                <w:color w:val="auto"/>
                <w:kern w:val="0"/>
                <w:sz w:val="24"/>
                <w:lang w:eastAsia="zh-CN"/>
              </w:rPr>
              <w:t>部门</w:t>
            </w:r>
            <w:r>
              <w:rPr>
                <w:rFonts w:hint="eastAsia" w:ascii="仿宋" w:hAnsi="仿宋" w:eastAsia="仿宋" w:cs="宋体"/>
                <w:color w:val="auto"/>
                <w:kern w:val="0"/>
                <w:sz w:val="24"/>
              </w:rPr>
              <w:t>统一清运处置。因此项目建设符合《</w:t>
            </w:r>
            <w:r>
              <w:rPr>
                <w:rFonts w:hint="eastAsia" w:ascii="仿宋" w:hAnsi="仿宋" w:eastAsia="仿宋"/>
                <w:color w:val="auto"/>
                <w:sz w:val="24"/>
              </w:rPr>
              <w:t>金坛经济开发区发展规划</w:t>
            </w:r>
            <w:r>
              <w:rPr>
                <w:rFonts w:hint="eastAsia" w:ascii="仿宋" w:hAnsi="仿宋" w:eastAsia="仿宋" w:cs="宋体"/>
                <w:color w:val="auto"/>
                <w:kern w:val="0"/>
                <w:sz w:val="24"/>
              </w:rPr>
              <w:t>》中相关要求。</w:t>
            </w:r>
          </w:p>
          <w:p w14:paraId="7E491D13">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2、与规划环境影响评价相符性分析</w:t>
            </w:r>
          </w:p>
          <w:p w14:paraId="6D68453B">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本项目与《</w:t>
            </w:r>
            <w:r>
              <w:rPr>
                <w:rFonts w:hint="eastAsia" w:eastAsia="仿宋" w:cs="Times New Roman"/>
                <w:color w:val="auto"/>
                <w:kern w:val="0"/>
                <w:sz w:val="24"/>
                <w:szCs w:val="24"/>
                <w:highlight w:val="none"/>
                <w:lang w:val="en-US" w:eastAsia="zh-CN"/>
              </w:rPr>
              <w:t>江苏</w:t>
            </w:r>
            <w:r>
              <w:rPr>
                <w:rFonts w:hint="default" w:ascii="Times New Roman" w:hAnsi="Times New Roman" w:eastAsia="仿宋" w:cs="Times New Roman"/>
                <w:color w:val="auto"/>
                <w:kern w:val="0"/>
                <w:sz w:val="24"/>
                <w:szCs w:val="24"/>
                <w:highlight w:val="none"/>
              </w:rPr>
              <w:t>金坛经济开发区</w:t>
            </w:r>
            <w:r>
              <w:rPr>
                <w:rFonts w:hint="eastAsia" w:eastAsia="仿宋" w:cs="Times New Roman"/>
                <w:color w:val="auto"/>
                <w:kern w:val="0"/>
                <w:sz w:val="24"/>
                <w:szCs w:val="24"/>
                <w:highlight w:val="none"/>
                <w:lang w:val="en-US" w:eastAsia="zh-CN"/>
              </w:rPr>
              <w:t>开发建设</w:t>
            </w:r>
            <w:r>
              <w:rPr>
                <w:rFonts w:hint="default" w:ascii="Times New Roman" w:hAnsi="Times New Roman" w:eastAsia="仿宋" w:cs="Times New Roman"/>
                <w:color w:val="auto"/>
                <w:kern w:val="0"/>
                <w:sz w:val="24"/>
                <w:szCs w:val="24"/>
                <w:highlight w:val="none"/>
              </w:rPr>
              <w:t>规划</w:t>
            </w:r>
            <w:r>
              <w:rPr>
                <w:rFonts w:hint="eastAsia" w:eastAsia="仿宋" w:cs="Times New Roman"/>
                <w:color w:val="auto"/>
                <w:kern w:val="0"/>
                <w:sz w:val="24"/>
                <w:szCs w:val="24"/>
                <w:highlight w:val="none"/>
                <w:lang w:eastAsia="zh-CN"/>
              </w:rPr>
              <w:t>（</w:t>
            </w:r>
            <w:r>
              <w:rPr>
                <w:rFonts w:hint="eastAsia" w:eastAsia="仿宋" w:cs="Times New Roman"/>
                <w:color w:val="auto"/>
                <w:kern w:val="0"/>
                <w:sz w:val="24"/>
                <w:szCs w:val="24"/>
                <w:highlight w:val="none"/>
                <w:lang w:val="en-US" w:eastAsia="zh-CN"/>
              </w:rPr>
              <w:t>2025-2035年</w:t>
            </w:r>
            <w:r>
              <w:rPr>
                <w:rFonts w:hint="eastAsia" w:eastAsia="仿宋" w:cs="Times New Roman"/>
                <w:color w:val="auto"/>
                <w:kern w:val="0"/>
                <w:sz w:val="24"/>
                <w:szCs w:val="24"/>
                <w:highlight w:val="none"/>
                <w:lang w:eastAsia="zh-CN"/>
              </w:rPr>
              <w:t>）</w:t>
            </w:r>
            <w:r>
              <w:rPr>
                <w:rFonts w:hint="default" w:ascii="Times New Roman" w:hAnsi="Times New Roman" w:eastAsia="仿宋" w:cs="Times New Roman"/>
                <w:color w:val="auto"/>
                <w:kern w:val="0"/>
                <w:sz w:val="24"/>
                <w:szCs w:val="24"/>
                <w:highlight w:val="none"/>
              </w:rPr>
              <w:t>环境影响报告书》及其审查意见（苏环审</w:t>
            </w:r>
            <w:r>
              <w:rPr>
                <w:rFonts w:hint="default" w:ascii="Times New Roman" w:hAnsi="Times New Roman" w:eastAsia="仿宋" w:cs="Times New Roman"/>
                <w:color w:val="auto"/>
                <w:kern w:val="0"/>
                <w:sz w:val="24"/>
                <w:szCs w:val="24"/>
                <w:highlight w:val="none"/>
                <w:lang w:eastAsia="zh-CN"/>
              </w:rPr>
              <w:t>〔20</w:t>
            </w:r>
            <w:r>
              <w:rPr>
                <w:rFonts w:hint="eastAsia" w:eastAsia="仿宋" w:cs="Times New Roman"/>
                <w:color w:val="auto"/>
                <w:kern w:val="0"/>
                <w:sz w:val="24"/>
                <w:szCs w:val="24"/>
                <w:highlight w:val="none"/>
                <w:lang w:val="en-US" w:eastAsia="zh-CN"/>
              </w:rPr>
              <w:t>26</w:t>
            </w:r>
            <w:r>
              <w:rPr>
                <w:rFonts w:hint="default" w:ascii="Times New Roman" w:hAnsi="Times New Roman" w:eastAsia="仿宋" w:cs="Times New Roman"/>
                <w:color w:val="auto"/>
                <w:kern w:val="0"/>
                <w:sz w:val="24"/>
                <w:szCs w:val="24"/>
                <w:highlight w:val="none"/>
                <w:lang w:eastAsia="zh-CN"/>
              </w:rPr>
              <w:t>〕</w:t>
            </w:r>
            <w:r>
              <w:rPr>
                <w:rFonts w:hint="eastAsia" w:eastAsia="仿宋" w:cs="Times New Roman"/>
                <w:color w:val="auto"/>
                <w:kern w:val="0"/>
                <w:sz w:val="24"/>
                <w:szCs w:val="24"/>
                <w:highlight w:val="none"/>
                <w:lang w:val="en-US" w:eastAsia="zh-CN"/>
              </w:rPr>
              <w:t>17</w:t>
            </w:r>
            <w:r>
              <w:rPr>
                <w:rFonts w:hint="default" w:ascii="Times New Roman" w:hAnsi="Times New Roman" w:eastAsia="仿宋" w:cs="Times New Roman"/>
                <w:color w:val="auto"/>
                <w:kern w:val="0"/>
                <w:sz w:val="24"/>
                <w:szCs w:val="24"/>
                <w:highlight w:val="none"/>
                <w:lang w:eastAsia="zh-CN"/>
              </w:rPr>
              <w:t>号</w:t>
            </w:r>
            <w:r>
              <w:rPr>
                <w:rFonts w:hint="default" w:ascii="Times New Roman" w:hAnsi="Times New Roman" w:eastAsia="仿宋" w:cs="Times New Roman"/>
                <w:color w:val="auto"/>
                <w:kern w:val="0"/>
                <w:sz w:val="24"/>
                <w:szCs w:val="24"/>
                <w:highlight w:val="none"/>
              </w:rPr>
              <w:t>）相符性分析见表1-2。</w:t>
            </w:r>
          </w:p>
          <w:p w14:paraId="5BD2FFCB">
            <w:pPr>
              <w:autoSpaceDE w:val="0"/>
              <w:autoSpaceDN w:val="0"/>
              <w:adjustRightInd w:val="0"/>
              <w:snapToGrid w:val="0"/>
              <w:jc w:val="center"/>
              <w:rPr>
                <w:rFonts w:hint="default" w:ascii="Times New Roman" w:hAnsi="Times New Roman" w:eastAsia="仿宋" w:cs="Times New Roman"/>
                <w:b/>
                <w:color w:val="auto"/>
                <w:kern w:val="0"/>
                <w:sz w:val="22"/>
                <w:highlight w:val="none"/>
              </w:rPr>
            </w:pPr>
            <w:r>
              <w:rPr>
                <w:rFonts w:hint="default" w:ascii="Times New Roman" w:hAnsi="Times New Roman" w:eastAsia="仿宋" w:cs="Times New Roman"/>
                <w:b/>
                <w:color w:val="auto"/>
                <w:kern w:val="0"/>
                <w:sz w:val="24"/>
                <w:szCs w:val="24"/>
                <w:highlight w:val="none"/>
              </w:rPr>
              <w:t>表1-2  项目与规划环评及审查意见（苏环审</w:t>
            </w:r>
            <w:r>
              <w:rPr>
                <w:rFonts w:hint="default" w:ascii="Times New Roman" w:hAnsi="Times New Roman" w:eastAsia="仿宋" w:cs="Times New Roman"/>
                <w:b/>
                <w:color w:val="auto"/>
                <w:kern w:val="0"/>
                <w:sz w:val="24"/>
                <w:szCs w:val="24"/>
                <w:highlight w:val="none"/>
                <w:lang w:eastAsia="zh-CN"/>
              </w:rPr>
              <w:t>〔</w:t>
            </w:r>
            <w:r>
              <w:rPr>
                <w:rFonts w:hint="eastAsia" w:eastAsia="仿宋" w:cs="Times New Roman"/>
                <w:b/>
                <w:color w:val="auto"/>
                <w:kern w:val="0"/>
                <w:sz w:val="24"/>
                <w:szCs w:val="24"/>
                <w:highlight w:val="none"/>
                <w:lang w:val="en-US" w:eastAsia="zh-CN"/>
              </w:rPr>
              <w:t>2026</w:t>
            </w:r>
            <w:r>
              <w:rPr>
                <w:rFonts w:hint="default" w:ascii="Times New Roman" w:hAnsi="Times New Roman" w:eastAsia="仿宋" w:cs="Times New Roman"/>
                <w:b/>
                <w:color w:val="auto"/>
                <w:kern w:val="0"/>
                <w:sz w:val="24"/>
                <w:szCs w:val="24"/>
                <w:highlight w:val="none"/>
                <w:lang w:eastAsia="zh-CN"/>
              </w:rPr>
              <w:t>〕</w:t>
            </w:r>
            <w:r>
              <w:rPr>
                <w:rFonts w:hint="eastAsia" w:eastAsia="仿宋" w:cs="Times New Roman"/>
                <w:b/>
                <w:color w:val="auto"/>
                <w:kern w:val="0"/>
                <w:sz w:val="24"/>
                <w:szCs w:val="24"/>
                <w:highlight w:val="none"/>
                <w:lang w:val="en-US" w:eastAsia="zh-CN"/>
              </w:rPr>
              <w:t>17</w:t>
            </w:r>
            <w:r>
              <w:rPr>
                <w:rFonts w:hint="default" w:ascii="Times New Roman" w:hAnsi="Times New Roman" w:eastAsia="仿宋" w:cs="Times New Roman"/>
                <w:b/>
                <w:color w:val="auto"/>
                <w:kern w:val="0"/>
                <w:sz w:val="24"/>
                <w:szCs w:val="24"/>
                <w:highlight w:val="none"/>
                <w:lang w:eastAsia="zh-CN"/>
              </w:rPr>
              <w:t>号</w:t>
            </w:r>
            <w:r>
              <w:rPr>
                <w:rFonts w:hint="default" w:ascii="Times New Roman" w:hAnsi="Times New Roman" w:eastAsia="仿宋" w:cs="Times New Roman"/>
                <w:b/>
                <w:color w:val="auto"/>
                <w:kern w:val="0"/>
                <w:sz w:val="24"/>
                <w:szCs w:val="24"/>
                <w:highlight w:val="none"/>
              </w:rPr>
              <w:t>）相符性分析</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15"/>
              <w:gridCol w:w="3383"/>
              <w:gridCol w:w="2872"/>
              <w:gridCol w:w="720"/>
            </w:tblGrid>
            <w:tr w14:paraId="6ACB0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23" w:type="pct"/>
                  <w:noWrap w:val="0"/>
                  <w:vAlign w:val="center"/>
                </w:tcPr>
                <w:p w14:paraId="74C0E4F5">
                  <w:pPr>
                    <w:autoSpaceDE w:val="0"/>
                    <w:autoSpaceDN w:val="0"/>
                    <w:adjustRightInd w:val="0"/>
                    <w:snapToGrid w:val="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类别</w:t>
                  </w:r>
                </w:p>
              </w:tc>
              <w:tc>
                <w:tcPr>
                  <w:tcW w:w="2171" w:type="pct"/>
                  <w:noWrap w:val="0"/>
                  <w:vAlign w:val="center"/>
                </w:tcPr>
                <w:p w14:paraId="275958DA">
                  <w:pPr>
                    <w:autoSpaceDE w:val="0"/>
                    <w:autoSpaceDN w:val="0"/>
                    <w:adjustRightInd w:val="0"/>
                    <w:snapToGrid w:val="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规划环评及审查意见要求</w:t>
                  </w:r>
                </w:p>
              </w:tc>
              <w:tc>
                <w:tcPr>
                  <w:tcW w:w="1843" w:type="pct"/>
                  <w:noWrap w:val="0"/>
                  <w:vAlign w:val="center"/>
                </w:tcPr>
                <w:p w14:paraId="7A3F8A9B">
                  <w:pPr>
                    <w:autoSpaceDE w:val="0"/>
                    <w:autoSpaceDN w:val="0"/>
                    <w:adjustRightInd w:val="0"/>
                    <w:snapToGrid w:val="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对照简析</w:t>
                  </w:r>
                </w:p>
              </w:tc>
              <w:tc>
                <w:tcPr>
                  <w:tcW w:w="462" w:type="pct"/>
                  <w:noWrap w:val="0"/>
                  <w:vAlign w:val="center"/>
                </w:tcPr>
                <w:p w14:paraId="12205A13">
                  <w:pPr>
                    <w:autoSpaceDE w:val="0"/>
                    <w:autoSpaceDN w:val="0"/>
                    <w:adjustRightInd w:val="0"/>
                    <w:snapToGrid w:val="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相符性</w:t>
                  </w:r>
                </w:p>
              </w:tc>
            </w:tr>
            <w:tr w14:paraId="2583F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23" w:type="pct"/>
                  <w:noWrap w:val="0"/>
                  <w:vAlign w:val="center"/>
                </w:tcPr>
                <w:p w14:paraId="485F774A">
                  <w:pPr>
                    <w:autoSpaceDE w:val="0"/>
                    <w:autoSpaceDN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规划</w:t>
                  </w:r>
                </w:p>
                <w:p w14:paraId="2518B113">
                  <w:pPr>
                    <w:autoSpaceDE w:val="0"/>
                    <w:autoSpaceDN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范围</w:t>
                  </w:r>
                </w:p>
              </w:tc>
              <w:tc>
                <w:tcPr>
                  <w:tcW w:w="2171" w:type="pct"/>
                  <w:noWrap w:val="0"/>
                  <w:vAlign w:val="center"/>
                </w:tcPr>
                <w:p w14:paraId="42E63456">
                  <w:pPr>
                    <w:autoSpaceDE w:val="0"/>
                    <w:autoSpaceDN w:val="0"/>
                    <w:adjustRightInd w:val="0"/>
                    <w:snapToGrid w:val="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本轮规划面积36.53平方公里，规划范围为东至银湖路，南至金坛大道—鑫城大道—华城路，西至丹金溧漕河，北至华洲路—通闸路—金城大道。</w:t>
                  </w:r>
                </w:p>
              </w:tc>
              <w:tc>
                <w:tcPr>
                  <w:tcW w:w="1843" w:type="pct"/>
                  <w:noWrap w:val="0"/>
                  <w:vAlign w:val="center"/>
                </w:tcPr>
                <w:p w14:paraId="724448DF">
                  <w:pPr>
                    <w:autoSpaceDE w:val="0"/>
                    <w:autoSpaceDN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本项目位于</w:t>
                  </w:r>
                  <w:r>
                    <w:rPr>
                      <w:rFonts w:hint="default" w:ascii="Times New Roman" w:hAnsi="Times New Roman" w:eastAsia="仿宋" w:cs="Times New Roman"/>
                      <w:color w:val="auto"/>
                      <w:kern w:val="0"/>
                      <w:sz w:val="21"/>
                      <w:szCs w:val="21"/>
                      <w:highlight w:val="none"/>
                      <w:lang w:val="en-US" w:eastAsia="zh-CN"/>
                    </w:rPr>
                    <w:t>江苏省金坛经济开发区盐港东路39号8幢6号</w:t>
                  </w:r>
                  <w:r>
                    <w:rPr>
                      <w:rFonts w:hint="default" w:ascii="Times New Roman" w:hAnsi="Times New Roman" w:eastAsia="仿宋" w:cs="Times New Roman"/>
                      <w:color w:val="auto"/>
                      <w:kern w:val="0"/>
                      <w:sz w:val="21"/>
                      <w:szCs w:val="21"/>
                      <w:highlight w:val="none"/>
                    </w:rPr>
                    <w:t>，在金坛经济开发区规划范围内。</w:t>
                  </w:r>
                </w:p>
              </w:tc>
              <w:tc>
                <w:tcPr>
                  <w:tcW w:w="462" w:type="pct"/>
                  <w:noWrap w:val="0"/>
                  <w:vAlign w:val="center"/>
                </w:tcPr>
                <w:p w14:paraId="175B353F">
                  <w:pPr>
                    <w:autoSpaceDE w:val="0"/>
                    <w:autoSpaceDN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相符</w:t>
                  </w:r>
                </w:p>
              </w:tc>
            </w:tr>
            <w:tr w14:paraId="569F7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23" w:type="pct"/>
                  <w:noWrap w:val="0"/>
                  <w:vAlign w:val="center"/>
                </w:tcPr>
                <w:p w14:paraId="6E44F435">
                  <w:pPr>
                    <w:autoSpaceDE w:val="0"/>
                    <w:autoSpaceDN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产业</w:t>
                  </w:r>
                </w:p>
                <w:p w14:paraId="6ABC8ED9">
                  <w:pPr>
                    <w:autoSpaceDE w:val="0"/>
                    <w:autoSpaceDN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定位</w:t>
                  </w:r>
                </w:p>
              </w:tc>
              <w:tc>
                <w:tcPr>
                  <w:tcW w:w="2171" w:type="pct"/>
                  <w:noWrap w:val="0"/>
                  <w:vAlign w:val="center"/>
                </w:tcPr>
                <w:p w14:paraId="04E441CC">
                  <w:pPr>
                    <w:autoSpaceDE w:val="0"/>
                    <w:autoSpaceDN w:val="0"/>
                    <w:adjustRightInd w:val="0"/>
                    <w:snapToGrid w:val="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提升改造传统产业（纺织服装、机械电子、装备制造），进一步巩固壮大新能源、新能源汽车、新智能、新医药、新材料五大新兴产业，构建“五新产业”发展体系，提速发展数字经济，加快智能化改造、数字化转型。</w:t>
                  </w:r>
                </w:p>
              </w:tc>
              <w:tc>
                <w:tcPr>
                  <w:tcW w:w="1843" w:type="pct"/>
                  <w:noWrap w:val="0"/>
                  <w:vAlign w:val="center"/>
                </w:tcPr>
                <w:p w14:paraId="21515539">
                  <w:pPr>
                    <w:autoSpaceDE w:val="0"/>
                    <w:autoSpaceDN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本项目</w:t>
                  </w:r>
                  <w:r>
                    <w:rPr>
                      <w:rFonts w:hint="default" w:ascii="Times New Roman" w:hAnsi="Times New Roman" w:eastAsia="仿宋" w:cs="Times New Roman"/>
                      <w:color w:val="auto"/>
                      <w:kern w:val="0"/>
                      <w:sz w:val="21"/>
                      <w:szCs w:val="21"/>
                      <w:highlight w:val="none"/>
                      <w:lang w:eastAsia="zh-CN"/>
                    </w:rPr>
                    <w:t>从事</w:t>
                  </w:r>
                  <w:r>
                    <w:rPr>
                      <w:rFonts w:hint="default" w:ascii="Times New Roman" w:hAnsi="Times New Roman" w:eastAsia="仿宋" w:cs="Times New Roman"/>
                      <w:color w:val="auto"/>
                      <w:kern w:val="0"/>
                      <w:sz w:val="21"/>
                      <w:szCs w:val="21"/>
                      <w:highlight w:val="none"/>
                      <w:lang w:val="en-US" w:eastAsia="zh-CN"/>
                    </w:rPr>
                    <w:t>唇刷的生产</w:t>
                  </w:r>
                  <w:r>
                    <w:rPr>
                      <w:rFonts w:hint="default" w:ascii="Times New Roman" w:hAnsi="Times New Roman" w:eastAsia="仿宋" w:cs="Times New Roman"/>
                      <w:color w:val="auto"/>
                      <w:kern w:val="0"/>
                      <w:sz w:val="21"/>
                      <w:szCs w:val="21"/>
                      <w:highlight w:val="none"/>
                    </w:rPr>
                    <w:t>，</w:t>
                  </w:r>
                  <w:r>
                    <w:rPr>
                      <w:rFonts w:hint="default" w:ascii="Times New Roman" w:hAnsi="Times New Roman" w:eastAsia="仿宋" w:cs="Times New Roman"/>
                      <w:color w:val="auto"/>
                      <w:kern w:val="0"/>
                      <w:sz w:val="21"/>
                      <w:szCs w:val="21"/>
                      <w:highlight w:val="none"/>
                      <w:lang w:val="en-US" w:eastAsia="zh-CN"/>
                    </w:rPr>
                    <w:t>不属于该区域禁止引入的产业类别</w:t>
                  </w:r>
                  <w:r>
                    <w:rPr>
                      <w:rFonts w:hint="default" w:ascii="Times New Roman" w:hAnsi="Times New Roman" w:eastAsia="仿宋" w:cs="Times New Roman"/>
                      <w:color w:val="auto"/>
                      <w:kern w:val="0"/>
                      <w:sz w:val="21"/>
                      <w:szCs w:val="21"/>
                      <w:highlight w:val="none"/>
                    </w:rPr>
                    <w:t>。</w:t>
                  </w:r>
                </w:p>
              </w:tc>
              <w:tc>
                <w:tcPr>
                  <w:tcW w:w="462" w:type="pct"/>
                  <w:noWrap w:val="0"/>
                  <w:vAlign w:val="center"/>
                </w:tcPr>
                <w:p w14:paraId="594113B2">
                  <w:pPr>
                    <w:autoSpaceDE w:val="0"/>
                    <w:autoSpaceDN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相符</w:t>
                  </w:r>
                </w:p>
              </w:tc>
            </w:tr>
            <w:tr w14:paraId="34CFC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23" w:type="pct"/>
                  <w:noWrap w:val="0"/>
                  <w:vAlign w:val="center"/>
                </w:tcPr>
                <w:p w14:paraId="27456AC6">
                  <w:pPr>
                    <w:autoSpaceDE w:val="0"/>
                    <w:autoSpaceDN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用地</w:t>
                  </w:r>
                </w:p>
                <w:p w14:paraId="4DD52E9F">
                  <w:pPr>
                    <w:autoSpaceDE w:val="0"/>
                    <w:autoSpaceDN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布局</w:t>
                  </w:r>
                </w:p>
              </w:tc>
              <w:tc>
                <w:tcPr>
                  <w:tcW w:w="2171" w:type="pct"/>
                  <w:noWrap w:val="0"/>
                  <w:vAlign w:val="center"/>
                </w:tcPr>
                <w:p w14:paraId="3CC3F875">
                  <w:pPr>
                    <w:autoSpaceDE w:val="0"/>
                    <w:autoSpaceDN w:val="0"/>
                    <w:adjustRightInd w:val="0"/>
                    <w:snapToGrid w:val="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区内绿地及水域在规划期内原则上禁止开发利用。区内各类开发建设活动应符合国土空间总体规划。任何单位和个人不得擅自占用或者改变区内永久基本农田的用途。</w:t>
                  </w:r>
                </w:p>
              </w:tc>
              <w:tc>
                <w:tcPr>
                  <w:tcW w:w="1843" w:type="pct"/>
                  <w:noWrap w:val="0"/>
                  <w:vAlign w:val="center"/>
                </w:tcPr>
                <w:p w14:paraId="4BC391E6">
                  <w:pPr>
                    <w:autoSpaceDE w:val="0"/>
                    <w:autoSpaceDN w:val="0"/>
                    <w:adjustRightInd w:val="0"/>
                    <w:snapToGrid w:val="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本项目位于</w:t>
                  </w:r>
                  <w:r>
                    <w:rPr>
                      <w:rFonts w:hint="default" w:ascii="Times New Roman" w:hAnsi="Times New Roman" w:eastAsia="仿宋" w:cs="Times New Roman"/>
                      <w:color w:val="auto"/>
                      <w:kern w:val="0"/>
                      <w:sz w:val="21"/>
                      <w:szCs w:val="21"/>
                      <w:highlight w:val="none"/>
                      <w:lang w:val="en-US" w:eastAsia="zh-CN"/>
                    </w:rPr>
                    <w:t>江苏省金坛经济开发区盐港东路39号8幢6号</w:t>
                  </w:r>
                  <w:r>
                    <w:rPr>
                      <w:rFonts w:hint="default" w:ascii="Times New Roman" w:hAnsi="Times New Roman" w:eastAsia="仿宋" w:cs="Times New Roman"/>
                      <w:color w:val="auto"/>
                      <w:kern w:val="0"/>
                      <w:sz w:val="21"/>
                      <w:szCs w:val="21"/>
                      <w:highlight w:val="none"/>
                    </w:rPr>
                    <w:t>，所在地规划为二类工业用地</w:t>
                  </w:r>
                  <w:r>
                    <w:rPr>
                      <w:rFonts w:hint="eastAsia" w:eastAsia="仿宋" w:cs="Times New Roman"/>
                      <w:color w:val="auto"/>
                      <w:kern w:val="0"/>
                      <w:sz w:val="21"/>
                      <w:szCs w:val="21"/>
                      <w:highlight w:val="none"/>
                      <w:lang w:eastAsia="zh-CN"/>
                    </w:rPr>
                    <w:t>，</w:t>
                  </w:r>
                  <w:r>
                    <w:rPr>
                      <w:rFonts w:hint="eastAsia" w:eastAsia="仿宋" w:cs="Times New Roman"/>
                      <w:color w:val="auto"/>
                      <w:kern w:val="0"/>
                      <w:sz w:val="21"/>
                      <w:szCs w:val="21"/>
                      <w:highlight w:val="none"/>
                      <w:lang w:val="en-US" w:eastAsia="zh-CN"/>
                    </w:rPr>
                    <w:t>不涉及绿地、水域、基本农田，项目所在地在国土空间规划内属于工业发展区，符合规划要求。</w:t>
                  </w:r>
                </w:p>
              </w:tc>
              <w:tc>
                <w:tcPr>
                  <w:tcW w:w="462" w:type="pct"/>
                  <w:noWrap w:val="0"/>
                  <w:vAlign w:val="center"/>
                </w:tcPr>
                <w:p w14:paraId="58943A7D">
                  <w:pPr>
                    <w:autoSpaceDE w:val="0"/>
                    <w:autoSpaceDN w:val="0"/>
                    <w:adjustRightInd w:val="0"/>
                    <w:snapToGrid w:val="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相符</w:t>
                  </w:r>
                </w:p>
              </w:tc>
            </w:tr>
          </w:tbl>
          <w:p w14:paraId="7CEF73D9">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200" w:firstLineChars="200"/>
              <w:textAlignment w:val="auto"/>
              <w:rPr>
                <w:rFonts w:hint="default" w:ascii="Times New Roman" w:hAnsi="Times New Roman" w:eastAsia="仿宋" w:cs="Times New Roman"/>
                <w:color w:val="auto"/>
                <w:kern w:val="0"/>
                <w:sz w:val="10"/>
                <w:szCs w:val="10"/>
                <w:highlight w:val="none"/>
              </w:rPr>
            </w:pPr>
          </w:p>
          <w:p w14:paraId="5B9DFE7D">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仿宋" w:cs="Times New Roman"/>
                <w:b/>
                <w:bCs/>
                <w:color w:val="auto"/>
                <w:kern w:val="0"/>
                <w:sz w:val="24"/>
                <w:lang w:val="en-US" w:eastAsia="zh-CN"/>
              </w:rPr>
            </w:pPr>
          </w:p>
          <w:p w14:paraId="163C291A">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仿宋" w:cs="Times New Roman"/>
                <w:b/>
                <w:bCs/>
                <w:color w:val="auto"/>
                <w:kern w:val="0"/>
                <w:sz w:val="24"/>
                <w:lang w:val="en-US" w:eastAsia="zh-CN"/>
              </w:rPr>
            </w:pPr>
          </w:p>
          <w:p w14:paraId="1D1661FB">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仿宋" w:cs="Times New Roman"/>
                <w:b/>
                <w:bCs/>
                <w:color w:val="auto"/>
                <w:kern w:val="0"/>
                <w:sz w:val="24"/>
                <w:lang w:val="en-US" w:eastAsia="zh-CN"/>
              </w:rPr>
            </w:pPr>
          </w:p>
          <w:p w14:paraId="0E3BA3DA">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仿宋" w:cs="Times New Roman"/>
                <w:b/>
                <w:bCs/>
                <w:color w:val="auto"/>
                <w:kern w:val="0"/>
                <w:sz w:val="24"/>
                <w:lang w:val="en-US" w:eastAsia="zh-CN"/>
              </w:rPr>
            </w:pPr>
          </w:p>
          <w:p w14:paraId="4EC3591D">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仿宋" w:cs="Times New Roman"/>
                <w:b/>
                <w:bCs/>
                <w:color w:val="auto"/>
                <w:kern w:val="0"/>
                <w:sz w:val="24"/>
                <w:lang w:val="en-US" w:eastAsia="zh-CN"/>
              </w:rPr>
            </w:pPr>
          </w:p>
          <w:p w14:paraId="7A98E49C">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仿宋" w:cs="Times New Roman"/>
                <w:b/>
                <w:bCs/>
                <w:color w:val="auto"/>
                <w:kern w:val="0"/>
                <w:sz w:val="24"/>
                <w:lang w:val="en-US" w:eastAsia="zh-CN"/>
              </w:rPr>
            </w:pPr>
          </w:p>
          <w:p w14:paraId="5F5E65C3">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仿宋" w:cs="Times New Roman"/>
                <w:b/>
                <w:bCs/>
                <w:color w:val="auto"/>
                <w:kern w:val="0"/>
                <w:sz w:val="24"/>
                <w:lang w:val="en-US" w:eastAsia="zh-CN"/>
              </w:rPr>
            </w:pPr>
          </w:p>
          <w:p w14:paraId="61E2A39B">
            <w:pPr>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仿宋" w:cs="Times New Roman"/>
                <w:b/>
                <w:bCs/>
                <w:color w:val="auto"/>
                <w:kern w:val="0"/>
                <w:sz w:val="24"/>
                <w:lang w:val="en-US" w:eastAsia="zh-CN"/>
              </w:rPr>
            </w:pPr>
            <w:r>
              <w:rPr>
                <w:rFonts w:hint="default" w:ascii="Times New Roman" w:hAnsi="Times New Roman" w:eastAsia="仿宋" w:cs="Times New Roman"/>
                <w:b/>
                <w:bCs/>
                <w:color w:val="auto"/>
                <w:kern w:val="0"/>
                <w:sz w:val="24"/>
                <w:lang w:val="en-US" w:eastAsia="zh-CN"/>
              </w:rPr>
              <w:t>表1-</w:t>
            </w:r>
            <w:r>
              <w:rPr>
                <w:rFonts w:hint="eastAsia" w:eastAsia="仿宋" w:cs="Times New Roman"/>
                <w:b/>
                <w:bCs/>
                <w:color w:val="auto"/>
                <w:kern w:val="0"/>
                <w:sz w:val="24"/>
                <w:lang w:val="en-US" w:eastAsia="zh-CN"/>
              </w:rPr>
              <w:t>3</w:t>
            </w:r>
            <w:r>
              <w:rPr>
                <w:rFonts w:hint="default" w:ascii="Times New Roman" w:hAnsi="Times New Roman" w:eastAsia="仿宋" w:cs="Times New Roman"/>
                <w:b/>
                <w:bCs/>
                <w:color w:val="auto"/>
                <w:kern w:val="0"/>
                <w:sz w:val="24"/>
                <w:lang w:val="en-US" w:eastAsia="zh-CN"/>
              </w:rPr>
              <w:t xml:space="preserve">  项目与园区规划环评生态环境准入清单相符性分析</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
              <w:gridCol w:w="512"/>
              <w:gridCol w:w="4536"/>
              <w:gridCol w:w="1376"/>
              <w:gridCol w:w="822"/>
            </w:tblGrid>
            <w:tr w14:paraId="449E4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676" w:type="pct"/>
                  <w:gridSpan w:val="2"/>
                  <w:tcBorders>
                    <w:tl2br w:val="nil"/>
                    <w:tr2bl w:val="nil"/>
                  </w:tcBorders>
                  <w:noWrap/>
                  <w:vAlign w:val="center"/>
                </w:tcPr>
                <w:p w14:paraId="7A1ADBF2">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清单类型</w:t>
                  </w:r>
                </w:p>
              </w:tc>
              <w:tc>
                <w:tcPr>
                  <w:tcW w:w="2912" w:type="pct"/>
                  <w:tcBorders>
                    <w:tl2br w:val="nil"/>
                    <w:tr2bl w:val="nil"/>
                  </w:tcBorders>
                  <w:noWrap w:val="0"/>
                  <w:vAlign w:val="center"/>
                </w:tcPr>
                <w:p w14:paraId="416D9CF1">
                  <w:pPr>
                    <w:widowControl/>
                    <w:adjustRightInd/>
                    <w:spacing w:line="24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准入内容</w:t>
                  </w:r>
                </w:p>
              </w:tc>
              <w:tc>
                <w:tcPr>
                  <w:tcW w:w="883" w:type="pct"/>
                  <w:tcBorders>
                    <w:tl2br w:val="nil"/>
                    <w:tr2bl w:val="nil"/>
                  </w:tcBorders>
                  <w:noWrap w:val="0"/>
                  <w:vAlign w:val="center"/>
                </w:tcPr>
                <w:p w14:paraId="13AB33E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仿宋" w:cs="Times New Roman"/>
                      <w:b/>
                      <w:color w:val="auto"/>
                      <w:kern w:val="0"/>
                      <w:sz w:val="21"/>
                      <w:szCs w:val="21"/>
                      <w:lang w:val="en-US" w:eastAsia="zh-CN"/>
                    </w:rPr>
                  </w:pPr>
                  <w:r>
                    <w:rPr>
                      <w:rFonts w:hint="default" w:ascii="Times New Roman" w:hAnsi="Times New Roman" w:eastAsia="仿宋" w:cs="Times New Roman"/>
                      <w:b/>
                      <w:color w:val="auto"/>
                      <w:sz w:val="21"/>
                      <w:szCs w:val="21"/>
                      <w:highlight w:val="none"/>
                      <w:lang w:val="en-US" w:eastAsia="zh-CN"/>
                    </w:rPr>
                    <w:t>本项目情况</w:t>
                  </w:r>
                </w:p>
              </w:tc>
              <w:tc>
                <w:tcPr>
                  <w:tcW w:w="527" w:type="pct"/>
                  <w:tcBorders>
                    <w:tl2br w:val="nil"/>
                    <w:tr2bl w:val="nil"/>
                  </w:tcBorders>
                  <w:noWrap w:val="0"/>
                  <w:vAlign w:val="center"/>
                </w:tcPr>
                <w:p w14:paraId="46C2F003">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仿宋" w:cs="Times New Roman"/>
                      <w:b/>
                      <w:color w:val="auto"/>
                      <w:kern w:val="0"/>
                      <w:sz w:val="21"/>
                      <w:szCs w:val="21"/>
                      <w:lang w:val="en-US" w:eastAsia="zh-CN"/>
                    </w:rPr>
                  </w:pPr>
                  <w:r>
                    <w:rPr>
                      <w:rFonts w:hint="default" w:ascii="Times New Roman" w:hAnsi="Times New Roman" w:eastAsia="仿宋" w:cs="Times New Roman"/>
                      <w:b/>
                      <w:color w:val="auto"/>
                      <w:kern w:val="0"/>
                      <w:sz w:val="21"/>
                      <w:szCs w:val="21"/>
                      <w:lang w:val="en-US" w:eastAsia="zh-CN"/>
                    </w:rPr>
                    <w:t>相符性</w:t>
                  </w:r>
                </w:p>
              </w:tc>
            </w:tr>
            <w:tr w14:paraId="3013C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47" w:type="pct"/>
                  <w:vMerge w:val="restart"/>
                  <w:tcBorders>
                    <w:tl2br w:val="nil"/>
                    <w:tr2bl w:val="nil"/>
                  </w:tcBorders>
                  <w:noWrap/>
                  <w:vAlign w:val="center"/>
                </w:tcPr>
                <w:p w14:paraId="320A1876">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项目准入</w:t>
                  </w:r>
                </w:p>
              </w:tc>
              <w:tc>
                <w:tcPr>
                  <w:tcW w:w="328" w:type="pct"/>
                  <w:tcBorders>
                    <w:tl2br w:val="nil"/>
                    <w:tr2bl w:val="nil"/>
                  </w:tcBorders>
                  <w:noWrap/>
                  <w:vAlign w:val="center"/>
                </w:tcPr>
                <w:p w14:paraId="4C2975B9">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left"/>
                    <w:textAlignment w:val="auto"/>
                    <w:rPr>
                      <w:rFonts w:hint="default" w:ascii="Times New Roman" w:hAnsi="Times New Roman" w:eastAsia="仿宋" w:cs="Times New Roman"/>
                      <w:bCs/>
                      <w:color w:val="auto"/>
                      <w:kern w:val="0"/>
                      <w:sz w:val="21"/>
                      <w:szCs w:val="21"/>
                    </w:rPr>
                  </w:pPr>
                  <w:r>
                    <w:rPr>
                      <w:rFonts w:hint="default" w:ascii="Times New Roman" w:hAnsi="Times New Roman" w:eastAsia="仿宋" w:cs="Times New Roman"/>
                      <w:bCs/>
                      <w:color w:val="auto"/>
                      <w:kern w:val="0"/>
                      <w:sz w:val="21"/>
                      <w:szCs w:val="21"/>
                    </w:rPr>
                    <w:t>优先引入</w:t>
                  </w:r>
                </w:p>
              </w:tc>
              <w:tc>
                <w:tcPr>
                  <w:tcW w:w="2912" w:type="pct"/>
                  <w:tcBorders>
                    <w:tl2br w:val="nil"/>
                    <w:tr2bl w:val="nil"/>
                  </w:tcBorders>
                  <w:noWrap w:val="0"/>
                  <w:vAlign w:val="center"/>
                </w:tcPr>
                <w:p w14:paraId="4BAF81BD">
                  <w:pPr>
                    <w:pStyle w:val="14"/>
                    <w:keepNext w:val="0"/>
                    <w:keepLines w:val="0"/>
                    <w:pageBreakBefore w:val="0"/>
                    <w:kinsoku/>
                    <w:wordWrap/>
                    <w:overflowPunct/>
                    <w:topLinePunct w:val="0"/>
                    <w:autoSpaceDE/>
                    <w:autoSpaceDN/>
                    <w:bidi w:val="0"/>
                    <w:adjustRightInd/>
                    <w:spacing w:after="0"/>
                    <w:ind w:left="-105" w:leftChars="-50" w:right="-105" w:rightChars="-50"/>
                    <w:jc w:val="left"/>
                    <w:textAlignment w:val="auto"/>
                    <w:rPr>
                      <w:rFonts w:hint="default" w:ascii="Times New Roman" w:hAnsi="Times New Roman" w:eastAsia="仿宋" w:cs="Times New Roman"/>
                      <w:bCs/>
                      <w:color w:val="auto"/>
                      <w:spacing w:val="-17"/>
                      <w:sz w:val="21"/>
                      <w:szCs w:val="21"/>
                    </w:rPr>
                  </w:pPr>
                  <w:r>
                    <w:rPr>
                      <w:rFonts w:hint="default" w:ascii="Times New Roman" w:hAnsi="Times New Roman" w:eastAsia="仿宋" w:cs="Times New Roman"/>
                      <w:bCs/>
                      <w:color w:val="auto"/>
                      <w:spacing w:val="-17"/>
                      <w:sz w:val="21"/>
                      <w:szCs w:val="21"/>
                    </w:rPr>
                    <w:t>1、优先引入符合园区产业定位、排污负荷小、技术先进、清洁生产水平达到国际先进水平的项目；</w:t>
                  </w:r>
                </w:p>
                <w:p w14:paraId="0F0D6D3C">
                  <w:pPr>
                    <w:pStyle w:val="14"/>
                    <w:keepNext w:val="0"/>
                    <w:keepLines w:val="0"/>
                    <w:pageBreakBefore w:val="0"/>
                    <w:kinsoku/>
                    <w:wordWrap/>
                    <w:overflowPunct/>
                    <w:topLinePunct w:val="0"/>
                    <w:autoSpaceDE/>
                    <w:autoSpaceDN/>
                    <w:bidi w:val="0"/>
                    <w:adjustRightInd/>
                    <w:spacing w:after="0"/>
                    <w:ind w:left="-105" w:leftChars="-50" w:right="-105" w:rightChars="-50"/>
                    <w:jc w:val="left"/>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pacing w:val="-17"/>
                      <w:sz w:val="21"/>
                      <w:szCs w:val="21"/>
                    </w:rPr>
                    <w:t>2、优先引入《产业结构调整指导目录》鼓励类项目。</w:t>
                  </w:r>
                </w:p>
              </w:tc>
              <w:tc>
                <w:tcPr>
                  <w:tcW w:w="883" w:type="pct"/>
                  <w:vMerge w:val="restart"/>
                  <w:tcBorders>
                    <w:tl2br w:val="nil"/>
                    <w:tr2bl w:val="nil"/>
                  </w:tcBorders>
                  <w:noWrap w:val="0"/>
                  <w:vAlign w:val="center"/>
                </w:tcPr>
                <w:p w14:paraId="4862B534">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bCs/>
                      <w:color w:val="auto"/>
                      <w:sz w:val="21"/>
                      <w:szCs w:val="21"/>
                      <w:lang w:val="en-US" w:eastAsia="zh-CN"/>
                    </w:rPr>
                    <w:t>本项目从事</w:t>
                  </w:r>
                  <w:r>
                    <w:rPr>
                      <w:rFonts w:hint="eastAsia" w:ascii="Times New Roman" w:hAnsi="Times New Roman" w:eastAsia="仿宋" w:cs="Times New Roman"/>
                      <w:bCs/>
                      <w:color w:val="auto"/>
                      <w:sz w:val="21"/>
                      <w:szCs w:val="21"/>
                      <w:lang w:val="en-US" w:eastAsia="zh-CN"/>
                    </w:rPr>
                    <w:t>唇刷的生产</w:t>
                  </w:r>
                  <w:r>
                    <w:rPr>
                      <w:rFonts w:hint="default" w:ascii="Times New Roman" w:hAnsi="Times New Roman" w:eastAsia="仿宋" w:cs="Times New Roman"/>
                      <w:bCs/>
                      <w:color w:val="auto"/>
                      <w:sz w:val="21"/>
                      <w:szCs w:val="21"/>
                      <w:lang w:val="en-US" w:eastAsia="zh-CN"/>
                    </w:rPr>
                    <w:t>，不属于园区限制引进及禁止引进项目</w:t>
                  </w:r>
                  <w:r>
                    <w:rPr>
                      <w:rFonts w:hint="eastAsia" w:ascii="Times New Roman" w:hAnsi="Times New Roman" w:eastAsia="仿宋" w:cs="Times New Roman"/>
                      <w:bCs/>
                      <w:color w:val="auto"/>
                      <w:sz w:val="21"/>
                      <w:szCs w:val="21"/>
                      <w:lang w:val="en-US" w:eastAsia="zh-CN"/>
                    </w:rPr>
                    <w:t>，</w:t>
                  </w:r>
                  <w:r>
                    <w:rPr>
                      <w:rFonts w:hint="default" w:ascii="Times New Roman" w:hAnsi="Times New Roman" w:eastAsia="仿宋" w:cs="Times New Roman"/>
                      <w:bCs/>
                      <w:color w:val="auto"/>
                      <w:spacing w:val="-17"/>
                      <w:sz w:val="21"/>
                      <w:szCs w:val="21"/>
                      <w:lang w:val="en-US" w:eastAsia="zh-CN"/>
                    </w:rPr>
                    <w:t>不属于限制进驻的“两高”项目及</w:t>
                  </w:r>
                  <w:r>
                    <w:rPr>
                      <w:rFonts w:hint="eastAsia" w:eastAsia="仿宋" w:cs="Times New Roman"/>
                      <w:bCs/>
                      <w:color w:val="auto"/>
                      <w:spacing w:val="-17"/>
                      <w:sz w:val="21"/>
                      <w:szCs w:val="21"/>
                      <w:lang w:val="en-US" w:eastAsia="zh-CN"/>
                    </w:rPr>
                    <w:t>禁止</w:t>
                  </w:r>
                  <w:r>
                    <w:rPr>
                      <w:rFonts w:hint="default" w:ascii="Times New Roman" w:hAnsi="Times New Roman" w:eastAsia="仿宋" w:cs="Times New Roman"/>
                      <w:bCs/>
                      <w:color w:val="auto"/>
                      <w:spacing w:val="-17"/>
                      <w:sz w:val="21"/>
                      <w:szCs w:val="21"/>
                      <w:lang w:val="en-US" w:eastAsia="zh-CN"/>
                    </w:rPr>
                    <w:t>引入</w:t>
                  </w:r>
                  <w:r>
                    <w:rPr>
                      <w:rFonts w:hint="default" w:ascii="Times New Roman" w:hAnsi="Times New Roman" w:eastAsia="仿宋" w:cs="Times New Roman"/>
                      <w:bCs/>
                      <w:color w:val="auto"/>
                      <w:sz w:val="21"/>
                      <w:szCs w:val="21"/>
                      <w:lang w:val="en-US" w:eastAsia="zh-CN"/>
                    </w:rPr>
                    <w:t>项目</w:t>
                  </w:r>
                  <w:r>
                    <w:rPr>
                      <w:rFonts w:hint="eastAsia" w:ascii="Times New Roman" w:hAnsi="Times New Roman" w:eastAsia="仿宋" w:cs="Times New Roman"/>
                      <w:bCs/>
                      <w:color w:val="auto"/>
                      <w:sz w:val="21"/>
                      <w:szCs w:val="21"/>
                      <w:lang w:val="en-US" w:eastAsia="zh-CN"/>
                    </w:rPr>
                    <w:t>，</w:t>
                  </w:r>
                  <w:r>
                    <w:rPr>
                      <w:rFonts w:hint="default" w:ascii="Times New Roman" w:hAnsi="Times New Roman" w:eastAsia="仿宋" w:cs="Times New Roman"/>
                      <w:bCs/>
                      <w:color w:val="auto"/>
                      <w:sz w:val="21"/>
                      <w:szCs w:val="21"/>
                      <w:lang w:val="en-US" w:eastAsia="zh-CN"/>
                    </w:rPr>
                    <w:t>项目所在地</w:t>
                  </w:r>
                  <w:r>
                    <w:rPr>
                      <w:rFonts w:hint="eastAsia" w:ascii="Times New Roman" w:hAnsi="Times New Roman" w:eastAsia="仿宋" w:cs="Times New Roman"/>
                      <w:bCs/>
                      <w:color w:val="auto"/>
                      <w:sz w:val="21"/>
                      <w:szCs w:val="21"/>
                      <w:lang w:val="en-US" w:eastAsia="zh-CN"/>
                    </w:rPr>
                    <w:t>500米范围内</w:t>
                  </w:r>
                  <w:r>
                    <w:rPr>
                      <w:rFonts w:hint="default" w:ascii="Times New Roman" w:hAnsi="Times New Roman" w:eastAsia="仿宋" w:cs="Times New Roman"/>
                      <w:bCs/>
                      <w:color w:val="auto"/>
                      <w:sz w:val="21"/>
                      <w:szCs w:val="21"/>
                      <w:lang w:val="en-US" w:eastAsia="zh-CN"/>
                    </w:rPr>
                    <w:t>无居民区、学校，符合国家及地</w:t>
                  </w:r>
                  <w:r>
                    <w:rPr>
                      <w:rFonts w:hint="default" w:ascii="Times New Roman" w:hAnsi="Times New Roman" w:eastAsia="仿宋" w:cs="Times New Roman"/>
                      <w:color w:val="auto"/>
                      <w:spacing w:val="-17"/>
                      <w:kern w:val="0"/>
                      <w:sz w:val="21"/>
                      <w:szCs w:val="21"/>
                      <w:lang w:val="en-US" w:eastAsia="zh-CN"/>
                    </w:rPr>
                    <w:t>方产业政策。</w:t>
                  </w:r>
                </w:p>
              </w:tc>
              <w:tc>
                <w:tcPr>
                  <w:tcW w:w="527" w:type="pct"/>
                  <w:tcBorders>
                    <w:tl2br w:val="nil"/>
                    <w:tr2bl w:val="nil"/>
                  </w:tcBorders>
                  <w:noWrap w:val="0"/>
                  <w:vAlign w:val="center"/>
                </w:tcPr>
                <w:p w14:paraId="4D4C1CEC">
                  <w:pPr>
                    <w:pStyle w:val="14"/>
                    <w:spacing w:after="0"/>
                    <w:ind w:left="0" w:leftChars="0" w:right="0" w:rightChars="0" w:firstLine="0" w:firstLineChars="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相符</w:t>
                  </w:r>
                </w:p>
              </w:tc>
            </w:tr>
            <w:tr w14:paraId="4518F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347" w:type="pct"/>
                  <w:vMerge w:val="continue"/>
                  <w:tcBorders>
                    <w:tl2br w:val="nil"/>
                    <w:tr2bl w:val="nil"/>
                  </w:tcBorders>
                  <w:noWrap/>
                  <w:vAlign w:val="center"/>
                </w:tcPr>
                <w:p w14:paraId="531238DF">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p>
              </w:tc>
              <w:tc>
                <w:tcPr>
                  <w:tcW w:w="328" w:type="pct"/>
                  <w:tcBorders>
                    <w:tl2br w:val="nil"/>
                    <w:tr2bl w:val="nil"/>
                  </w:tcBorders>
                  <w:noWrap/>
                  <w:vAlign w:val="center"/>
                </w:tcPr>
                <w:p w14:paraId="49D50109">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bCs/>
                      <w:color w:val="auto"/>
                      <w:kern w:val="0"/>
                      <w:sz w:val="21"/>
                      <w:szCs w:val="21"/>
                    </w:rPr>
                  </w:pPr>
                  <w:r>
                    <w:rPr>
                      <w:rFonts w:hint="default" w:ascii="Times New Roman" w:hAnsi="Times New Roman" w:eastAsia="仿宋" w:cs="Times New Roman"/>
                      <w:bCs/>
                      <w:color w:val="auto"/>
                      <w:kern w:val="0"/>
                      <w:sz w:val="21"/>
                      <w:szCs w:val="21"/>
                    </w:rPr>
                    <w:t>限制引入</w:t>
                  </w:r>
                </w:p>
              </w:tc>
              <w:tc>
                <w:tcPr>
                  <w:tcW w:w="2912" w:type="pct"/>
                  <w:tcBorders>
                    <w:tl2br w:val="nil"/>
                    <w:tr2bl w:val="nil"/>
                  </w:tcBorders>
                  <w:noWrap w:val="0"/>
                  <w:vAlign w:val="center"/>
                </w:tcPr>
                <w:p w14:paraId="1DEBA9F8">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1、《产业结构调整指导目录（2024年本）》、《江苏省太湖流域禁止和限制的产业产品目录</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2024年本</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》、《江苏省工业和信息产业结构调整限制淘汰目录和能耗限额》等中限制类项目；</w:t>
                  </w:r>
                </w:p>
                <w:p w14:paraId="5338FDC4">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2、限制“两高”项目进驻，若有“两高”项目进驻，满足《关于加强高耗能、高排放建设项目生态环境源头防控的指导意见》中相关要求；</w:t>
                  </w:r>
                </w:p>
                <w:p w14:paraId="1EF0A151">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3、限制在居民区、学校附近布局排放异味废气污染物的企业。</w:t>
                  </w:r>
                </w:p>
              </w:tc>
              <w:tc>
                <w:tcPr>
                  <w:tcW w:w="883" w:type="pct"/>
                  <w:vMerge w:val="continue"/>
                  <w:tcBorders>
                    <w:tl2br w:val="nil"/>
                    <w:tr2bl w:val="nil"/>
                  </w:tcBorders>
                  <w:noWrap w:val="0"/>
                  <w:vAlign w:val="center"/>
                </w:tcPr>
                <w:p w14:paraId="533626F3">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lang w:val="en-US" w:eastAsia="zh-CN"/>
                    </w:rPr>
                  </w:pPr>
                </w:p>
              </w:tc>
              <w:tc>
                <w:tcPr>
                  <w:tcW w:w="527" w:type="pct"/>
                  <w:tcBorders>
                    <w:tl2br w:val="nil"/>
                    <w:tr2bl w:val="nil"/>
                  </w:tcBorders>
                  <w:noWrap w:val="0"/>
                  <w:vAlign w:val="center"/>
                </w:tcPr>
                <w:p w14:paraId="7AC7A77D">
                  <w:pPr>
                    <w:widowControl/>
                    <w:snapToGrid w:val="0"/>
                    <w:spacing w:line="240" w:lineRule="auto"/>
                    <w:ind w:left="0" w:leftChars="0" w:right="0" w:rightChars="0"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Cs/>
                      <w:color w:val="auto"/>
                      <w:sz w:val="21"/>
                      <w:szCs w:val="21"/>
                      <w:lang w:val="en-US" w:eastAsia="zh-CN"/>
                    </w:rPr>
                    <w:t>相符</w:t>
                  </w:r>
                </w:p>
              </w:tc>
            </w:tr>
            <w:tr w14:paraId="1B967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vMerge w:val="continue"/>
                  <w:tcBorders>
                    <w:tl2br w:val="nil"/>
                    <w:tr2bl w:val="nil"/>
                  </w:tcBorders>
                  <w:noWrap/>
                  <w:vAlign w:val="center"/>
                </w:tcPr>
                <w:p w14:paraId="7BFD94C4">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p>
              </w:tc>
              <w:tc>
                <w:tcPr>
                  <w:tcW w:w="328" w:type="pct"/>
                  <w:tcBorders>
                    <w:tl2br w:val="nil"/>
                    <w:tr2bl w:val="nil"/>
                  </w:tcBorders>
                  <w:noWrap w:val="0"/>
                  <w:vAlign w:val="center"/>
                </w:tcPr>
                <w:p w14:paraId="1F5668E0">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禁止引入</w:t>
                  </w:r>
                </w:p>
              </w:tc>
              <w:tc>
                <w:tcPr>
                  <w:tcW w:w="2912" w:type="pct"/>
                  <w:tcBorders>
                    <w:tl2br w:val="nil"/>
                    <w:tr2bl w:val="nil"/>
                  </w:tcBorders>
                  <w:noWrap w:val="0"/>
                  <w:vAlign w:val="center"/>
                </w:tcPr>
                <w:p w14:paraId="34F3CD0C">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1、禁止引入《产业结构调整指导目录》、《江苏省太湖流域禁止和限制的产业产品目录》及其他国家和地方产业政策中淘汰或禁止类的建设项目和工艺；</w:t>
                  </w:r>
                </w:p>
                <w:p w14:paraId="7670C761">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2、禁止引入不符合《江苏省太湖水污染防治条例》、《长江经济带发展负面清单指南</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试行</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》、《长江经济带发展负面清单指南</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试行</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江苏省实施细则》的项目；</w:t>
                  </w:r>
                </w:p>
                <w:p w14:paraId="6AC8D98E">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3、禁止新建钢铁、煤电、化工项目；</w:t>
                  </w:r>
                </w:p>
                <w:p w14:paraId="682E420E">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4、禁止引入危险化学品仓储企业；</w:t>
                  </w:r>
                </w:p>
                <w:p w14:paraId="1E3C2ADD">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5、禁止引入纯电镀加工</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仅进行电镀加工工段，项目部分工段涉及电镀工艺的除外</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w:t>
                  </w:r>
                </w:p>
                <w:p w14:paraId="5F91B440">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6、新能源、新能源汽车，新智能：禁止建设使用高VOCs含量的溶剂型涂料、油墨、胶粘剂等项目</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具有不可替代性除外</w:t>
                  </w:r>
                  <w:r>
                    <w:rPr>
                      <w:rFonts w:hint="default" w:ascii="Times New Roman" w:hAnsi="Times New Roman" w:eastAsia="仿宋" w:cs="Times New Roman"/>
                      <w:color w:val="auto"/>
                      <w:kern w:val="0"/>
                      <w:sz w:val="21"/>
                      <w:szCs w:val="21"/>
                      <w:lang w:eastAsia="zh-CN"/>
                    </w:rPr>
                    <w:t>)；</w:t>
                  </w:r>
                </w:p>
                <w:p w14:paraId="2AE7AFC8">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7、新医药：禁止引进医药中间体的项目；</w:t>
                  </w:r>
                </w:p>
                <w:p w14:paraId="51CE4E8E">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8、新材料：禁止引入化工类新材料项目</w:t>
                  </w:r>
                  <w:r>
                    <w:rPr>
                      <w:rFonts w:hint="default" w:ascii="Times New Roman" w:hAnsi="Times New Roman" w:eastAsia="仿宋" w:cs="Times New Roman"/>
                      <w:color w:val="auto"/>
                      <w:kern w:val="0"/>
                      <w:sz w:val="21"/>
                      <w:szCs w:val="21"/>
                      <w:lang w:eastAsia="zh-CN"/>
                    </w:rPr>
                    <w:t>；</w:t>
                  </w:r>
                </w:p>
                <w:p w14:paraId="55307573">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9、禁止引入《关于加强重点行业涉新污染物建设项目环境影响评价工作的意见》中不予审批的建设项目。</w:t>
                  </w:r>
                </w:p>
              </w:tc>
              <w:tc>
                <w:tcPr>
                  <w:tcW w:w="883" w:type="pct"/>
                  <w:vMerge w:val="continue"/>
                  <w:tcBorders>
                    <w:tl2br w:val="nil"/>
                    <w:tr2bl w:val="nil"/>
                  </w:tcBorders>
                  <w:noWrap w:val="0"/>
                  <w:vAlign w:val="center"/>
                </w:tcPr>
                <w:p w14:paraId="2B929EA1">
                  <w:pPr>
                    <w:widowControl/>
                    <w:adjustRightInd/>
                    <w:snapToGrid w:val="0"/>
                    <w:spacing w:line="240" w:lineRule="auto"/>
                    <w:ind w:left="0" w:leftChars="0" w:right="0" w:rightChars="0" w:firstLine="0" w:firstLineChars="0"/>
                    <w:jc w:val="center"/>
                    <w:rPr>
                      <w:rFonts w:hint="default" w:ascii="Times New Roman" w:hAnsi="Times New Roman" w:eastAsia="仿宋" w:cs="Times New Roman"/>
                      <w:color w:val="auto"/>
                      <w:kern w:val="0"/>
                      <w:sz w:val="21"/>
                      <w:szCs w:val="21"/>
                    </w:rPr>
                  </w:pPr>
                </w:p>
              </w:tc>
              <w:tc>
                <w:tcPr>
                  <w:tcW w:w="527" w:type="pct"/>
                  <w:tcBorders>
                    <w:tl2br w:val="nil"/>
                    <w:tr2bl w:val="nil"/>
                  </w:tcBorders>
                  <w:noWrap w:val="0"/>
                  <w:vAlign w:val="center"/>
                </w:tcPr>
                <w:p w14:paraId="794B5AEB">
                  <w:pPr>
                    <w:widowControl/>
                    <w:adjustRightInd/>
                    <w:snapToGrid w:val="0"/>
                    <w:spacing w:line="240" w:lineRule="auto"/>
                    <w:ind w:left="0" w:leftChars="0" w:right="0" w:rightChars="0"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Cs/>
                      <w:color w:val="auto"/>
                      <w:sz w:val="21"/>
                      <w:szCs w:val="21"/>
                      <w:lang w:val="en-US" w:eastAsia="zh-CN"/>
                    </w:rPr>
                    <w:t>相符</w:t>
                  </w:r>
                </w:p>
              </w:tc>
            </w:tr>
            <w:tr w14:paraId="75AA2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6" w:type="pct"/>
                  <w:gridSpan w:val="2"/>
                  <w:tcBorders>
                    <w:tl2br w:val="nil"/>
                    <w:tr2bl w:val="nil"/>
                  </w:tcBorders>
                  <w:noWrap/>
                  <w:vAlign w:val="center"/>
                </w:tcPr>
                <w:p w14:paraId="5196E330">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空间布局约束</w:t>
                  </w:r>
                </w:p>
              </w:tc>
              <w:tc>
                <w:tcPr>
                  <w:tcW w:w="2912" w:type="pct"/>
                  <w:tcBorders>
                    <w:tl2br w:val="nil"/>
                    <w:tr2bl w:val="nil"/>
                  </w:tcBorders>
                  <w:noWrap w:val="0"/>
                  <w:vAlign w:val="center"/>
                </w:tcPr>
                <w:p w14:paraId="781DA035">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1、在居住用地与工业用地之间设置不少于50m的空间隔离带；</w:t>
                  </w:r>
                </w:p>
                <w:p w14:paraId="47EB7B0B">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2、入区项目严格按照环评要求设置相应的卫生防护距离或环境防护距离，确保该范围内不涉及住宅、学校等敏感目标；</w:t>
                  </w:r>
                </w:p>
                <w:p w14:paraId="1E1F4CA9">
                  <w:pPr>
                    <w:pStyle w:val="20"/>
                    <w:keepNext w:val="0"/>
                    <w:keepLines w:val="0"/>
                    <w:pageBreakBefore w:val="0"/>
                    <w:widowControl/>
                    <w:kinsoku/>
                    <w:wordWrap/>
                    <w:overflowPunct/>
                    <w:topLinePunct w:val="0"/>
                    <w:autoSpaceDE/>
                    <w:autoSpaceDN/>
                    <w:bidi w:val="0"/>
                    <w:adjustRightInd/>
                    <w:snapToGrid w:val="0"/>
                    <w:spacing w:after="0"/>
                    <w:ind w:left="-105" w:leftChars="-50" w:right="-105" w:rightChars="-50"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3、禁止突破城镇开发边界和占用永久基本农田。</w:t>
                  </w:r>
                </w:p>
              </w:tc>
              <w:tc>
                <w:tcPr>
                  <w:tcW w:w="883" w:type="pct"/>
                  <w:tcBorders>
                    <w:tl2br w:val="nil"/>
                    <w:tr2bl w:val="nil"/>
                  </w:tcBorders>
                  <w:noWrap w:val="0"/>
                  <w:vAlign w:val="center"/>
                </w:tcPr>
                <w:p w14:paraId="49D64032">
                  <w:pPr>
                    <w:keepNext w:val="0"/>
                    <w:keepLines w:val="0"/>
                    <w:pageBreakBefore w:val="0"/>
                    <w:widowControl/>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仿宋" w:cs="Times New Roman"/>
                      <w:b/>
                      <w:bCs/>
                      <w:color w:val="auto"/>
                      <w:sz w:val="21"/>
                      <w:szCs w:val="21"/>
                      <w:lang w:val="en-US"/>
                    </w:rPr>
                  </w:pPr>
                  <w:r>
                    <w:rPr>
                      <w:rFonts w:hint="default" w:ascii="Times New Roman" w:hAnsi="Times New Roman" w:eastAsia="仿宋" w:cs="Times New Roman"/>
                      <w:bCs/>
                      <w:color w:val="auto"/>
                      <w:sz w:val="21"/>
                      <w:szCs w:val="21"/>
                      <w:lang w:val="en-US" w:eastAsia="zh-CN"/>
                    </w:rPr>
                    <w:t>本项目所在地属于工业发展区，不占用耕地和永久基本农田，同时项目卫生防护距离范围内不涉及住宅、学校等敏感目标。</w:t>
                  </w:r>
                </w:p>
              </w:tc>
              <w:tc>
                <w:tcPr>
                  <w:tcW w:w="527" w:type="pct"/>
                  <w:tcBorders>
                    <w:tl2br w:val="nil"/>
                    <w:tr2bl w:val="nil"/>
                  </w:tcBorders>
                  <w:noWrap w:val="0"/>
                  <w:vAlign w:val="center"/>
                </w:tcPr>
                <w:p w14:paraId="56697C1C">
                  <w:pPr>
                    <w:pStyle w:val="20"/>
                    <w:snapToGrid w:val="0"/>
                    <w:ind w:left="0" w:leftChars="0" w:right="0" w:rightChars="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相符</w:t>
                  </w:r>
                </w:p>
              </w:tc>
            </w:tr>
            <w:tr w14:paraId="78147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vMerge w:val="restart"/>
                  <w:tcBorders>
                    <w:tl2br w:val="nil"/>
                    <w:tr2bl w:val="nil"/>
                  </w:tcBorders>
                  <w:noWrap/>
                  <w:vAlign w:val="center"/>
                </w:tcPr>
                <w:p w14:paraId="6E1EF9A7">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污染物排放管控</w:t>
                  </w:r>
                </w:p>
              </w:tc>
              <w:tc>
                <w:tcPr>
                  <w:tcW w:w="328" w:type="pct"/>
                  <w:tcBorders>
                    <w:tl2br w:val="nil"/>
                    <w:tr2bl w:val="nil"/>
                  </w:tcBorders>
                  <w:noWrap/>
                  <w:vAlign w:val="center"/>
                </w:tcPr>
                <w:p w14:paraId="1BFCA781">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总体要求</w:t>
                  </w:r>
                </w:p>
              </w:tc>
              <w:tc>
                <w:tcPr>
                  <w:tcW w:w="2912" w:type="pct"/>
                  <w:tcBorders>
                    <w:tl2br w:val="nil"/>
                    <w:tr2bl w:val="nil"/>
                  </w:tcBorders>
                  <w:noWrap w:val="0"/>
                  <w:vAlign w:val="center"/>
                </w:tcPr>
                <w:p w14:paraId="079AB9DA">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1、排放污染物必须达到国家和地方规定的污染物排放标准；</w:t>
                  </w:r>
                </w:p>
                <w:p w14:paraId="54E447D0">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2、建设项目主要污染物（颗粒物、二氧化硫、氮氧化物、VOCs）排放总量控制因子，根据省、市相关要求，进行污染物总量2倍减量替代；</w:t>
                  </w:r>
                </w:p>
                <w:p w14:paraId="51C200DD">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3、按照《江苏省挥发性有机物清洁原料替代工作方案》</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苏大气办〔2021〕2号</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要求，积极开展园区挥发性有机物清洁原料推广替代工作。</w:t>
                  </w:r>
                </w:p>
              </w:tc>
              <w:tc>
                <w:tcPr>
                  <w:tcW w:w="883" w:type="pct"/>
                  <w:vMerge w:val="restart"/>
                  <w:tcBorders>
                    <w:tl2br w:val="nil"/>
                    <w:tr2bl w:val="nil"/>
                  </w:tcBorders>
                  <w:noWrap w:val="0"/>
                  <w:vAlign w:val="center"/>
                </w:tcPr>
                <w:p w14:paraId="508E4EA5">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lang w:val="en-US"/>
                    </w:rPr>
                  </w:pPr>
                  <w:r>
                    <w:rPr>
                      <w:rFonts w:hint="default" w:ascii="Times New Roman" w:hAnsi="Times New Roman" w:eastAsia="仿宋" w:cs="Times New Roman"/>
                      <w:color w:val="auto"/>
                      <w:kern w:val="0"/>
                      <w:szCs w:val="21"/>
                      <w:highlight w:val="none"/>
                    </w:rPr>
                    <w:t>本项目</w:t>
                  </w:r>
                  <w:r>
                    <w:rPr>
                      <w:rFonts w:hint="default" w:ascii="Times New Roman" w:hAnsi="Times New Roman" w:eastAsia="仿宋" w:cs="Times New Roman"/>
                      <w:color w:val="auto"/>
                      <w:kern w:val="0"/>
                      <w:szCs w:val="21"/>
                      <w:highlight w:val="none"/>
                      <w:lang w:val="en-US" w:eastAsia="zh-CN"/>
                    </w:rPr>
                    <w:t>废气、废水均采取有效的收集、治理措施，以减少污染物排放量，并在项目获批前取得相关总量指标。</w:t>
                  </w:r>
                </w:p>
              </w:tc>
              <w:tc>
                <w:tcPr>
                  <w:tcW w:w="527" w:type="pct"/>
                  <w:tcBorders>
                    <w:tl2br w:val="nil"/>
                    <w:tr2bl w:val="nil"/>
                  </w:tcBorders>
                  <w:noWrap w:val="0"/>
                  <w:vAlign w:val="center"/>
                </w:tcPr>
                <w:p w14:paraId="09AA3374">
                  <w:pPr>
                    <w:widowControl/>
                    <w:adjustRightInd/>
                    <w:spacing w:line="240" w:lineRule="auto"/>
                    <w:ind w:left="0" w:leftChars="0" w:right="0" w:rightChars="0"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Cs/>
                      <w:color w:val="auto"/>
                      <w:sz w:val="21"/>
                      <w:szCs w:val="21"/>
                      <w:lang w:val="en-US" w:eastAsia="zh-CN"/>
                    </w:rPr>
                    <w:t>相符</w:t>
                  </w:r>
                </w:p>
              </w:tc>
            </w:tr>
            <w:tr w14:paraId="45BA1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vMerge w:val="continue"/>
                  <w:tcBorders>
                    <w:tl2br w:val="nil"/>
                    <w:tr2bl w:val="nil"/>
                  </w:tcBorders>
                  <w:noWrap/>
                  <w:vAlign w:val="center"/>
                </w:tcPr>
                <w:p w14:paraId="3B7BBD82">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p>
              </w:tc>
              <w:tc>
                <w:tcPr>
                  <w:tcW w:w="328" w:type="pct"/>
                  <w:tcBorders>
                    <w:tl2br w:val="nil"/>
                    <w:tr2bl w:val="nil"/>
                  </w:tcBorders>
                  <w:noWrap w:val="0"/>
                  <w:vAlign w:val="center"/>
                </w:tcPr>
                <w:p w14:paraId="580B259C">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环境质量</w:t>
                  </w:r>
                </w:p>
              </w:tc>
              <w:tc>
                <w:tcPr>
                  <w:tcW w:w="2912" w:type="pct"/>
                  <w:tcBorders>
                    <w:tl2br w:val="nil"/>
                    <w:tr2bl w:val="nil"/>
                  </w:tcBorders>
                  <w:noWrap w:val="0"/>
                  <w:vAlign w:val="center"/>
                </w:tcPr>
                <w:p w14:paraId="7DD3FED6">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1、到2027年，PM</w:t>
                  </w:r>
                  <w:r>
                    <w:rPr>
                      <w:rFonts w:hint="default" w:ascii="Times New Roman" w:hAnsi="Times New Roman" w:eastAsia="仿宋" w:cs="Times New Roman"/>
                      <w:color w:val="auto"/>
                      <w:kern w:val="0"/>
                      <w:sz w:val="21"/>
                      <w:szCs w:val="21"/>
                      <w:vertAlign w:val="subscript"/>
                    </w:rPr>
                    <w:t>2.5</w:t>
                  </w:r>
                  <w:r>
                    <w:rPr>
                      <w:rFonts w:hint="default" w:ascii="Times New Roman" w:hAnsi="Times New Roman" w:eastAsia="仿宋" w:cs="Times New Roman"/>
                      <w:color w:val="auto"/>
                      <w:kern w:val="0"/>
                      <w:sz w:val="21"/>
                      <w:szCs w:val="21"/>
                    </w:rPr>
                    <w:t>、臭氧、二氧化氮年均值分别达到30、158微克/立方米；</w:t>
                  </w:r>
                </w:p>
                <w:p w14:paraId="3AC36C5B">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r>
                    <w:rPr>
                      <w:rFonts w:hint="default" w:ascii="Times New Roman" w:hAnsi="Times New Roman" w:eastAsia="仿宋" w:cs="Times New Roman"/>
                      <w:color w:val="auto"/>
                      <w:sz w:val="21"/>
                      <w:szCs w:val="21"/>
                    </w:rPr>
                    <w:t>丹金溧漕河、尧塘河</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金坛段</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河道水质分别达到Ⅳ类、Ⅲ类标准，下塘河、金花河、小柘荡河、薛庄河等其他河道达到Ⅳ类标准</w:t>
                  </w:r>
                  <w:r>
                    <w:rPr>
                      <w:rFonts w:hint="default" w:ascii="Times New Roman" w:hAnsi="Times New Roman" w:eastAsia="仿宋" w:cs="Times New Roman"/>
                      <w:color w:val="auto"/>
                      <w:kern w:val="0"/>
                      <w:sz w:val="21"/>
                      <w:szCs w:val="21"/>
                    </w:rPr>
                    <w:t>；</w:t>
                  </w:r>
                </w:p>
                <w:p w14:paraId="207B5873">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spacing w:val="-6"/>
                      <w:kern w:val="0"/>
                      <w:sz w:val="21"/>
                      <w:szCs w:val="21"/>
                    </w:rPr>
                  </w:pPr>
                  <w:r>
                    <w:rPr>
                      <w:rFonts w:hint="default" w:ascii="Times New Roman" w:hAnsi="Times New Roman" w:eastAsia="仿宋" w:cs="Times New Roman"/>
                      <w:color w:val="auto"/>
                      <w:spacing w:val="-6"/>
                      <w:kern w:val="0"/>
                      <w:sz w:val="21"/>
                      <w:szCs w:val="21"/>
                    </w:rPr>
                    <w:t>3、土壤环境质量达到《土壤环境质量建设用地土壤污染风险管控标准</w:t>
                  </w:r>
                  <w:r>
                    <w:rPr>
                      <w:rFonts w:hint="default" w:ascii="Times New Roman" w:hAnsi="Times New Roman" w:eastAsia="仿宋" w:cs="Times New Roman"/>
                      <w:color w:val="auto"/>
                      <w:spacing w:val="-6"/>
                      <w:kern w:val="0"/>
                      <w:sz w:val="21"/>
                      <w:szCs w:val="21"/>
                      <w:lang w:eastAsia="zh-CN"/>
                    </w:rPr>
                    <w:t>(</w:t>
                  </w:r>
                  <w:r>
                    <w:rPr>
                      <w:rFonts w:hint="default" w:ascii="Times New Roman" w:hAnsi="Times New Roman" w:eastAsia="仿宋" w:cs="Times New Roman"/>
                      <w:color w:val="auto"/>
                      <w:spacing w:val="-6"/>
                      <w:kern w:val="0"/>
                      <w:sz w:val="21"/>
                      <w:szCs w:val="21"/>
                    </w:rPr>
                    <w:t>试行</w:t>
                  </w:r>
                  <w:r>
                    <w:rPr>
                      <w:rFonts w:hint="default" w:ascii="Times New Roman" w:hAnsi="Times New Roman" w:eastAsia="仿宋" w:cs="Times New Roman"/>
                      <w:color w:val="auto"/>
                      <w:spacing w:val="-6"/>
                      <w:kern w:val="0"/>
                      <w:sz w:val="21"/>
                      <w:szCs w:val="21"/>
                      <w:lang w:eastAsia="zh-CN"/>
                    </w:rPr>
                    <w:t>)</w:t>
                  </w:r>
                  <w:r>
                    <w:rPr>
                      <w:rFonts w:hint="default" w:ascii="Times New Roman" w:hAnsi="Times New Roman" w:eastAsia="仿宋" w:cs="Times New Roman"/>
                      <w:color w:val="auto"/>
                      <w:spacing w:val="-6"/>
                      <w:kern w:val="0"/>
                      <w:sz w:val="21"/>
                      <w:szCs w:val="21"/>
                    </w:rPr>
                    <w:t>》</w:t>
                  </w:r>
                  <w:r>
                    <w:rPr>
                      <w:rFonts w:hint="default" w:ascii="Times New Roman" w:hAnsi="Times New Roman" w:eastAsia="仿宋" w:cs="Times New Roman"/>
                      <w:color w:val="auto"/>
                      <w:spacing w:val="-6"/>
                      <w:kern w:val="0"/>
                      <w:sz w:val="21"/>
                      <w:szCs w:val="21"/>
                      <w:lang w:eastAsia="zh-CN"/>
                    </w:rPr>
                    <w:t>(</w:t>
                  </w:r>
                  <w:r>
                    <w:rPr>
                      <w:rFonts w:hint="default" w:ascii="Times New Roman" w:hAnsi="Times New Roman" w:eastAsia="仿宋" w:cs="Times New Roman"/>
                      <w:color w:val="auto"/>
                      <w:spacing w:val="-6"/>
                      <w:kern w:val="0"/>
                      <w:sz w:val="21"/>
                      <w:szCs w:val="21"/>
                    </w:rPr>
                    <w:t>GB36600-2018</w:t>
                  </w:r>
                  <w:r>
                    <w:rPr>
                      <w:rFonts w:hint="default" w:ascii="Times New Roman" w:hAnsi="Times New Roman" w:eastAsia="仿宋" w:cs="Times New Roman"/>
                      <w:color w:val="auto"/>
                      <w:spacing w:val="-6"/>
                      <w:kern w:val="0"/>
                      <w:sz w:val="21"/>
                      <w:szCs w:val="21"/>
                      <w:lang w:eastAsia="zh-CN"/>
                    </w:rPr>
                    <w:t>)</w:t>
                  </w:r>
                  <w:r>
                    <w:rPr>
                      <w:rFonts w:hint="default" w:ascii="Times New Roman" w:hAnsi="Times New Roman" w:eastAsia="仿宋" w:cs="Times New Roman"/>
                      <w:color w:val="auto"/>
                      <w:spacing w:val="-6"/>
                      <w:kern w:val="0"/>
                      <w:sz w:val="21"/>
                      <w:szCs w:val="21"/>
                    </w:rPr>
                    <w:t>表1和表2中的第一类、第二类用地筛选值标准。</w:t>
                  </w:r>
                </w:p>
                <w:p w14:paraId="6C525F9A">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4声环境质量：满足《声环境质量标准》</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GB3096-2008</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中相应声环境功能区标准要求。</w:t>
                  </w:r>
                </w:p>
              </w:tc>
              <w:tc>
                <w:tcPr>
                  <w:tcW w:w="883" w:type="pct"/>
                  <w:vMerge w:val="continue"/>
                  <w:tcBorders>
                    <w:tl2br w:val="nil"/>
                    <w:tr2bl w:val="nil"/>
                  </w:tcBorders>
                  <w:noWrap w:val="0"/>
                  <w:vAlign w:val="center"/>
                </w:tcPr>
                <w:p w14:paraId="4D2CB56A">
                  <w:pPr>
                    <w:widowControl/>
                    <w:adjustRightInd/>
                    <w:spacing w:line="240" w:lineRule="auto"/>
                    <w:ind w:left="0" w:leftChars="0" w:right="0" w:rightChars="0" w:firstLine="0" w:firstLineChars="0"/>
                    <w:jc w:val="center"/>
                    <w:rPr>
                      <w:rFonts w:hint="default" w:ascii="Times New Roman" w:hAnsi="Times New Roman" w:eastAsia="仿宋" w:cs="Times New Roman"/>
                      <w:color w:val="auto"/>
                      <w:kern w:val="0"/>
                      <w:sz w:val="21"/>
                      <w:szCs w:val="21"/>
                    </w:rPr>
                  </w:pPr>
                </w:p>
              </w:tc>
              <w:tc>
                <w:tcPr>
                  <w:tcW w:w="527" w:type="pct"/>
                  <w:tcBorders>
                    <w:tl2br w:val="nil"/>
                    <w:tr2bl w:val="nil"/>
                  </w:tcBorders>
                  <w:noWrap w:val="0"/>
                  <w:vAlign w:val="center"/>
                </w:tcPr>
                <w:p w14:paraId="0F19F267">
                  <w:pPr>
                    <w:widowControl/>
                    <w:adjustRightInd/>
                    <w:spacing w:line="240" w:lineRule="auto"/>
                    <w:ind w:left="0" w:leftChars="0" w:right="0" w:rightChars="0"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Cs/>
                      <w:color w:val="auto"/>
                      <w:sz w:val="21"/>
                      <w:szCs w:val="21"/>
                      <w:lang w:val="en-US" w:eastAsia="zh-CN"/>
                    </w:rPr>
                    <w:t>相符</w:t>
                  </w:r>
                </w:p>
              </w:tc>
            </w:tr>
            <w:tr w14:paraId="2132E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vMerge w:val="continue"/>
                  <w:tcBorders>
                    <w:tl2br w:val="nil"/>
                    <w:tr2bl w:val="nil"/>
                  </w:tcBorders>
                  <w:noWrap/>
                  <w:vAlign w:val="center"/>
                </w:tcPr>
                <w:p w14:paraId="74635DA4">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p>
              </w:tc>
              <w:tc>
                <w:tcPr>
                  <w:tcW w:w="328" w:type="pct"/>
                  <w:tcBorders>
                    <w:tl2br w:val="nil"/>
                    <w:tr2bl w:val="nil"/>
                  </w:tcBorders>
                  <w:noWrap w:val="0"/>
                  <w:vAlign w:val="center"/>
                </w:tcPr>
                <w:p w14:paraId="5C5C505A">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排污总量</w:t>
                  </w:r>
                </w:p>
              </w:tc>
              <w:tc>
                <w:tcPr>
                  <w:tcW w:w="2912" w:type="pct"/>
                  <w:tcBorders>
                    <w:tl2br w:val="nil"/>
                    <w:tr2bl w:val="nil"/>
                  </w:tcBorders>
                  <w:noWrap w:val="0"/>
                  <w:vAlign w:val="center"/>
                </w:tcPr>
                <w:p w14:paraId="0ED03367">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1、大气污染物</w:t>
                  </w:r>
                </w:p>
                <w:p w14:paraId="1FFFFDE0">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大气污染物规划近期排放总量</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2027年</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w:t>
                  </w:r>
                  <w:r>
                    <w:rPr>
                      <w:rFonts w:hint="default" w:ascii="Times New Roman" w:hAnsi="Times New Roman" w:eastAsia="仿宋" w:cs="Times New Roman"/>
                      <w:bCs/>
                      <w:color w:val="auto"/>
                      <w:sz w:val="21"/>
                      <w:szCs w:val="21"/>
                    </w:rPr>
                    <w:t>颗粒物391.44t/a、SO2 665.27t/a、NOX2060.77t/a、VOCs228.86t/a</w:t>
                  </w:r>
                  <w:r>
                    <w:rPr>
                      <w:rFonts w:hint="default" w:ascii="Times New Roman" w:hAnsi="Times New Roman" w:eastAsia="仿宋" w:cs="Times New Roman"/>
                      <w:color w:val="auto"/>
                      <w:sz w:val="21"/>
                      <w:szCs w:val="21"/>
                    </w:rPr>
                    <w:t>。</w:t>
                  </w:r>
                </w:p>
                <w:p w14:paraId="7D218E5C">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废气污染物规划末期排放总量</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2035年</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w:t>
                  </w:r>
                  <w:r>
                    <w:rPr>
                      <w:rFonts w:hint="default" w:ascii="Times New Roman" w:hAnsi="Times New Roman" w:eastAsia="仿宋" w:cs="Times New Roman"/>
                      <w:bCs/>
                      <w:color w:val="auto"/>
                      <w:sz w:val="21"/>
                      <w:szCs w:val="21"/>
                    </w:rPr>
                    <w:t>颗粒物398.35t/a、SO2 668.66t/a、NOX2070.25t/a、VOCs228.86t/a</w:t>
                  </w:r>
                  <w:r>
                    <w:rPr>
                      <w:rFonts w:hint="default" w:ascii="Times New Roman" w:hAnsi="Times New Roman" w:eastAsia="仿宋" w:cs="Times New Roman"/>
                      <w:color w:val="auto"/>
                      <w:sz w:val="21"/>
                      <w:szCs w:val="21"/>
                    </w:rPr>
                    <w:t>。</w:t>
                  </w:r>
                </w:p>
                <w:p w14:paraId="181F7536">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2、水污染物（外排量）</w:t>
                  </w:r>
                </w:p>
                <w:p w14:paraId="11D139AB">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水污染物规划近期排放总量（2027年）：废水量1516.54万t/a、COD 713.08t/a、氨氮55.01t/a、总磷7.13/a、总氮181.99t/a。</w:t>
                  </w:r>
                </w:p>
                <w:p w14:paraId="018C291A">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废水污染物规划末期排放总量</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2035年</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：废水量1565.45万t/a、COD711.50t/a、氨氮53.72t/a、总磷7.12t/a、总氮187.85t/a。</w:t>
                  </w:r>
                </w:p>
                <w:p w14:paraId="0368668D">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3、碳排放量</w:t>
                  </w:r>
                </w:p>
                <w:p w14:paraId="599C8110">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近期碳排放量（2027年）：</w:t>
                  </w:r>
                  <w:r>
                    <w:rPr>
                      <w:rFonts w:hint="default" w:ascii="Times New Roman" w:hAnsi="Times New Roman" w:eastAsia="仿宋" w:cs="Times New Roman"/>
                      <w:color w:val="auto"/>
                      <w:sz w:val="21"/>
                      <w:szCs w:val="21"/>
                      <w:lang w:val="en-US" w:eastAsia="zh-CN"/>
                    </w:rPr>
                    <w:t>460.39</w:t>
                  </w:r>
                  <w:r>
                    <w:rPr>
                      <w:rFonts w:hint="default" w:ascii="Times New Roman" w:hAnsi="Times New Roman" w:eastAsia="仿宋" w:cs="Times New Roman"/>
                      <w:color w:val="auto"/>
                      <w:sz w:val="21"/>
                      <w:szCs w:val="21"/>
                    </w:rPr>
                    <w:t>万吨。</w:t>
                  </w:r>
                </w:p>
                <w:p w14:paraId="29232EBB">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远期碳排放量（2035年）：</w:t>
                  </w:r>
                  <w:r>
                    <w:rPr>
                      <w:rFonts w:hint="default" w:ascii="Times New Roman" w:hAnsi="Times New Roman" w:eastAsia="仿宋" w:cs="Times New Roman"/>
                      <w:color w:val="auto"/>
                      <w:sz w:val="21"/>
                      <w:szCs w:val="21"/>
                      <w:lang w:val="en-US" w:eastAsia="zh-CN"/>
                    </w:rPr>
                    <w:t>421.39</w:t>
                  </w:r>
                  <w:r>
                    <w:rPr>
                      <w:rFonts w:hint="default" w:ascii="Times New Roman" w:hAnsi="Times New Roman" w:eastAsia="仿宋" w:cs="Times New Roman"/>
                      <w:color w:val="auto"/>
                      <w:sz w:val="21"/>
                      <w:szCs w:val="21"/>
                    </w:rPr>
                    <w:t>万吨。</w:t>
                  </w:r>
                </w:p>
              </w:tc>
              <w:tc>
                <w:tcPr>
                  <w:tcW w:w="883" w:type="pct"/>
                  <w:vMerge w:val="continue"/>
                  <w:tcBorders>
                    <w:tl2br w:val="nil"/>
                    <w:tr2bl w:val="nil"/>
                  </w:tcBorders>
                  <w:noWrap w:val="0"/>
                  <w:vAlign w:val="center"/>
                </w:tcPr>
                <w:p w14:paraId="6B38C6E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z w:val="21"/>
                      <w:szCs w:val="21"/>
                      <w:lang w:val="en-US" w:eastAsia="zh-CN"/>
                    </w:rPr>
                  </w:pPr>
                </w:p>
              </w:tc>
              <w:tc>
                <w:tcPr>
                  <w:tcW w:w="527" w:type="pct"/>
                  <w:tcBorders>
                    <w:tl2br w:val="nil"/>
                    <w:tr2bl w:val="nil"/>
                  </w:tcBorders>
                  <w:noWrap w:val="0"/>
                  <w:vAlign w:val="center"/>
                </w:tcPr>
                <w:p w14:paraId="6E9A47CF">
                  <w:pPr>
                    <w:widowControl/>
                    <w:adjustRightInd/>
                    <w:spacing w:line="240" w:lineRule="auto"/>
                    <w:ind w:left="0" w:leftChars="0" w:right="0" w:rightChars="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相符</w:t>
                  </w:r>
                </w:p>
              </w:tc>
            </w:tr>
            <w:tr w14:paraId="4F411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vMerge w:val="restart"/>
                  <w:tcBorders>
                    <w:tl2br w:val="nil"/>
                    <w:tr2bl w:val="nil"/>
                  </w:tcBorders>
                  <w:noWrap/>
                  <w:vAlign w:val="center"/>
                </w:tcPr>
                <w:p w14:paraId="7820932C">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环境风险防控</w:t>
                  </w:r>
                </w:p>
              </w:tc>
              <w:tc>
                <w:tcPr>
                  <w:tcW w:w="328" w:type="pct"/>
                  <w:tcBorders>
                    <w:tl2br w:val="nil"/>
                    <w:tr2bl w:val="nil"/>
                  </w:tcBorders>
                  <w:noWrap w:val="0"/>
                  <w:vAlign w:val="center"/>
                </w:tcPr>
                <w:p w14:paraId="2C0D0733">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企业环境风险防控要求</w:t>
                  </w:r>
                </w:p>
              </w:tc>
              <w:tc>
                <w:tcPr>
                  <w:tcW w:w="2912" w:type="pct"/>
                  <w:tcBorders>
                    <w:tl2br w:val="nil"/>
                    <w:tr2bl w:val="nil"/>
                  </w:tcBorders>
                  <w:noWrap w:val="0"/>
                  <w:vAlign w:val="center"/>
                </w:tcPr>
                <w:p w14:paraId="27B59204">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1、针对搬迁关闭的土壤污染重点监管企业，由土地使用权人负责开展土壤环境状况调查评估，以保障工业企业场地再开发利用的环境安全；</w:t>
                  </w:r>
                </w:p>
                <w:p w14:paraId="778C488F">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2、产生危险废物及一般固体废物的企事业单位，在贮存、转移、利用固体废物（含危险废物）过程中，应配备防扬散、防流失、防渗漏及其他防止污染环境的措施。</w:t>
                  </w:r>
                </w:p>
              </w:tc>
              <w:tc>
                <w:tcPr>
                  <w:tcW w:w="883" w:type="pct"/>
                  <w:tcBorders>
                    <w:tl2br w:val="nil"/>
                    <w:tr2bl w:val="nil"/>
                  </w:tcBorders>
                  <w:noWrap w:val="0"/>
                  <w:vAlign w:val="center"/>
                </w:tcPr>
                <w:p w14:paraId="4824786A">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本项目为</w:t>
                  </w:r>
                  <w:r>
                    <w:rPr>
                      <w:rFonts w:hint="eastAsia" w:ascii="Times New Roman" w:hAnsi="Times New Roman" w:eastAsia="仿宋" w:cs="Times New Roman"/>
                      <w:color w:val="auto"/>
                      <w:kern w:val="0"/>
                      <w:sz w:val="21"/>
                      <w:szCs w:val="21"/>
                      <w:lang w:val="en-US" w:eastAsia="zh-CN"/>
                    </w:rPr>
                    <w:t>扩</w:t>
                  </w:r>
                  <w:r>
                    <w:rPr>
                      <w:rFonts w:hint="default" w:ascii="Times New Roman" w:hAnsi="Times New Roman" w:eastAsia="仿宋" w:cs="Times New Roman"/>
                      <w:color w:val="auto"/>
                      <w:kern w:val="0"/>
                      <w:sz w:val="21"/>
                      <w:szCs w:val="21"/>
                      <w:lang w:val="en-US" w:eastAsia="zh-CN"/>
                    </w:rPr>
                    <w:t>建项目</w:t>
                  </w:r>
                  <w:r>
                    <w:rPr>
                      <w:rFonts w:hint="eastAsia" w:eastAsia="仿宋" w:cs="Times New Roman"/>
                      <w:color w:val="auto"/>
                      <w:kern w:val="0"/>
                      <w:sz w:val="21"/>
                      <w:szCs w:val="21"/>
                      <w:lang w:val="en-US" w:eastAsia="zh-CN"/>
                    </w:rPr>
                    <w:t>，依托现有一般固废仓库和危废仓库</w:t>
                  </w:r>
                  <w:r>
                    <w:rPr>
                      <w:rFonts w:hint="default" w:ascii="Times New Roman" w:hAnsi="Times New Roman" w:eastAsia="仿宋" w:cs="Times New Roman"/>
                      <w:color w:val="auto"/>
                      <w:kern w:val="0"/>
                      <w:sz w:val="21"/>
                      <w:szCs w:val="21"/>
                      <w:lang w:val="en-US" w:eastAsia="zh-CN"/>
                    </w:rPr>
                    <w:t>，企业</w:t>
                  </w:r>
                  <w:r>
                    <w:rPr>
                      <w:rFonts w:hint="eastAsia" w:ascii="Times New Roman" w:hAnsi="Times New Roman" w:eastAsia="仿宋" w:cs="Times New Roman"/>
                      <w:color w:val="auto"/>
                      <w:kern w:val="0"/>
                      <w:sz w:val="21"/>
                      <w:szCs w:val="21"/>
                      <w:lang w:val="en-US" w:eastAsia="zh-CN"/>
                    </w:rPr>
                    <w:t>已</w:t>
                  </w:r>
                  <w:r>
                    <w:rPr>
                      <w:rFonts w:hint="default" w:ascii="Times New Roman" w:hAnsi="Times New Roman" w:eastAsia="仿宋" w:cs="Times New Roman"/>
                      <w:color w:val="auto"/>
                      <w:kern w:val="0"/>
                      <w:sz w:val="21"/>
                      <w:szCs w:val="21"/>
                      <w:lang w:val="en-US" w:eastAsia="zh-CN"/>
                    </w:rPr>
                    <w:t>按相关要求建设规范化固废暂存场所，并建立贮存、转移管理制度</w:t>
                  </w:r>
                  <w:r>
                    <w:rPr>
                      <w:rFonts w:hint="eastAsia" w:eastAsia="仿宋" w:cs="Times New Roman"/>
                      <w:color w:val="auto"/>
                      <w:kern w:val="0"/>
                      <w:sz w:val="21"/>
                      <w:szCs w:val="21"/>
                      <w:lang w:val="en-US" w:eastAsia="zh-CN"/>
                    </w:rPr>
                    <w:t>，并配备相应防护措施</w:t>
                  </w:r>
                  <w:r>
                    <w:rPr>
                      <w:rFonts w:hint="default" w:ascii="Times New Roman" w:hAnsi="Times New Roman" w:eastAsia="仿宋" w:cs="Times New Roman"/>
                      <w:color w:val="auto"/>
                      <w:kern w:val="0"/>
                      <w:sz w:val="21"/>
                      <w:szCs w:val="21"/>
                      <w:lang w:val="en-US" w:eastAsia="zh-CN"/>
                    </w:rPr>
                    <w:t>。</w:t>
                  </w:r>
                </w:p>
              </w:tc>
              <w:tc>
                <w:tcPr>
                  <w:tcW w:w="527" w:type="pct"/>
                  <w:tcBorders>
                    <w:tl2br w:val="nil"/>
                    <w:tr2bl w:val="nil"/>
                  </w:tcBorders>
                  <w:noWrap w:val="0"/>
                  <w:vAlign w:val="center"/>
                </w:tcPr>
                <w:p w14:paraId="0F9B051C">
                  <w:pPr>
                    <w:widowControl/>
                    <w:adjustRightInd/>
                    <w:spacing w:line="240" w:lineRule="auto"/>
                    <w:ind w:left="0" w:leftChars="0" w:right="0" w:rightChars="0"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Cs/>
                      <w:color w:val="auto"/>
                      <w:sz w:val="21"/>
                      <w:szCs w:val="21"/>
                      <w:lang w:val="en-US" w:eastAsia="zh-CN"/>
                    </w:rPr>
                    <w:t>相符</w:t>
                  </w:r>
                </w:p>
              </w:tc>
            </w:tr>
            <w:tr w14:paraId="0B2FA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7" w:type="pct"/>
                  <w:vMerge w:val="continue"/>
                  <w:tcBorders>
                    <w:tl2br w:val="nil"/>
                    <w:tr2bl w:val="nil"/>
                  </w:tcBorders>
                  <w:noWrap/>
                  <w:vAlign w:val="center"/>
                </w:tcPr>
                <w:p w14:paraId="605B775B">
                  <w:pPr>
                    <w:widowControl/>
                    <w:adjustRightInd/>
                    <w:spacing w:line="240" w:lineRule="auto"/>
                    <w:ind w:firstLine="0" w:firstLineChars="0"/>
                    <w:jc w:val="center"/>
                    <w:rPr>
                      <w:rFonts w:hint="default" w:ascii="Times New Roman" w:hAnsi="Times New Roman" w:eastAsia="仿宋" w:cs="Times New Roman"/>
                      <w:color w:val="auto"/>
                      <w:kern w:val="0"/>
                      <w:sz w:val="21"/>
                      <w:szCs w:val="21"/>
                    </w:rPr>
                  </w:pPr>
                </w:p>
              </w:tc>
              <w:tc>
                <w:tcPr>
                  <w:tcW w:w="328" w:type="pct"/>
                  <w:tcBorders>
                    <w:tl2br w:val="nil"/>
                    <w:tr2bl w:val="nil"/>
                  </w:tcBorders>
                  <w:noWrap w:val="0"/>
                  <w:vAlign w:val="center"/>
                </w:tcPr>
                <w:p w14:paraId="7495F066">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园区环境风险防控要求</w:t>
                  </w:r>
                </w:p>
              </w:tc>
              <w:tc>
                <w:tcPr>
                  <w:tcW w:w="2912" w:type="pct"/>
                  <w:tcBorders>
                    <w:tl2br w:val="nil"/>
                    <w:tr2bl w:val="nil"/>
                  </w:tcBorders>
                  <w:noWrap w:val="0"/>
                  <w:vAlign w:val="center"/>
                </w:tcPr>
                <w:p w14:paraId="2EFC32A6">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1、按相关文件要求及时更新编制园区突发环境事件应急预案；</w:t>
                  </w:r>
                </w:p>
                <w:p w14:paraId="3F309E37">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2、建立突发环境事件隐患排查制度及突发环境事件应急管理长效机制，完善环境应急物资储备和应急队伍建设，强化环境应急演练，提升园区环境风险防控水平。</w:t>
                  </w:r>
                </w:p>
              </w:tc>
              <w:tc>
                <w:tcPr>
                  <w:tcW w:w="883" w:type="pct"/>
                  <w:tcBorders>
                    <w:tl2br w:val="nil"/>
                    <w:tr2bl w:val="nil"/>
                  </w:tcBorders>
                  <w:noWrap w:val="0"/>
                  <w:vAlign w:val="center"/>
                </w:tcPr>
                <w:p w14:paraId="62360EC5">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本项目通过审批后，将及时</w:t>
                  </w:r>
                  <w:r>
                    <w:rPr>
                      <w:rFonts w:hint="eastAsia" w:eastAsia="仿宋" w:cs="Times New Roman"/>
                      <w:color w:val="auto"/>
                      <w:kern w:val="0"/>
                      <w:sz w:val="21"/>
                      <w:szCs w:val="21"/>
                      <w:lang w:val="en-US" w:eastAsia="zh-CN"/>
                    </w:rPr>
                    <w:t>修编</w:t>
                  </w:r>
                  <w:r>
                    <w:rPr>
                      <w:rFonts w:hint="default" w:ascii="Times New Roman" w:hAnsi="Times New Roman" w:eastAsia="仿宋" w:cs="Times New Roman"/>
                      <w:color w:val="auto"/>
                      <w:kern w:val="0"/>
                      <w:sz w:val="21"/>
                      <w:szCs w:val="21"/>
                      <w:lang w:val="en-US" w:eastAsia="zh-CN"/>
                    </w:rPr>
                    <w:t>突发环境事件应急预案并报相关部门备案。</w:t>
                  </w:r>
                </w:p>
              </w:tc>
              <w:tc>
                <w:tcPr>
                  <w:tcW w:w="527" w:type="pct"/>
                  <w:tcBorders>
                    <w:tl2br w:val="nil"/>
                    <w:tr2bl w:val="nil"/>
                  </w:tcBorders>
                  <w:noWrap w:val="0"/>
                  <w:vAlign w:val="center"/>
                </w:tcPr>
                <w:p w14:paraId="6B4A34D2">
                  <w:pPr>
                    <w:widowControl/>
                    <w:adjustRightInd/>
                    <w:spacing w:line="240" w:lineRule="auto"/>
                    <w:ind w:left="0" w:leftChars="0" w:right="0" w:rightChars="0"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Cs/>
                      <w:color w:val="auto"/>
                      <w:sz w:val="21"/>
                      <w:szCs w:val="21"/>
                      <w:lang w:val="en-US" w:eastAsia="zh-CN"/>
                    </w:rPr>
                    <w:t>相符</w:t>
                  </w:r>
                </w:p>
              </w:tc>
            </w:tr>
            <w:tr w14:paraId="14129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76" w:type="pct"/>
                  <w:gridSpan w:val="2"/>
                  <w:tcBorders>
                    <w:tl2br w:val="nil"/>
                    <w:tr2bl w:val="nil"/>
                  </w:tcBorders>
                  <w:noWrap/>
                  <w:vAlign w:val="center"/>
                </w:tcPr>
                <w:p w14:paraId="6D942B57">
                  <w:pPr>
                    <w:widowControl/>
                    <w:adjustRightInd/>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资源开发利用要求</w:t>
                  </w:r>
                </w:p>
              </w:tc>
              <w:tc>
                <w:tcPr>
                  <w:tcW w:w="2912" w:type="pct"/>
                  <w:tcBorders>
                    <w:tl2br w:val="nil"/>
                    <w:tr2bl w:val="nil"/>
                  </w:tcBorders>
                  <w:noWrap w:val="0"/>
                  <w:vAlign w:val="center"/>
                </w:tcPr>
                <w:p w14:paraId="68F3F407">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1、到2035年，园区单位工业增加值新鲜水耗≤2.5m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/万元；</w:t>
                  </w:r>
                </w:p>
                <w:p w14:paraId="35108A3D">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2、到2035年，园区单位工业增加值综合能耗≤0.45吨标煤/万元；</w:t>
                  </w:r>
                </w:p>
                <w:p w14:paraId="0B3F694F">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3、土地资源可利用总面积上限36.53平方公里，建设用地总面积上限32.53平方公里，工业用地总面积上限20.98平方公里。</w:t>
                  </w:r>
                </w:p>
                <w:p w14:paraId="03EBD305">
                  <w:pPr>
                    <w:keepNext w:val="0"/>
                    <w:keepLines w:val="0"/>
                    <w:pageBreakBefore w:val="0"/>
                    <w:widowControl/>
                    <w:kinsoku/>
                    <w:wordWrap/>
                    <w:overflowPunct/>
                    <w:topLinePunct w:val="0"/>
                    <w:autoSpaceDE/>
                    <w:autoSpaceDN/>
                    <w:bidi w:val="0"/>
                    <w:adjustRightInd/>
                    <w:spacing w:line="240" w:lineRule="auto"/>
                    <w:ind w:left="-105" w:leftChars="-50" w:right="-105" w:rightChars="-50" w:firstLine="0" w:firstLineChars="0"/>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4、引进项目的生产工艺、设备，以及单位产品水耗、能耗、污染物排放和资源利用效率等应达到清洁生产2级水平，其中引入的印染项目水重复利用率要达到40%以上。</w:t>
                  </w:r>
                </w:p>
              </w:tc>
              <w:tc>
                <w:tcPr>
                  <w:tcW w:w="883" w:type="pct"/>
                  <w:tcBorders>
                    <w:tl2br w:val="nil"/>
                    <w:tr2bl w:val="nil"/>
                  </w:tcBorders>
                  <w:noWrap w:val="0"/>
                  <w:vAlign w:val="center"/>
                </w:tcPr>
                <w:p w14:paraId="3A2E47D7">
                  <w:pPr>
                    <w:keepNext w:val="0"/>
                    <w:keepLines w:val="0"/>
                    <w:pageBreakBefore w:val="0"/>
                    <w:widowControl/>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本项目不新增用地，</w:t>
                  </w:r>
                  <w:r>
                    <w:rPr>
                      <w:rFonts w:hint="eastAsia" w:ascii="Times New Roman" w:hAnsi="Times New Roman" w:eastAsia="仿宋" w:cs="Times New Roman"/>
                      <w:color w:val="auto"/>
                      <w:kern w:val="0"/>
                      <w:sz w:val="21"/>
                      <w:szCs w:val="21"/>
                      <w:lang w:val="en-US" w:eastAsia="zh-CN"/>
                    </w:rPr>
                    <w:t>利用现有厂房从事唇刷的生产</w:t>
                  </w:r>
                  <w:r>
                    <w:rPr>
                      <w:rFonts w:hint="default" w:ascii="Times New Roman" w:hAnsi="Times New Roman" w:eastAsia="仿宋" w:cs="Times New Roman"/>
                      <w:color w:val="auto"/>
                      <w:kern w:val="0"/>
                      <w:sz w:val="21"/>
                      <w:szCs w:val="21"/>
                      <w:lang w:val="en-US" w:eastAsia="zh-CN"/>
                    </w:rPr>
                    <w:t>，运营期间仅消耗少量的电和自来水，能耗较低。</w:t>
                  </w:r>
                </w:p>
              </w:tc>
              <w:tc>
                <w:tcPr>
                  <w:tcW w:w="527" w:type="pct"/>
                  <w:tcBorders>
                    <w:tl2br w:val="nil"/>
                    <w:tr2bl w:val="nil"/>
                  </w:tcBorders>
                  <w:noWrap w:val="0"/>
                  <w:vAlign w:val="center"/>
                </w:tcPr>
                <w:p w14:paraId="610DA5D9">
                  <w:pPr>
                    <w:widowControl/>
                    <w:adjustRightInd/>
                    <w:spacing w:line="240" w:lineRule="auto"/>
                    <w:ind w:left="0" w:leftChars="0" w:right="0" w:rightChars="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lang w:val="en-US" w:eastAsia="zh-CN"/>
                    </w:rPr>
                    <w:t>相符</w:t>
                  </w:r>
                </w:p>
              </w:tc>
            </w:tr>
          </w:tbl>
          <w:p w14:paraId="01DC179A">
            <w:pPr>
              <w:keepNext w:val="0"/>
              <w:keepLines w:val="0"/>
              <w:pageBreakBefore w:val="0"/>
              <w:widowControl w:val="0"/>
              <w:kinsoku/>
              <w:wordWrap/>
              <w:overflowPunct/>
              <w:topLinePunct w:val="0"/>
              <w:autoSpaceDE/>
              <w:autoSpaceDN/>
              <w:bidi w:val="0"/>
              <w:adjustRightInd w:val="0"/>
              <w:snapToGrid w:val="0"/>
              <w:spacing w:before="0" w:beforeLines="0" w:line="240" w:lineRule="auto"/>
              <w:textAlignment w:val="auto"/>
              <w:rPr>
                <w:rFonts w:hint="default" w:ascii="Times New Roman" w:hAnsi="Times New Roman" w:eastAsia="仿宋" w:cs="Times New Roman"/>
                <w:b/>
                <w:bCs/>
                <w:color w:val="auto"/>
                <w:sz w:val="10"/>
                <w:szCs w:val="10"/>
              </w:rPr>
            </w:pPr>
          </w:p>
          <w:p w14:paraId="66DBA43A">
            <w:pPr>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textAlignment w:val="auto"/>
              <w:rPr>
                <w:rFonts w:hint="default" w:ascii="Times New Roman" w:hAnsi="Times New Roman" w:eastAsia="仿宋" w:cs="Times New Roman"/>
                <w:color w:val="auto"/>
                <w:kern w:val="0"/>
                <w:sz w:val="24"/>
                <w:highlight w:val="none"/>
              </w:rPr>
            </w:pPr>
            <w:r>
              <w:rPr>
                <w:rFonts w:hint="eastAsia" w:ascii="仿宋" w:hAnsi="仿宋" w:eastAsia="仿宋" w:cs="宋体"/>
                <w:color w:val="auto"/>
                <w:kern w:val="0"/>
                <w:sz w:val="24"/>
                <w:highlight w:val="none"/>
              </w:rPr>
              <w:t>综上，本项目与区域规划、</w:t>
            </w:r>
            <w:r>
              <w:rPr>
                <w:rFonts w:hint="eastAsia" w:ascii="仿宋" w:hAnsi="仿宋" w:eastAsia="仿宋" w:cs="宋体"/>
                <w:color w:val="auto"/>
                <w:kern w:val="0"/>
                <w:sz w:val="24"/>
                <w:highlight w:val="none"/>
                <w:lang w:val="en-US" w:eastAsia="zh-CN"/>
              </w:rPr>
              <w:t>规划环评</w:t>
            </w:r>
            <w:r>
              <w:rPr>
                <w:rFonts w:hint="eastAsia" w:ascii="仿宋" w:hAnsi="仿宋" w:eastAsia="仿宋" w:cs="宋体"/>
                <w:color w:val="auto"/>
                <w:kern w:val="0"/>
                <w:sz w:val="24"/>
                <w:highlight w:val="none"/>
              </w:rPr>
              <w:t>及其审查意见相符。</w:t>
            </w:r>
          </w:p>
          <w:p w14:paraId="14A3AFF2">
            <w:pPr>
              <w:keepNext w:val="0"/>
              <w:keepLines w:val="0"/>
              <w:pageBreakBefore w:val="0"/>
              <w:widowControl w:val="0"/>
              <w:kinsoku/>
              <w:wordWrap/>
              <w:overflowPunct/>
              <w:topLinePunct w:val="0"/>
              <w:autoSpaceDE w:val="0"/>
              <w:autoSpaceDN w:val="0"/>
              <w:bidi w:val="0"/>
              <w:adjustRightInd w:val="0"/>
              <w:snapToGrid w:val="0"/>
              <w:spacing w:line="348" w:lineRule="auto"/>
              <w:ind w:firstLine="480" w:firstLineChars="200"/>
              <w:textAlignment w:val="auto"/>
              <w:rPr>
                <w:rFonts w:hint="default" w:ascii="Times New Roman" w:hAnsi="Times New Roman" w:eastAsia="仿宋" w:cs="Times New Roman"/>
                <w:color w:val="auto"/>
                <w:kern w:val="0"/>
                <w:sz w:val="24"/>
                <w:highlight w:val="none"/>
              </w:rPr>
            </w:pPr>
            <w:r>
              <w:rPr>
                <w:rFonts w:hint="eastAsia" w:eastAsia="仿宋" w:cs="Times New Roman"/>
                <w:color w:val="auto"/>
                <w:kern w:val="0"/>
                <w:sz w:val="24"/>
                <w:highlight w:val="none"/>
                <w:lang w:val="en-US" w:eastAsia="zh-CN"/>
              </w:rPr>
              <w:t>3</w:t>
            </w:r>
            <w:r>
              <w:rPr>
                <w:rFonts w:hint="default" w:ascii="Times New Roman" w:hAnsi="Times New Roman" w:eastAsia="仿宋" w:cs="Times New Roman"/>
                <w:color w:val="auto"/>
                <w:kern w:val="0"/>
                <w:sz w:val="24"/>
                <w:highlight w:val="none"/>
              </w:rPr>
              <w:t>、与国土空间规划及“三区三线”相符性分析</w:t>
            </w:r>
          </w:p>
          <w:p w14:paraId="61C701E1">
            <w:pPr>
              <w:keepNext w:val="0"/>
              <w:keepLines w:val="0"/>
              <w:pageBreakBefore w:val="0"/>
              <w:widowControl w:val="0"/>
              <w:kinsoku/>
              <w:wordWrap/>
              <w:overflowPunct/>
              <w:topLinePunct w:val="0"/>
              <w:autoSpaceDE w:val="0"/>
              <w:autoSpaceDN w:val="0"/>
              <w:bidi w:val="0"/>
              <w:adjustRightInd w:val="0"/>
              <w:snapToGrid w:val="0"/>
              <w:spacing w:line="348" w:lineRule="auto"/>
              <w:ind w:firstLine="480" w:firstLineChars="200"/>
              <w:textAlignment w:val="auto"/>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根据《自然资源部关于在全国开展“三区三线”划定工作的函》（自然资函</w:t>
            </w:r>
            <w:r>
              <w:rPr>
                <w:rFonts w:hint="default" w:ascii="Times New Roman" w:hAnsi="Times New Roman" w:eastAsia="仿宋" w:cs="Times New Roman"/>
                <w:color w:val="auto"/>
                <w:kern w:val="0"/>
                <w:sz w:val="24"/>
                <w:highlight w:val="none"/>
                <w:lang w:eastAsia="zh-CN"/>
              </w:rPr>
              <w:t>〔2022〕47号</w:t>
            </w:r>
            <w:r>
              <w:rPr>
                <w:rFonts w:hint="default" w:ascii="Times New Roman" w:hAnsi="Times New Roman" w:eastAsia="仿宋" w:cs="Times New Roman"/>
                <w:color w:val="auto"/>
                <w:kern w:val="0"/>
                <w:sz w:val="24"/>
                <w:highlight w:val="none"/>
              </w:rPr>
              <w:t>）、《江苏省国土空间规划（2021-2035年）》（国函</w:t>
            </w:r>
            <w:r>
              <w:rPr>
                <w:rFonts w:hint="eastAsia" w:eastAsia="仿宋" w:cs="Times New Roman"/>
                <w:color w:val="auto"/>
                <w:kern w:val="0"/>
                <w:sz w:val="24"/>
                <w:highlight w:val="none"/>
                <w:lang w:eastAsia="zh-CN"/>
              </w:rPr>
              <w:t>〔2023〕69号</w:t>
            </w:r>
            <w:r>
              <w:rPr>
                <w:rFonts w:hint="default" w:ascii="Times New Roman" w:hAnsi="Times New Roman" w:eastAsia="仿宋" w:cs="Times New Roman"/>
                <w:color w:val="auto"/>
                <w:kern w:val="0"/>
                <w:sz w:val="24"/>
                <w:highlight w:val="none"/>
              </w:rPr>
              <w:t>）以及《常州市国土空间总体规划（2021-2035年）》（国函</w:t>
            </w:r>
            <w:r>
              <w:rPr>
                <w:rFonts w:hint="default" w:ascii="Times New Roman" w:hAnsi="Times New Roman" w:eastAsia="仿宋" w:cs="Times New Roman"/>
                <w:color w:val="auto"/>
                <w:kern w:val="0"/>
                <w:sz w:val="24"/>
                <w:highlight w:val="none"/>
                <w:lang w:eastAsia="zh-CN"/>
              </w:rPr>
              <w:t>〔2025〕9号</w:t>
            </w:r>
            <w:r>
              <w:rPr>
                <w:rFonts w:hint="default" w:ascii="Times New Roman" w:hAnsi="Times New Roman" w:eastAsia="仿宋" w:cs="Times New Roman"/>
                <w:color w:val="auto"/>
                <w:kern w:val="0"/>
                <w:sz w:val="24"/>
                <w:highlight w:val="none"/>
              </w:rPr>
              <w:t>），文件提出创建全国生态文明试验区，以底线约束和安全韧性为前提，优先保障生态、农业、安全等保护性空间。按照耕地和永久基本农田、生态保护红线、城镇开发边界的优先序，统筹划定“三区三线”：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w:t>
            </w:r>
            <w:r>
              <w:rPr>
                <w:rFonts w:hint="default" w:ascii="Times New Roman" w:hAnsi="Times New Roman" w:eastAsia="仿宋" w:cs="Times New Roman"/>
                <w:bCs/>
                <w:color w:val="auto"/>
                <w:sz w:val="24"/>
                <w:highlight w:val="none"/>
              </w:rPr>
              <w:t>到2035年，常州市耕地保有量不低于126.08万亩，其中永久基本农田保护面积不低于114.96万亩；生态保护红线面积不低于346.10平方千米；城镇开发边界面积控制在925.06平方千米以内。</w:t>
            </w:r>
            <w:r>
              <w:rPr>
                <w:rFonts w:hint="default" w:ascii="Times New Roman" w:hAnsi="Times New Roman" w:eastAsia="仿宋" w:cs="Times New Roman"/>
                <w:color w:val="auto"/>
                <w:sz w:val="24"/>
                <w:highlight w:val="none"/>
              </w:rPr>
              <w:t>加强自然资源整体保护与高效利用，统筹安排防灾减灾救灾和重大突发公共事件的应急空间，为保障粮食安全、生态安全、能源安全提供了基</w:t>
            </w:r>
            <w:r>
              <w:rPr>
                <w:rFonts w:hint="default" w:ascii="Times New Roman" w:hAnsi="Times New Roman" w:eastAsia="仿宋" w:cs="Times New Roman"/>
                <w:color w:val="auto"/>
                <w:kern w:val="0"/>
                <w:sz w:val="24"/>
                <w:highlight w:val="none"/>
              </w:rPr>
              <w:t>础保障。</w:t>
            </w:r>
          </w:p>
          <w:p w14:paraId="043BAF68">
            <w:pPr>
              <w:keepNext w:val="0"/>
              <w:keepLines w:val="0"/>
              <w:pageBreakBefore w:val="0"/>
              <w:widowControl w:val="0"/>
              <w:kinsoku/>
              <w:wordWrap/>
              <w:overflowPunct/>
              <w:topLinePunct w:val="0"/>
              <w:autoSpaceDE w:val="0"/>
              <w:autoSpaceDN w:val="0"/>
              <w:bidi w:val="0"/>
              <w:adjustRightInd w:val="0"/>
              <w:snapToGrid w:val="0"/>
              <w:spacing w:line="348" w:lineRule="auto"/>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rPr>
              <w:t>本项目位于</w:t>
            </w:r>
            <w:r>
              <w:rPr>
                <w:rFonts w:hint="default" w:ascii="Times New Roman" w:hAnsi="Times New Roman" w:eastAsia="仿宋" w:cs="Times New Roman"/>
                <w:color w:val="auto"/>
                <w:kern w:val="0"/>
                <w:sz w:val="24"/>
                <w:highlight w:val="none"/>
                <w:lang w:eastAsia="zh-CN"/>
              </w:rPr>
              <w:t>江苏省金坛经济开发区盐港东路39号8幢6号</w:t>
            </w:r>
            <w:r>
              <w:rPr>
                <w:rFonts w:hint="default" w:ascii="Times New Roman" w:hAnsi="Times New Roman" w:eastAsia="仿宋" w:cs="Times New Roman"/>
                <w:color w:val="auto"/>
                <w:kern w:val="0"/>
                <w:sz w:val="24"/>
                <w:highlight w:val="none"/>
              </w:rPr>
              <w:t>，</w:t>
            </w:r>
            <w:r>
              <w:rPr>
                <w:rFonts w:hint="eastAsia" w:ascii="Times New Roman" w:hAnsi="Times New Roman" w:eastAsia="仿宋" w:cs="Times New Roman"/>
                <w:color w:val="auto"/>
                <w:kern w:val="0"/>
                <w:sz w:val="24"/>
                <w:highlight w:val="none"/>
                <w:lang w:val="en-US" w:eastAsia="zh-CN"/>
              </w:rPr>
              <w:t>属于金坛经济开发区范围内</w:t>
            </w:r>
            <w:r>
              <w:rPr>
                <w:rFonts w:hint="default" w:ascii="Times New Roman" w:hAnsi="Times New Roman" w:eastAsia="仿宋" w:cs="Times New Roman"/>
                <w:color w:val="auto"/>
                <w:kern w:val="0"/>
                <w:sz w:val="24"/>
                <w:highlight w:val="none"/>
              </w:rPr>
              <w:t>，根据</w:t>
            </w:r>
            <w:r>
              <w:rPr>
                <w:rFonts w:hint="eastAsia" w:ascii="Times New Roman" w:hAnsi="Times New Roman" w:eastAsia="仿宋" w:cs="Times New Roman"/>
                <w:color w:val="auto"/>
                <w:kern w:val="0"/>
                <w:sz w:val="24"/>
                <w:highlight w:val="none"/>
                <w:lang w:val="en-US" w:eastAsia="zh-CN"/>
              </w:rPr>
              <w:t>规划</w:t>
            </w:r>
            <w:r>
              <w:rPr>
                <w:rFonts w:hint="default" w:ascii="Times New Roman" w:hAnsi="Times New Roman" w:eastAsia="仿宋" w:cs="Times New Roman"/>
                <w:color w:val="auto"/>
                <w:kern w:val="0"/>
                <w:sz w:val="24"/>
                <w:highlight w:val="none"/>
              </w:rPr>
              <w:t>及项目用地</w:t>
            </w:r>
            <w:r>
              <w:rPr>
                <w:rFonts w:hint="eastAsia" w:ascii="Times New Roman" w:hAnsi="Times New Roman" w:eastAsia="仿宋" w:cs="Times New Roman"/>
                <w:color w:val="auto"/>
                <w:kern w:val="0"/>
                <w:sz w:val="24"/>
                <w:highlight w:val="none"/>
                <w:lang w:val="en-US" w:eastAsia="zh-CN"/>
              </w:rPr>
              <w:t>土地</w:t>
            </w:r>
            <w:r>
              <w:rPr>
                <w:rFonts w:hint="default" w:ascii="Times New Roman" w:hAnsi="Times New Roman" w:eastAsia="仿宋" w:cs="Times New Roman"/>
                <w:color w:val="auto"/>
                <w:kern w:val="0"/>
                <w:sz w:val="24"/>
                <w:highlight w:val="none"/>
              </w:rPr>
              <w:t>证，项目所在地块为工业用地，同时根据《常州市国土空间总体规划》（2021-2035年）及国土空间规划分区图，本项目不占用耕地和永久基本农田，不涉及生态保护红线，符合国家、常州市国土空间总体规划及“三区三线”要求。</w:t>
            </w:r>
          </w:p>
        </w:tc>
      </w:tr>
      <w:tr w14:paraId="469E4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7" w:hRule="atLeast"/>
          <w:jc w:val="center"/>
        </w:trPr>
        <w:tc>
          <w:tcPr>
            <w:tcW w:w="864" w:type="dxa"/>
            <w:noWrap w:val="0"/>
            <w:vAlign w:val="center"/>
          </w:tcPr>
          <w:p w14:paraId="4B3C7743">
            <w:pPr>
              <w:autoSpaceDE w:val="0"/>
              <w:autoSpaceDN w:val="0"/>
              <w:adjustRightInd w:val="0"/>
              <w:snapToGrid w:val="0"/>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其他符合性分析</w:t>
            </w:r>
          </w:p>
        </w:tc>
        <w:tc>
          <w:tcPr>
            <w:tcW w:w="8006" w:type="dxa"/>
            <w:gridSpan w:val="4"/>
            <w:noWrap w:val="0"/>
            <w:vAlign w:val="center"/>
          </w:tcPr>
          <w:p w14:paraId="34E2E4DF">
            <w:pPr>
              <w:adjustRightInd w:val="0"/>
              <w:snapToGrid w:val="0"/>
              <w:spacing w:before="120" w:beforeLines="50"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1、产业政策相符性分析</w:t>
            </w:r>
          </w:p>
          <w:p w14:paraId="2F1791B4">
            <w:pPr>
              <w:adjustRightInd w:val="0"/>
              <w:snapToGrid w:val="0"/>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本项目与产业政策相符性具体见下表。</w:t>
            </w:r>
          </w:p>
          <w:p w14:paraId="011A3595">
            <w:pPr>
              <w:adjustRightInd w:val="0"/>
              <w:snapToGrid w:val="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表1-</w:t>
            </w:r>
            <w:r>
              <w:rPr>
                <w:rFonts w:hint="default" w:ascii="Times New Roman" w:hAnsi="Times New Roman" w:eastAsia="仿宋" w:cs="Times New Roman"/>
                <w:b/>
                <w:color w:val="auto"/>
                <w:sz w:val="24"/>
                <w:highlight w:val="none"/>
                <w:lang w:val="en-US" w:eastAsia="zh-CN"/>
              </w:rPr>
              <w:t>4</w:t>
            </w:r>
            <w:r>
              <w:rPr>
                <w:rFonts w:hint="default" w:ascii="Times New Roman" w:hAnsi="Times New Roman" w:eastAsia="仿宋" w:cs="Times New Roman"/>
                <w:b/>
                <w:color w:val="auto"/>
                <w:sz w:val="24"/>
                <w:highlight w:val="none"/>
              </w:rPr>
              <w:t xml:space="preserve">  产业政策相符性判定分析</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7" w:type="dxa"/>
                <w:left w:w="28" w:type="dxa"/>
                <w:bottom w:w="17" w:type="dxa"/>
                <w:right w:w="28" w:type="dxa"/>
              </w:tblCellMar>
            </w:tblPr>
            <w:tblGrid>
              <w:gridCol w:w="1034"/>
              <w:gridCol w:w="5087"/>
              <w:gridCol w:w="1669"/>
            </w:tblGrid>
            <w:tr w14:paraId="122DF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340" w:hRule="atLeast"/>
                <w:tblHeader/>
                <w:jc w:val="center"/>
              </w:trPr>
              <w:tc>
                <w:tcPr>
                  <w:tcW w:w="664" w:type="pct"/>
                  <w:noWrap w:val="0"/>
                  <w:vAlign w:val="center"/>
                </w:tcPr>
                <w:p w14:paraId="6B681961">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判断类型</w:t>
                  </w:r>
                </w:p>
              </w:tc>
              <w:tc>
                <w:tcPr>
                  <w:tcW w:w="3264" w:type="pct"/>
                  <w:noWrap w:val="0"/>
                  <w:vAlign w:val="center"/>
                </w:tcPr>
                <w:p w14:paraId="6E5EE15E">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对照分析</w:t>
                  </w:r>
                </w:p>
              </w:tc>
              <w:tc>
                <w:tcPr>
                  <w:tcW w:w="1071" w:type="pct"/>
                  <w:noWrap w:val="0"/>
                  <w:vAlign w:val="center"/>
                </w:tcPr>
                <w:p w14:paraId="2076B592">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是否满足要求</w:t>
                  </w:r>
                </w:p>
              </w:tc>
            </w:tr>
            <w:tr w14:paraId="58C33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340" w:hRule="atLeast"/>
                <w:jc w:val="center"/>
              </w:trPr>
              <w:tc>
                <w:tcPr>
                  <w:tcW w:w="664" w:type="pct"/>
                  <w:vMerge w:val="restart"/>
                  <w:noWrap w:val="0"/>
                  <w:vAlign w:val="center"/>
                </w:tcPr>
                <w:p w14:paraId="3EB7227D">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产业政策</w:t>
                  </w:r>
                </w:p>
              </w:tc>
              <w:tc>
                <w:tcPr>
                  <w:tcW w:w="3264" w:type="pct"/>
                  <w:noWrap w:val="0"/>
                  <w:vAlign w:val="top"/>
                </w:tcPr>
                <w:p w14:paraId="78E005F6">
                  <w:pPr>
                    <w:pStyle w:val="68"/>
                    <w:spacing w:line="278" w:lineRule="exac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eastAsia="zh-CN"/>
                    </w:rPr>
                    <w:t>从事唇刷的生产</w:t>
                  </w:r>
                  <w:r>
                    <w:rPr>
                      <w:rFonts w:hint="default" w:ascii="Times New Roman" w:hAnsi="Times New Roman" w:eastAsia="仿宋" w:cs="Times New Roman"/>
                      <w:color w:val="auto"/>
                      <w:sz w:val="21"/>
                      <w:szCs w:val="21"/>
                      <w:highlight w:val="none"/>
                      <w:lang w:val="en-US"/>
                    </w:rPr>
                    <w:t>，</w:t>
                  </w:r>
                  <w:r>
                    <w:rPr>
                      <w:rFonts w:hint="eastAsia" w:eastAsia="仿宋" w:cs="Times New Roman"/>
                      <w:color w:val="auto"/>
                      <w:sz w:val="21"/>
                      <w:szCs w:val="21"/>
                      <w:highlight w:val="none"/>
                      <w:lang w:val="en-US" w:eastAsia="zh-CN"/>
                    </w:rPr>
                    <w:t>采用的生产工艺、设备等均</w:t>
                  </w:r>
                  <w:r>
                    <w:rPr>
                      <w:rFonts w:hint="default" w:ascii="Times New Roman" w:hAnsi="Times New Roman" w:eastAsia="仿宋" w:cs="Times New Roman"/>
                      <w:color w:val="auto"/>
                      <w:sz w:val="21"/>
                      <w:szCs w:val="21"/>
                      <w:highlight w:val="none"/>
                      <w:lang w:val="en-US"/>
                    </w:rPr>
                    <w:t>不属于《产业结构调整指导目录（2024年本）》中限制类和淘汰类项目。</w:t>
                  </w:r>
                </w:p>
              </w:tc>
              <w:tc>
                <w:tcPr>
                  <w:tcW w:w="1071" w:type="pct"/>
                  <w:noWrap w:val="0"/>
                  <w:vAlign w:val="center"/>
                </w:tcPr>
                <w:p w14:paraId="4AB1B572">
                  <w:pPr>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是</w:t>
                  </w:r>
                </w:p>
              </w:tc>
            </w:tr>
            <w:tr w14:paraId="44EAB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340" w:hRule="atLeast"/>
                <w:jc w:val="center"/>
              </w:trPr>
              <w:tc>
                <w:tcPr>
                  <w:tcW w:w="664" w:type="pct"/>
                  <w:vMerge w:val="continue"/>
                  <w:noWrap w:val="0"/>
                  <w:vAlign w:val="center"/>
                </w:tcPr>
                <w:p w14:paraId="592A731E">
                  <w:pPr>
                    <w:jc w:val="center"/>
                    <w:rPr>
                      <w:rFonts w:hint="default" w:ascii="Times New Roman" w:hAnsi="Times New Roman" w:eastAsia="仿宋" w:cs="Times New Roman"/>
                      <w:color w:val="auto"/>
                      <w:szCs w:val="21"/>
                      <w:highlight w:val="none"/>
                    </w:rPr>
                  </w:pPr>
                </w:p>
              </w:tc>
              <w:tc>
                <w:tcPr>
                  <w:tcW w:w="3264" w:type="pct"/>
                  <w:noWrap w:val="0"/>
                  <w:vAlign w:val="top"/>
                </w:tcPr>
                <w:p w14:paraId="1B67AB11">
                  <w:pPr>
                    <w:pStyle w:val="68"/>
                    <w:spacing w:line="278" w:lineRule="exac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eastAsia="zh-CN"/>
                    </w:rPr>
                    <w:t>从事唇刷的生产</w:t>
                  </w:r>
                  <w:r>
                    <w:rPr>
                      <w:rFonts w:hint="default" w:ascii="Times New Roman" w:hAnsi="Times New Roman" w:eastAsia="仿宋" w:cs="Times New Roman"/>
                      <w:color w:val="auto"/>
                      <w:sz w:val="21"/>
                      <w:szCs w:val="21"/>
                      <w:highlight w:val="none"/>
                    </w:rPr>
                    <w:t>，涉及的生产工艺及装置均不在《江苏省产业结构调整限制、淘汰和禁止目录（2018年本）》</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江苏省太湖流域禁止和限制的产业产品目录（2024年本）</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rPr>
                    <w:t>中限制、淘汰和禁止目录之列。</w:t>
                  </w:r>
                </w:p>
              </w:tc>
              <w:tc>
                <w:tcPr>
                  <w:tcW w:w="1071" w:type="pct"/>
                  <w:noWrap w:val="0"/>
                  <w:vAlign w:val="center"/>
                </w:tcPr>
                <w:p w14:paraId="060C5E28">
                  <w:pPr>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是</w:t>
                  </w:r>
                </w:p>
              </w:tc>
            </w:tr>
            <w:tr w14:paraId="3E80D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340" w:hRule="atLeast"/>
                <w:jc w:val="center"/>
              </w:trPr>
              <w:tc>
                <w:tcPr>
                  <w:tcW w:w="664" w:type="pct"/>
                  <w:vMerge w:val="continue"/>
                  <w:noWrap w:val="0"/>
                  <w:vAlign w:val="center"/>
                </w:tcPr>
                <w:p w14:paraId="6AFD8E9C">
                  <w:pPr>
                    <w:jc w:val="center"/>
                    <w:rPr>
                      <w:rFonts w:hint="default" w:ascii="Times New Roman" w:hAnsi="Times New Roman" w:eastAsia="仿宋" w:cs="Times New Roman"/>
                      <w:color w:val="auto"/>
                      <w:szCs w:val="21"/>
                      <w:highlight w:val="none"/>
                    </w:rPr>
                  </w:pPr>
                </w:p>
              </w:tc>
              <w:tc>
                <w:tcPr>
                  <w:tcW w:w="3264" w:type="pct"/>
                  <w:noWrap w:val="0"/>
                  <w:vAlign w:val="top"/>
                </w:tcPr>
                <w:p w14:paraId="2651FE72">
                  <w:pPr>
                    <w:pStyle w:val="68"/>
                    <w:spacing w:line="278" w:lineRule="exact"/>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eastAsia="zh-CN"/>
                    </w:rPr>
                    <w:t>从事唇刷的生产</w:t>
                  </w:r>
                  <w:r>
                    <w:rPr>
                      <w:rFonts w:hint="default" w:ascii="Times New Roman" w:hAnsi="Times New Roman" w:eastAsia="仿宋" w:cs="Times New Roman"/>
                      <w:color w:val="auto"/>
                      <w:sz w:val="21"/>
                      <w:szCs w:val="21"/>
                      <w:highlight w:val="none"/>
                    </w:rPr>
                    <w:t>，不属于《长江经济带发展负面清单指南（试行，2022年版）》、《市场准入负面清单（202</w:t>
                  </w:r>
                  <w:r>
                    <w:rPr>
                      <w:rFonts w:hint="default" w:ascii="Times New Roman" w:hAnsi="Times New Roman"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rPr>
                    <w:t>年版）》中禁止准入类项目。</w:t>
                  </w:r>
                </w:p>
              </w:tc>
              <w:tc>
                <w:tcPr>
                  <w:tcW w:w="1071" w:type="pct"/>
                  <w:noWrap w:val="0"/>
                  <w:vAlign w:val="center"/>
                </w:tcPr>
                <w:p w14:paraId="0CDAA41B">
                  <w:pPr>
                    <w:jc w:val="center"/>
                    <w:rPr>
                      <w:rFonts w:hint="default" w:ascii="Times New Roman" w:hAnsi="Times New Roman" w:eastAsia="仿宋" w:cs="Times New Roman"/>
                      <w:color w:val="auto"/>
                      <w:kern w:val="0"/>
                      <w:szCs w:val="21"/>
                      <w:highlight w:val="none"/>
                      <w:lang w:val="en-US" w:eastAsia="zh-CN"/>
                    </w:rPr>
                  </w:pPr>
                  <w:r>
                    <w:rPr>
                      <w:rFonts w:hint="default" w:ascii="Times New Roman" w:hAnsi="Times New Roman" w:eastAsia="仿宋" w:cs="Times New Roman"/>
                      <w:color w:val="auto"/>
                      <w:kern w:val="0"/>
                      <w:szCs w:val="21"/>
                      <w:highlight w:val="none"/>
                      <w:lang w:val="en-US" w:eastAsia="zh-CN"/>
                    </w:rPr>
                    <w:t>是</w:t>
                  </w:r>
                </w:p>
              </w:tc>
            </w:tr>
            <w:tr w14:paraId="0D41A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90" w:hRule="atLeast"/>
                <w:jc w:val="center"/>
              </w:trPr>
              <w:tc>
                <w:tcPr>
                  <w:tcW w:w="664" w:type="pct"/>
                  <w:vMerge w:val="continue"/>
                  <w:noWrap w:val="0"/>
                  <w:vAlign w:val="center"/>
                </w:tcPr>
                <w:p w14:paraId="757FB10A">
                  <w:pPr>
                    <w:jc w:val="center"/>
                    <w:rPr>
                      <w:rFonts w:hint="default" w:ascii="Times New Roman" w:hAnsi="Times New Roman" w:eastAsia="仿宋" w:cs="Times New Roman"/>
                      <w:color w:val="auto"/>
                      <w:szCs w:val="21"/>
                      <w:highlight w:val="none"/>
                    </w:rPr>
                  </w:pPr>
                </w:p>
              </w:tc>
              <w:tc>
                <w:tcPr>
                  <w:tcW w:w="3264" w:type="pct"/>
                  <w:noWrap w:val="0"/>
                  <w:vAlign w:val="center"/>
                </w:tcPr>
                <w:p w14:paraId="64F07844">
                  <w:pPr>
                    <w:pStyle w:val="68"/>
                    <w:spacing w:line="278" w:lineRule="exac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eastAsia="zh-CN"/>
                    </w:rPr>
                    <w:t>从事唇刷的生产</w:t>
                  </w: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color w:val="auto"/>
                      <w:sz w:val="21"/>
                      <w:szCs w:val="21"/>
                      <w:highlight w:val="none"/>
                      <w:lang w:val="en-US" w:eastAsia="zh-CN"/>
                    </w:rPr>
                    <w:t>不属于《江苏省“两高”项目管理目录（2025年版）》管理项目。</w:t>
                  </w:r>
                </w:p>
              </w:tc>
              <w:tc>
                <w:tcPr>
                  <w:tcW w:w="1071" w:type="pct"/>
                  <w:noWrap w:val="0"/>
                  <w:vAlign w:val="center"/>
                </w:tcPr>
                <w:p w14:paraId="1F7889A5">
                  <w:pPr>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是</w:t>
                  </w:r>
                </w:p>
              </w:tc>
            </w:tr>
            <w:tr w14:paraId="16980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7" w:type="dxa"/>
                  <w:left w:w="28" w:type="dxa"/>
                  <w:bottom w:w="17" w:type="dxa"/>
                  <w:right w:w="28" w:type="dxa"/>
                </w:tblCellMar>
              </w:tblPrEx>
              <w:trPr>
                <w:trHeight w:val="340" w:hRule="atLeast"/>
                <w:jc w:val="center"/>
              </w:trPr>
              <w:tc>
                <w:tcPr>
                  <w:tcW w:w="664" w:type="pct"/>
                  <w:vMerge w:val="continue"/>
                  <w:noWrap w:val="0"/>
                  <w:vAlign w:val="center"/>
                </w:tcPr>
                <w:p w14:paraId="0F4A9756">
                  <w:pPr>
                    <w:jc w:val="center"/>
                    <w:rPr>
                      <w:rFonts w:hint="default" w:ascii="Times New Roman" w:hAnsi="Times New Roman" w:eastAsia="仿宋" w:cs="Times New Roman"/>
                      <w:color w:val="auto"/>
                      <w:szCs w:val="21"/>
                      <w:highlight w:val="none"/>
                    </w:rPr>
                  </w:pPr>
                </w:p>
              </w:tc>
              <w:tc>
                <w:tcPr>
                  <w:tcW w:w="3264" w:type="pct"/>
                  <w:noWrap w:val="0"/>
                  <w:vAlign w:val="center"/>
                </w:tcPr>
                <w:p w14:paraId="1BF45A81">
                  <w:pPr>
                    <w:pStyle w:val="68"/>
                    <w:spacing w:line="278" w:lineRule="exac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本项目已于20</w:t>
                  </w:r>
                  <w:r>
                    <w:rPr>
                      <w:rFonts w:hint="default" w:ascii="Times New Roman" w:hAnsi="Times New Roman" w:eastAsia="仿宋" w:cs="Times New Roman"/>
                      <w:color w:val="auto"/>
                      <w:sz w:val="21"/>
                      <w:szCs w:val="21"/>
                      <w:highlight w:val="none"/>
                      <w:lang w:val="en-US"/>
                    </w:rPr>
                    <w:t>2</w:t>
                  </w:r>
                  <w:r>
                    <w:rPr>
                      <w:rFonts w:hint="default" w:ascii="Times New Roman" w:hAnsi="Times New Roman" w:eastAsia="仿宋" w:cs="Times New Roman"/>
                      <w:color w:val="auto"/>
                      <w:sz w:val="21"/>
                      <w:szCs w:val="21"/>
                      <w:highlight w:val="none"/>
                      <w:lang w:val="en-US" w:eastAsia="zh-CN"/>
                    </w:rPr>
                    <w:t>6</w:t>
                  </w:r>
                  <w:r>
                    <w:rPr>
                      <w:rFonts w:hint="default" w:ascii="Times New Roman" w:hAnsi="Times New Roman" w:eastAsia="仿宋" w:cs="Times New Roman"/>
                      <w:color w:val="auto"/>
                      <w:sz w:val="21"/>
                      <w:szCs w:val="21"/>
                      <w:highlight w:val="none"/>
                    </w:rPr>
                    <w:t>年</w:t>
                  </w:r>
                  <w:r>
                    <w:rPr>
                      <w:rFonts w:hint="default" w:ascii="Times New Roman" w:hAnsi="Times New Roman" w:eastAsia="仿宋" w:cs="Times New Roman"/>
                      <w:color w:val="auto"/>
                      <w:sz w:val="21"/>
                      <w:szCs w:val="21"/>
                      <w:highlight w:val="none"/>
                      <w:lang w:val="en-US"/>
                    </w:rPr>
                    <w:t>2</w:t>
                  </w:r>
                  <w:r>
                    <w:rPr>
                      <w:rFonts w:hint="default" w:ascii="Times New Roman" w:hAnsi="Times New Roman" w:eastAsia="仿宋" w:cs="Times New Roman"/>
                      <w:color w:val="auto"/>
                      <w:sz w:val="21"/>
                      <w:szCs w:val="21"/>
                      <w:highlight w:val="none"/>
                    </w:rPr>
                    <w:t>月</w:t>
                  </w:r>
                  <w:r>
                    <w:rPr>
                      <w:rFonts w:hint="default" w:ascii="Times New Roman" w:hAnsi="Times New Roman" w:eastAsia="仿宋" w:cs="Times New Roman"/>
                      <w:color w:val="auto"/>
                      <w:sz w:val="21"/>
                      <w:szCs w:val="21"/>
                      <w:highlight w:val="none"/>
                      <w:lang w:val="en-US" w:eastAsia="zh-CN"/>
                    </w:rPr>
                    <w:t>9</w:t>
                  </w:r>
                  <w:r>
                    <w:rPr>
                      <w:rFonts w:hint="default" w:ascii="Times New Roman" w:hAnsi="Times New Roman" w:eastAsia="仿宋" w:cs="Times New Roman"/>
                      <w:color w:val="auto"/>
                      <w:sz w:val="21"/>
                      <w:szCs w:val="21"/>
                      <w:highlight w:val="none"/>
                    </w:rPr>
                    <w:t>日取得江苏金坛经济开发区</w:t>
                  </w:r>
                  <w:r>
                    <w:rPr>
                      <w:rFonts w:hint="default" w:ascii="Times New Roman" w:hAnsi="Times New Roman" w:eastAsia="仿宋" w:cs="Times New Roman"/>
                      <w:color w:val="auto"/>
                      <w:sz w:val="21"/>
                      <w:szCs w:val="21"/>
                      <w:highlight w:val="none"/>
                      <w:lang w:val="en-US"/>
                    </w:rPr>
                    <w:t>经济发展局</w:t>
                  </w:r>
                  <w:r>
                    <w:rPr>
                      <w:rFonts w:hint="default" w:ascii="Times New Roman" w:hAnsi="Times New Roman" w:eastAsia="仿宋" w:cs="Times New Roman"/>
                      <w:color w:val="auto"/>
                      <w:sz w:val="21"/>
                      <w:szCs w:val="21"/>
                      <w:highlight w:val="none"/>
                    </w:rPr>
                    <w:t>出具的江苏省投资项目备案证（见附件），符合区域产业政策。</w:t>
                  </w:r>
                </w:p>
              </w:tc>
              <w:tc>
                <w:tcPr>
                  <w:tcW w:w="1071" w:type="pct"/>
                  <w:noWrap w:val="0"/>
                  <w:vAlign w:val="center"/>
                </w:tcPr>
                <w:p w14:paraId="142A33F2">
                  <w:pPr>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是</w:t>
                  </w:r>
                </w:p>
              </w:tc>
            </w:tr>
          </w:tbl>
          <w:p w14:paraId="34184ED0">
            <w:pPr>
              <w:adjustRightInd w:val="0"/>
              <w:snapToGrid w:val="0"/>
              <w:spacing w:before="120" w:beforeLines="50"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综上所述，本项目符合国家及地方产业政策。</w:t>
            </w:r>
          </w:p>
          <w:p w14:paraId="6E82BB03">
            <w:pPr>
              <w:snapToGrid w:val="0"/>
              <w:spacing w:line="360" w:lineRule="auto"/>
              <w:ind w:firstLine="482" w:firstLineChars="200"/>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2、与“三线一单”相符性分析</w:t>
            </w:r>
          </w:p>
          <w:p w14:paraId="46ABB107">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（1）生态红线</w:t>
            </w:r>
          </w:p>
          <w:p w14:paraId="6A44A02E">
            <w:pPr>
              <w:snapToGrid w:val="0"/>
              <w:spacing w:line="360" w:lineRule="auto"/>
              <w:ind w:firstLine="480" w:firstLineChars="200"/>
              <w:rPr>
                <w:rFonts w:hint="default" w:ascii="Times New Roman" w:hAnsi="Times New Roman" w:eastAsia="仿宋" w:cs="Times New Roman"/>
                <w:b/>
                <w:color w:val="auto"/>
                <w:sz w:val="24"/>
                <w:highlight w:val="none"/>
              </w:rPr>
            </w:pPr>
            <w:r>
              <w:rPr>
                <w:rFonts w:hint="default" w:ascii="Times New Roman" w:hAnsi="Times New Roman" w:eastAsia="仿宋" w:cs="Times New Roman"/>
                <w:color w:val="auto"/>
                <w:sz w:val="24"/>
                <w:highlight w:val="none"/>
              </w:rPr>
              <w:t>本项目</w:t>
            </w:r>
            <w:r>
              <w:rPr>
                <w:rFonts w:hint="default" w:ascii="Times New Roman" w:hAnsi="Times New Roman" w:eastAsia="仿宋" w:cs="Times New Roman"/>
                <w:color w:val="auto"/>
                <w:kern w:val="0"/>
                <w:sz w:val="24"/>
                <w:highlight w:val="none"/>
              </w:rPr>
              <w:t>位于</w:t>
            </w:r>
            <w:r>
              <w:rPr>
                <w:rFonts w:hint="default" w:ascii="Times New Roman" w:hAnsi="Times New Roman" w:eastAsia="仿宋" w:cs="Times New Roman"/>
                <w:color w:val="auto"/>
                <w:kern w:val="0"/>
                <w:sz w:val="24"/>
                <w:highlight w:val="none"/>
                <w:lang w:eastAsia="zh-CN"/>
              </w:rPr>
              <w:t>江苏省金坛经济开发区盐港东路39号8幢6号</w:t>
            </w:r>
            <w:r>
              <w:rPr>
                <w:rFonts w:hint="default" w:ascii="Times New Roman" w:hAnsi="Times New Roman" w:eastAsia="仿宋" w:cs="Times New Roman"/>
                <w:color w:val="auto"/>
                <w:kern w:val="0"/>
                <w:sz w:val="24"/>
                <w:highlight w:val="none"/>
              </w:rPr>
              <w:t>，</w:t>
            </w:r>
            <w:r>
              <w:rPr>
                <w:rFonts w:hint="default" w:ascii="Times New Roman" w:hAnsi="Times New Roman" w:eastAsia="仿宋" w:cs="Times New Roman"/>
                <w:color w:val="auto"/>
                <w:sz w:val="24"/>
                <w:highlight w:val="none"/>
              </w:rPr>
              <w:t>对照《江苏省生态空间管控区域规划》（苏政发</w:t>
            </w:r>
            <w:r>
              <w:rPr>
                <w:rFonts w:hint="default" w:ascii="Times New Roman" w:hAnsi="Times New Roman" w:eastAsia="仿宋" w:cs="Times New Roman"/>
                <w:color w:val="auto"/>
                <w:sz w:val="24"/>
                <w:highlight w:val="none"/>
                <w:lang w:eastAsia="zh-CN"/>
              </w:rPr>
              <w:t>〔2020〕1号</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kern w:val="0"/>
                <w:sz w:val="24"/>
                <w:highlight w:val="none"/>
              </w:rPr>
              <w:t>距离最近的生态空间管控区丹金溧漕河（金坛区）洪水调蓄区</w:t>
            </w:r>
            <w:r>
              <w:rPr>
                <w:rFonts w:hint="eastAsia" w:ascii="Times New Roman" w:hAnsi="Times New Roman" w:eastAsia="仿宋" w:cs="Times New Roman"/>
                <w:color w:val="auto"/>
                <w:kern w:val="0"/>
                <w:sz w:val="24"/>
                <w:highlight w:val="none"/>
                <w:lang w:val="en-US" w:eastAsia="zh-CN"/>
              </w:rPr>
              <w:t>1.3</w:t>
            </w:r>
            <w:r>
              <w:rPr>
                <w:rFonts w:hint="default" w:ascii="Times New Roman" w:hAnsi="Times New Roman" w:eastAsia="仿宋" w:cs="Times New Roman"/>
                <w:color w:val="auto"/>
                <w:kern w:val="0"/>
                <w:sz w:val="24"/>
                <w:highlight w:val="none"/>
              </w:rPr>
              <w:t>km，</w:t>
            </w:r>
            <w:r>
              <w:rPr>
                <w:rFonts w:hint="default" w:ascii="Times New Roman" w:hAnsi="Times New Roman" w:eastAsia="仿宋" w:cs="Times New Roman"/>
                <w:color w:val="auto"/>
                <w:sz w:val="24"/>
                <w:highlight w:val="none"/>
              </w:rPr>
              <w:t>不在国家级生态保护红线范围和生态空间管控区范围内。</w:t>
            </w:r>
          </w:p>
          <w:p w14:paraId="7E8CB2CA">
            <w:pPr>
              <w:snapToGrid w:val="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表1-</w:t>
            </w:r>
            <w:r>
              <w:rPr>
                <w:rFonts w:hint="default" w:ascii="Times New Roman" w:hAnsi="Times New Roman" w:eastAsia="仿宋" w:cs="Times New Roman"/>
                <w:b/>
                <w:color w:val="auto"/>
                <w:sz w:val="24"/>
                <w:highlight w:val="none"/>
                <w:lang w:val="en-US" w:eastAsia="zh-CN"/>
              </w:rPr>
              <w:t>5</w:t>
            </w:r>
            <w:r>
              <w:rPr>
                <w:rFonts w:hint="default" w:ascii="Times New Roman" w:hAnsi="Times New Roman" w:eastAsia="仿宋" w:cs="Times New Roman"/>
                <w:b/>
                <w:color w:val="auto"/>
                <w:sz w:val="24"/>
                <w:highlight w:val="none"/>
              </w:rPr>
              <w:t xml:space="preserve">  项目所在地生态空间管控区域</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33"/>
              <w:gridCol w:w="1049"/>
              <w:gridCol w:w="803"/>
              <w:gridCol w:w="1016"/>
              <w:gridCol w:w="1191"/>
              <w:gridCol w:w="985"/>
              <w:gridCol w:w="968"/>
              <w:gridCol w:w="645"/>
            </w:tblGrid>
            <w:tr w14:paraId="3294A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27" w:type="pct"/>
                  <w:vMerge w:val="restart"/>
                  <w:tcBorders>
                    <w:top w:val="single" w:color="auto" w:sz="12" w:space="0"/>
                    <w:left w:val="nil"/>
                    <w:bottom w:val="single" w:color="auto" w:sz="4" w:space="0"/>
                    <w:right w:val="single" w:color="auto" w:sz="4" w:space="0"/>
                  </w:tcBorders>
                  <w:noWrap w:val="0"/>
                  <w:vAlign w:val="center"/>
                </w:tcPr>
                <w:p w14:paraId="4396B86E">
                  <w:pPr>
                    <w:pStyle w:val="65"/>
                    <w:spacing w:before="24" w:after="24" w:line="240" w:lineRule="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生态空间保护区域名称</w:t>
                  </w:r>
                </w:p>
              </w:tc>
              <w:tc>
                <w:tcPr>
                  <w:tcW w:w="673" w:type="pct"/>
                  <w:vMerge w:val="restart"/>
                  <w:tcBorders>
                    <w:top w:val="single" w:color="auto" w:sz="12" w:space="0"/>
                    <w:left w:val="single" w:color="auto" w:sz="4" w:space="0"/>
                    <w:bottom w:val="single" w:color="auto" w:sz="4" w:space="0"/>
                    <w:right w:val="single" w:color="auto" w:sz="4" w:space="0"/>
                  </w:tcBorders>
                  <w:noWrap w:val="0"/>
                  <w:vAlign w:val="center"/>
                </w:tcPr>
                <w:p w14:paraId="601CB492">
                  <w:pPr>
                    <w:pStyle w:val="65"/>
                    <w:spacing w:before="24" w:after="24" w:line="240" w:lineRule="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主导生态功能</w:t>
                  </w:r>
                </w:p>
              </w:tc>
              <w:tc>
                <w:tcPr>
                  <w:tcW w:w="515" w:type="pct"/>
                  <w:vMerge w:val="restart"/>
                  <w:tcBorders>
                    <w:top w:val="single" w:color="auto" w:sz="12" w:space="0"/>
                    <w:left w:val="single" w:color="auto" w:sz="4" w:space="0"/>
                    <w:bottom w:val="single" w:color="auto" w:sz="4" w:space="0"/>
                    <w:right w:val="single" w:color="auto" w:sz="4" w:space="0"/>
                  </w:tcBorders>
                  <w:noWrap w:val="0"/>
                  <w:vAlign w:val="center"/>
                </w:tcPr>
                <w:p w14:paraId="617D8FA4">
                  <w:pPr>
                    <w:pStyle w:val="65"/>
                    <w:spacing w:before="24" w:after="24" w:line="240" w:lineRule="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相对</w:t>
                  </w:r>
                </w:p>
                <w:p w14:paraId="12540DCF">
                  <w:pPr>
                    <w:pStyle w:val="65"/>
                    <w:spacing w:before="24" w:after="24" w:line="240" w:lineRule="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距离</w:t>
                  </w:r>
                </w:p>
              </w:tc>
              <w:tc>
                <w:tcPr>
                  <w:tcW w:w="1416" w:type="pct"/>
                  <w:gridSpan w:val="2"/>
                  <w:tcBorders>
                    <w:top w:val="single" w:color="auto" w:sz="12" w:space="0"/>
                    <w:left w:val="single" w:color="auto" w:sz="4" w:space="0"/>
                    <w:bottom w:val="single" w:color="auto" w:sz="4" w:space="0"/>
                    <w:right w:val="single" w:color="auto" w:sz="4" w:space="0"/>
                  </w:tcBorders>
                  <w:noWrap w:val="0"/>
                  <w:vAlign w:val="center"/>
                </w:tcPr>
                <w:p w14:paraId="68EEC5D0">
                  <w:pPr>
                    <w:pStyle w:val="65"/>
                    <w:spacing w:before="24" w:after="24" w:line="240" w:lineRule="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范围</w:t>
                  </w:r>
                </w:p>
              </w:tc>
              <w:tc>
                <w:tcPr>
                  <w:tcW w:w="1666" w:type="pct"/>
                  <w:gridSpan w:val="3"/>
                  <w:tcBorders>
                    <w:top w:val="single" w:color="auto" w:sz="12" w:space="0"/>
                    <w:left w:val="single" w:color="auto" w:sz="4" w:space="0"/>
                    <w:bottom w:val="single" w:color="auto" w:sz="4" w:space="0"/>
                    <w:right w:val="nil"/>
                  </w:tcBorders>
                  <w:noWrap w:val="0"/>
                  <w:vAlign w:val="center"/>
                </w:tcPr>
                <w:p w14:paraId="558C1300">
                  <w:pPr>
                    <w:pStyle w:val="65"/>
                    <w:spacing w:before="24" w:after="24" w:line="240" w:lineRule="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面积（平方公里）</w:t>
                  </w:r>
                </w:p>
              </w:tc>
            </w:tr>
            <w:tr w14:paraId="1F5B6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27" w:type="pct"/>
                  <w:vMerge w:val="continue"/>
                  <w:tcBorders>
                    <w:top w:val="single" w:color="auto" w:sz="12" w:space="0"/>
                    <w:left w:val="nil"/>
                    <w:bottom w:val="single" w:color="auto" w:sz="4" w:space="0"/>
                    <w:right w:val="single" w:color="auto" w:sz="4" w:space="0"/>
                  </w:tcBorders>
                  <w:noWrap w:val="0"/>
                  <w:vAlign w:val="center"/>
                </w:tcPr>
                <w:p w14:paraId="5FA27E2F">
                  <w:pPr>
                    <w:adjustRightInd w:val="0"/>
                    <w:snapToGrid w:val="0"/>
                    <w:rPr>
                      <w:rFonts w:hint="default" w:ascii="Times New Roman" w:hAnsi="Times New Roman" w:eastAsia="仿宋" w:cs="Times New Roman"/>
                      <w:b/>
                      <w:bCs/>
                      <w:color w:val="auto"/>
                      <w:szCs w:val="21"/>
                      <w:highlight w:val="none"/>
                    </w:rPr>
                  </w:pPr>
                </w:p>
              </w:tc>
              <w:tc>
                <w:tcPr>
                  <w:tcW w:w="673" w:type="pct"/>
                  <w:vMerge w:val="continue"/>
                  <w:tcBorders>
                    <w:top w:val="single" w:color="auto" w:sz="12" w:space="0"/>
                    <w:left w:val="single" w:color="auto" w:sz="4" w:space="0"/>
                    <w:bottom w:val="single" w:color="auto" w:sz="4" w:space="0"/>
                    <w:right w:val="single" w:color="auto" w:sz="4" w:space="0"/>
                  </w:tcBorders>
                  <w:noWrap w:val="0"/>
                  <w:vAlign w:val="center"/>
                </w:tcPr>
                <w:p w14:paraId="666DDFBD">
                  <w:pPr>
                    <w:adjustRightInd w:val="0"/>
                    <w:snapToGrid w:val="0"/>
                    <w:rPr>
                      <w:rFonts w:hint="default" w:ascii="Times New Roman" w:hAnsi="Times New Roman" w:eastAsia="仿宋" w:cs="Times New Roman"/>
                      <w:b/>
                      <w:bCs/>
                      <w:color w:val="auto"/>
                      <w:szCs w:val="21"/>
                      <w:highlight w:val="none"/>
                    </w:rPr>
                  </w:pPr>
                </w:p>
              </w:tc>
              <w:tc>
                <w:tcPr>
                  <w:tcW w:w="515" w:type="pct"/>
                  <w:vMerge w:val="continue"/>
                  <w:tcBorders>
                    <w:top w:val="single" w:color="auto" w:sz="12" w:space="0"/>
                    <w:left w:val="single" w:color="auto" w:sz="4" w:space="0"/>
                    <w:bottom w:val="single" w:color="auto" w:sz="4" w:space="0"/>
                    <w:right w:val="single" w:color="auto" w:sz="4" w:space="0"/>
                  </w:tcBorders>
                  <w:noWrap w:val="0"/>
                  <w:vAlign w:val="center"/>
                </w:tcPr>
                <w:p w14:paraId="72763C42">
                  <w:pPr>
                    <w:adjustRightInd w:val="0"/>
                    <w:snapToGrid w:val="0"/>
                    <w:rPr>
                      <w:rFonts w:hint="default" w:ascii="Times New Roman" w:hAnsi="Times New Roman" w:eastAsia="仿宋" w:cs="Times New Roman"/>
                      <w:b/>
                      <w:bCs/>
                      <w:color w:val="auto"/>
                      <w:szCs w:val="21"/>
                      <w:highlight w:val="none"/>
                    </w:rPr>
                  </w:pPr>
                </w:p>
              </w:tc>
              <w:tc>
                <w:tcPr>
                  <w:tcW w:w="652" w:type="pct"/>
                  <w:tcBorders>
                    <w:top w:val="single" w:color="auto" w:sz="4" w:space="0"/>
                    <w:left w:val="single" w:color="auto" w:sz="4" w:space="0"/>
                    <w:bottom w:val="single" w:color="auto" w:sz="4" w:space="0"/>
                    <w:right w:val="single" w:color="auto" w:sz="4" w:space="0"/>
                  </w:tcBorders>
                  <w:noWrap w:val="0"/>
                  <w:vAlign w:val="center"/>
                </w:tcPr>
                <w:p w14:paraId="55D063DB">
                  <w:pPr>
                    <w:pStyle w:val="65"/>
                    <w:spacing w:before="24" w:after="24" w:line="240" w:lineRule="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国家级生态保护红线范围</w:t>
                  </w:r>
                </w:p>
              </w:tc>
              <w:tc>
                <w:tcPr>
                  <w:tcW w:w="763" w:type="pct"/>
                  <w:tcBorders>
                    <w:top w:val="single" w:color="auto" w:sz="4" w:space="0"/>
                    <w:left w:val="single" w:color="auto" w:sz="4" w:space="0"/>
                    <w:bottom w:val="single" w:color="auto" w:sz="4" w:space="0"/>
                    <w:right w:val="single" w:color="auto" w:sz="4" w:space="0"/>
                  </w:tcBorders>
                  <w:noWrap w:val="0"/>
                  <w:vAlign w:val="center"/>
                </w:tcPr>
                <w:p w14:paraId="4F08A16E">
                  <w:pPr>
                    <w:pStyle w:val="65"/>
                    <w:spacing w:before="24" w:after="24" w:line="240" w:lineRule="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生态空间管控区域范围</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58EF186F">
                  <w:pPr>
                    <w:pStyle w:val="65"/>
                    <w:spacing w:before="24" w:after="24" w:line="240" w:lineRule="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国家级生态保护红线面积</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78257381">
                  <w:pPr>
                    <w:pStyle w:val="65"/>
                    <w:spacing w:before="24" w:after="24" w:line="240" w:lineRule="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生态空间管控区域面积</w:t>
                  </w:r>
                </w:p>
              </w:tc>
              <w:tc>
                <w:tcPr>
                  <w:tcW w:w="412" w:type="pct"/>
                  <w:tcBorders>
                    <w:top w:val="single" w:color="auto" w:sz="4" w:space="0"/>
                    <w:left w:val="single" w:color="auto" w:sz="4" w:space="0"/>
                    <w:bottom w:val="single" w:color="auto" w:sz="4" w:space="0"/>
                    <w:right w:val="nil"/>
                  </w:tcBorders>
                  <w:noWrap w:val="0"/>
                  <w:vAlign w:val="center"/>
                </w:tcPr>
                <w:p w14:paraId="2617D8E8">
                  <w:pPr>
                    <w:pStyle w:val="65"/>
                    <w:spacing w:before="24" w:after="24" w:line="240" w:lineRule="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总面积</w:t>
                  </w:r>
                </w:p>
              </w:tc>
            </w:tr>
            <w:tr w14:paraId="7BA60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33" w:type="dxa"/>
                  <w:tcBorders>
                    <w:top w:val="single" w:color="auto" w:sz="4" w:space="0"/>
                    <w:left w:val="nil"/>
                    <w:right w:val="single" w:color="auto" w:sz="4" w:space="0"/>
                  </w:tcBorders>
                  <w:noWrap w:val="0"/>
                  <w:vAlign w:val="center"/>
                </w:tcPr>
                <w:p w14:paraId="4DFFB3A0">
                  <w:pPr>
                    <w:adjustRightInd w:val="0"/>
                    <w:snapToGrid w:val="0"/>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丹金溧漕河（金坛区）洪水调蓄区</w:t>
                  </w:r>
                </w:p>
              </w:tc>
              <w:tc>
                <w:tcPr>
                  <w:tcW w:w="1049" w:type="dxa"/>
                  <w:tcBorders>
                    <w:top w:val="single" w:color="auto" w:sz="4" w:space="0"/>
                    <w:left w:val="single" w:color="auto" w:sz="4" w:space="0"/>
                    <w:right w:val="single" w:color="auto" w:sz="4" w:space="0"/>
                  </w:tcBorders>
                  <w:noWrap w:val="0"/>
                  <w:vAlign w:val="center"/>
                </w:tcPr>
                <w:p w14:paraId="4468F983">
                  <w:pPr>
                    <w:adjustRightInd w:val="0"/>
                    <w:snapToGrid w:val="0"/>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NW，1.3km</w:t>
                  </w:r>
                </w:p>
              </w:tc>
              <w:tc>
                <w:tcPr>
                  <w:tcW w:w="803" w:type="dxa"/>
                  <w:tcBorders>
                    <w:top w:val="single" w:color="auto" w:sz="4" w:space="0"/>
                    <w:left w:val="single" w:color="auto" w:sz="4" w:space="0"/>
                    <w:right w:val="single" w:color="auto" w:sz="4" w:space="0"/>
                  </w:tcBorders>
                  <w:noWrap w:val="0"/>
                  <w:vAlign w:val="center"/>
                </w:tcPr>
                <w:p w14:paraId="53F5F273">
                  <w:pPr>
                    <w:adjustRightInd w:val="0"/>
                    <w:snapToGrid w:val="0"/>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洪水调蓄</w:t>
                  </w:r>
                </w:p>
              </w:tc>
              <w:tc>
                <w:tcPr>
                  <w:tcW w:w="1016" w:type="dxa"/>
                  <w:tcBorders>
                    <w:top w:val="single" w:color="auto" w:sz="4" w:space="0"/>
                    <w:left w:val="single" w:color="auto" w:sz="4" w:space="0"/>
                    <w:right w:val="single" w:color="auto" w:sz="4" w:space="0"/>
                  </w:tcBorders>
                  <w:noWrap w:val="0"/>
                  <w:vAlign w:val="center"/>
                </w:tcPr>
                <w:p w14:paraId="5B7409DD">
                  <w:pPr>
                    <w:adjustRightInd w:val="0"/>
                    <w:snapToGrid w:val="0"/>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w:t>
                  </w:r>
                </w:p>
              </w:tc>
              <w:tc>
                <w:tcPr>
                  <w:tcW w:w="1191" w:type="dxa"/>
                  <w:tcBorders>
                    <w:top w:val="single" w:color="auto" w:sz="4" w:space="0"/>
                    <w:left w:val="single" w:color="auto" w:sz="4" w:space="0"/>
                    <w:right w:val="single" w:color="auto" w:sz="4" w:space="0"/>
                  </w:tcBorders>
                  <w:noWrap w:val="0"/>
                  <w:vAlign w:val="center"/>
                </w:tcPr>
                <w:p w14:paraId="6E06F607">
                  <w:pPr>
                    <w:adjustRightInd w:val="0"/>
                    <w:snapToGrid w:val="0"/>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新、老丹金溧漕河（除老丹金溧漕河市区段）两岸河堤之间的范围</w:t>
                  </w:r>
                </w:p>
              </w:tc>
              <w:tc>
                <w:tcPr>
                  <w:tcW w:w="985" w:type="dxa"/>
                  <w:tcBorders>
                    <w:top w:val="single" w:color="auto" w:sz="4" w:space="0"/>
                    <w:left w:val="single" w:color="auto" w:sz="4" w:space="0"/>
                    <w:right w:val="single" w:color="auto" w:sz="4" w:space="0"/>
                  </w:tcBorders>
                  <w:noWrap w:val="0"/>
                  <w:vAlign w:val="center"/>
                </w:tcPr>
                <w:p w14:paraId="5B4CE141">
                  <w:pPr>
                    <w:adjustRightInd w:val="0"/>
                    <w:snapToGrid w:val="0"/>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w:t>
                  </w:r>
                </w:p>
              </w:tc>
              <w:tc>
                <w:tcPr>
                  <w:tcW w:w="968" w:type="dxa"/>
                  <w:tcBorders>
                    <w:top w:val="single" w:color="auto" w:sz="4" w:space="0"/>
                    <w:left w:val="single" w:color="auto" w:sz="4" w:space="0"/>
                    <w:right w:val="single" w:color="auto" w:sz="4" w:space="0"/>
                  </w:tcBorders>
                  <w:noWrap w:val="0"/>
                  <w:vAlign w:val="center"/>
                </w:tcPr>
                <w:p w14:paraId="4228F349">
                  <w:pPr>
                    <w:adjustRightInd w:val="0"/>
                    <w:snapToGrid w:val="0"/>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2.50</w:t>
                  </w:r>
                </w:p>
              </w:tc>
              <w:tc>
                <w:tcPr>
                  <w:tcW w:w="645" w:type="dxa"/>
                  <w:tcBorders>
                    <w:top w:val="single" w:color="auto" w:sz="4" w:space="0"/>
                    <w:left w:val="single" w:color="auto" w:sz="4" w:space="0"/>
                    <w:right w:val="nil"/>
                  </w:tcBorders>
                  <w:noWrap w:val="0"/>
                  <w:vAlign w:val="center"/>
                </w:tcPr>
                <w:p w14:paraId="7B4837FA">
                  <w:pPr>
                    <w:adjustRightInd w:val="0"/>
                    <w:snapToGrid w:val="0"/>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2.50</w:t>
                  </w:r>
                </w:p>
              </w:tc>
            </w:tr>
          </w:tbl>
          <w:p w14:paraId="02F81824">
            <w:pPr>
              <w:snapToGrid w:val="0"/>
              <w:spacing w:before="120" w:beforeLines="50"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（2）环境质量底线</w:t>
            </w:r>
          </w:p>
          <w:p w14:paraId="4A0556B8">
            <w:pPr>
              <w:snapToGrid w:val="0"/>
              <w:spacing w:line="360" w:lineRule="auto"/>
              <w:ind w:firstLine="480" w:firstLineChars="200"/>
              <w:rPr>
                <w:rFonts w:hint="default" w:ascii="Times New Roman" w:hAnsi="Times New Roman" w:eastAsia="仿宋" w:cs="Times New Roman"/>
                <w:color w:val="000000" w:themeColor="text1"/>
                <w:sz w:val="24"/>
                <w:highlight w:val="none"/>
                <w14:textFill>
                  <w14:solidFill>
                    <w14:schemeClr w14:val="tx1"/>
                  </w14:solidFill>
                </w14:textFill>
              </w:rPr>
            </w:pPr>
            <w:r>
              <w:rPr>
                <w:rFonts w:hint="default" w:ascii="Times New Roman" w:hAnsi="Times New Roman" w:eastAsia="仿宋" w:cs="Times New Roman"/>
                <w:color w:val="auto"/>
                <w:sz w:val="24"/>
                <w:highlight w:val="none"/>
              </w:rPr>
              <w:t>尧塘河地表水断面中pH、COD、NH</w:t>
            </w:r>
            <w:r>
              <w:rPr>
                <w:rFonts w:hint="default" w:ascii="Times New Roman" w:hAnsi="Times New Roman" w:eastAsia="仿宋" w:cs="Times New Roman"/>
                <w:color w:val="auto"/>
                <w:sz w:val="24"/>
                <w:highlight w:val="none"/>
                <w:vertAlign w:val="subscript"/>
              </w:rPr>
              <w:t>3</w:t>
            </w:r>
            <w:r>
              <w:rPr>
                <w:rFonts w:hint="default" w:ascii="Times New Roman" w:hAnsi="Times New Roman" w:eastAsia="仿宋" w:cs="Times New Roman"/>
                <w:color w:val="auto"/>
                <w:sz w:val="24"/>
                <w:highlight w:val="none"/>
              </w:rPr>
              <w:t>-N、TP、TN均达到《地表水环境</w:t>
            </w:r>
            <w:r>
              <w:rPr>
                <w:rFonts w:hint="default" w:ascii="Times New Roman" w:hAnsi="Times New Roman" w:eastAsia="仿宋" w:cs="Times New Roman"/>
                <w:color w:val="000000" w:themeColor="text1"/>
                <w:sz w:val="24"/>
                <w:highlight w:val="none"/>
                <w14:textFill>
                  <w14:solidFill>
                    <w14:schemeClr w14:val="tx1"/>
                  </w14:solidFill>
                </w14:textFill>
              </w:rPr>
              <w:t>质量标准》（GB3838-2002）中</w:t>
            </w:r>
            <w:r>
              <w:rPr>
                <w:rFonts w:hint="default" w:ascii="Times New Roman" w:hAnsi="Times New Roman" w:eastAsia="仿宋" w:cs="Times New Roman"/>
                <w:color w:val="000000" w:themeColor="text1"/>
                <w:kern w:val="0"/>
                <w:sz w:val="24"/>
                <w:highlight w:val="none"/>
                <w14:textFill>
                  <w14:solidFill>
                    <w14:schemeClr w14:val="tx1"/>
                  </w14:solidFill>
                </w14:textFill>
              </w:rPr>
              <w:t>Ⅲ</w:t>
            </w:r>
            <w:r>
              <w:rPr>
                <w:rFonts w:hint="default" w:ascii="Times New Roman" w:hAnsi="Times New Roman" w:eastAsia="仿宋" w:cs="Times New Roman"/>
                <w:color w:val="000000" w:themeColor="text1"/>
                <w:sz w:val="24"/>
                <w:highlight w:val="none"/>
                <w14:textFill>
                  <w14:solidFill>
                    <w14:schemeClr w14:val="tx1"/>
                  </w14:solidFill>
                </w14:textFill>
              </w:rPr>
              <w:t>类水质标准限值。</w:t>
            </w:r>
          </w:p>
          <w:p w14:paraId="5CDC16C0">
            <w:pPr>
              <w:widowControl/>
              <w:spacing w:line="360" w:lineRule="auto"/>
              <w:ind w:firstLine="480" w:firstLineChars="200"/>
              <w:rPr>
                <w:rFonts w:hint="default" w:ascii="Times New Roman" w:hAnsi="Times New Roman" w:eastAsia="仿宋" w:cs="Times New Roman"/>
                <w:bCs/>
                <w:color w:val="000000" w:themeColor="text1"/>
                <w:sz w:val="24"/>
                <w:highlight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14:textFill>
                  <w14:solidFill>
                    <w14:schemeClr w14:val="tx1"/>
                  </w14:solidFill>
                </w14:textFill>
              </w:rPr>
              <w:t>根据《2024年常州市生态环境状况公报》，</w:t>
            </w:r>
            <w:r>
              <w:rPr>
                <w:rFonts w:hint="default" w:ascii="Times New Roman" w:hAnsi="Times New Roman" w:eastAsia="仿宋" w:cs="Times New Roman"/>
                <w:color w:val="000000" w:themeColor="text1"/>
                <w:sz w:val="24"/>
                <w:highlight w:val="none"/>
                <w14:textFill>
                  <w14:solidFill>
                    <w14:schemeClr w14:val="tx1"/>
                  </w14:solidFill>
                </w14:textFill>
              </w:rPr>
              <w:t>2024年</w:t>
            </w:r>
            <w:r>
              <w:rPr>
                <w:rFonts w:hint="default" w:ascii="Times New Roman" w:hAnsi="Times New Roman" w:eastAsia="仿宋" w:cs="Times New Roman"/>
                <w:bCs/>
                <w:color w:val="000000" w:themeColor="text1"/>
                <w:sz w:val="24"/>
                <w:highlight w:val="none"/>
                <w14:textFill>
                  <w14:solidFill>
                    <w14:schemeClr w14:val="tx1"/>
                  </w14:solidFill>
                </w14:textFill>
              </w:rPr>
              <w:t>常州市环境空气中SO</w:t>
            </w:r>
            <w:r>
              <w:rPr>
                <w:rFonts w:hint="default" w:ascii="Times New Roman" w:hAnsi="Times New Roman" w:eastAsia="仿宋" w:cs="Times New Roman"/>
                <w:bCs/>
                <w:color w:val="000000" w:themeColor="text1"/>
                <w:sz w:val="24"/>
                <w:highlight w:val="none"/>
                <w:vertAlign w:val="subscript"/>
                <w14:textFill>
                  <w14:solidFill>
                    <w14:schemeClr w14:val="tx1"/>
                  </w14:solidFill>
                </w14:textFill>
              </w:rPr>
              <w:t>2</w:t>
            </w:r>
            <w:r>
              <w:rPr>
                <w:rFonts w:hint="default" w:ascii="Times New Roman" w:hAnsi="Times New Roman" w:eastAsia="仿宋" w:cs="Times New Roman"/>
                <w:bCs/>
                <w:color w:val="000000" w:themeColor="text1"/>
                <w:sz w:val="24"/>
                <w:highlight w:val="none"/>
                <w14:textFill>
                  <w14:solidFill>
                    <w14:schemeClr w14:val="tx1"/>
                  </w14:solidFill>
                </w14:textFill>
              </w:rPr>
              <w:t>、NO</w:t>
            </w:r>
            <w:r>
              <w:rPr>
                <w:rFonts w:hint="default" w:ascii="Times New Roman" w:hAnsi="Times New Roman" w:eastAsia="仿宋" w:cs="Times New Roman"/>
                <w:bCs/>
                <w:color w:val="000000" w:themeColor="text1"/>
                <w:sz w:val="24"/>
                <w:highlight w:val="none"/>
                <w:vertAlign w:val="subscript"/>
                <w14:textFill>
                  <w14:solidFill>
                    <w14:schemeClr w14:val="tx1"/>
                  </w14:solidFill>
                </w14:textFill>
              </w:rPr>
              <w:t>2</w:t>
            </w:r>
            <w:r>
              <w:rPr>
                <w:rFonts w:hint="default" w:ascii="Times New Roman" w:hAnsi="Times New Roman" w:eastAsia="仿宋" w:cs="Times New Roman"/>
                <w:bCs/>
                <w:color w:val="000000" w:themeColor="text1"/>
                <w:sz w:val="24"/>
                <w:highlight w:val="none"/>
                <w14:textFill>
                  <w14:solidFill>
                    <w14:schemeClr w14:val="tx1"/>
                  </w14:solidFill>
                </w14:textFill>
              </w:rPr>
              <w:t>年均值和日均值的第98百分位数、PM</w:t>
            </w:r>
            <w:r>
              <w:rPr>
                <w:rFonts w:hint="default" w:ascii="Times New Roman" w:hAnsi="Times New Roman" w:eastAsia="仿宋" w:cs="Times New Roman"/>
                <w:bCs/>
                <w:color w:val="000000" w:themeColor="text1"/>
                <w:sz w:val="24"/>
                <w:highlight w:val="none"/>
                <w:vertAlign w:val="subscript"/>
                <w14:textFill>
                  <w14:solidFill>
                    <w14:schemeClr w14:val="tx1"/>
                  </w14:solidFill>
                </w14:textFill>
              </w:rPr>
              <w:t>10</w:t>
            </w:r>
            <w:r>
              <w:rPr>
                <w:rFonts w:hint="default" w:ascii="Times New Roman" w:hAnsi="Times New Roman" w:eastAsia="仿宋" w:cs="Times New Roman"/>
                <w:bCs/>
                <w:color w:val="000000" w:themeColor="text1"/>
                <w:sz w:val="24"/>
                <w:highlight w:val="none"/>
                <w14:textFill>
                  <w14:solidFill>
                    <w14:schemeClr w14:val="tx1"/>
                  </w14:solidFill>
                </w14:textFill>
              </w:rPr>
              <w:t>年均值和日均值的第95百分位数、</w:t>
            </w:r>
            <w:r>
              <w:rPr>
                <w:rFonts w:hint="default" w:ascii="Times New Roman" w:hAnsi="Times New Roman" w:eastAsia="仿宋" w:cs="Times New Roman"/>
                <w:color w:val="000000" w:themeColor="text1"/>
                <w:kern w:val="0"/>
                <w:sz w:val="24"/>
                <w:highlight w:val="none"/>
                <w14:textFill>
                  <w14:solidFill>
                    <w14:schemeClr w14:val="tx1"/>
                  </w14:solidFill>
                </w14:textFill>
              </w:rPr>
              <w:t>PM</w:t>
            </w:r>
            <w:r>
              <w:rPr>
                <w:rFonts w:hint="default" w:ascii="Times New Roman" w:hAnsi="Times New Roman" w:eastAsia="仿宋" w:cs="Times New Roman"/>
                <w:color w:val="000000" w:themeColor="text1"/>
                <w:kern w:val="0"/>
                <w:sz w:val="24"/>
                <w:highlight w:val="none"/>
                <w:vertAlign w:val="subscript"/>
                <w14:textFill>
                  <w14:solidFill>
                    <w14:schemeClr w14:val="tx1"/>
                  </w14:solidFill>
                </w14:textFill>
              </w:rPr>
              <w:t>2.5</w:t>
            </w:r>
            <w:r>
              <w:rPr>
                <w:rFonts w:hint="default" w:ascii="Times New Roman" w:hAnsi="Times New Roman" w:eastAsia="仿宋" w:cs="Times New Roman"/>
                <w:color w:val="000000" w:themeColor="text1"/>
                <w:kern w:val="0"/>
                <w:sz w:val="24"/>
                <w:highlight w:val="none"/>
                <w14:textFill>
                  <w14:solidFill>
                    <w14:schemeClr w14:val="tx1"/>
                  </w14:solidFill>
                </w14:textFill>
              </w:rPr>
              <w:t>年均值、</w:t>
            </w:r>
            <w:r>
              <w:rPr>
                <w:rFonts w:hint="default" w:ascii="Times New Roman" w:hAnsi="Times New Roman" w:eastAsia="仿宋" w:cs="Times New Roman"/>
                <w:bCs/>
                <w:color w:val="000000" w:themeColor="text1"/>
                <w:sz w:val="24"/>
                <w:highlight w:val="none"/>
                <w14:textFill>
                  <w14:solidFill>
                    <w14:schemeClr w14:val="tx1"/>
                  </w14:solidFill>
                </w14:textFill>
              </w:rPr>
              <w:t>一氧化碳日均值的第95百分位数均达到《环境空气质量标准》（GB3095-20</w:t>
            </w:r>
            <w:r>
              <w:rPr>
                <w:rFonts w:hint="default" w:ascii="Times New Roman" w:hAnsi="Times New Roman" w:eastAsia="仿宋" w:cs="Times New Roman"/>
                <w:bCs/>
                <w:color w:val="000000" w:themeColor="text1"/>
                <w:sz w:val="24"/>
                <w:highlight w:val="none"/>
                <w:lang w:val="en-US" w:eastAsia="zh-CN"/>
                <w14:textFill>
                  <w14:solidFill>
                    <w14:schemeClr w14:val="tx1"/>
                  </w14:solidFill>
                </w14:textFill>
              </w:rPr>
              <w:t>26</w:t>
            </w:r>
            <w:r>
              <w:rPr>
                <w:rFonts w:hint="default" w:ascii="Times New Roman" w:hAnsi="Times New Roman" w:eastAsia="仿宋" w:cs="Times New Roman"/>
                <w:bCs/>
                <w:color w:val="000000" w:themeColor="text1"/>
                <w:sz w:val="24"/>
                <w:highlight w:val="none"/>
                <w14:textFill>
                  <w14:solidFill>
                    <w14:schemeClr w14:val="tx1"/>
                  </w14:solidFill>
                </w14:textFill>
              </w:rPr>
              <w:t>）二级标准，PM</w:t>
            </w:r>
            <w:r>
              <w:rPr>
                <w:rFonts w:hint="default" w:ascii="Times New Roman" w:hAnsi="Times New Roman" w:eastAsia="仿宋" w:cs="Times New Roman"/>
                <w:bCs/>
                <w:color w:val="000000" w:themeColor="text1"/>
                <w:sz w:val="24"/>
                <w:highlight w:val="none"/>
                <w:vertAlign w:val="subscript"/>
                <w14:textFill>
                  <w14:solidFill>
                    <w14:schemeClr w14:val="tx1"/>
                  </w14:solidFill>
                </w14:textFill>
              </w:rPr>
              <w:t>2.5</w:t>
            </w:r>
            <w:r>
              <w:rPr>
                <w:rFonts w:hint="default" w:ascii="Times New Roman" w:hAnsi="Times New Roman" w:eastAsia="仿宋" w:cs="Times New Roman"/>
                <w:bCs/>
                <w:color w:val="000000" w:themeColor="text1"/>
                <w:sz w:val="24"/>
                <w:highlight w:val="none"/>
                <w14:textFill>
                  <w14:solidFill>
                    <w14:schemeClr w14:val="tx1"/>
                  </w14:solidFill>
                </w14:textFill>
              </w:rPr>
              <w:t>日均值的第95百分位数、臭氧日最大8小时滑动平均值的第90百分位数浓度超过</w:t>
            </w:r>
            <w:r>
              <w:rPr>
                <w:rFonts w:hint="default" w:ascii="Times New Roman" w:hAnsi="Times New Roman" w:eastAsia="仿宋" w:cs="Times New Roman"/>
                <w:bCs/>
                <w:color w:val="000000" w:themeColor="text1"/>
                <w:sz w:val="24"/>
                <w:highlight w:val="none"/>
                <w:lang w:eastAsia="zh-CN"/>
                <w14:textFill>
                  <w14:solidFill>
                    <w14:schemeClr w14:val="tx1"/>
                  </w14:solidFill>
                </w14:textFill>
              </w:rPr>
              <w:t>《环境空气质量标准》（GB3095-2026）</w:t>
            </w:r>
            <w:r>
              <w:rPr>
                <w:rFonts w:hint="default" w:ascii="Times New Roman" w:hAnsi="Times New Roman" w:eastAsia="仿宋" w:cs="Times New Roman"/>
                <w:bCs/>
                <w:color w:val="000000" w:themeColor="text1"/>
                <w:sz w:val="24"/>
                <w:highlight w:val="none"/>
                <w14:textFill>
                  <w14:solidFill>
                    <w14:schemeClr w14:val="tx1"/>
                  </w14:solidFill>
                </w14:textFill>
              </w:rPr>
              <w:t>二级标准，因此判定为非达标区。</w:t>
            </w:r>
            <w:r>
              <w:rPr>
                <w:rFonts w:hint="default" w:ascii="Times New Roman" w:hAnsi="Times New Roman" w:eastAsia="仿宋" w:cs="Times New Roman"/>
                <w:color w:val="000000" w:themeColor="text1"/>
                <w:kern w:val="0"/>
                <w:sz w:val="24"/>
                <w:highlight w:val="none"/>
                <w14:textFill>
                  <w14:solidFill>
                    <w14:schemeClr w14:val="tx1"/>
                  </w14:solidFill>
                </w14:textFill>
              </w:rPr>
              <w:t>为加快改善环境空气</w:t>
            </w:r>
            <w:r>
              <w:rPr>
                <w:rFonts w:hint="default" w:ascii="Times New Roman" w:hAnsi="Times New Roman" w:eastAsia="仿宋" w:cs="Times New Roman"/>
                <w:bCs/>
                <w:color w:val="000000" w:themeColor="text1"/>
                <w:sz w:val="24"/>
                <w:highlight w:val="none"/>
                <w14:textFill>
                  <w14:solidFill>
                    <w14:schemeClr w14:val="tx1"/>
                  </w14:solidFill>
                </w14:textFill>
              </w:rPr>
              <w:t>质量，</w:t>
            </w:r>
            <w:r>
              <w:rPr>
                <w:rFonts w:hint="default" w:ascii="Times New Roman" w:hAnsi="Times New Roman" w:eastAsia="仿宋" w:cs="Times New Roman"/>
                <w:bCs/>
                <w:color w:val="000000" w:themeColor="text1"/>
                <w:sz w:val="24"/>
                <w:highlight w:val="none"/>
                <w:lang w:val="en-US" w:eastAsia="zh-CN"/>
                <w14:textFill>
                  <w14:solidFill>
                    <w14:schemeClr w14:val="tx1"/>
                  </w14:solidFill>
                </w14:textFill>
              </w:rPr>
              <w:t>2024年8月15日市政府印发了</w:t>
            </w:r>
            <w:r>
              <w:rPr>
                <w:rFonts w:hint="default" w:ascii="Times New Roman" w:hAnsi="Times New Roman" w:eastAsia="仿宋" w:cs="Times New Roman"/>
                <w:bCs/>
                <w:color w:val="000000" w:themeColor="text1"/>
                <w:sz w:val="24"/>
                <w:highlight w:val="none"/>
                <w14:textFill>
                  <w14:solidFill>
                    <w14:schemeClr w14:val="tx1"/>
                  </w14:solidFill>
                </w14:textFill>
              </w:rPr>
              <w:t>《常州市空气质量持续改善行动计划实施方案》</w:t>
            </w:r>
            <w:r>
              <w:rPr>
                <w:rFonts w:hint="default" w:ascii="Times New Roman" w:hAnsi="Times New Roman" w:eastAsia="仿宋" w:cs="Times New Roman"/>
                <w:bCs/>
                <w:color w:val="000000" w:themeColor="text1"/>
                <w:sz w:val="24"/>
                <w:highlight w:val="none"/>
                <w:lang w:val="en-US" w:eastAsia="zh-CN"/>
                <w14:textFill>
                  <w14:solidFill>
                    <w14:schemeClr w14:val="tx1"/>
                  </w14:solidFill>
                </w14:textFill>
              </w:rPr>
              <w:t>（常政发〔2024〕51号）</w:t>
            </w:r>
            <w:r>
              <w:rPr>
                <w:rFonts w:hint="default" w:ascii="Times New Roman" w:hAnsi="Times New Roman" w:eastAsia="仿宋" w:cs="Times New Roman"/>
                <w:bCs/>
                <w:color w:val="000000" w:themeColor="text1"/>
                <w:sz w:val="24"/>
                <w:highlight w:val="none"/>
                <w14:textFill>
                  <w14:solidFill>
                    <w14:schemeClr w14:val="tx1"/>
                  </w14:solidFill>
                </w14:textFill>
              </w:rPr>
              <w:t>，通过采取切实有效的大气污染防治措施，大气环境质量状况可以得到进一步改善。项目所在地声环境质量满足《声环境质量标准》（GB3096-2008）</w:t>
            </w:r>
            <w:r>
              <w:rPr>
                <w:rFonts w:hint="eastAsia" w:eastAsia="仿宋" w:cs="Times New Roman"/>
                <w:bCs/>
                <w:color w:val="000000" w:themeColor="text1"/>
                <w:sz w:val="24"/>
                <w:highlight w:val="none"/>
                <w:lang w:val="en-US" w:eastAsia="zh-CN"/>
                <w14:textFill>
                  <w14:solidFill>
                    <w14:schemeClr w14:val="tx1"/>
                  </w14:solidFill>
                </w14:textFill>
              </w:rPr>
              <w:t>3</w:t>
            </w:r>
            <w:r>
              <w:rPr>
                <w:rFonts w:hint="default" w:ascii="Times New Roman" w:hAnsi="Times New Roman" w:eastAsia="仿宋" w:cs="Times New Roman"/>
                <w:bCs/>
                <w:color w:val="000000" w:themeColor="text1"/>
                <w:sz w:val="24"/>
                <w:highlight w:val="none"/>
                <w14:textFill>
                  <w14:solidFill>
                    <w14:schemeClr w14:val="tx1"/>
                  </w14:solidFill>
                </w14:textFill>
              </w:rPr>
              <w:t>类声环境功能区噪声要求。</w:t>
            </w:r>
          </w:p>
          <w:p w14:paraId="21935B76">
            <w:pPr>
              <w:widowControl/>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本项目废水、废气、固废均得到合理处置，噪声对周边影响较小，不会突破项目所在地环境质量底线，因此项目的建设符合环境质量底线标准。</w:t>
            </w:r>
          </w:p>
          <w:p w14:paraId="6331EAAE">
            <w:pPr>
              <w:widowControl/>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（3）资源利用上线</w:t>
            </w:r>
          </w:p>
          <w:p w14:paraId="6A7990B6">
            <w:pPr>
              <w:widowControl/>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本项目利用已经建成的水、电等资源供应系统，项目对产生的污染物采取了全面的污染防治措施，确保项目三废达标排放。因此，本项目的资源利用、环境合理性等符合相关规定。</w:t>
            </w:r>
          </w:p>
          <w:p w14:paraId="6F40998A">
            <w:pPr>
              <w:widowControl/>
              <w:spacing w:line="360" w:lineRule="auto"/>
              <w:ind w:firstLine="480" w:firstLineChars="200"/>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bCs/>
                <w:color w:val="auto"/>
                <w:sz w:val="24"/>
                <w:szCs w:val="24"/>
                <w:highlight w:val="none"/>
              </w:rPr>
              <w:t>（4）环境准入负面清单</w:t>
            </w:r>
          </w:p>
          <w:p w14:paraId="10646BF4">
            <w:pPr>
              <w:autoSpaceDE w:val="0"/>
              <w:autoSpaceDN w:val="0"/>
              <w:adjustRightInd w:val="0"/>
              <w:snapToGrid w:val="0"/>
              <w:spacing w:line="360" w:lineRule="auto"/>
              <w:ind w:firstLine="482" w:firstLineChars="200"/>
              <w:jc w:val="left"/>
              <w:rPr>
                <w:rFonts w:hint="default" w:ascii="Times New Roman" w:hAnsi="Times New Roman" w:eastAsia="仿宋" w:cs="Times New Roman"/>
                <w:b/>
                <w:color w:val="auto"/>
                <w:kern w:val="0"/>
                <w:sz w:val="24"/>
                <w:szCs w:val="24"/>
                <w:highlight w:val="none"/>
              </w:rPr>
            </w:pPr>
            <w:r>
              <w:rPr>
                <w:rFonts w:hint="default" w:ascii="Times New Roman" w:hAnsi="Times New Roman" w:eastAsia="仿宋" w:cs="Times New Roman"/>
                <w:b/>
                <w:color w:val="auto"/>
                <w:kern w:val="0"/>
                <w:sz w:val="24"/>
                <w:szCs w:val="24"/>
                <w:highlight w:val="none"/>
              </w:rPr>
              <w:t>①《长江经济带发展负面清单指南》（试行，2022年版）</w:t>
            </w:r>
          </w:p>
          <w:p w14:paraId="7222EE17">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根据关于印发《&lt;长江经济带发展负面清单指南》（试行，2022年版）&gt;江苏省实施细则》的通知（苏长江办发</w:t>
            </w:r>
            <w:r>
              <w:rPr>
                <w:rFonts w:hint="default" w:ascii="Times New Roman" w:hAnsi="Times New Roman" w:eastAsia="仿宋" w:cs="Times New Roman"/>
                <w:color w:val="auto"/>
                <w:kern w:val="0"/>
                <w:sz w:val="24"/>
                <w:lang w:eastAsia="zh-CN"/>
              </w:rPr>
              <w:t>〔2022〕</w:t>
            </w:r>
            <w:r>
              <w:rPr>
                <w:rFonts w:hint="default" w:ascii="Times New Roman" w:hAnsi="Times New Roman" w:eastAsia="仿宋" w:cs="Times New Roman"/>
                <w:color w:val="auto"/>
                <w:kern w:val="0"/>
                <w:sz w:val="24"/>
              </w:rPr>
              <w:t>55号）中：</w:t>
            </w:r>
          </w:p>
          <w:p w14:paraId="7F78955F">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“一、河段利用与岸线开发</w:t>
            </w:r>
          </w:p>
          <w:p w14:paraId="11A38F26">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1、禁止建设不符合国家港口布局规划和《江苏省沿江沿海港口布局规划 （2015-2030年）》《江苏省内河港口布局规划(2017-2035年）》以及我省有关港口总体规划的码头项目，禁止建设未纳入《长江干线过江通道布局规划》的过长江通道项目 。</w:t>
            </w:r>
          </w:p>
          <w:p w14:paraId="0D91DB31">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p w14:paraId="3D9E5B19">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p w14:paraId="08F5AC0B">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p w14:paraId="698ED1AE">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p w14:paraId="29CC2980">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6、禁止未经许可在长江干支流及湖泊新设、改设或扩大排污口。</w:t>
            </w:r>
          </w:p>
          <w:p w14:paraId="7DB7E66A">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二、区域活动</w:t>
            </w:r>
          </w:p>
          <w:p w14:paraId="18DA18C0">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7、禁止长江干流、长江口、34个列入《率先全面禁捕的长江流域水生生物保护区名录》的水生生物保护区以及省规定的其它禁渔水域开展生产性捕捞。</w:t>
            </w:r>
          </w:p>
          <w:p w14:paraId="5C29343B">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8、禁止在距离长江干支流岸线一公里范围内新建、扩建化工园区和化工项目。长江干支流一公里按照长江干支流岸线边界（即水利部门河道管理范围边界）向陆域纵深一公里执行。</w:t>
            </w:r>
          </w:p>
          <w:p w14:paraId="69BAB04A">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9、禁止在长江干流岸线三公里范围内新建、改建、扩建尾矿库、冶炼渣库和磷石膏库，以提升安全、生态环境保护水平为目的的改建除外。</w:t>
            </w:r>
          </w:p>
          <w:p w14:paraId="01727672">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10、禁止在太湖流域一、二、三级保护区内开展《江苏省太湖水污染防治条例》禁止的投资建设活动 。</w:t>
            </w:r>
          </w:p>
          <w:p w14:paraId="1EF3A828">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11、禁止在沿江地区新建、扩建未纳入国家和省布局规划的燃煤发电项目。</w:t>
            </w:r>
          </w:p>
          <w:p w14:paraId="7FC5C289">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12、禁止在合规园区外新建、扩建钢铁、石化、化工、焦化、建材、有色、制浆造纸等高污染项目。合规园区名录按照《〈长江经济带发展负面清单指南（试行，2022年版）〉江苏省实施细则合规园区名录》执行。</w:t>
            </w:r>
          </w:p>
          <w:p w14:paraId="57FB767F">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13、禁止在取消化工定位的园区（集中区）内新建化工项目。</w:t>
            </w:r>
          </w:p>
          <w:p w14:paraId="0D34C91E">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14、禁止在化工企业周边建设不符合安全距离规定的劳动密集型的非化工项目和其他人员密集的公共设施项目。</w:t>
            </w:r>
          </w:p>
          <w:p w14:paraId="1773AFD3">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三、产业发展</w:t>
            </w:r>
          </w:p>
          <w:p w14:paraId="1F0F1EBD">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15、禁止新建、扩建不符合国家和省产业政策的尿素、</w:t>
            </w:r>
            <w:r>
              <w:rPr>
                <w:rFonts w:hint="default" w:ascii="Times New Roman" w:hAnsi="Times New Roman" w:eastAsia="仿宋" w:cs="Times New Roman"/>
                <w:color w:val="auto"/>
                <w:kern w:val="0"/>
                <w:sz w:val="24"/>
                <w:lang w:val="en-US" w:eastAsia="zh-CN"/>
              </w:rPr>
              <w:t>磷铵</w:t>
            </w:r>
            <w:r>
              <w:rPr>
                <w:rFonts w:hint="default" w:ascii="Times New Roman" w:hAnsi="Times New Roman" w:eastAsia="仿宋" w:cs="Times New Roman"/>
                <w:color w:val="auto"/>
                <w:kern w:val="0"/>
                <w:sz w:val="24"/>
              </w:rPr>
              <w:t>、电石、烧碱、聚氯乙烯、纯碱等行业新增产能项目。</w:t>
            </w:r>
          </w:p>
          <w:p w14:paraId="4F11437F">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16、禁止新建、改建、扩建高毒、高残留以及对环境影响大的农药原药 （化学合成类）项目，禁止新建、扩建不符合国家和省产业政策的农药、医药和染料中间体化工项目 。</w:t>
            </w:r>
          </w:p>
          <w:p w14:paraId="3653A854">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17、禁止新建</w:t>
            </w:r>
            <w:r>
              <w:rPr>
                <w:rFonts w:hint="default" w:ascii="Times New Roman" w:hAnsi="Times New Roman" w:eastAsia="仿宋" w:cs="Times New Roman"/>
                <w:color w:val="auto"/>
                <w:kern w:val="0"/>
                <w:sz w:val="24"/>
                <w:lang w:eastAsia="zh-CN"/>
              </w:rPr>
              <w:t>、</w:t>
            </w:r>
            <w:r>
              <w:rPr>
                <w:rFonts w:hint="default" w:ascii="Times New Roman" w:hAnsi="Times New Roman" w:eastAsia="仿宋" w:cs="Times New Roman"/>
                <w:color w:val="auto"/>
                <w:kern w:val="0"/>
                <w:sz w:val="24"/>
              </w:rPr>
              <w:t>扩建不符合国家石化、现代煤化工等产业布局规划的项目，禁止新建独立焦化项目。</w:t>
            </w:r>
          </w:p>
          <w:p w14:paraId="71B3CDE8">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18、禁止新建、扩建国家《产业结构调整指导目录》《 江苏省产业结构调整限制、淘汰和禁止目录》明确的限制类、淘汰类、禁止类项目，法律法规和相关政策明令禁止的落后产能项目，以及明令淘汰的安全生产落后工艺及装备项目。</w:t>
            </w:r>
          </w:p>
          <w:p w14:paraId="13BC43F4">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19、禁止新建、扩建不符合国家产能置换要求的严重过剩产能行业的项目。禁止新建、扩建不符合要求的高耗能高排放项目。</w:t>
            </w:r>
          </w:p>
          <w:p w14:paraId="6F65286C">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rPr>
              <w:t>20、法律法规及相关政策文件有更加严格规定的从其规定。”</w:t>
            </w:r>
          </w:p>
          <w:p w14:paraId="489966CC">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本项目位于</w:t>
            </w:r>
            <w:r>
              <w:rPr>
                <w:rFonts w:hint="default" w:ascii="Times New Roman" w:hAnsi="Times New Roman" w:eastAsia="仿宋" w:cs="Times New Roman"/>
                <w:color w:val="auto"/>
                <w:kern w:val="0"/>
                <w:sz w:val="24"/>
                <w:highlight w:val="none"/>
                <w:lang w:eastAsia="zh-CN"/>
              </w:rPr>
              <w:t>江苏省金坛经济开发区盐港东路39号8幢6号</w:t>
            </w:r>
            <w:r>
              <w:rPr>
                <w:rFonts w:hint="default" w:ascii="Times New Roman" w:hAnsi="Times New Roman" w:eastAsia="仿宋" w:cs="Times New Roman"/>
                <w:color w:val="auto"/>
                <w:kern w:val="0"/>
                <w:sz w:val="24"/>
                <w:highlight w:val="none"/>
              </w:rPr>
              <w:t>，</w:t>
            </w:r>
            <w:r>
              <w:rPr>
                <w:rFonts w:hint="default" w:ascii="Times New Roman" w:hAnsi="Times New Roman" w:eastAsia="仿宋" w:cs="Times New Roman"/>
                <w:color w:val="auto"/>
                <w:kern w:val="0"/>
                <w:sz w:val="24"/>
                <w:highlight w:val="none"/>
                <w:lang w:eastAsia="zh-CN"/>
              </w:rPr>
              <w:t>从事唇刷的生产</w:t>
            </w:r>
            <w:r>
              <w:rPr>
                <w:rFonts w:hint="default" w:ascii="Times New Roman" w:hAnsi="Times New Roman" w:eastAsia="仿宋" w:cs="Times New Roman"/>
                <w:color w:val="auto"/>
                <w:kern w:val="0"/>
                <w:sz w:val="24"/>
                <w:highlight w:val="none"/>
              </w:rPr>
              <w:t>，产品及采用的生产工艺</w:t>
            </w:r>
            <w:r>
              <w:rPr>
                <w:rFonts w:hint="default" w:ascii="Times New Roman" w:hAnsi="Times New Roman" w:eastAsia="仿宋" w:cs="Times New Roman"/>
                <w:color w:val="auto"/>
                <w:kern w:val="0"/>
                <w:sz w:val="24"/>
              </w:rPr>
              <w:t>、设备等未列入长江经济带发展负面清单。</w:t>
            </w:r>
          </w:p>
          <w:p w14:paraId="3234AF62">
            <w:pPr>
              <w:autoSpaceDE w:val="0"/>
              <w:autoSpaceDN w:val="0"/>
              <w:adjustRightInd w:val="0"/>
              <w:snapToGrid w:val="0"/>
              <w:spacing w:line="360" w:lineRule="auto"/>
              <w:ind w:firstLine="482" w:firstLineChars="200"/>
              <w:jc w:val="left"/>
              <w:rPr>
                <w:rFonts w:hint="default" w:ascii="Times New Roman" w:hAnsi="Times New Roman" w:eastAsia="仿宋" w:cs="Times New Roman"/>
                <w:b/>
                <w:bCs/>
                <w:color w:val="auto"/>
                <w:kern w:val="0"/>
                <w:sz w:val="24"/>
                <w:highlight w:val="none"/>
              </w:rPr>
            </w:pPr>
            <w:r>
              <w:rPr>
                <w:rFonts w:hint="default" w:ascii="Times New Roman" w:hAnsi="Times New Roman" w:eastAsia="仿宋" w:cs="Times New Roman"/>
                <w:b/>
                <w:bCs/>
                <w:color w:val="auto"/>
                <w:sz w:val="24"/>
                <w:highlight w:val="none"/>
              </w:rPr>
              <w:t>②《市场准入负面清单》（2025年版）</w:t>
            </w:r>
          </w:p>
          <w:p w14:paraId="0E376567">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本项目</w:t>
            </w:r>
            <w:r>
              <w:rPr>
                <w:rFonts w:hint="default" w:ascii="Times New Roman" w:hAnsi="Times New Roman" w:eastAsia="仿宋" w:cs="Times New Roman"/>
                <w:color w:val="auto"/>
                <w:kern w:val="0"/>
                <w:sz w:val="24"/>
                <w:highlight w:val="none"/>
                <w:lang w:eastAsia="zh-CN"/>
              </w:rPr>
              <w:t>从事唇刷的生产</w:t>
            </w:r>
            <w:r>
              <w:rPr>
                <w:rFonts w:hint="default" w:ascii="Times New Roman" w:hAnsi="Times New Roman" w:eastAsia="仿宋" w:cs="Times New Roman"/>
                <w:color w:val="auto"/>
                <w:kern w:val="0"/>
                <w:sz w:val="24"/>
                <w:highlight w:val="none"/>
              </w:rPr>
              <w:t>，不属于《市场准入负面清单》（2025年版）中禁止准入类项目。</w:t>
            </w:r>
          </w:p>
          <w:p w14:paraId="539E674C">
            <w:pPr>
              <w:autoSpaceDE w:val="0"/>
              <w:autoSpaceDN w:val="0"/>
              <w:adjustRightInd w:val="0"/>
              <w:snapToGrid w:val="0"/>
              <w:spacing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③《江苏省“三线一单”生态环境分区管控方案》、《江苏省2023年度生态环境分区管控动态更新成果》</w:t>
            </w:r>
          </w:p>
          <w:p w14:paraId="47B1EA38">
            <w:pPr>
              <w:snapToGrid w:val="0"/>
              <w:spacing w:line="360" w:lineRule="auto"/>
              <w:ind w:firstLine="480" w:firstLineChars="200"/>
              <w:rPr>
                <w:rFonts w:hint="default" w:ascii="Times New Roman" w:hAnsi="Times New Roman" w:eastAsia="仿宋" w:cs="Times New Roman"/>
                <w:color w:val="auto"/>
                <w:sz w:val="24"/>
                <w:highlight w:val="none"/>
              </w:rPr>
            </w:pPr>
          </w:p>
        </w:tc>
      </w:tr>
    </w:tbl>
    <w:p w14:paraId="281797E2">
      <w:pPr>
        <w:spacing w:line="360" w:lineRule="auto"/>
        <w:outlineLvl w:val="0"/>
        <w:rPr>
          <w:rFonts w:hint="default" w:ascii="Times New Roman" w:hAnsi="Times New Roman" w:eastAsia="仿宋" w:cs="Times New Roman"/>
          <w:color w:val="auto"/>
          <w:sz w:val="30"/>
          <w:highlight w:val="none"/>
        </w:r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3196"/>
      </w:tblGrid>
      <w:tr w14:paraId="3190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8" w:hRule="atLeast"/>
        </w:trPr>
        <w:tc>
          <w:tcPr>
            <w:tcW w:w="456" w:type="dxa"/>
            <w:tcBorders>
              <w:top w:val="single" w:color="auto" w:sz="4" w:space="0"/>
              <w:left w:val="single" w:color="auto" w:sz="4" w:space="0"/>
              <w:bottom w:val="single" w:color="auto" w:sz="4" w:space="0"/>
              <w:right w:val="single" w:color="auto" w:sz="4" w:space="0"/>
            </w:tcBorders>
            <w:noWrap w:val="0"/>
            <w:vAlign w:val="center"/>
          </w:tcPr>
          <w:p w14:paraId="5C040BF6">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kern w:val="0"/>
                <w:sz w:val="24"/>
                <w:highlight w:val="none"/>
              </w:rPr>
              <w:t>其他符合性分析</w:t>
            </w:r>
          </w:p>
        </w:tc>
        <w:tc>
          <w:tcPr>
            <w:tcW w:w="13196" w:type="dxa"/>
            <w:tcBorders>
              <w:top w:val="single" w:color="auto" w:sz="4" w:space="0"/>
              <w:left w:val="single" w:color="auto" w:sz="4" w:space="0"/>
              <w:bottom w:val="single" w:color="auto" w:sz="4" w:space="0"/>
              <w:right w:val="single" w:color="auto" w:sz="4" w:space="0"/>
            </w:tcBorders>
            <w:noWrap w:val="0"/>
            <w:vAlign w:val="center"/>
          </w:tcPr>
          <w:p w14:paraId="691EE87F">
            <w:pPr>
              <w:autoSpaceDE w:val="0"/>
              <w:autoSpaceDN w:val="0"/>
              <w:adjustRightInd w:val="0"/>
              <w:snapToGrid w:val="0"/>
              <w:spacing w:line="240" w:lineRule="atLeast"/>
              <w:ind w:firstLine="482" w:firstLineChars="200"/>
              <w:jc w:val="center"/>
              <w:rPr>
                <w:rFonts w:hint="default" w:ascii="Times New Roman" w:hAnsi="Times New Roman" w:eastAsia="仿宋" w:cs="Times New Roman"/>
                <w:b/>
                <w:bCs/>
                <w:color w:val="auto"/>
                <w:kern w:val="0"/>
                <w:sz w:val="24"/>
                <w:highlight w:val="none"/>
              </w:rPr>
            </w:pPr>
            <w:r>
              <w:rPr>
                <w:rFonts w:hint="default" w:ascii="Times New Roman" w:hAnsi="Times New Roman" w:eastAsia="仿宋" w:cs="Times New Roman"/>
                <w:b/>
                <w:bCs/>
                <w:color w:val="auto"/>
                <w:kern w:val="0"/>
                <w:sz w:val="24"/>
                <w:highlight w:val="none"/>
              </w:rPr>
              <w:t>表1-</w:t>
            </w:r>
            <w:r>
              <w:rPr>
                <w:rFonts w:hint="eastAsia" w:eastAsia="仿宋" w:cs="Times New Roman"/>
                <w:b/>
                <w:bCs/>
                <w:color w:val="auto"/>
                <w:kern w:val="0"/>
                <w:sz w:val="24"/>
                <w:highlight w:val="none"/>
                <w:lang w:val="en-US" w:eastAsia="zh-CN"/>
              </w:rPr>
              <w:t>6</w:t>
            </w:r>
            <w:r>
              <w:rPr>
                <w:rFonts w:hint="default" w:ascii="Times New Roman" w:hAnsi="Times New Roman" w:eastAsia="仿宋" w:cs="Times New Roman"/>
                <w:b/>
                <w:bCs/>
                <w:color w:val="auto"/>
                <w:kern w:val="0"/>
                <w:sz w:val="24"/>
                <w:highlight w:val="none"/>
              </w:rPr>
              <w:t xml:space="preserve"> </w:t>
            </w:r>
            <w:r>
              <w:rPr>
                <w:rFonts w:hint="eastAsia" w:eastAsia="仿宋" w:cs="Times New Roman"/>
                <w:b/>
                <w:bCs/>
                <w:color w:val="auto"/>
                <w:kern w:val="0"/>
                <w:sz w:val="24"/>
                <w:highlight w:val="none"/>
                <w:lang w:val="en-US" w:eastAsia="zh-CN"/>
              </w:rPr>
              <w:t xml:space="preserve"> </w:t>
            </w:r>
            <w:r>
              <w:rPr>
                <w:rFonts w:hint="default" w:ascii="Times New Roman" w:hAnsi="Times New Roman" w:eastAsia="仿宋" w:cs="Times New Roman"/>
                <w:b/>
                <w:bCs/>
                <w:color w:val="auto"/>
                <w:kern w:val="0"/>
                <w:sz w:val="24"/>
                <w:highlight w:val="none"/>
              </w:rPr>
              <w:t>与江苏省重点区域(流域)生态环境分区管控相符性分析</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430"/>
              <w:gridCol w:w="7056"/>
              <w:gridCol w:w="4489"/>
            </w:tblGrid>
            <w:tr w14:paraId="0AFFD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51" w:type="pct"/>
                  <w:noWrap w:val="0"/>
                  <w:vAlign w:val="center"/>
                </w:tcPr>
                <w:p w14:paraId="7F3FA002">
                  <w:pPr>
                    <w:adjustRightInd w:val="0"/>
                    <w:snapToGrid w:val="0"/>
                    <w:jc w:val="center"/>
                    <w:rPr>
                      <w:rFonts w:hint="default" w:ascii="Times New Roman" w:hAnsi="Times New Roman" w:eastAsia="仿宋" w:cs="Times New Roman"/>
                      <w:b/>
                      <w:color w:val="auto"/>
                      <w:szCs w:val="21"/>
                      <w:highlight w:val="none"/>
                      <w:lang w:eastAsia="zh-CN"/>
                    </w:rPr>
                  </w:pPr>
                  <w:r>
                    <w:rPr>
                      <w:rFonts w:hint="default" w:ascii="Times New Roman" w:hAnsi="Times New Roman" w:eastAsia="仿宋" w:cs="Times New Roman"/>
                      <w:b/>
                      <w:color w:val="auto"/>
                      <w:szCs w:val="21"/>
                      <w:highlight w:val="none"/>
                      <w:lang w:val="en-US" w:eastAsia="zh-CN"/>
                    </w:rPr>
                    <w:t>管控类别</w:t>
                  </w:r>
                </w:p>
              </w:tc>
              <w:tc>
                <w:tcPr>
                  <w:tcW w:w="2719" w:type="pct"/>
                  <w:noWrap w:val="0"/>
                  <w:vAlign w:val="center"/>
                </w:tcPr>
                <w:p w14:paraId="39E1C501">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color w:val="auto"/>
                      <w:szCs w:val="21"/>
                      <w:highlight w:val="none"/>
                      <w:lang w:val="en-US" w:eastAsia="zh-CN"/>
                    </w:rPr>
                    <w:t>管控要求</w:t>
                  </w:r>
                </w:p>
              </w:tc>
              <w:tc>
                <w:tcPr>
                  <w:tcW w:w="1729" w:type="pct"/>
                  <w:noWrap w:val="0"/>
                  <w:vAlign w:val="center"/>
                </w:tcPr>
                <w:p w14:paraId="09602008">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color w:val="auto"/>
                      <w:szCs w:val="21"/>
                      <w:highlight w:val="none"/>
                      <w:lang w:val="en-US" w:eastAsia="zh-CN"/>
                    </w:rPr>
                    <w:t>本项目情况</w:t>
                  </w:r>
                </w:p>
              </w:tc>
            </w:tr>
            <w:tr w14:paraId="393B7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00" w:type="pct"/>
                  <w:gridSpan w:val="3"/>
                  <w:noWrap w:val="0"/>
                  <w:vAlign w:val="center"/>
                </w:tcPr>
                <w:p w14:paraId="54D9B96B">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color w:val="auto"/>
                      <w:szCs w:val="21"/>
                      <w:highlight w:val="none"/>
                      <w:lang w:val="en-US" w:eastAsia="zh-CN"/>
                    </w:rPr>
                    <w:t>太湖流域</w:t>
                  </w:r>
                </w:p>
              </w:tc>
            </w:tr>
            <w:tr w14:paraId="39551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51" w:type="pct"/>
                  <w:noWrap w:val="0"/>
                  <w:vAlign w:val="center"/>
                </w:tcPr>
                <w:p w14:paraId="47C3A1E4">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color w:val="auto"/>
                      <w:szCs w:val="21"/>
                      <w:highlight w:val="none"/>
                    </w:rPr>
                    <w:t>空间布局约束</w:t>
                  </w:r>
                </w:p>
              </w:tc>
              <w:tc>
                <w:tcPr>
                  <w:tcW w:w="2719" w:type="pct"/>
                  <w:noWrap w:val="0"/>
                  <w:vAlign w:val="center"/>
                </w:tcPr>
                <w:p w14:paraId="0A0B10E0">
                  <w:pPr>
                    <w:adjustRightInd w:val="0"/>
                    <w:snapToGrid w:val="0"/>
                    <w:jc w:val="both"/>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2E665339">
                  <w:pPr>
                    <w:adjustRightInd w:val="0"/>
                    <w:snapToGrid w:val="0"/>
                    <w:jc w:val="both"/>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2．在太湖流域一级保护区，禁止新建、扩建向水体排放污染物的建设项目，禁止新建、扩建畜禽养殖场，禁止新建、扩建高尔夫球场、水上游乐等开发项目以及设置水上餐饮经营设施。</w:t>
                  </w:r>
                </w:p>
                <w:p w14:paraId="5CB90B1C">
                  <w:p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Cs/>
                      <w:color w:val="auto"/>
                      <w:szCs w:val="21"/>
                      <w:highlight w:val="none"/>
                    </w:rPr>
                    <w:t>3．在太湖流域二级保护区，禁止新建、扩建化工、医药生产项目，禁止新建、扩建污水集中处理设施排污口以外的排污口。</w:t>
                  </w:r>
                </w:p>
              </w:tc>
              <w:tc>
                <w:tcPr>
                  <w:tcW w:w="1729" w:type="pct"/>
                  <w:noWrap w:val="0"/>
                  <w:vAlign w:val="center"/>
                </w:tcPr>
                <w:p w14:paraId="75752F33">
                  <w:pPr>
                    <w:adjustRightInd w:val="0"/>
                    <w:snapToGrid w:val="0"/>
                    <w:jc w:val="left"/>
                    <w:rPr>
                      <w:rFonts w:hint="default" w:ascii="Times New Roman" w:hAnsi="Times New Roman" w:eastAsia="仿宋" w:cs="Times New Roman"/>
                      <w:b w:val="0"/>
                      <w:bCs/>
                      <w:color w:val="auto"/>
                      <w:szCs w:val="21"/>
                      <w:highlight w:val="none"/>
                    </w:rPr>
                  </w:pPr>
                  <w:r>
                    <w:rPr>
                      <w:rFonts w:hint="default" w:ascii="Times New Roman" w:hAnsi="Times New Roman" w:eastAsia="仿宋" w:cs="Times New Roman"/>
                      <w:bCs/>
                      <w:color w:val="auto"/>
                      <w:szCs w:val="21"/>
                      <w:highlight w:val="none"/>
                    </w:rPr>
                    <w:t>本项目位于太湖流域三级保护区内，本项目从事</w:t>
                  </w:r>
                  <w:r>
                    <w:rPr>
                      <w:rFonts w:hint="eastAsia" w:ascii="Times New Roman" w:hAnsi="Times New Roman" w:eastAsia="仿宋" w:cs="Times New Roman"/>
                      <w:bCs/>
                      <w:color w:val="auto"/>
                      <w:szCs w:val="21"/>
                      <w:highlight w:val="none"/>
                      <w:lang w:val="en-US" w:eastAsia="zh-CN"/>
                    </w:rPr>
                    <w:t>唇刷的生产</w:t>
                  </w:r>
                  <w:r>
                    <w:rPr>
                      <w:rFonts w:hint="default" w:ascii="Times New Roman" w:hAnsi="Times New Roman" w:eastAsia="仿宋" w:cs="Times New Roman"/>
                      <w:bCs/>
                      <w:color w:val="auto"/>
                      <w:szCs w:val="21"/>
                      <w:highlight w:val="none"/>
                    </w:rPr>
                    <w:t>，行业类别为</w:t>
                  </w:r>
                  <w:r>
                    <w:rPr>
                      <w:rFonts w:hint="default" w:ascii="Times New Roman" w:hAnsi="Times New Roman" w:eastAsia="仿宋" w:cs="Times New Roman"/>
                      <w:bCs/>
                      <w:color w:val="auto"/>
                      <w:szCs w:val="21"/>
                      <w:highlight w:val="none"/>
                      <w:lang w:val="en-US" w:eastAsia="zh-CN"/>
                    </w:rPr>
                    <w:t>C2929塑料零件及其他塑料制品制造</w:t>
                  </w:r>
                  <w:r>
                    <w:rPr>
                      <w:rFonts w:hint="eastAsia" w:ascii="Times New Roman" w:hAnsi="Times New Roman" w:eastAsia="仿宋" w:cs="Times New Roman"/>
                      <w:bCs/>
                      <w:color w:val="auto"/>
                      <w:szCs w:val="21"/>
                      <w:highlight w:val="none"/>
                      <w:lang w:val="en-US" w:eastAsia="zh-CN"/>
                    </w:rPr>
                    <w:t>、</w:t>
                  </w:r>
                  <w:r>
                    <w:rPr>
                      <w:rFonts w:hint="default" w:ascii="Times New Roman" w:hAnsi="Times New Roman" w:eastAsia="仿宋" w:cs="Times New Roman"/>
                      <w:bCs/>
                      <w:color w:val="auto"/>
                      <w:szCs w:val="21"/>
                      <w:highlight w:val="none"/>
                      <w:lang w:val="en-US" w:eastAsia="zh-CN"/>
                    </w:rPr>
                    <w:t>C4111</w:t>
                  </w:r>
                  <w:r>
                    <w:rPr>
                      <w:rFonts w:hint="default" w:ascii="Times New Roman" w:hAnsi="Times New Roman" w:eastAsia="仿宋" w:cs="Times New Roman"/>
                      <w:bCs/>
                      <w:color w:val="auto"/>
                      <w:szCs w:val="21"/>
                      <w:highlight w:val="none"/>
                    </w:rPr>
                    <w:t>鬃毛加工、制刷及清扫工具制造。本项目</w:t>
                  </w:r>
                  <w:r>
                    <w:rPr>
                      <w:rFonts w:hint="eastAsia" w:ascii="Times New Roman" w:hAnsi="Times New Roman" w:eastAsia="仿宋" w:cs="Times New Roman"/>
                      <w:bCs/>
                      <w:color w:val="auto"/>
                      <w:szCs w:val="21"/>
                      <w:highlight w:val="none"/>
                      <w:lang w:val="en-US" w:eastAsia="zh-CN"/>
                    </w:rPr>
                    <w:t>无生产废水排放</w:t>
                  </w:r>
                  <w:r>
                    <w:rPr>
                      <w:rFonts w:hint="default" w:ascii="Times New Roman" w:hAnsi="Times New Roman" w:eastAsia="仿宋" w:cs="Times New Roman"/>
                      <w:bCs/>
                      <w:color w:val="auto"/>
                      <w:szCs w:val="21"/>
                      <w:highlight w:val="none"/>
                    </w:rPr>
                    <w:t>，</w:t>
                  </w:r>
                  <w:r>
                    <w:rPr>
                      <w:rFonts w:hint="eastAsia" w:ascii="Times New Roman" w:hAnsi="Times New Roman" w:eastAsia="仿宋" w:cs="Times New Roman"/>
                      <w:bCs/>
                      <w:color w:val="auto"/>
                      <w:szCs w:val="21"/>
                      <w:highlight w:val="none"/>
                      <w:lang w:val="en-US" w:eastAsia="zh-CN"/>
                    </w:rPr>
                    <w:t>冷却水</w:t>
                  </w:r>
                  <w:r>
                    <w:rPr>
                      <w:rFonts w:hint="eastAsia" w:eastAsia="仿宋" w:cs="Times New Roman"/>
                      <w:bCs/>
                      <w:color w:val="auto"/>
                      <w:szCs w:val="21"/>
                      <w:highlight w:val="none"/>
                      <w:lang w:val="en-US" w:eastAsia="zh-CN"/>
                    </w:rPr>
                    <w:t>循环使用不外排，</w:t>
                  </w:r>
                  <w:r>
                    <w:rPr>
                      <w:rFonts w:hint="default" w:ascii="Times New Roman" w:hAnsi="Times New Roman" w:eastAsia="仿宋" w:cs="Times New Roman"/>
                      <w:bCs/>
                      <w:color w:val="auto"/>
                      <w:szCs w:val="21"/>
                      <w:highlight w:val="none"/>
                      <w:lang w:val="en-US" w:eastAsia="zh-CN"/>
                    </w:rPr>
                    <w:t>仅</w:t>
                  </w:r>
                  <w:r>
                    <w:rPr>
                      <w:rFonts w:hint="default" w:ascii="Times New Roman" w:hAnsi="Times New Roman" w:eastAsia="仿宋" w:cs="Times New Roman"/>
                      <w:bCs/>
                      <w:color w:val="auto"/>
                      <w:szCs w:val="21"/>
                      <w:highlight w:val="none"/>
                    </w:rPr>
                    <w:t>生活污水接管排入常州金坛区第二污水处理有限公司集中处理。不属于上述禁止类项目。</w:t>
                  </w:r>
                </w:p>
              </w:tc>
            </w:tr>
            <w:tr w14:paraId="11DF2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51" w:type="pct"/>
                  <w:noWrap w:val="0"/>
                  <w:vAlign w:val="center"/>
                </w:tcPr>
                <w:p w14:paraId="142B7219">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污染物</w:t>
                  </w:r>
                </w:p>
                <w:p w14:paraId="3A519E22">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排放管控</w:t>
                  </w:r>
                </w:p>
              </w:tc>
              <w:tc>
                <w:tcPr>
                  <w:tcW w:w="2719" w:type="pct"/>
                  <w:noWrap w:val="0"/>
                  <w:vAlign w:val="center"/>
                </w:tcPr>
                <w:p w14:paraId="30E6066C">
                  <w:p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城镇污水处理厂、纺织工业、化学工业、造纸工业、钢铁工业、电镀工业和食品工业的污水处理设施执行《太湖地区城镇污水处理厂及重点工业行业主要水污染物排放限值》。</w:t>
                  </w:r>
                </w:p>
              </w:tc>
              <w:tc>
                <w:tcPr>
                  <w:tcW w:w="1729" w:type="pct"/>
                  <w:noWrap w:val="0"/>
                  <w:vAlign w:val="center"/>
                </w:tcPr>
                <w:p w14:paraId="3B6E40CF">
                  <w:pPr>
                    <w:adjustRightInd w:val="0"/>
                    <w:snapToGrid w:val="0"/>
                    <w:jc w:val="center"/>
                    <w:rPr>
                      <w:rFonts w:hint="default" w:ascii="Times New Roman" w:hAnsi="Times New Roman" w:eastAsia="仿宋" w:cs="Times New Roman"/>
                      <w:b w:val="0"/>
                      <w:bCs/>
                      <w:color w:val="auto"/>
                      <w:szCs w:val="21"/>
                      <w:highlight w:val="none"/>
                    </w:rPr>
                  </w:pPr>
                  <w:r>
                    <w:rPr>
                      <w:rFonts w:hint="default" w:ascii="Times New Roman" w:hAnsi="Times New Roman" w:eastAsia="仿宋" w:cs="Times New Roman"/>
                      <w:b w:val="0"/>
                      <w:bCs/>
                      <w:color w:val="auto"/>
                      <w:szCs w:val="21"/>
                      <w:highlight w:val="none"/>
                      <w:lang w:val="en-US" w:eastAsia="zh-CN"/>
                    </w:rPr>
                    <w:t>本项目不属于纺织工业、化学工业、造纸工业、钢铁工业、电镀工业和食品工业。</w:t>
                  </w:r>
                </w:p>
              </w:tc>
            </w:tr>
            <w:tr w14:paraId="35D8F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51" w:type="pct"/>
                  <w:noWrap w:val="0"/>
                  <w:vAlign w:val="center"/>
                </w:tcPr>
                <w:p w14:paraId="608A3D71">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环境风险防控</w:t>
                  </w:r>
                </w:p>
              </w:tc>
              <w:tc>
                <w:tcPr>
                  <w:tcW w:w="2719" w:type="pct"/>
                  <w:noWrap w:val="0"/>
                  <w:vAlign w:val="center"/>
                </w:tcPr>
                <w:p w14:paraId="6D0BDD52">
                  <w:pPr>
                    <w:numPr>
                      <w:ilvl w:val="0"/>
                      <w:numId w:val="3"/>
                    </w:num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运输剧毒物质、危险化学品的船舶不得进入太湖。</w:t>
                  </w:r>
                </w:p>
                <w:p w14:paraId="05CAA88A">
                  <w:pPr>
                    <w:numPr>
                      <w:ilvl w:val="0"/>
                      <w:numId w:val="3"/>
                    </w:num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 xml:space="preserve">禁止向太湖流域水体排放或者倾倒油类、酸液、碱液、剧毒废渣废液、含放射性废渣废液、含病原体污水、工业废渣以及其他废弃物。 </w:t>
                  </w:r>
                </w:p>
                <w:p w14:paraId="0B919859">
                  <w:p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3．加强太湖流域生态环境风险应急管控，着力提高防控太湖蓝藻水华风险预警和应急处置能力。</w:t>
                  </w:r>
                </w:p>
              </w:tc>
              <w:tc>
                <w:tcPr>
                  <w:tcW w:w="1729" w:type="pct"/>
                  <w:noWrap w:val="0"/>
                  <w:vAlign w:val="center"/>
                </w:tcPr>
                <w:p w14:paraId="076236D8">
                  <w:pPr>
                    <w:adjustRightInd w:val="0"/>
                    <w:snapToGrid w:val="0"/>
                    <w:jc w:val="center"/>
                    <w:rPr>
                      <w:rFonts w:hint="default" w:ascii="Times New Roman" w:hAnsi="Times New Roman" w:eastAsia="仿宋" w:cs="Times New Roman"/>
                      <w:b w:val="0"/>
                      <w:bCs/>
                      <w:color w:val="auto"/>
                      <w:szCs w:val="21"/>
                      <w:highlight w:val="none"/>
                    </w:rPr>
                  </w:pPr>
                  <w:r>
                    <w:rPr>
                      <w:rFonts w:hint="default" w:ascii="Times New Roman" w:hAnsi="Times New Roman" w:eastAsia="仿宋" w:cs="Times New Roman"/>
                      <w:b w:val="0"/>
                      <w:bCs/>
                      <w:color w:val="auto"/>
                      <w:szCs w:val="21"/>
                      <w:highlight w:val="none"/>
                      <w:lang w:val="en-US" w:eastAsia="zh-CN"/>
                    </w:rPr>
                    <w:t>本项目不涉及船舶运输，各类危废委托有资质单位处置，并在项目投产前落实处置途径。</w:t>
                  </w:r>
                  <w:r>
                    <w:rPr>
                      <w:rFonts w:hint="default" w:ascii="Times New Roman" w:hAnsi="Times New Roman" w:eastAsia="仿宋" w:cs="Times New Roman"/>
                      <w:b w:val="0"/>
                      <w:bCs/>
                      <w:color w:val="auto"/>
                      <w:szCs w:val="21"/>
                      <w:highlight w:val="none"/>
                    </w:rPr>
                    <w:t>本项目将在生产过程中加强风险管控，严防污染物污染水体和</w:t>
                  </w:r>
                  <w:r>
                    <w:rPr>
                      <w:rFonts w:hint="eastAsia" w:eastAsia="仿宋" w:cs="Times New Roman"/>
                      <w:b w:val="0"/>
                      <w:bCs/>
                      <w:color w:val="auto"/>
                      <w:szCs w:val="21"/>
                      <w:highlight w:val="none"/>
                      <w:lang w:eastAsia="zh-CN"/>
                    </w:rPr>
                    <w:t>周边</w:t>
                  </w:r>
                  <w:r>
                    <w:rPr>
                      <w:rFonts w:hint="default" w:ascii="Times New Roman" w:hAnsi="Times New Roman" w:eastAsia="仿宋" w:cs="Times New Roman"/>
                      <w:b w:val="0"/>
                      <w:bCs/>
                      <w:color w:val="auto"/>
                      <w:szCs w:val="21"/>
                      <w:highlight w:val="none"/>
                    </w:rPr>
                    <w:t>环境。</w:t>
                  </w:r>
                </w:p>
              </w:tc>
            </w:tr>
            <w:tr w14:paraId="1A775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1" w:type="pct"/>
                  <w:noWrap w:val="0"/>
                  <w:vAlign w:val="center"/>
                </w:tcPr>
                <w:p w14:paraId="1146B50E">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资源</w:t>
                  </w:r>
                  <w:r>
                    <w:rPr>
                      <w:rFonts w:hint="default" w:ascii="Times New Roman" w:hAnsi="Times New Roman" w:eastAsia="仿宋" w:cs="Times New Roman"/>
                      <w:color w:val="auto"/>
                      <w:szCs w:val="21"/>
                      <w:highlight w:val="none"/>
                      <w:lang w:val="en-US" w:eastAsia="zh-CN"/>
                    </w:rPr>
                    <w:t>利用效率</w:t>
                  </w:r>
                  <w:r>
                    <w:rPr>
                      <w:rFonts w:hint="default" w:ascii="Times New Roman" w:hAnsi="Times New Roman" w:eastAsia="仿宋" w:cs="Times New Roman"/>
                      <w:color w:val="auto"/>
                      <w:szCs w:val="21"/>
                      <w:highlight w:val="none"/>
                    </w:rPr>
                    <w:t>要求</w:t>
                  </w:r>
                </w:p>
              </w:tc>
              <w:tc>
                <w:tcPr>
                  <w:tcW w:w="2719" w:type="pct"/>
                  <w:noWrap w:val="0"/>
                  <w:vAlign w:val="center"/>
                </w:tcPr>
                <w:p w14:paraId="7FD88E25">
                  <w:pPr>
                    <w:numPr>
                      <w:ilvl w:val="0"/>
                      <w:numId w:val="0"/>
                    </w:num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1.太湖流域加强水资源配置与调度，优先满足居民生活用水，兼顾生产、生态用水以及航运等需要。</w:t>
                  </w:r>
                </w:p>
                <w:p w14:paraId="3BF72BC3">
                  <w:pPr>
                    <w:numPr>
                      <w:ilvl w:val="0"/>
                      <w:numId w:val="0"/>
                    </w:num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2.2020年底前，太湖流域所有省级以上开发区开展园区循环化改造。</w:t>
                  </w:r>
                </w:p>
              </w:tc>
              <w:tc>
                <w:tcPr>
                  <w:tcW w:w="1729" w:type="pct"/>
                  <w:noWrap w:val="0"/>
                  <w:vAlign w:val="center"/>
                </w:tcPr>
                <w:p w14:paraId="013DF473">
                  <w:pPr>
                    <w:adjustRightInd w:val="0"/>
                    <w:snapToGrid w:val="0"/>
                    <w:jc w:val="center"/>
                    <w:rPr>
                      <w:rFonts w:hint="default" w:ascii="Times New Roman" w:hAnsi="Times New Roman" w:eastAsia="仿宋" w:cs="Times New Roman"/>
                      <w:b w:val="0"/>
                      <w:bCs/>
                      <w:color w:val="auto"/>
                      <w:szCs w:val="21"/>
                      <w:highlight w:val="none"/>
                      <w:lang w:eastAsia="zh-CN"/>
                    </w:rPr>
                  </w:pPr>
                  <w:r>
                    <w:rPr>
                      <w:rFonts w:hint="default" w:ascii="Times New Roman" w:hAnsi="Times New Roman" w:eastAsia="仿宋" w:cs="Times New Roman"/>
                      <w:b w:val="0"/>
                      <w:bCs/>
                      <w:color w:val="auto"/>
                      <w:szCs w:val="21"/>
                      <w:highlight w:val="none"/>
                    </w:rPr>
                    <w:t>本项目</w:t>
                  </w:r>
                  <w:r>
                    <w:rPr>
                      <w:rFonts w:hint="eastAsia" w:eastAsia="仿宋" w:cs="Times New Roman"/>
                      <w:b w:val="0"/>
                      <w:bCs/>
                      <w:color w:val="auto"/>
                      <w:szCs w:val="21"/>
                      <w:highlight w:val="none"/>
                      <w:lang w:val="en-US" w:eastAsia="zh-CN"/>
                    </w:rPr>
                    <w:t>利用已建成的市政管网供水，不涉及资源开发</w:t>
                  </w:r>
                  <w:r>
                    <w:rPr>
                      <w:rFonts w:hint="default" w:ascii="Times New Roman" w:hAnsi="Times New Roman" w:eastAsia="仿宋" w:cs="Times New Roman"/>
                      <w:b w:val="0"/>
                      <w:bCs/>
                      <w:color w:val="auto"/>
                      <w:szCs w:val="21"/>
                      <w:highlight w:val="none"/>
                      <w:lang w:eastAsia="zh-CN"/>
                    </w:rPr>
                    <w:t>。</w:t>
                  </w:r>
                </w:p>
              </w:tc>
            </w:tr>
            <w:tr w14:paraId="334AD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000" w:type="pct"/>
                  <w:gridSpan w:val="3"/>
                  <w:noWrap w:val="0"/>
                  <w:vAlign w:val="center"/>
                </w:tcPr>
                <w:p w14:paraId="7DAE2912">
                  <w:pPr>
                    <w:adjustRightInd w:val="0"/>
                    <w:snapToGrid w:val="0"/>
                    <w:jc w:val="center"/>
                    <w:rPr>
                      <w:rFonts w:hint="eastAsia" w:ascii="Times New Roman" w:hAnsi="Times New Roman" w:eastAsia="仿宋" w:cs="Times New Roman"/>
                      <w:b w:val="0"/>
                      <w:bCs/>
                      <w:color w:val="auto"/>
                      <w:szCs w:val="21"/>
                      <w:highlight w:val="none"/>
                      <w:lang w:val="en-US" w:eastAsia="zh-CN"/>
                    </w:rPr>
                  </w:pPr>
                  <w:r>
                    <w:rPr>
                      <w:rFonts w:hint="eastAsia" w:ascii="Times New Roman" w:hAnsi="Times New Roman" w:eastAsia="仿宋" w:cs="Times New Roman"/>
                      <w:b/>
                      <w:color w:val="auto"/>
                      <w:szCs w:val="21"/>
                      <w:highlight w:val="none"/>
                      <w:lang w:val="en-US" w:eastAsia="zh-CN"/>
                    </w:rPr>
                    <w:t>长江流域</w:t>
                  </w:r>
                </w:p>
              </w:tc>
            </w:tr>
            <w:tr w14:paraId="50336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1" w:type="pct"/>
                  <w:shd w:val="clear" w:color="auto" w:fill="auto"/>
                  <w:noWrap w:val="0"/>
                  <w:vAlign w:val="center"/>
                </w:tcPr>
                <w:p w14:paraId="5342D92E">
                  <w:pPr>
                    <w:adjustRightInd w:val="0"/>
                    <w:snapToGrid w:val="0"/>
                    <w:jc w:val="center"/>
                    <w:rPr>
                      <w:rFonts w:hint="default" w:ascii="Times New Roman" w:hAnsi="Times New Roman" w:eastAsia="仿宋" w:cs="Times New Roman"/>
                      <w:b/>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空间布局约束</w:t>
                  </w:r>
                </w:p>
              </w:tc>
              <w:tc>
                <w:tcPr>
                  <w:tcW w:w="2719" w:type="pct"/>
                  <w:noWrap w:val="0"/>
                  <w:vAlign w:val="center"/>
                </w:tcPr>
                <w:p w14:paraId="0F1C4C5F">
                  <w:pPr>
                    <w:numPr>
                      <w:ilvl w:val="0"/>
                      <w:numId w:val="4"/>
                    </w:num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始终把长江生态修复放在首位，坚持共抓大保护、不搞大开发，引导长江流域产业转型升级和布局优化调整，实现科学发展、有序发展、高质量发展。</w:t>
                  </w:r>
                </w:p>
                <w:p w14:paraId="1816A32D">
                  <w:pPr>
                    <w:numPr>
                      <w:ilvl w:val="0"/>
                      <w:numId w:val="4"/>
                    </w:numPr>
                    <w:adjustRightInd w:val="0"/>
                    <w:snapToGrid w:val="0"/>
                    <w:ind w:left="0" w:leftChars="0" w:firstLine="0" w:firstLineChars="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7C545E1A">
                  <w:pPr>
                    <w:numPr>
                      <w:ilvl w:val="0"/>
                      <w:numId w:val="4"/>
                    </w:numPr>
                    <w:adjustRightInd w:val="0"/>
                    <w:snapToGrid w:val="0"/>
                    <w:ind w:left="0" w:leftChars="0" w:firstLine="0" w:firstLineChars="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禁止在沿江地区新建或扩建化学工业园区，禁止新建或扩建以大宗进口油气资源为原料的石油加工、石油化工、基础有机无机化工、煤化工项目；禁止在长江干流和主要支流岸线1公里范围内新建危化品码头。</w:t>
                  </w:r>
                </w:p>
                <w:p w14:paraId="61182394">
                  <w:pPr>
                    <w:numPr>
                      <w:ilvl w:val="0"/>
                      <w:numId w:val="4"/>
                    </w:numPr>
                    <w:adjustRightInd w:val="0"/>
                    <w:snapToGrid w:val="0"/>
                    <w:ind w:left="0" w:leftChars="0" w:firstLine="0" w:firstLineChars="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62DF3583">
                  <w:pPr>
                    <w:numPr>
                      <w:ilvl w:val="0"/>
                      <w:numId w:val="0"/>
                    </w:numPr>
                    <w:adjustRightInd w:val="0"/>
                    <w:snapToGrid w:val="0"/>
                    <w:ind w:leftChars="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5．禁止新建独立焦化项目。</w:t>
                  </w:r>
                </w:p>
              </w:tc>
              <w:tc>
                <w:tcPr>
                  <w:tcW w:w="1729" w:type="pct"/>
                  <w:noWrap w:val="0"/>
                  <w:vAlign w:val="center"/>
                </w:tcPr>
                <w:p w14:paraId="730694D6">
                  <w:pPr>
                    <w:adjustRightInd w:val="0"/>
                    <w:snapToGrid w:val="0"/>
                    <w:jc w:val="center"/>
                    <w:rPr>
                      <w:rFonts w:hint="default" w:ascii="Times New Roman" w:hAnsi="Times New Roman" w:eastAsia="仿宋" w:cs="Times New Roman"/>
                      <w:b w:val="0"/>
                      <w:bCs/>
                      <w:color w:val="auto"/>
                      <w:szCs w:val="21"/>
                      <w:highlight w:val="none"/>
                      <w:lang w:val="en-US" w:eastAsia="zh-CN"/>
                    </w:rPr>
                  </w:pPr>
                  <w:r>
                    <w:rPr>
                      <w:rFonts w:hint="eastAsia" w:ascii="Times New Roman" w:hAnsi="Times New Roman" w:eastAsia="仿宋" w:cs="Times New Roman"/>
                      <w:sz w:val="21"/>
                      <w:szCs w:val="21"/>
                      <w:highlight w:val="none"/>
                      <w:lang w:val="en-US" w:eastAsia="zh-CN"/>
                    </w:rPr>
                    <w:t>本项目选址不在国家确定的生态保护红线和永久基本农田范围内，</w:t>
                  </w:r>
                  <w:r>
                    <w:rPr>
                      <w:rFonts w:hint="default" w:ascii="Times New Roman" w:hAnsi="Times New Roman" w:eastAsia="仿宋" w:cs="Times New Roman"/>
                      <w:sz w:val="21"/>
                      <w:szCs w:val="21"/>
                      <w:highlight w:val="none"/>
                      <w:lang w:val="en-US" w:eastAsia="zh-CN"/>
                    </w:rPr>
                    <w:t>本项目</w:t>
                  </w:r>
                  <w:r>
                    <w:rPr>
                      <w:rFonts w:hint="eastAsia" w:ascii="Times New Roman" w:hAnsi="Times New Roman" w:eastAsia="仿宋" w:cs="Times New Roman"/>
                      <w:sz w:val="21"/>
                      <w:szCs w:val="21"/>
                      <w:highlight w:val="none"/>
                      <w:lang w:val="en-US" w:eastAsia="zh-CN"/>
                    </w:rPr>
                    <w:t>唇刷的生产</w:t>
                  </w:r>
                  <w:r>
                    <w:rPr>
                      <w:rFonts w:hint="default" w:ascii="Times New Roman" w:hAnsi="Times New Roman" w:eastAsia="仿宋" w:cs="Times New Roman"/>
                      <w:sz w:val="21"/>
                      <w:szCs w:val="21"/>
                      <w:highlight w:val="none"/>
                      <w:lang w:val="en-US" w:eastAsia="zh-CN"/>
                    </w:rPr>
                    <w:t>，行业类别为C2929塑料零件及其他塑料制品制造</w:t>
                  </w:r>
                  <w:r>
                    <w:rPr>
                      <w:rFonts w:hint="eastAsia" w:ascii="Times New Roman" w:hAnsi="Times New Roman" w:eastAsia="仿宋" w:cs="Times New Roman"/>
                      <w:sz w:val="21"/>
                      <w:szCs w:val="21"/>
                      <w:highlight w:val="none"/>
                      <w:lang w:val="en-US" w:eastAsia="zh-CN"/>
                    </w:rPr>
                    <w:t>、</w:t>
                  </w:r>
                  <w:r>
                    <w:rPr>
                      <w:rFonts w:hint="default" w:ascii="Times New Roman" w:hAnsi="Times New Roman" w:eastAsia="仿宋" w:cs="Times New Roman"/>
                      <w:sz w:val="21"/>
                      <w:szCs w:val="21"/>
                      <w:highlight w:val="none"/>
                      <w:lang w:val="en-US" w:eastAsia="zh-CN"/>
                    </w:rPr>
                    <w:t>C4111鬃毛加工、制刷及清扫工具制造</w:t>
                  </w:r>
                  <w:r>
                    <w:rPr>
                      <w:rFonts w:hint="eastAsia" w:eastAsia="仿宋" w:cs="Times New Roman"/>
                      <w:sz w:val="21"/>
                      <w:szCs w:val="21"/>
                      <w:highlight w:val="none"/>
                      <w:lang w:val="en-US" w:eastAsia="zh-CN"/>
                    </w:rPr>
                    <w:t>，不属于禁止类项目。</w:t>
                  </w:r>
                </w:p>
              </w:tc>
            </w:tr>
            <w:tr w14:paraId="79E00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1" w:type="pct"/>
                  <w:shd w:val="clear" w:color="auto" w:fill="auto"/>
                  <w:noWrap w:val="0"/>
                  <w:vAlign w:val="center"/>
                </w:tcPr>
                <w:p w14:paraId="05E8359F">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污染物</w:t>
                  </w:r>
                </w:p>
                <w:p w14:paraId="549010A5">
                  <w:pPr>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排放管控</w:t>
                  </w:r>
                </w:p>
              </w:tc>
              <w:tc>
                <w:tcPr>
                  <w:tcW w:w="2719" w:type="pct"/>
                  <w:noWrap w:val="0"/>
                  <w:vAlign w:val="center"/>
                </w:tcPr>
                <w:p w14:paraId="5EDF1CC8">
                  <w:pPr>
                    <w:numPr>
                      <w:ilvl w:val="0"/>
                      <w:numId w:val="5"/>
                    </w:num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根据《江苏省长江水污染防治条例》实施污染物总量控制制度。</w:t>
                  </w:r>
                </w:p>
                <w:p w14:paraId="04891217">
                  <w:pPr>
                    <w:numPr>
                      <w:ilvl w:val="0"/>
                      <w:numId w:val="0"/>
                    </w:num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2．全面加强和规范长江入河排污口管理，有效管控入河污染物排放，形成权责清晰、监控到位、管理规范的长江入河排污口监管体系，加快改善长江水环境质量。</w:t>
                  </w:r>
                </w:p>
              </w:tc>
              <w:tc>
                <w:tcPr>
                  <w:tcW w:w="1729" w:type="pct"/>
                  <w:noWrap w:val="0"/>
                  <w:vAlign w:val="center"/>
                </w:tcPr>
                <w:p w14:paraId="66F4A154">
                  <w:pPr>
                    <w:adjustRightInd w:val="0"/>
                    <w:snapToGrid w:val="0"/>
                    <w:jc w:val="center"/>
                    <w:rPr>
                      <w:rFonts w:hint="default" w:ascii="Times New Roman" w:hAnsi="Times New Roman" w:eastAsia="仿宋" w:cs="Times New Roman"/>
                      <w:b w:val="0"/>
                      <w:bCs/>
                      <w:color w:val="auto"/>
                      <w:szCs w:val="21"/>
                      <w:highlight w:val="none"/>
                      <w:lang w:val="en-US" w:eastAsia="zh-CN"/>
                    </w:rPr>
                  </w:pPr>
                  <w:r>
                    <w:rPr>
                      <w:rFonts w:hint="eastAsia" w:eastAsia="仿宋" w:cs="Times New Roman"/>
                      <w:kern w:val="0"/>
                      <w:szCs w:val="21"/>
                      <w:lang w:val="en-US" w:eastAsia="zh-CN"/>
                    </w:rPr>
                    <w:t>本项目废气、废水均采取有效的收集、治理措施，以减少污染物排放量，并在项目获批前取得相关总量指标。本项目冷却水循环使用不外排，生活污水接管排放，不涉及长江入河排污口。</w:t>
                  </w:r>
                </w:p>
              </w:tc>
            </w:tr>
            <w:tr w14:paraId="170FC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1" w:type="pct"/>
                  <w:shd w:val="clear" w:color="auto" w:fill="auto"/>
                  <w:noWrap w:val="0"/>
                  <w:vAlign w:val="center"/>
                </w:tcPr>
                <w:p w14:paraId="595F369E">
                  <w:pPr>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环境风险防控</w:t>
                  </w:r>
                </w:p>
              </w:tc>
              <w:tc>
                <w:tcPr>
                  <w:tcW w:w="2719" w:type="pct"/>
                  <w:noWrap w:val="0"/>
                  <w:vAlign w:val="center"/>
                </w:tcPr>
                <w:p w14:paraId="199D8612">
                  <w:pPr>
                    <w:numPr>
                      <w:ilvl w:val="0"/>
                      <w:numId w:val="6"/>
                    </w:num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防范沿江环境风险。深化沿江石化、化工、医药、纺织、印染、化纤、危化品和石油类仓储、涉重金属和危险废物处置等重点企业环境风险防控。</w:t>
                  </w:r>
                </w:p>
                <w:p w14:paraId="3AD3A8F0">
                  <w:pPr>
                    <w:numPr>
                      <w:ilvl w:val="0"/>
                      <w:numId w:val="0"/>
                    </w:num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2．加强饮用水水源保护。优化水源保护区划定，推动饮用水水源地规范化建设。</w:t>
                  </w:r>
                </w:p>
              </w:tc>
              <w:tc>
                <w:tcPr>
                  <w:tcW w:w="1729" w:type="pct"/>
                  <w:noWrap w:val="0"/>
                  <w:vAlign w:val="center"/>
                </w:tcPr>
                <w:p w14:paraId="42A2D830">
                  <w:pPr>
                    <w:adjustRightInd w:val="0"/>
                    <w:snapToGrid w:val="0"/>
                    <w:jc w:val="center"/>
                    <w:rPr>
                      <w:rFonts w:hint="default" w:ascii="Times New Roman" w:hAnsi="Times New Roman" w:eastAsia="仿宋" w:cs="Times New Roman"/>
                      <w:b w:val="0"/>
                      <w:bCs/>
                      <w:color w:val="auto"/>
                      <w:szCs w:val="21"/>
                      <w:highlight w:val="none"/>
                    </w:rPr>
                  </w:pPr>
                  <w:r>
                    <w:rPr>
                      <w:rFonts w:hint="eastAsia" w:ascii="Times New Roman" w:hAnsi="Times New Roman" w:eastAsia="仿宋" w:cs="Times New Roman"/>
                      <w:b w:val="0"/>
                      <w:bCs/>
                      <w:color w:val="auto"/>
                      <w:szCs w:val="21"/>
                      <w:highlight w:val="none"/>
                      <w:lang w:val="en-US" w:eastAsia="zh-CN"/>
                    </w:rPr>
                    <w:t>本项目从事唇刷的生产，不属于沿江石化、化工、医药、纺织、印染、化纤、危化品和石油类仓储、涉重金属和危险废物处置等重点企业，</w:t>
                  </w:r>
                  <w:r>
                    <w:rPr>
                      <w:rFonts w:hint="default" w:ascii="Times New Roman" w:hAnsi="Times New Roman" w:eastAsia="仿宋" w:cs="Times New Roman"/>
                      <w:b w:val="0"/>
                      <w:bCs/>
                      <w:color w:val="auto"/>
                      <w:szCs w:val="21"/>
                      <w:highlight w:val="none"/>
                    </w:rPr>
                    <w:t>将在</w:t>
                  </w:r>
                  <w:r>
                    <w:rPr>
                      <w:rFonts w:hint="eastAsia" w:ascii="Times New Roman" w:hAnsi="Times New Roman" w:eastAsia="仿宋" w:cs="Times New Roman"/>
                      <w:b w:val="0"/>
                      <w:bCs/>
                      <w:color w:val="auto"/>
                      <w:szCs w:val="21"/>
                      <w:highlight w:val="none"/>
                      <w:lang w:val="en-US" w:eastAsia="zh-CN"/>
                    </w:rPr>
                    <w:t>后续</w:t>
                  </w:r>
                  <w:r>
                    <w:rPr>
                      <w:rFonts w:hint="default" w:ascii="Times New Roman" w:hAnsi="Times New Roman" w:eastAsia="仿宋" w:cs="Times New Roman"/>
                      <w:b w:val="0"/>
                      <w:bCs/>
                      <w:color w:val="auto"/>
                      <w:szCs w:val="21"/>
                      <w:highlight w:val="none"/>
                    </w:rPr>
                    <w:t>生产过程中加强风险管控，严防污染物污染水体和</w:t>
                  </w:r>
                  <w:r>
                    <w:rPr>
                      <w:rFonts w:hint="eastAsia" w:eastAsia="仿宋" w:cs="Times New Roman"/>
                      <w:b w:val="0"/>
                      <w:bCs/>
                      <w:color w:val="auto"/>
                      <w:szCs w:val="21"/>
                      <w:highlight w:val="none"/>
                      <w:lang w:eastAsia="zh-CN"/>
                    </w:rPr>
                    <w:t>周边</w:t>
                  </w:r>
                  <w:r>
                    <w:rPr>
                      <w:rFonts w:hint="default" w:ascii="Times New Roman" w:hAnsi="Times New Roman" w:eastAsia="仿宋" w:cs="Times New Roman"/>
                      <w:b w:val="0"/>
                      <w:bCs/>
                      <w:color w:val="auto"/>
                      <w:szCs w:val="21"/>
                      <w:highlight w:val="none"/>
                    </w:rPr>
                    <w:t>环境</w:t>
                  </w:r>
                  <w:r>
                    <w:rPr>
                      <w:rFonts w:hint="eastAsia" w:eastAsia="仿宋" w:cs="Times New Roman"/>
                      <w:sz w:val="21"/>
                      <w:szCs w:val="21"/>
                      <w:highlight w:val="none"/>
                      <w:lang w:val="en-US" w:eastAsia="zh-CN"/>
                    </w:rPr>
                    <w:t>。</w:t>
                  </w:r>
                </w:p>
              </w:tc>
            </w:tr>
            <w:tr w14:paraId="42925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1" w:type="pct"/>
                  <w:shd w:val="clear" w:color="auto" w:fill="auto"/>
                  <w:noWrap w:val="0"/>
                  <w:vAlign w:val="center"/>
                </w:tcPr>
                <w:p w14:paraId="0E1FCBB1">
                  <w:pPr>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资源</w:t>
                  </w:r>
                  <w:r>
                    <w:rPr>
                      <w:rFonts w:hint="default" w:ascii="Times New Roman" w:hAnsi="Times New Roman" w:eastAsia="仿宋" w:cs="Times New Roman"/>
                      <w:color w:val="auto"/>
                      <w:szCs w:val="21"/>
                      <w:highlight w:val="none"/>
                      <w:lang w:val="en-US" w:eastAsia="zh-CN"/>
                    </w:rPr>
                    <w:t>利用效率</w:t>
                  </w:r>
                  <w:r>
                    <w:rPr>
                      <w:rFonts w:hint="default" w:ascii="Times New Roman" w:hAnsi="Times New Roman" w:eastAsia="仿宋" w:cs="Times New Roman"/>
                      <w:color w:val="auto"/>
                      <w:szCs w:val="21"/>
                      <w:highlight w:val="none"/>
                    </w:rPr>
                    <w:t>要求</w:t>
                  </w:r>
                </w:p>
              </w:tc>
              <w:tc>
                <w:tcPr>
                  <w:tcW w:w="2719" w:type="pct"/>
                  <w:noWrap w:val="0"/>
                  <w:vAlign w:val="center"/>
                </w:tcPr>
                <w:p w14:paraId="28D322B7">
                  <w:pPr>
                    <w:numPr>
                      <w:ilvl w:val="0"/>
                      <w:numId w:val="0"/>
                    </w:num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到2020年长江干支流自然岸线保有率达到国家要求。</w:t>
                  </w:r>
                </w:p>
              </w:tc>
              <w:tc>
                <w:tcPr>
                  <w:tcW w:w="1729" w:type="pct"/>
                  <w:noWrap w:val="0"/>
                  <w:vAlign w:val="center"/>
                </w:tcPr>
                <w:p w14:paraId="2A0A20F3">
                  <w:pPr>
                    <w:adjustRightInd w:val="0"/>
                    <w:snapToGrid w:val="0"/>
                    <w:jc w:val="center"/>
                    <w:rPr>
                      <w:rFonts w:hint="default" w:ascii="Times New Roman" w:hAnsi="Times New Roman" w:eastAsia="仿宋" w:cs="Times New Roman"/>
                      <w:b w:val="0"/>
                      <w:bCs/>
                      <w:color w:val="auto"/>
                      <w:szCs w:val="21"/>
                      <w:highlight w:val="none"/>
                    </w:rPr>
                  </w:pPr>
                  <w:r>
                    <w:rPr>
                      <w:rFonts w:hint="default" w:ascii="仿宋" w:hAnsi="仿宋" w:eastAsia="仿宋"/>
                      <w:b w:val="0"/>
                      <w:bCs/>
                      <w:color w:val="auto"/>
                      <w:szCs w:val="21"/>
                      <w:highlight w:val="none"/>
                      <w:lang w:val="en-US" w:eastAsia="zh-CN"/>
                    </w:rPr>
                    <w:t>本项目</w:t>
                  </w:r>
                  <w:r>
                    <w:rPr>
                      <w:rFonts w:hint="eastAsia" w:ascii="仿宋" w:hAnsi="仿宋" w:eastAsia="仿宋"/>
                      <w:b w:val="0"/>
                      <w:bCs/>
                      <w:color w:val="auto"/>
                      <w:szCs w:val="21"/>
                      <w:highlight w:val="none"/>
                      <w:lang w:val="en-US" w:eastAsia="zh-CN"/>
                    </w:rPr>
                    <w:t>位于</w:t>
                  </w:r>
                  <w:r>
                    <w:rPr>
                      <w:rFonts w:hint="default" w:ascii="仿宋" w:hAnsi="仿宋" w:eastAsia="仿宋"/>
                      <w:b w:val="0"/>
                      <w:bCs/>
                      <w:color w:val="auto"/>
                      <w:szCs w:val="21"/>
                      <w:highlight w:val="none"/>
                      <w:lang w:val="en-US" w:eastAsia="zh-CN"/>
                    </w:rPr>
                    <w:t>江苏省金坛经济开发区盐港东路39号8幢6号</w:t>
                  </w:r>
                  <w:r>
                    <w:rPr>
                      <w:rFonts w:hint="eastAsia" w:ascii="仿宋" w:hAnsi="仿宋" w:eastAsia="仿宋"/>
                      <w:b w:val="0"/>
                      <w:bCs/>
                      <w:color w:val="auto"/>
                      <w:szCs w:val="21"/>
                      <w:highlight w:val="none"/>
                      <w:lang w:val="en-US" w:eastAsia="zh-CN"/>
                    </w:rPr>
                    <w:t>不在长江干流岸线和重要支流岸线管控范围内</w:t>
                  </w:r>
                  <w:r>
                    <w:rPr>
                      <w:rFonts w:hint="eastAsia" w:eastAsia="仿宋" w:cs="Times New Roman"/>
                      <w:sz w:val="21"/>
                      <w:szCs w:val="21"/>
                      <w:highlight w:val="none"/>
                      <w:lang w:val="en-US" w:eastAsia="zh-CN"/>
                    </w:rPr>
                    <w:t>。</w:t>
                  </w:r>
                </w:p>
              </w:tc>
            </w:tr>
          </w:tbl>
          <w:p w14:paraId="7BBA40C4">
            <w:pPr>
              <w:keepNext w:val="0"/>
              <w:keepLines w:val="0"/>
              <w:pageBreakBefore w:val="0"/>
              <w:widowControl w:val="0"/>
              <w:kinsoku/>
              <w:wordWrap/>
              <w:overflowPunct/>
              <w:topLinePunct w:val="0"/>
              <w:autoSpaceDE w:val="0"/>
              <w:autoSpaceDN w:val="0"/>
              <w:bidi w:val="0"/>
              <w:adjustRightInd w:val="0"/>
              <w:snapToGrid w:val="0"/>
              <w:spacing w:line="240" w:lineRule="auto"/>
              <w:ind w:firstLine="201" w:firstLineChars="200"/>
              <w:jc w:val="both"/>
              <w:textAlignment w:val="auto"/>
              <w:rPr>
                <w:rFonts w:hint="default" w:ascii="Times New Roman" w:hAnsi="Times New Roman" w:eastAsia="仿宋" w:cs="Times New Roman"/>
                <w:b/>
                <w:bCs/>
                <w:color w:val="auto"/>
                <w:sz w:val="10"/>
                <w:szCs w:val="10"/>
                <w:highlight w:val="none"/>
              </w:rPr>
            </w:pPr>
          </w:p>
          <w:p w14:paraId="3490A932">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b/>
                <w:color w:val="auto"/>
                <w:kern w:val="0"/>
                <w:sz w:val="24"/>
                <w:highlight w:val="none"/>
              </w:rPr>
              <w:t>④</w:t>
            </w:r>
            <w:r>
              <w:rPr>
                <w:rFonts w:hint="default" w:ascii="Times New Roman" w:hAnsi="Times New Roman" w:eastAsia="仿宋" w:cs="Times New Roman"/>
                <w:b/>
                <w:bCs/>
                <w:color w:val="auto"/>
                <w:sz w:val="24"/>
                <w:highlight w:val="none"/>
              </w:rPr>
              <w:t>《常州市</w:t>
            </w:r>
            <w:r>
              <w:rPr>
                <w:rFonts w:hint="default" w:ascii="Times New Roman" w:hAnsi="Times New Roman" w:eastAsia="仿宋" w:cs="Times New Roman"/>
                <w:b/>
                <w:color w:val="auto"/>
                <w:kern w:val="0"/>
                <w:sz w:val="24"/>
                <w:highlight w:val="none"/>
              </w:rPr>
              <w:t>“三线一单”生态环境分区管控实施方案》、《常州市生态环境分区管控动态更新成果》（2023年版）</w:t>
            </w:r>
          </w:p>
          <w:p w14:paraId="28239C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
                <w:color w:val="auto"/>
                <w:sz w:val="24"/>
                <w:highlight w:val="none"/>
              </w:rPr>
            </w:pPr>
            <w:r>
              <w:rPr>
                <w:rFonts w:hint="default" w:ascii="Times New Roman" w:hAnsi="Times New Roman" w:eastAsia="仿宋" w:cs="Times New Roman"/>
                <w:color w:val="auto"/>
                <w:sz w:val="24"/>
                <w:highlight w:val="none"/>
              </w:rPr>
              <w:t>根据《常州市“三线一单”生态环境分区管控实施方案》、《常州市生态环境分区管控动态更新成果》（2023年版），本项目</w:t>
            </w:r>
            <w:r>
              <w:rPr>
                <w:rFonts w:hint="default" w:ascii="Times New Roman" w:hAnsi="Times New Roman" w:eastAsia="仿宋" w:cs="Times New Roman"/>
                <w:color w:val="auto"/>
                <w:kern w:val="0"/>
                <w:sz w:val="24"/>
                <w:highlight w:val="none"/>
              </w:rPr>
              <w:t>位于江苏省金坛经济开发区</w:t>
            </w:r>
            <w:r>
              <w:rPr>
                <w:rFonts w:hint="default" w:ascii="Times New Roman" w:hAnsi="Times New Roman" w:eastAsia="仿宋" w:cs="Times New Roman"/>
                <w:color w:val="auto"/>
                <w:sz w:val="24"/>
                <w:highlight w:val="none"/>
              </w:rPr>
              <w:t>，属于常州市重点管控单元，具体环境管控单元准入清单见下表。</w:t>
            </w:r>
          </w:p>
          <w:p w14:paraId="1A7BB8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b/>
                <w:color w:val="auto"/>
                <w:sz w:val="24"/>
                <w:highlight w:val="none"/>
              </w:rPr>
            </w:pPr>
            <w:r>
              <w:rPr>
                <w:rFonts w:hint="default" w:ascii="Times New Roman" w:hAnsi="Times New Roman" w:eastAsia="仿宋" w:cs="Times New Roman"/>
                <w:b/>
                <w:color w:val="auto"/>
                <w:sz w:val="24"/>
                <w:highlight w:val="none"/>
              </w:rPr>
              <w:t>表1-</w:t>
            </w:r>
            <w:r>
              <w:rPr>
                <w:rFonts w:hint="eastAsia" w:ascii="Times New Roman" w:hAnsi="Times New Roman" w:eastAsia="仿宋" w:cs="Times New Roman"/>
                <w:b/>
                <w:color w:val="auto"/>
                <w:sz w:val="24"/>
                <w:highlight w:val="none"/>
                <w:lang w:val="en-US" w:eastAsia="zh-CN"/>
              </w:rPr>
              <w:t>7</w:t>
            </w:r>
            <w:r>
              <w:rPr>
                <w:rFonts w:hint="default" w:ascii="Times New Roman" w:hAnsi="Times New Roman" w:eastAsia="仿宋" w:cs="Times New Roman"/>
                <w:b/>
                <w:color w:val="auto"/>
                <w:sz w:val="24"/>
                <w:highlight w:val="none"/>
              </w:rPr>
              <w:t xml:space="preserve">  </w:t>
            </w:r>
            <w:r>
              <w:rPr>
                <w:rFonts w:hint="eastAsia" w:ascii="仿宋" w:hAnsi="仿宋" w:eastAsia="仿宋"/>
                <w:b/>
                <w:color w:val="auto"/>
                <w:sz w:val="24"/>
                <w:highlight w:val="none"/>
              </w:rPr>
              <w:t>与常州市生态环境管控</w:t>
            </w:r>
            <w:r>
              <w:rPr>
                <w:rFonts w:hint="eastAsia" w:ascii="仿宋" w:hAnsi="仿宋" w:eastAsia="仿宋"/>
                <w:b/>
                <w:color w:val="auto"/>
                <w:sz w:val="24"/>
                <w:highlight w:val="none"/>
                <w:lang w:val="en-US" w:eastAsia="zh-CN"/>
              </w:rPr>
              <w:t>总体</w:t>
            </w:r>
            <w:r>
              <w:rPr>
                <w:rFonts w:hint="eastAsia" w:ascii="仿宋" w:hAnsi="仿宋" w:eastAsia="仿宋"/>
                <w:b/>
                <w:color w:val="auto"/>
                <w:sz w:val="24"/>
                <w:highlight w:val="none"/>
              </w:rPr>
              <w:t>要求对照分析</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80"/>
              <w:gridCol w:w="6600"/>
              <w:gridCol w:w="3845"/>
              <w:gridCol w:w="1252"/>
            </w:tblGrid>
            <w:tr w14:paraId="64BE3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93" w:type="pct"/>
                  <w:noWrap w:val="0"/>
                  <w:vAlign w:val="center"/>
                </w:tcPr>
                <w:p w14:paraId="37868CC2">
                  <w:pPr>
                    <w:adjustRightInd w:val="0"/>
                    <w:snapToGrid w:val="0"/>
                    <w:jc w:val="center"/>
                    <w:rPr>
                      <w:rFonts w:hint="default" w:ascii="Times New Roman" w:hAnsi="Times New Roman" w:eastAsia="仿宋" w:cs="Times New Roman"/>
                      <w:b/>
                      <w:color w:val="auto"/>
                      <w:szCs w:val="21"/>
                      <w:highlight w:val="none"/>
                      <w:lang w:eastAsia="zh-CN"/>
                    </w:rPr>
                  </w:pPr>
                  <w:r>
                    <w:rPr>
                      <w:rFonts w:hint="default" w:ascii="Times New Roman" w:hAnsi="Times New Roman" w:eastAsia="仿宋" w:cs="Times New Roman"/>
                      <w:b/>
                      <w:color w:val="auto"/>
                      <w:szCs w:val="21"/>
                      <w:highlight w:val="none"/>
                      <w:lang w:val="en-US" w:eastAsia="zh-CN"/>
                    </w:rPr>
                    <w:t>管控类别</w:t>
                  </w:r>
                </w:p>
              </w:tc>
              <w:tc>
                <w:tcPr>
                  <w:tcW w:w="2542" w:type="pct"/>
                  <w:noWrap w:val="0"/>
                  <w:vAlign w:val="center"/>
                </w:tcPr>
                <w:p w14:paraId="0DE6DA1D">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color w:val="auto"/>
                      <w:szCs w:val="21"/>
                      <w:highlight w:val="none"/>
                      <w:lang w:val="en-US" w:eastAsia="zh-CN"/>
                    </w:rPr>
                    <w:t>重点管控要求</w:t>
                  </w:r>
                </w:p>
              </w:tc>
              <w:tc>
                <w:tcPr>
                  <w:tcW w:w="1481" w:type="pct"/>
                  <w:noWrap w:val="0"/>
                  <w:vAlign w:val="center"/>
                </w:tcPr>
                <w:p w14:paraId="614413E2">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对照分析</w:t>
                  </w:r>
                </w:p>
              </w:tc>
              <w:tc>
                <w:tcPr>
                  <w:tcW w:w="482" w:type="pct"/>
                  <w:noWrap w:val="0"/>
                  <w:vAlign w:val="center"/>
                </w:tcPr>
                <w:p w14:paraId="4101C273">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color w:val="auto"/>
                      <w:szCs w:val="21"/>
                      <w:highlight w:val="none"/>
                      <w:lang w:val="en-US" w:eastAsia="zh-CN"/>
                    </w:rPr>
                    <w:t>相符性分析</w:t>
                  </w:r>
                </w:p>
              </w:tc>
            </w:tr>
            <w:tr w14:paraId="178F4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93" w:type="pct"/>
                  <w:noWrap w:val="0"/>
                  <w:vAlign w:val="center"/>
                </w:tcPr>
                <w:p w14:paraId="7946076D">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color w:val="auto"/>
                      <w:szCs w:val="21"/>
                      <w:highlight w:val="none"/>
                    </w:rPr>
                    <w:t>空间布局约束</w:t>
                  </w:r>
                </w:p>
              </w:tc>
              <w:tc>
                <w:tcPr>
                  <w:tcW w:w="2542" w:type="pct"/>
                  <w:noWrap w:val="0"/>
                  <w:vAlign w:val="center"/>
                </w:tcPr>
                <w:p w14:paraId="052DC09D">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（1）严格执行《江苏省“三线一单”生态环境分区管控方案》（苏政发〔2020〕49号）附件3 江苏省省域生态环境管控要求中“空间布局约束”的相关要求。</w:t>
                  </w:r>
                </w:p>
                <w:p w14:paraId="64AC4686">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（2）严格执行《关于印发各设区市2023 年深入打好污染防治攻坚战目标任务书的通知》（苏污防攻坚指办〔2023〕53号）《2023 年常州市生态文明建设工作方案》（常政发〔2023〕23 号）等文件要求。</w:t>
                  </w:r>
                </w:p>
                <w:p w14:paraId="49F7AA82">
                  <w:pPr>
                    <w:adjustRightInd w:val="0"/>
                    <w:snapToGrid w:val="0"/>
                    <w:jc w:val="both"/>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134DBCD3">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481" w:type="pct"/>
                  <w:noWrap w:val="0"/>
                  <w:vAlign w:val="center"/>
                </w:tcPr>
                <w:p w14:paraId="6168CD5F">
                  <w:pPr>
                    <w:adjustRightInd w:val="0"/>
                    <w:snapToGrid w:val="0"/>
                    <w:jc w:val="both"/>
                    <w:rPr>
                      <w:rFonts w:hint="default" w:ascii="Times New Roman" w:hAnsi="Times New Roman" w:eastAsia="仿宋" w:cs="Times New Roman"/>
                      <w:b w:val="0"/>
                      <w:bCs/>
                      <w:color w:val="auto"/>
                      <w:szCs w:val="21"/>
                      <w:highlight w:val="none"/>
                    </w:rPr>
                  </w:pPr>
                  <w:r>
                    <w:rPr>
                      <w:rFonts w:hint="default" w:ascii="Times New Roman" w:hAnsi="Times New Roman" w:eastAsia="仿宋" w:cs="Times New Roman"/>
                      <w:b w:val="0"/>
                      <w:bCs/>
                      <w:color w:val="auto"/>
                      <w:szCs w:val="21"/>
                      <w:highlight w:val="none"/>
                      <w:lang w:eastAsia="zh-CN"/>
                    </w:rPr>
                    <w:t>（</w:t>
                  </w:r>
                  <w:r>
                    <w:rPr>
                      <w:rFonts w:hint="default" w:ascii="Times New Roman" w:hAnsi="Times New Roman" w:eastAsia="仿宋" w:cs="Times New Roman"/>
                      <w:b w:val="0"/>
                      <w:bCs/>
                      <w:color w:val="auto"/>
                      <w:szCs w:val="21"/>
                      <w:highlight w:val="none"/>
                      <w:lang w:val="en-US" w:eastAsia="zh-CN"/>
                    </w:rPr>
                    <w:t>1</w:t>
                  </w:r>
                  <w:r>
                    <w:rPr>
                      <w:rFonts w:hint="default" w:ascii="Times New Roman" w:hAnsi="Times New Roman" w:eastAsia="仿宋" w:cs="Times New Roman"/>
                      <w:b w:val="0"/>
                      <w:bCs/>
                      <w:color w:val="auto"/>
                      <w:szCs w:val="21"/>
                      <w:highlight w:val="none"/>
                      <w:lang w:eastAsia="zh-CN"/>
                    </w:rPr>
                    <w:t>）</w:t>
                  </w:r>
                  <w:r>
                    <w:rPr>
                      <w:rFonts w:hint="default" w:ascii="Times New Roman" w:hAnsi="Times New Roman" w:eastAsia="仿宋" w:cs="Times New Roman"/>
                      <w:b w:val="0"/>
                      <w:bCs/>
                      <w:color w:val="auto"/>
                      <w:szCs w:val="21"/>
                      <w:highlight w:val="none"/>
                    </w:rPr>
                    <w:t>本项目位于</w:t>
                  </w:r>
                  <w:r>
                    <w:rPr>
                      <w:rFonts w:hint="default" w:ascii="Times New Roman" w:hAnsi="Times New Roman" w:eastAsia="仿宋" w:cs="Times New Roman"/>
                      <w:b w:val="0"/>
                      <w:bCs/>
                      <w:color w:val="auto"/>
                      <w:szCs w:val="21"/>
                      <w:highlight w:val="none"/>
                      <w:lang w:val="en-US" w:eastAsia="zh-CN"/>
                    </w:rPr>
                    <w:t>江苏省金坛经济开发区盐港东路39号8幢6号</w:t>
                  </w:r>
                  <w:r>
                    <w:rPr>
                      <w:rFonts w:hint="eastAsia" w:eastAsia="仿宋" w:cs="Times New Roman"/>
                      <w:b w:val="0"/>
                      <w:bCs/>
                      <w:color w:val="auto"/>
                      <w:szCs w:val="21"/>
                      <w:highlight w:val="none"/>
                      <w:lang w:val="en-US" w:eastAsia="zh-CN"/>
                    </w:rPr>
                    <w:t>厂房</w:t>
                  </w:r>
                  <w:r>
                    <w:rPr>
                      <w:rFonts w:hint="default" w:ascii="Times New Roman" w:hAnsi="Times New Roman" w:eastAsia="仿宋" w:cs="Times New Roman"/>
                      <w:b w:val="0"/>
                      <w:bCs/>
                      <w:color w:val="auto"/>
                      <w:szCs w:val="21"/>
                      <w:highlight w:val="none"/>
                    </w:rPr>
                    <w:t>，距离最近的生态空间管控区新丹金溧漕河（金坛区）洪水调蓄区约1.3km，符合《江苏省生态空间管控区域规划》中“空间布局约束”要求。</w:t>
                  </w:r>
                </w:p>
                <w:p w14:paraId="606A7D93">
                  <w:pPr>
                    <w:adjustRightInd w:val="0"/>
                    <w:snapToGrid w:val="0"/>
                    <w:jc w:val="left"/>
                    <w:rPr>
                      <w:rFonts w:hint="default" w:ascii="Times New Roman" w:hAnsi="Times New Roman" w:eastAsia="仿宋" w:cs="Times New Roman"/>
                      <w:b w:val="0"/>
                      <w:bCs/>
                      <w:color w:val="auto"/>
                      <w:szCs w:val="21"/>
                      <w:highlight w:val="none"/>
                    </w:rPr>
                  </w:pPr>
                  <w:r>
                    <w:rPr>
                      <w:rFonts w:hint="default" w:ascii="Times New Roman" w:hAnsi="Times New Roman" w:eastAsia="仿宋" w:cs="Times New Roman"/>
                      <w:b w:val="0"/>
                      <w:bCs/>
                      <w:color w:val="auto"/>
                      <w:szCs w:val="21"/>
                      <w:highlight w:val="none"/>
                    </w:rPr>
                    <w:t>（2）本项目建设严格执行《关于印发各设区市2023年深入打好污染防治攻坚战目标任务书的通知》（苏污防攻坚指办</w:t>
                  </w:r>
                  <w:r>
                    <w:rPr>
                      <w:rFonts w:hint="default" w:ascii="Times New Roman" w:hAnsi="Times New Roman" w:eastAsia="仿宋" w:cs="Times New Roman"/>
                      <w:b w:val="0"/>
                      <w:bCs/>
                      <w:color w:val="auto"/>
                      <w:szCs w:val="21"/>
                      <w:highlight w:val="none"/>
                      <w:lang w:eastAsia="zh-CN"/>
                    </w:rPr>
                    <w:t>〔2023〕53号</w:t>
                  </w:r>
                  <w:r>
                    <w:rPr>
                      <w:rFonts w:hint="default" w:ascii="Times New Roman" w:hAnsi="Times New Roman" w:eastAsia="仿宋" w:cs="Times New Roman"/>
                      <w:b w:val="0"/>
                      <w:bCs/>
                      <w:color w:val="auto"/>
                      <w:szCs w:val="21"/>
                      <w:highlight w:val="none"/>
                    </w:rPr>
                    <w:t>）</w:t>
                  </w:r>
                  <w:r>
                    <w:rPr>
                      <w:rFonts w:hint="eastAsia" w:eastAsia="仿宋" w:cs="Times New Roman"/>
                      <w:b w:val="0"/>
                      <w:bCs/>
                      <w:color w:val="auto"/>
                      <w:szCs w:val="21"/>
                      <w:highlight w:val="none"/>
                      <w:lang w:eastAsia="zh-CN"/>
                    </w:rPr>
                    <w:t>、</w:t>
                  </w:r>
                  <w:r>
                    <w:rPr>
                      <w:rFonts w:hint="default" w:ascii="Times New Roman" w:hAnsi="Times New Roman" w:eastAsia="仿宋" w:cs="Times New Roman"/>
                      <w:b w:val="0"/>
                      <w:bCs/>
                      <w:color w:val="auto"/>
                      <w:szCs w:val="21"/>
                      <w:highlight w:val="none"/>
                    </w:rPr>
                    <w:t>《2023年常州市生态文明建设工作方案》（常政发</w:t>
                  </w:r>
                  <w:r>
                    <w:rPr>
                      <w:rFonts w:hint="default" w:ascii="Times New Roman" w:hAnsi="Times New Roman" w:eastAsia="仿宋" w:cs="Times New Roman"/>
                      <w:b w:val="0"/>
                      <w:bCs/>
                      <w:color w:val="auto"/>
                      <w:szCs w:val="21"/>
                      <w:highlight w:val="none"/>
                      <w:lang w:eastAsia="zh-CN"/>
                    </w:rPr>
                    <w:t>〔2023〕</w:t>
                  </w:r>
                  <w:r>
                    <w:rPr>
                      <w:rFonts w:hint="default" w:ascii="Times New Roman" w:hAnsi="Times New Roman" w:eastAsia="仿宋" w:cs="Times New Roman"/>
                      <w:b w:val="0"/>
                      <w:bCs/>
                      <w:color w:val="auto"/>
                      <w:szCs w:val="21"/>
                      <w:highlight w:val="none"/>
                    </w:rPr>
                    <w:t>23 号）等文件要求。</w:t>
                  </w:r>
                </w:p>
                <w:p w14:paraId="2E51454C">
                  <w:pPr>
                    <w:adjustRightInd w:val="0"/>
                    <w:snapToGrid w:val="0"/>
                    <w:jc w:val="left"/>
                    <w:rPr>
                      <w:rFonts w:hint="default" w:ascii="Times New Roman" w:hAnsi="Times New Roman" w:eastAsia="仿宋" w:cs="Times New Roman"/>
                      <w:b w:val="0"/>
                      <w:bCs/>
                      <w:color w:val="auto"/>
                      <w:szCs w:val="21"/>
                      <w:highlight w:val="none"/>
                    </w:rPr>
                  </w:pPr>
                  <w:r>
                    <w:rPr>
                      <w:rFonts w:hint="default" w:ascii="Times New Roman" w:hAnsi="Times New Roman" w:eastAsia="仿宋" w:cs="Times New Roman"/>
                      <w:b w:val="0"/>
                      <w:bCs/>
                      <w:color w:val="auto"/>
                      <w:szCs w:val="21"/>
                      <w:highlight w:val="none"/>
                    </w:rPr>
                    <w:t>（3）本项目为</w:t>
                  </w:r>
                  <w:r>
                    <w:rPr>
                      <w:rFonts w:hint="default" w:ascii="Times New Roman" w:hAnsi="Times New Roman" w:eastAsia="仿宋" w:cs="Times New Roman"/>
                      <w:b w:val="0"/>
                      <w:bCs/>
                      <w:color w:val="auto"/>
                      <w:szCs w:val="21"/>
                      <w:highlight w:val="none"/>
                      <w:lang w:val="en-US" w:eastAsia="zh-CN"/>
                    </w:rPr>
                    <w:t>C2929塑料零件及其他塑料制品制造</w:t>
                  </w:r>
                  <w:r>
                    <w:rPr>
                      <w:rFonts w:hint="eastAsia" w:ascii="Times New Roman" w:hAnsi="Times New Roman" w:eastAsia="仿宋" w:cs="Times New Roman"/>
                      <w:b w:val="0"/>
                      <w:bCs/>
                      <w:color w:val="auto"/>
                      <w:szCs w:val="21"/>
                      <w:highlight w:val="none"/>
                      <w:lang w:val="en-US" w:eastAsia="zh-CN"/>
                    </w:rPr>
                    <w:t>、</w:t>
                  </w:r>
                  <w:r>
                    <w:rPr>
                      <w:rFonts w:hint="default" w:ascii="Times New Roman" w:hAnsi="Times New Roman" w:eastAsia="仿宋" w:cs="Times New Roman"/>
                      <w:b w:val="0"/>
                      <w:bCs/>
                      <w:color w:val="auto"/>
                      <w:szCs w:val="21"/>
                      <w:highlight w:val="none"/>
                      <w:lang w:val="en-US" w:eastAsia="zh-CN"/>
                    </w:rPr>
                    <w:t>C4111</w:t>
                  </w:r>
                  <w:r>
                    <w:rPr>
                      <w:rFonts w:hint="default" w:ascii="Times New Roman" w:hAnsi="Times New Roman" w:eastAsia="仿宋" w:cs="Times New Roman"/>
                      <w:b w:val="0"/>
                      <w:bCs/>
                      <w:color w:val="auto"/>
                      <w:szCs w:val="21"/>
                      <w:highlight w:val="none"/>
                    </w:rPr>
                    <w:t>鬃毛加工、制刷及清扫工具制造，不属于《产业结构调整指导目录（2024 年本）</w:t>
                  </w:r>
                  <w:r>
                    <w:rPr>
                      <w:rFonts w:hint="default" w:ascii="Times New Roman" w:hAnsi="Times New Roman" w:eastAsia="仿宋" w:cs="Times New Roman"/>
                      <w:b w:val="0"/>
                      <w:bCs/>
                      <w:color w:val="auto"/>
                      <w:szCs w:val="21"/>
                      <w:highlight w:val="none"/>
                      <w:lang w:eastAsia="zh-CN"/>
                    </w:rPr>
                    <w:t>》《</w:t>
                  </w:r>
                  <w:r>
                    <w:rPr>
                      <w:rFonts w:hint="default" w:ascii="Times New Roman" w:hAnsi="Times New Roman" w:eastAsia="仿宋" w:cs="Times New Roman"/>
                      <w:b w:val="0"/>
                      <w:bCs/>
                      <w:color w:val="auto"/>
                      <w:szCs w:val="21"/>
                      <w:highlight w:val="none"/>
                    </w:rPr>
                    <w:t>江苏省产业结构调整限制、淘汰和禁止目录》淘汰类、禁止类的产业。</w:t>
                  </w:r>
                </w:p>
                <w:p w14:paraId="03752C9F">
                  <w:pPr>
                    <w:adjustRightInd w:val="0"/>
                    <w:snapToGrid w:val="0"/>
                    <w:jc w:val="left"/>
                    <w:rPr>
                      <w:rFonts w:hint="default" w:ascii="Times New Roman" w:hAnsi="Times New Roman" w:eastAsia="仿宋" w:cs="Times New Roman"/>
                      <w:b w:val="0"/>
                      <w:bCs/>
                      <w:color w:val="auto"/>
                      <w:szCs w:val="21"/>
                      <w:highlight w:val="none"/>
                    </w:rPr>
                  </w:pPr>
                  <w:r>
                    <w:rPr>
                      <w:rFonts w:hint="default" w:ascii="Times New Roman" w:hAnsi="Times New Roman" w:eastAsia="仿宋" w:cs="Times New Roman"/>
                      <w:b w:val="0"/>
                      <w:bCs/>
                      <w:color w:val="auto"/>
                      <w:szCs w:val="21"/>
                      <w:highlight w:val="none"/>
                    </w:rPr>
                    <w:t>（4）本项目不在长江干流岸线三公里范围内，不属于高污染项目；不属于《长江经济带发展负面清单指南</w:t>
                  </w:r>
                  <w:r>
                    <w:rPr>
                      <w:rFonts w:hint="default" w:ascii="Times New Roman" w:hAnsi="Times New Roman" w:eastAsia="仿宋" w:cs="Times New Roman"/>
                      <w:b w:val="0"/>
                      <w:bCs/>
                      <w:color w:val="auto"/>
                      <w:szCs w:val="21"/>
                      <w:highlight w:val="none"/>
                      <w:lang w:eastAsia="zh-CN"/>
                    </w:rPr>
                    <w:t>（</w:t>
                  </w:r>
                  <w:r>
                    <w:rPr>
                      <w:rFonts w:hint="default" w:ascii="Times New Roman" w:hAnsi="Times New Roman" w:eastAsia="仿宋" w:cs="Times New Roman"/>
                      <w:b w:val="0"/>
                      <w:bCs/>
                      <w:color w:val="auto"/>
                      <w:szCs w:val="21"/>
                      <w:highlight w:val="none"/>
                    </w:rPr>
                    <w:t>试行，2022年版</w:t>
                  </w:r>
                  <w:r>
                    <w:rPr>
                      <w:rFonts w:hint="default" w:ascii="Times New Roman" w:hAnsi="Times New Roman" w:eastAsia="仿宋" w:cs="Times New Roman"/>
                      <w:b w:val="0"/>
                      <w:bCs/>
                      <w:color w:val="auto"/>
                      <w:szCs w:val="21"/>
                      <w:highlight w:val="none"/>
                      <w:lang w:eastAsia="zh-CN"/>
                    </w:rPr>
                    <w:t>）</w:t>
                  </w:r>
                  <w:r>
                    <w:rPr>
                      <w:rFonts w:hint="default" w:ascii="Times New Roman" w:hAnsi="Times New Roman" w:eastAsia="仿宋" w:cs="Times New Roman"/>
                      <w:b w:val="0"/>
                      <w:bCs/>
                      <w:color w:val="auto"/>
                      <w:szCs w:val="21"/>
                      <w:highlight w:val="none"/>
                    </w:rPr>
                    <w:t>》江苏省实施细则及《江苏省太湖水污染防治条例》中禁止类项目。</w:t>
                  </w:r>
                </w:p>
              </w:tc>
              <w:tc>
                <w:tcPr>
                  <w:tcW w:w="482" w:type="pct"/>
                  <w:noWrap w:val="0"/>
                  <w:vAlign w:val="center"/>
                </w:tcPr>
                <w:p w14:paraId="62B1C1E4">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相符</w:t>
                  </w:r>
                </w:p>
              </w:tc>
            </w:tr>
            <w:tr w14:paraId="593F5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93" w:type="pct"/>
                  <w:noWrap w:val="0"/>
                  <w:vAlign w:val="center"/>
                </w:tcPr>
                <w:p w14:paraId="7E33017C">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污染物</w:t>
                  </w:r>
                </w:p>
                <w:p w14:paraId="5B954963">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排放管控</w:t>
                  </w:r>
                </w:p>
              </w:tc>
              <w:tc>
                <w:tcPr>
                  <w:tcW w:w="2542" w:type="pct"/>
                  <w:noWrap w:val="0"/>
                  <w:vAlign w:val="center"/>
                </w:tcPr>
                <w:p w14:paraId="5CF4C318">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（1）坚持生态环境质量只能更好、不能变坏，实施污染物总量控制，以环境容量定产业、定项目、定规模，确保开发建设行为不突破生态环境承载力。</w:t>
                  </w:r>
                </w:p>
                <w:p w14:paraId="3A2ABA6B">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（2）《常州市“十四五”生态环境保护规划》（常政办发〔2021〕130号），到2025 年，常州市主要污染物减排满足省下达指标要求。全面贯彻落实《江苏省工业园区（集中区）污染物排放限值限量管理</w:t>
                  </w:r>
                </w:p>
                <w:p w14:paraId="0DEFBE7F">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工作方案（试行）》（苏环办〔2021〕232 号），完善工业园区主要污染物排放总量控制措施，实现主要污染物排放浓度和总量“双控”</w:t>
                  </w:r>
                </w:p>
              </w:tc>
              <w:tc>
                <w:tcPr>
                  <w:tcW w:w="1481" w:type="pct"/>
                  <w:noWrap w:val="0"/>
                  <w:vAlign w:val="center"/>
                </w:tcPr>
                <w:p w14:paraId="111957C8">
                  <w:pPr>
                    <w:adjustRightInd w:val="0"/>
                    <w:snapToGrid w:val="0"/>
                    <w:jc w:val="left"/>
                    <w:rPr>
                      <w:rFonts w:hint="default" w:ascii="Times New Roman" w:hAnsi="Times New Roman" w:eastAsia="仿宋" w:cs="Times New Roman"/>
                      <w:b w:val="0"/>
                      <w:bCs/>
                      <w:color w:val="auto"/>
                      <w:szCs w:val="21"/>
                      <w:highlight w:val="none"/>
                    </w:rPr>
                  </w:pPr>
                  <w:r>
                    <w:rPr>
                      <w:rFonts w:hint="default" w:ascii="Times New Roman" w:hAnsi="Times New Roman" w:eastAsia="仿宋" w:cs="Times New Roman"/>
                      <w:b w:val="0"/>
                      <w:bCs/>
                      <w:color w:val="auto"/>
                      <w:szCs w:val="21"/>
                      <w:highlight w:val="none"/>
                    </w:rPr>
                    <w:t>本项目类型及其选址、布局、规模等符合环境保护法律法规和相关法定规划，废水中各污染物总量在区域内平衡，建设行为不会突破生态环境承载力。</w:t>
                  </w:r>
                </w:p>
              </w:tc>
              <w:tc>
                <w:tcPr>
                  <w:tcW w:w="482" w:type="pct"/>
                  <w:noWrap w:val="0"/>
                  <w:vAlign w:val="center"/>
                </w:tcPr>
                <w:p w14:paraId="1E7F95C2">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相符</w:t>
                  </w:r>
                </w:p>
              </w:tc>
            </w:tr>
            <w:tr w14:paraId="0CEF4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93" w:type="pct"/>
                  <w:noWrap w:val="0"/>
                  <w:vAlign w:val="center"/>
                </w:tcPr>
                <w:p w14:paraId="40B78C4E">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环境风险</w:t>
                  </w:r>
                </w:p>
                <w:p w14:paraId="33A3CDDE">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防控</w:t>
                  </w:r>
                </w:p>
              </w:tc>
              <w:tc>
                <w:tcPr>
                  <w:tcW w:w="2542" w:type="pct"/>
                  <w:noWrap w:val="0"/>
                  <w:vAlign w:val="center"/>
                </w:tcPr>
                <w:p w14:paraId="508C59A0">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1）严格执行《江苏省“三线一单”生态环境分区管控方案》（苏政发〔2020〕49 号）附件3 江苏省省域生态环境管控要求中“环境风险防控”的相关要求。</w:t>
                  </w:r>
                </w:p>
                <w:p w14:paraId="0E3B0818">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（2）根据《常州市长江生态优先绿色发展三年行动计划（2019-2021年）》（常长江发〔2019〕3号），大幅压减沿江地区化工生产企业数量，沿江1 公里范围内凡是与化工园区无产业链关联、安全和环保隐患大的企业2020 年底前依法关停退出。</w:t>
                  </w:r>
                </w:p>
                <w:p w14:paraId="56D49BA1">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（3）强化饮用水水源环境风险管控，建成应急水源工程。</w:t>
                  </w:r>
                </w:p>
                <w:p w14:paraId="5D08CCE4">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（4）完善废弃危险化学品等危险废物（以下简称“危险废物”）、</w:t>
                  </w:r>
                </w:p>
                <w:p w14:paraId="4E177839">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重点环保设施和项目、可燃性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481" w:type="pct"/>
                  <w:noWrap w:val="0"/>
                  <w:vAlign w:val="center"/>
                </w:tcPr>
                <w:p w14:paraId="390BF47B">
                  <w:pPr>
                    <w:adjustRightInd w:val="0"/>
                    <w:snapToGrid w:val="0"/>
                    <w:jc w:val="left"/>
                    <w:rPr>
                      <w:rFonts w:hint="default" w:ascii="Times New Roman" w:hAnsi="Times New Roman" w:eastAsia="仿宋" w:cs="Times New Roman"/>
                      <w:b w:val="0"/>
                      <w:bCs/>
                      <w:color w:val="auto"/>
                      <w:szCs w:val="21"/>
                      <w:highlight w:val="none"/>
                    </w:rPr>
                  </w:pPr>
                  <w:r>
                    <w:rPr>
                      <w:rFonts w:hint="default" w:ascii="Times New Roman" w:hAnsi="Times New Roman" w:eastAsia="仿宋" w:cs="Times New Roman"/>
                      <w:b w:val="0"/>
                      <w:bCs/>
                      <w:color w:val="auto"/>
                      <w:szCs w:val="21"/>
                      <w:highlight w:val="none"/>
                      <w:lang w:val="en-US" w:eastAsia="zh-CN"/>
                    </w:rPr>
                    <w:t>本项</w:t>
                  </w:r>
                  <w:r>
                    <w:rPr>
                      <w:rFonts w:hint="default" w:ascii="Times New Roman" w:hAnsi="Times New Roman" w:eastAsia="仿宋" w:cs="Times New Roman"/>
                      <w:b w:val="0"/>
                      <w:bCs/>
                      <w:color w:val="auto"/>
                      <w:sz w:val="22"/>
                      <w:szCs w:val="22"/>
                      <w:highlight w:val="none"/>
                      <w:lang w:val="en-US" w:eastAsia="zh-CN"/>
                    </w:rPr>
                    <w:t>目</w:t>
                  </w:r>
                  <w:r>
                    <w:rPr>
                      <w:rFonts w:hint="default" w:ascii="Times New Roman" w:hAnsi="Times New Roman" w:eastAsia="仿宋" w:cs="Times New Roman"/>
                      <w:b w:val="0"/>
                      <w:bCs/>
                      <w:color w:val="auto"/>
                      <w:sz w:val="22"/>
                      <w:szCs w:val="22"/>
                      <w:highlight w:val="none"/>
                    </w:rPr>
                    <w:t>不在沿江</w:t>
                  </w:r>
                  <w:r>
                    <w:rPr>
                      <w:rFonts w:hint="default" w:ascii="Times New Roman" w:hAnsi="Times New Roman" w:eastAsia="仿宋" w:cs="Times New Roman"/>
                      <w:b w:val="0"/>
                      <w:bCs/>
                      <w:color w:val="auto"/>
                      <w:sz w:val="22"/>
                      <w:szCs w:val="22"/>
                      <w:highlight w:val="none"/>
                      <w:lang w:val="en-US" w:eastAsia="zh-CN"/>
                    </w:rPr>
                    <w:t>1</w:t>
                  </w:r>
                  <w:r>
                    <w:rPr>
                      <w:rFonts w:hint="default" w:ascii="Times New Roman" w:hAnsi="Times New Roman" w:eastAsia="仿宋" w:cs="Times New Roman"/>
                      <w:b w:val="0"/>
                      <w:bCs/>
                      <w:color w:val="auto"/>
                      <w:sz w:val="22"/>
                      <w:szCs w:val="22"/>
                      <w:highlight w:val="none"/>
                    </w:rPr>
                    <w:t>公里范围内，不涉及化工与化工产业链，不涉及大宗危化品使用，企业将积极与区域应急体系联动，做好危险废物风险防控措施。</w:t>
                  </w:r>
                </w:p>
              </w:tc>
              <w:tc>
                <w:tcPr>
                  <w:tcW w:w="482" w:type="pct"/>
                  <w:noWrap w:val="0"/>
                  <w:vAlign w:val="center"/>
                </w:tcPr>
                <w:p w14:paraId="794E069D">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相符</w:t>
                  </w:r>
                </w:p>
              </w:tc>
            </w:tr>
            <w:tr w14:paraId="19BD1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93" w:type="pct"/>
                  <w:noWrap w:val="0"/>
                  <w:vAlign w:val="center"/>
                </w:tcPr>
                <w:p w14:paraId="372C5A32">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资源</w:t>
                  </w:r>
                  <w:r>
                    <w:rPr>
                      <w:rFonts w:hint="default" w:ascii="Times New Roman" w:hAnsi="Times New Roman" w:eastAsia="仿宋" w:cs="Times New Roman"/>
                      <w:color w:val="auto"/>
                      <w:szCs w:val="21"/>
                      <w:highlight w:val="none"/>
                      <w:lang w:val="en-US" w:eastAsia="zh-CN"/>
                    </w:rPr>
                    <w:t>利用效率</w:t>
                  </w:r>
                  <w:r>
                    <w:rPr>
                      <w:rFonts w:hint="default" w:ascii="Times New Roman" w:hAnsi="Times New Roman" w:eastAsia="仿宋" w:cs="Times New Roman"/>
                      <w:color w:val="auto"/>
                      <w:szCs w:val="21"/>
                      <w:highlight w:val="none"/>
                    </w:rPr>
                    <w:t>要求</w:t>
                  </w:r>
                </w:p>
              </w:tc>
              <w:tc>
                <w:tcPr>
                  <w:tcW w:w="2542" w:type="pct"/>
                  <w:noWrap w:val="0"/>
                  <w:vAlign w:val="center"/>
                </w:tcPr>
                <w:p w14:paraId="3A99AA0D">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（1）《江苏省水利厅江苏省发展和改革委员会关于印发“十四五” 用水总量和强度控制目标的通知》（苏水节〔2022〕6 号），到2025年，常州市用水总量控制在31.0 亿立方米，其中非常规水源利用量控制在0.81 亿立方米，万元国内生产总值用水量比2020 年下降19%，万元工业增加值用水量比2020 年下降18.5%，农田灌溉水利用系数达0.688。</w:t>
                  </w:r>
                </w:p>
                <w:p w14:paraId="5CBFA089">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（2）根据《常州市国土空间总体规划（2021-2035 年）（上报稿）》，永久基本农田实际划定是7.53 万公顷，2035 年任务量为7.66 万公顷。</w:t>
                  </w:r>
                </w:p>
                <w:p w14:paraId="2662A2B7">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（3）根据《市政府关于公布常州市高污染燃料禁燃区类别的通告》（常政发〔2017〕163 号）、《市政府关于公布溧阳市高污染燃料禁燃区控制类别的通告》（溧政发〔2018〕6 号），常州市禁燃区内禁止新建、扩建燃用高污染燃料的项目和设施，已建成的应逐步或依法限期改用天然气、电或者其他清洁能源。禁止燃用的燃料主要包括：</w:t>
                  </w:r>
                </w:p>
                <w:p w14:paraId="3C95B89F">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①“II 类”（较严），具体包括：除单台出力大于等于20 蒸吨/小时锅炉以外燃用的煤炭及其制品；石油焦、油页岩、原油、重油、渣</w:t>
                  </w:r>
                </w:p>
                <w:p w14:paraId="330C11F5">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油、煤焦油。②“III 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50D20A95">
                  <w:pPr>
                    <w:adjustRightInd w:val="0"/>
                    <w:snapToGrid w:val="0"/>
                    <w:jc w:val="left"/>
                    <w:rPr>
                      <w:rFonts w:hint="default" w:ascii="Times New Roman" w:hAnsi="Times New Roman" w:eastAsia="仿宋" w:cs="Times New Roman"/>
                      <w:b w:val="0"/>
                      <w:bCs/>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（4）根据《常州市“十四五”能源发展规划》（常政办发〔2021〕101号），到2025 年，常州市能源消费总量控制在2881 万吨标准煤，其中煤炭消费总量控制在1000 万吨以内，非化石能源利用量达到86.43 万吨标准煤，占能源消费总量的3%，比重比2020 年提高1.4个百分点。到2025 年，全市万元地区生产总值能耗（按2020 年可比价计算）五年累计下降达到省控目标。</w:t>
                  </w:r>
                </w:p>
              </w:tc>
              <w:tc>
                <w:tcPr>
                  <w:tcW w:w="1481" w:type="pct"/>
                  <w:noWrap w:val="0"/>
                  <w:vAlign w:val="center"/>
                </w:tcPr>
                <w:p w14:paraId="7F9F2D35">
                  <w:pPr>
                    <w:adjustRightInd w:val="0"/>
                    <w:snapToGrid w:val="0"/>
                    <w:jc w:val="both"/>
                    <w:rPr>
                      <w:rFonts w:hint="default" w:ascii="Times New Roman" w:hAnsi="Times New Roman" w:eastAsia="仿宋" w:cs="Times New Roman"/>
                      <w:b w:val="0"/>
                      <w:bCs/>
                      <w:color w:val="auto"/>
                      <w:szCs w:val="21"/>
                      <w:highlight w:val="none"/>
                    </w:rPr>
                  </w:pPr>
                  <w:r>
                    <w:rPr>
                      <w:rFonts w:hint="default" w:ascii="Times New Roman" w:hAnsi="Times New Roman" w:eastAsia="仿宋" w:cs="Times New Roman"/>
                      <w:b w:val="0"/>
                      <w:bCs/>
                      <w:color w:val="auto"/>
                      <w:szCs w:val="21"/>
                      <w:highlight w:val="none"/>
                    </w:rPr>
                    <w:t>本项目不涉及永久基本农田，主要使用水、电资源，为清洁能源，能耗较低，可满足《常州市“十四五”能源发展规划》（常政办发</w:t>
                  </w:r>
                  <w:r>
                    <w:rPr>
                      <w:rFonts w:hint="default" w:ascii="Times New Roman" w:hAnsi="Times New Roman" w:eastAsia="仿宋" w:cs="Times New Roman"/>
                      <w:b w:val="0"/>
                      <w:bCs/>
                      <w:color w:val="auto"/>
                      <w:szCs w:val="21"/>
                      <w:highlight w:val="none"/>
                      <w:lang w:eastAsia="zh-CN"/>
                    </w:rPr>
                    <w:t>〔2021〕</w:t>
                  </w:r>
                  <w:r>
                    <w:rPr>
                      <w:rFonts w:hint="default" w:ascii="Times New Roman" w:hAnsi="Times New Roman" w:eastAsia="仿宋" w:cs="Times New Roman"/>
                      <w:b w:val="0"/>
                      <w:bCs/>
                      <w:color w:val="auto"/>
                      <w:szCs w:val="21"/>
                      <w:highlight w:val="none"/>
                    </w:rPr>
                    <w:t>101 号）中相应要求。</w:t>
                  </w:r>
                </w:p>
              </w:tc>
              <w:tc>
                <w:tcPr>
                  <w:tcW w:w="482" w:type="pct"/>
                  <w:noWrap w:val="0"/>
                  <w:vAlign w:val="center"/>
                </w:tcPr>
                <w:p w14:paraId="767C9A37">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val="0"/>
                      <w:bCs/>
                      <w:color w:val="auto"/>
                      <w:szCs w:val="21"/>
                      <w:highlight w:val="none"/>
                      <w:lang w:val="en-US" w:eastAsia="zh-CN"/>
                    </w:rPr>
                    <w:t>相符</w:t>
                  </w:r>
                </w:p>
              </w:tc>
            </w:tr>
          </w:tbl>
          <w:p w14:paraId="275D0921">
            <w:pPr>
              <w:adjustRightInd w:val="0"/>
              <w:snapToGrid w:val="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表1-</w:t>
            </w:r>
            <w:r>
              <w:rPr>
                <w:rFonts w:hint="eastAsia" w:eastAsia="仿宋" w:cs="Times New Roman"/>
                <w:b/>
                <w:color w:val="auto"/>
                <w:sz w:val="24"/>
                <w:highlight w:val="none"/>
                <w:lang w:val="en-US" w:eastAsia="zh-CN"/>
              </w:rPr>
              <w:t>8</w:t>
            </w:r>
            <w:r>
              <w:rPr>
                <w:rFonts w:hint="default" w:ascii="Times New Roman" w:hAnsi="Times New Roman" w:eastAsia="仿宋" w:cs="Times New Roman"/>
                <w:b/>
                <w:color w:val="auto"/>
                <w:sz w:val="24"/>
                <w:highlight w:val="none"/>
              </w:rPr>
              <w:t xml:space="preserve">  常州市生态环境分区管控单元准入清单</w:t>
            </w:r>
          </w:p>
          <w:tbl>
            <w:tblPr>
              <w:tblStyle w:val="2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99"/>
              <w:gridCol w:w="567"/>
              <w:gridCol w:w="708"/>
              <w:gridCol w:w="1276"/>
              <w:gridCol w:w="5907"/>
              <w:gridCol w:w="3408"/>
            </w:tblGrid>
            <w:tr w14:paraId="2E165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99" w:type="dxa"/>
                  <w:tcBorders>
                    <w:top w:val="single" w:color="auto" w:sz="12" w:space="0"/>
                    <w:left w:val="nil"/>
                    <w:bottom w:val="single" w:color="auto" w:sz="4" w:space="0"/>
                    <w:right w:val="single" w:color="auto" w:sz="4" w:space="0"/>
                  </w:tcBorders>
                  <w:noWrap w:val="0"/>
                  <w:vAlign w:val="center"/>
                </w:tcPr>
                <w:p w14:paraId="58969123">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环境管控单元名称</w:t>
                  </w:r>
                </w:p>
              </w:tc>
              <w:tc>
                <w:tcPr>
                  <w:tcW w:w="567" w:type="dxa"/>
                  <w:tcBorders>
                    <w:top w:val="single" w:color="auto" w:sz="12" w:space="0"/>
                    <w:left w:val="single" w:color="auto" w:sz="4" w:space="0"/>
                    <w:bottom w:val="single" w:color="auto" w:sz="4" w:space="0"/>
                    <w:right w:val="single" w:color="auto" w:sz="4" w:space="0"/>
                  </w:tcBorders>
                  <w:noWrap w:val="0"/>
                  <w:vAlign w:val="center"/>
                </w:tcPr>
                <w:p w14:paraId="0F9308E1">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类型</w:t>
                  </w:r>
                </w:p>
              </w:tc>
              <w:tc>
                <w:tcPr>
                  <w:tcW w:w="7891" w:type="dxa"/>
                  <w:gridSpan w:val="3"/>
                  <w:tcBorders>
                    <w:top w:val="single" w:color="auto" w:sz="12" w:space="0"/>
                    <w:left w:val="single" w:color="auto" w:sz="4" w:space="0"/>
                    <w:bottom w:val="single" w:color="auto" w:sz="4" w:space="0"/>
                    <w:right w:val="single" w:color="auto" w:sz="4" w:space="0"/>
                  </w:tcBorders>
                  <w:noWrap w:val="0"/>
                  <w:vAlign w:val="center"/>
                </w:tcPr>
                <w:p w14:paraId="0C27247C">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《常州市“三线一单”生态环境分区管控实施方案》要求</w:t>
                  </w:r>
                </w:p>
              </w:tc>
              <w:tc>
                <w:tcPr>
                  <w:tcW w:w="3408" w:type="dxa"/>
                  <w:tcBorders>
                    <w:top w:val="single" w:color="auto" w:sz="12" w:space="0"/>
                    <w:left w:val="single" w:color="auto" w:sz="4" w:space="0"/>
                    <w:bottom w:val="single" w:color="auto" w:sz="4" w:space="0"/>
                    <w:right w:val="nil"/>
                  </w:tcBorders>
                  <w:noWrap w:val="0"/>
                  <w:vAlign w:val="center"/>
                </w:tcPr>
                <w:p w14:paraId="5EE0EB76">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本项目情况</w:t>
                  </w:r>
                </w:p>
              </w:tc>
            </w:tr>
            <w:tr w14:paraId="50C84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099" w:type="dxa"/>
                  <w:vMerge w:val="restart"/>
                  <w:tcBorders>
                    <w:top w:val="single" w:color="auto" w:sz="4" w:space="0"/>
                    <w:left w:val="nil"/>
                    <w:bottom w:val="single" w:color="auto" w:sz="12" w:space="0"/>
                    <w:right w:val="single" w:color="auto" w:sz="4" w:space="0"/>
                  </w:tcBorders>
                  <w:noWrap w:val="0"/>
                  <w:vAlign w:val="center"/>
                </w:tcPr>
                <w:p w14:paraId="793041C8">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江苏金坛经济开发区</w:t>
                  </w:r>
                </w:p>
              </w:tc>
              <w:tc>
                <w:tcPr>
                  <w:tcW w:w="567" w:type="dxa"/>
                  <w:vMerge w:val="restart"/>
                  <w:tcBorders>
                    <w:top w:val="single" w:color="auto" w:sz="4" w:space="0"/>
                    <w:left w:val="single" w:color="auto" w:sz="4" w:space="0"/>
                    <w:bottom w:val="single" w:color="auto" w:sz="12" w:space="0"/>
                    <w:right w:val="single" w:color="auto" w:sz="4" w:space="0"/>
                  </w:tcBorders>
                  <w:noWrap w:val="0"/>
                  <w:vAlign w:val="center"/>
                </w:tcPr>
                <w:p w14:paraId="243A2099">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园区</w:t>
                  </w:r>
                </w:p>
              </w:tc>
              <w:tc>
                <w:tcPr>
                  <w:tcW w:w="708" w:type="dxa"/>
                  <w:vMerge w:val="restart"/>
                  <w:tcBorders>
                    <w:top w:val="single" w:color="auto" w:sz="4" w:space="0"/>
                    <w:left w:val="single" w:color="auto" w:sz="4" w:space="0"/>
                    <w:bottom w:val="single" w:color="auto" w:sz="12" w:space="0"/>
                    <w:right w:val="single" w:color="auto" w:sz="4" w:space="0"/>
                  </w:tcBorders>
                  <w:noWrap w:val="0"/>
                  <w:vAlign w:val="center"/>
                </w:tcPr>
                <w:p w14:paraId="2FD402F0">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生态环境准入清单</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18E25FF">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空间布局</w:t>
                  </w:r>
                </w:p>
                <w:p w14:paraId="7DDCE6E0">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约束</w:t>
                  </w:r>
                </w:p>
              </w:tc>
              <w:tc>
                <w:tcPr>
                  <w:tcW w:w="5907" w:type="dxa"/>
                  <w:tcBorders>
                    <w:top w:val="single" w:color="auto" w:sz="4" w:space="0"/>
                    <w:left w:val="single" w:color="auto" w:sz="4" w:space="0"/>
                    <w:bottom w:val="single" w:color="auto" w:sz="4" w:space="0"/>
                    <w:right w:val="single" w:color="auto" w:sz="4" w:space="0"/>
                  </w:tcBorders>
                  <w:noWrap w:val="0"/>
                  <w:vAlign w:val="center"/>
                </w:tcPr>
                <w:p w14:paraId="7DCE3829">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 xml:space="preserve">（1）禁止引入纺织服装中废水排放量较大的纯印染和纯染整类企业（除金坛时尚织染集聚区）。 </w:t>
                  </w:r>
                </w:p>
                <w:p w14:paraId="1928C8C8">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 xml:space="preserve">（2）禁止引入机械电子、高端装备制造业中电镀、表面处理类企业，淘汰、限制类的如普通高速钢钻头、铣刀、锯片、丝锥、板牙项目、普通微小型球轴承制造项目；禁止生产国家禁止或公告停止销售的车辆；有害物质含量超标准的汽车。 </w:t>
                  </w:r>
                </w:p>
                <w:p w14:paraId="4143302D">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（3）禁止引入化工中与盐化工及下游产品生产不相关的化工项目。</w:t>
                  </w:r>
                </w:p>
                <w:p w14:paraId="3B04A399">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 xml:space="preserve">（4）禁止引入新材料产业中太阳能电池切片生产项目。 </w:t>
                  </w:r>
                </w:p>
                <w:p w14:paraId="25F1C062">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 xml:space="preserve">（5）禁止引入化工新材料中钢铁等传统型金属材料；水泥等传统型非金属材料。 </w:t>
                  </w:r>
                </w:p>
                <w:p w14:paraId="0622E21D">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（6）禁止引入新医药产业中不符合GMP要求的安瓿拉丝灌封机、劳动保护、安瓿灌装注射用无菌粉末、非易折安瓿等。</w:t>
                  </w:r>
                </w:p>
              </w:tc>
              <w:tc>
                <w:tcPr>
                  <w:tcW w:w="3408" w:type="dxa"/>
                  <w:tcBorders>
                    <w:top w:val="single" w:color="auto" w:sz="4" w:space="0"/>
                    <w:left w:val="single" w:color="auto" w:sz="4" w:space="0"/>
                    <w:bottom w:val="single" w:color="auto" w:sz="4" w:space="0"/>
                    <w:right w:val="nil"/>
                  </w:tcBorders>
                  <w:noWrap w:val="0"/>
                  <w:vAlign w:val="center"/>
                </w:tcPr>
                <w:p w14:paraId="1271C1F9">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eastAsia="zh-CN"/>
                    </w:rPr>
                    <w:t>从事</w:t>
                  </w:r>
                  <w:r>
                    <w:rPr>
                      <w:rFonts w:hint="eastAsia" w:ascii="Times New Roman" w:hAnsi="Times New Roman" w:eastAsia="仿宋" w:cs="Times New Roman"/>
                      <w:color w:val="auto"/>
                      <w:sz w:val="21"/>
                      <w:szCs w:val="21"/>
                      <w:highlight w:val="none"/>
                      <w:lang w:eastAsia="zh-CN"/>
                    </w:rPr>
                    <w:t>唇刷的生产</w:t>
                  </w:r>
                  <w:r>
                    <w:rPr>
                      <w:rFonts w:hint="default" w:ascii="Times New Roman" w:hAnsi="Times New Roman" w:eastAsia="仿宋" w:cs="Times New Roman"/>
                      <w:color w:val="auto"/>
                      <w:sz w:val="21"/>
                      <w:szCs w:val="21"/>
                      <w:highlight w:val="none"/>
                    </w:rPr>
                    <w:t>，不属于淘汰、限制类项目，不属于本区域禁止引入产业。</w:t>
                  </w:r>
                </w:p>
              </w:tc>
            </w:tr>
            <w:tr w14:paraId="236D8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Merge w:val="continue"/>
                  <w:tcBorders>
                    <w:top w:val="single" w:color="auto" w:sz="4" w:space="0"/>
                    <w:left w:val="nil"/>
                    <w:bottom w:val="single" w:color="auto" w:sz="12" w:space="0"/>
                    <w:right w:val="single" w:color="auto" w:sz="4" w:space="0"/>
                  </w:tcBorders>
                  <w:noWrap w:val="0"/>
                  <w:vAlign w:val="center"/>
                </w:tcPr>
                <w:p w14:paraId="3D169A52">
                  <w:pPr>
                    <w:widowControl/>
                    <w:jc w:val="left"/>
                    <w:rPr>
                      <w:rFonts w:hint="default" w:ascii="Times New Roman" w:hAnsi="Times New Roman" w:eastAsia="仿宋" w:cs="Times New Roman"/>
                      <w:color w:val="auto"/>
                      <w:szCs w:val="21"/>
                      <w:highlight w:val="none"/>
                    </w:rPr>
                  </w:pPr>
                </w:p>
              </w:tc>
              <w:tc>
                <w:tcPr>
                  <w:tcW w:w="0" w:type="auto"/>
                  <w:vMerge w:val="continue"/>
                  <w:tcBorders>
                    <w:top w:val="single" w:color="auto" w:sz="4" w:space="0"/>
                    <w:left w:val="single" w:color="auto" w:sz="4" w:space="0"/>
                    <w:bottom w:val="single" w:color="auto" w:sz="12" w:space="0"/>
                    <w:right w:val="single" w:color="auto" w:sz="4" w:space="0"/>
                  </w:tcBorders>
                  <w:noWrap w:val="0"/>
                  <w:vAlign w:val="center"/>
                </w:tcPr>
                <w:p w14:paraId="0D748889">
                  <w:pPr>
                    <w:widowControl/>
                    <w:jc w:val="left"/>
                    <w:rPr>
                      <w:rFonts w:hint="default" w:ascii="Times New Roman" w:hAnsi="Times New Roman" w:eastAsia="仿宋" w:cs="Times New Roman"/>
                      <w:color w:val="auto"/>
                      <w:szCs w:val="21"/>
                      <w:highlight w:val="none"/>
                    </w:rPr>
                  </w:pPr>
                </w:p>
              </w:tc>
              <w:tc>
                <w:tcPr>
                  <w:tcW w:w="0" w:type="auto"/>
                  <w:vMerge w:val="continue"/>
                  <w:tcBorders>
                    <w:top w:val="single" w:color="auto" w:sz="4" w:space="0"/>
                    <w:left w:val="single" w:color="auto" w:sz="4" w:space="0"/>
                    <w:bottom w:val="single" w:color="auto" w:sz="12" w:space="0"/>
                    <w:right w:val="single" w:color="auto" w:sz="4" w:space="0"/>
                  </w:tcBorders>
                  <w:noWrap w:val="0"/>
                  <w:vAlign w:val="center"/>
                </w:tcPr>
                <w:p w14:paraId="4AE5EB4A">
                  <w:pPr>
                    <w:widowControl/>
                    <w:jc w:val="left"/>
                    <w:rPr>
                      <w:rFonts w:hint="default" w:ascii="Times New Roman" w:hAnsi="Times New Roman" w:eastAsia="仿宋" w:cs="Times New Roman"/>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F04B4A5">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污染物排放管控</w:t>
                  </w:r>
                </w:p>
              </w:tc>
              <w:tc>
                <w:tcPr>
                  <w:tcW w:w="5907" w:type="dxa"/>
                  <w:tcBorders>
                    <w:top w:val="single" w:color="auto" w:sz="4" w:space="0"/>
                    <w:left w:val="single" w:color="auto" w:sz="4" w:space="0"/>
                    <w:bottom w:val="single" w:color="auto" w:sz="4" w:space="0"/>
                    <w:right w:val="single" w:color="auto" w:sz="4" w:space="0"/>
                  </w:tcBorders>
                  <w:noWrap w:val="0"/>
                  <w:vAlign w:val="center"/>
                </w:tcPr>
                <w:p w14:paraId="0DD75EC2">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（1）严格实施污染物总量控制制度，根据区域环境质量改善目标，采取有效措施减少主要污染物排放总量，确保区域环境质量持续改善。</w:t>
                  </w:r>
                </w:p>
                <w:p w14:paraId="727BF7EB">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（2）园区污染物排放总量不得突破环评报告及批复的总量。</w:t>
                  </w:r>
                </w:p>
              </w:tc>
              <w:tc>
                <w:tcPr>
                  <w:tcW w:w="3408" w:type="dxa"/>
                  <w:tcBorders>
                    <w:top w:val="single" w:color="auto" w:sz="4" w:space="0"/>
                    <w:left w:val="single" w:color="auto" w:sz="4" w:space="0"/>
                    <w:bottom w:val="single" w:color="auto" w:sz="4" w:space="0"/>
                    <w:right w:val="nil"/>
                  </w:tcBorders>
                  <w:noWrap w:val="0"/>
                  <w:vAlign w:val="center"/>
                </w:tcPr>
                <w:p w14:paraId="23D859BF">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本项目</w:t>
                  </w:r>
                  <w:r>
                    <w:rPr>
                      <w:rFonts w:hint="eastAsia" w:eastAsia="仿宋" w:cs="Times New Roman"/>
                      <w:color w:val="auto"/>
                      <w:szCs w:val="21"/>
                      <w:highlight w:val="none"/>
                      <w:lang w:val="en-US" w:eastAsia="zh-CN"/>
                    </w:rPr>
                    <w:t>无生产废水产生及排放，冷却水循环使用定期补充不外排，</w:t>
                  </w:r>
                  <w:r>
                    <w:rPr>
                      <w:rFonts w:hint="eastAsia" w:ascii="Times New Roman" w:hAnsi="Times New Roman" w:eastAsia="仿宋" w:cs="Times New Roman"/>
                      <w:color w:val="auto"/>
                      <w:szCs w:val="21"/>
                      <w:highlight w:val="none"/>
                      <w:lang w:val="en-US" w:eastAsia="zh-CN"/>
                    </w:rPr>
                    <w:t>仅</w:t>
                  </w:r>
                  <w:r>
                    <w:rPr>
                      <w:rFonts w:hint="default" w:ascii="Times New Roman" w:hAnsi="Times New Roman" w:eastAsia="仿宋" w:cs="Times New Roman"/>
                      <w:color w:val="auto"/>
                      <w:szCs w:val="21"/>
                      <w:highlight w:val="none"/>
                      <w:lang w:val="en-US" w:eastAsia="zh-CN"/>
                    </w:rPr>
                    <w:t>员工</w:t>
                  </w:r>
                  <w:r>
                    <w:rPr>
                      <w:rFonts w:hint="default" w:ascii="Times New Roman" w:hAnsi="Times New Roman" w:eastAsia="仿宋" w:cs="Times New Roman"/>
                      <w:color w:val="auto"/>
                      <w:szCs w:val="21"/>
                      <w:highlight w:val="none"/>
                    </w:rPr>
                    <w:t>生活污水接管排入常州金坛区第二污水处理有限公司集中处理</w:t>
                  </w:r>
                  <w:r>
                    <w:rPr>
                      <w:rFonts w:hint="eastAsia"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废</w:t>
                  </w:r>
                  <w:r>
                    <w:rPr>
                      <w:rFonts w:hint="eastAsia" w:eastAsia="仿宋" w:cs="Times New Roman"/>
                      <w:color w:val="auto"/>
                      <w:szCs w:val="21"/>
                      <w:highlight w:val="none"/>
                      <w:lang w:val="en-US" w:eastAsia="zh-CN"/>
                    </w:rPr>
                    <w:t>气</w:t>
                  </w:r>
                  <w:r>
                    <w:rPr>
                      <w:rFonts w:hint="default" w:ascii="Times New Roman" w:hAnsi="Times New Roman" w:eastAsia="仿宋" w:cs="Times New Roman"/>
                      <w:color w:val="auto"/>
                      <w:szCs w:val="21"/>
                      <w:highlight w:val="none"/>
                    </w:rPr>
                    <w:t>采取有效措施减少污染物排放总量。本项目严格实施污染物总量控制制度，符合污染物排放总量控制要求。</w:t>
                  </w:r>
                </w:p>
              </w:tc>
            </w:tr>
            <w:tr w14:paraId="2277B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Merge w:val="continue"/>
                  <w:tcBorders>
                    <w:top w:val="single" w:color="auto" w:sz="4" w:space="0"/>
                    <w:left w:val="nil"/>
                    <w:bottom w:val="single" w:color="auto" w:sz="12" w:space="0"/>
                    <w:right w:val="single" w:color="auto" w:sz="4" w:space="0"/>
                  </w:tcBorders>
                  <w:noWrap w:val="0"/>
                  <w:vAlign w:val="center"/>
                </w:tcPr>
                <w:p w14:paraId="79936896">
                  <w:pPr>
                    <w:widowControl/>
                    <w:jc w:val="left"/>
                    <w:rPr>
                      <w:rFonts w:hint="default" w:ascii="Times New Roman" w:hAnsi="Times New Roman" w:eastAsia="仿宋" w:cs="Times New Roman"/>
                      <w:color w:val="auto"/>
                      <w:szCs w:val="21"/>
                      <w:highlight w:val="none"/>
                    </w:rPr>
                  </w:pPr>
                </w:p>
              </w:tc>
              <w:tc>
                <w:tcPr>
                  <w:tcW w:w="0" w:type="auto"/>
                  <w:vMerge w:val="continue"/>
                  <w:tcBorders>
                    <w:top w:val="single" w:color="auto" w:sz="4" w:space="0"/>
                    <w:left w:val="single" w:color="auto" w:sz="4" w:space="0"/>
                    <w:bottom w:val="single" w:color="auto" w:sz="12" w:space="0"/>
                    <w:right w:val="single" w:color="auto" w:sz="4" w:space="0"/>
                  </w:tcBorders>
                  <w:noWrap w:val="0"/>
                  <w:vAlign w:val="center"/>
                </w:tcPr>
                <w:p w14:paraId="4E6C64A9">
                  <w:pPr>
                    <w:widowControl/>
                    <w:jc w:val="left"/>
                    <w:rPr>
                      <w:rFonts w:hint="default" w:ascii="Times New Roman" w:hAnsi="Times New Roman" w:eastAsia="仿宋" w:cs="Times New Roman"/>
                      <w:color w:val="auto"/>
                      <w:szCs w:val="21"/>
                      <w:highlight w:val="none"/>
                    </w:rPr>
                  </w:pPr>
                </w:p>
              </w:tc>
              <w:tc>
                <w:tcPr>
                  <w:tcW w:w="0" w:type="auto"/>
                  <w:vMerge w:val="continue"/>
                  <w:tcBorders>
                    <w:top w:val="single" w:color="auto" w:sz="4" w:space="0"/>
                    <w:left w:val="single" w:color="auto" w:sz="4" w:space="0"/>
                    <w:bottom w:val="single" w:color="auto" w:sz="12" w:space="0"/>
                    <w:right w:val="single" w:color="auto" w:sz="4" w:space="0"/>
                  </w:tcBorders>
                  <w:noWrap w:val="0"/>
                  <w:vAlign w:val="center"/>
                </w:tcPr>
                <w:p w14:paraId="6883ACB9">
                  <w:pPr>
                    <w:widowControl/>
                    <w:jc w:val="left"/>
                    <w:rPr>
                      <w:rFonts w:hint="default" w:ascii="Times New Roman" w:hAnsi="Times New Roman" w:eastAsia="仿宋" w:cs="Times New Roman"/>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A347F9E">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环境风险</w:t>
                  </w:r>
                </w:p>
                <w:p w14:paraId="16371155">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防控</w:t>
                  </w:r>
                </w:p>
              </w:tc>
              <w:tc>
                <w:tcPr>
                  <w:tcW w:w="5907" w:type="dxa"/>
                  <w:tcBorders>
                    <w:top w:val="single" w:color="auto" w:sz="4" w:space="0"/>
                    <w:left w:val="single" w:color="auto" w:sz="4" w:space="0"/>
                    <w:bottom w:val="single" w:color="auto" w:sz="4" w:space="0"/>
                    <w:right w:val="single" w:color="auto" w:sz="4" w:space="0"/>
                  </w:tcBorders>
                  <w:noWrap w:val="0"/>
                  <w:vAlign w:val="center"/>
                </w:tcPr>
                <w:p w14:paraId="3FE93344">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（1）园区建立环境应急体系，完善事故应急救援体系，加强应急物资装备储备，编制突发环境事件应急预案，定期开展演练。</w:t>
                  </w:r>
                </w:p>
                <w:p w14:paraId="272F8595">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（2）生产、使用、储存危险化学品或其他存在环境风险的企事业单位，应当制定风险防范措施，编制完善突发环境事件应急预案，防止发生环境污染事故。</w:t>
                  </w:r>
                </w:p>
                <w:p w14:paraId="26863910">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（3）加强环境影响跟踪监测，建立健全各环境要素监控体系，完善并落实园区日常环境监测与污染源监控计划。</w:t>
                  </w:r>
                </w:p>
              </w:tc>
              <w:tc>
                <w:tcPr>
                  <w:tcW w:w="3408" w:type="dxa"/>
                  <w:tcBorders>
                    <w:top w:val="single" w:color="auto" w:sz="4" w:space="0"/>
                    <w:left w:val="single" w:color="auto" w:sz="4" w:space="0"/>
                    <w:bottom w:val="single" w:color="auto" w:sz="4" w:space="0"/>
                    <w:right w:val="nil"/>
                  </w:tcBorders>
                  <w:noWrap w:val="0"/>
                  <w:vAlign w:val="center"/>
                </w:tcPr>
                <w:p w14:paraId="30577102">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项目需制定完善的风险防范措施，编制突发环境事件应急预案报相关部门备案。</w:t>
                  </w:r>
                </w:p>
              </w:tc>
            </w:tr>
            <w:tr w14:paraId="69880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0" w:type="auto"/>
                  <w:vMerge w:val="continue"/>
                  <w:tcBorders>
                    <w:top w:val="single" w:color="auto" w:sz="4" w:space="0"/>
                    <w:left w:val="nil"/>
                    <w:bottom w:val="single" w:color="auto" w:sz="12" w:space="0"/>
                    <w:right w:val="single" w:color="auto" w:sz="4" w:space="0"/>
                  </w:tcBorders>
                  <w:noWrap w:val="0"/>
                  <w:vAlign w:val="center"/>
                </w:tcPr>
                <w:p w14:paraId="4821C87D">
                  <w:pPr>
                    <w:widowControl/>
                    <w:jc w:val="left"/>
                    <w:rPr>
                      <w:rFonts w:hint="default" w:ascii="Times New Roman" w:hAnsi="Times New Roman" w:eastAsia="仿宋" w:cs="Times New Roman"/>
                      <w:color w:val="auto"/>
                      <w:szCs w:val="21"/>
                      <w:highlight w:val="none"/>
                    </w:rPr>
                  </w:pPr>
                </w:p>
              </w:tc>
              <w:tc>
                <w:tcPr>
                  <w:tcW w:w="0" w:type="auto"/>
                  <w:vMerge w:val="continue"/>
                  <w:tcBorders>
                    <w:top w:val="single" w:color="auto" w:sz="4" w:space="0"/>
                    <w:left w:val="single" w:color="auto" w:sz="4" w:space="0"/>
                    <w:bottom w:val="single" w:color="auto" w:sz="12" w:space="0"/>
                    <w:right w:val="single" w:color="auto" w:sz="4" w:space="0"/>
                  </w:tcBorders>
                  <w:noWrap w:val="0"/>
                  <w:vAlign w:val="center"/>
                </w:tcPr>
                <w:p w14:paraId="5BD10CED">
                  <w:pPr>
                    <w:widowControl/>
                    <w:jc w:val="left"/>
                    <w:rPr>
                      <w:rFonts w:hint="default" w:ascii="Times New Roman" w:hAnsi="Times New Roman" w:eastAsia="仿宋" w:cs="Times New Roman"/>
                      <w:color w:val="auto"/>
                      <w:szCs w:val="21"/>
                      <w:highlight w:val="none"/>
                    </w:rPr>
                  </w:pPr>
                </w:p>
              </w:tc>
              <w:tc>
                <w:tcPr>
                  <w:tcW w:w="0" w:type="auto"/>
                  <w:vMerge w:val="continue"/>
                  <w:tcBorders>
                    <w:top w:val="single" w:color="auto" w:sz="4" w:space="0"/>
                    <w:left w:val="single" w:color="auto" w:sz="4" w:space="0"/>
                    <w:bottom w:val="single" w:color="auto" w:sz="12" w:space="0"/>
                    <w:right w:val="single" w:color="auto" w:sz="4" w:space="0"/>
                  </w:tcBorders>
                  <w:noWrap w:val="0"/>
                  <w:vAlign w:val="center"/>
                </w:tcPr>
                <w:p w14:paraId="3C7E7436">
                  <w:pPr>
                    <w:widowControl/>
                    <w:jc w:val="left"/>
                    <w:rPr>
                      <w:rFonts w:hint="default" w:ascii="Times New Roman" w:hAnsi="Times New Roman" w:eastAsia="仿宋" w:cs="Times New Roman"/>
                      <w:color w:val="auto"/>
                      <w:szCs w:val="21"/>
                      <w:highlight w:val="none"/>
                    </w:rPr>
                  </w:pPr>
                </w:p>
              </w:tc>
              <w:tc>
                <w:tcPr>
                  <w:tcW w:w="1276" w:type="dxa"/>
                  <w:tcBorders>
                    <w:top w:val="single" w:color="auto" w:sz="4" w:space="0"/>
                    <w:left w:val="single" w:color="auto" w:sz="4" w:space="0"/>
                    <w:bottom w:val="single" w:color="auto" w:sz="12" w:space="0"/>
                    <w:right w:val="single" w:color="auto" w:sz="4" w:space="0"/>
                  </w:tcBorders>
                  <w:noWrap w:val="0"/>
                  <w:vAlign w:val="center"/>
                </w:tcPr>
                <w:p w14:paraId="547BEA65">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资源开发效率要求</w:t>
                  </w:r>
                </w:p>
              </w:tc>
              <w:tc>
                <w:tcPr>
                  <w:tcW w:w="5907" w:type="dxa"/>
                  <w:tcBorders>
                    <w:top w:val="single" w:color="auto" w:sz="4" w:space="0"/>
                    <w:left w:val="single" w:color="auto" w:sz="4" w:space="0"/>
                    <w:bottom w:val="single" w:color="auto" w:sz="12" w:space="0"/>
                    <w:right w:val="single" w:color="auto" w:sz="4" w:space="0"/>
                  </w:tcBorders>
                  <w:noWrap w:val="0"/>
                  <w:vAlign w:val="center"/>
                </w:tcPr>
                <w:p w14:paraId="5AE661DB">
                  <w:pPr>
                    <w:adjustRightInd w:val="0"/>
                    <w:snapToGrid w:val="0"/>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（1）大力倡导使用清洁能源。</w:t>
                  </w:r>
                </w:p>
                <w:p w14:paraId="12C33B4A">
                  <w:pPr>
                    <w:adjustRightInd w:val="0"/>
                    <w:snapToGrid w:val="0"/>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（2）提升废水资源化技术，提高水资源回用率。</w:t>
                  </w:r>
                </w:p>
                <w:p w14:paraId="5EC850E9">
                  <w:pPr>
                    <w:adjustRightInd w:val="0"/>
                    <w:snapToGrid w:val="0"/>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（3）严禁自建燃煤设施。</w:t>
                  </w:r>
                </w:p>
              </w:tc>
              <w:tc>
                <w:tcPr>
                  <w:tcW w:w="3408" w:type="dxa"/>
                  <w:tcBorders>
                    <w:top w:val="single" w:color="auto" w:sz="4" w:space="0"/>
                    <w:left w:val="single" w:color="auto" w:sz="4" w:space="0"/>
                    <w:bottom w:val="single" w:color="auto" w:sz="12" w:space="0"/>
                    <w:right w:val="nil"/>
                  </w:tcBorders>
                  <w:noWrap w:val="0"/>
                  <w:vAlign w:val="center"/>
                </w:tcPr>
                <w:p w14:paraId="0416921A">
                  <w:pPr>
                    <w:adjustRightInd w:val="0"/>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本项目不使用高污染的燃料和设施。</w:t>
                  </w:r>
                </w:p>
              </w:tc>
            </w:tr>
          </w:tbl>
          <w:p w14:paraId="5FADF968">
            <w:pPr>
              <w:adjustRightInd w:val="0"/>
              <w:snapToGrid w:val="0"/>
              <w:spacing w:before="120" w:beforeLines="50"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综上，本项目符合“三线一单”（即生态保护红线、环境质量底线、资源利用上线、环境准入负面清单）相关要求，且满足《江苏省2023年度生态环境分区管控动态更新成果》、《常州市生态环境分区管控动态更新成果》（2023年版）相关要求。</w:t>
            </w:r>
          </w:p>
          <w:p w14:paraId="701BDB8E">
            <w:pPr>
              <w:spacing w:line="360" w:lineRule="auto"/>
              <w:ind w:firstLine="482" w:firstLineChars="200"/>
              <w:jc w:val="left"/>
              <w:rPr>
                <w:rFonts w:hint="default" w:ascii="Times New Roman" w:hAnsi="Times New Roman" w:eastAsia="仿宋" w:cs="Times New Roman"/>
                <w:b/>
                <w:color w:val="auto"/>
                <w:kern w:val="0"/>
                <w:sz w:val="24"/>
                <w:highlight w:val="none"/>
              </w:rPr>
            </w:pPr>
            <w:r>
              <w:rPr>
                <w:rFonts w:hint="default" w:ascii="Times New Roman" w:hAnsi="Times New Roman" w:eastAsia="仿宋" w:cs="Times New Roman"/>
                <w:b/>
                <w:color w:val="auto"/>
                <w:kern w:val="0"/>
                <w:sz w:val="24"/>
                <w:highlight w:val="none"/>
              </w:rPr>
              <w:t>3、与相关环保法律法规相符性分析</w:t>
            </w:r>
          </w:p>
          <w:p w14:paraId="798F827C">
            <w:pPr>
              <w:spacing w:line="360" w:lineRule="auto"/>
              <w:ind w:firstLine="480" w:firstLineChars="200"/>
              <w:jc w:val="left"/>
              <w:rPr>
                <w:rFonts w:hint="default" w:ascii="Times New Roman" w:hAnsi="Times New Roman" w:eastAsia="仿宋" w:cs="Times New Roman"/>
                <w:b/>
                <w:color w:val="auto"/>
                <w:sz w:val="24"/>
                <w:highlight w:val="none"/>
              </w:rPr>
            </w:pPr>
            <w:r>
              <w:rPr>
                <w:rFonts w:hint="default" w:ascii="Times New Roman" w:hAnsi="Times New Roman" w:eastAsia="仿宋" w:cs="Times New Roman"/>
                <w:color w:val="auto"/>
                <w:kern w:val="0"/>
                <w:sz w:val="24"/>
                <w:highlight w:val="none"/>
              </w:rPr>
              <w:t>本项目与相关</w:t>
            </w:r>
            <w:r>
              <w:rPr>
                <w:rFonts w:hint="default" w:ascii="Times New Roman" w:hAnsi="Times New Roman" w:eastAsia="仿宋" w:cs="Times New Roman"/>
                <w:color w:val="auto"/>
                <w:kern w:val="0"/>
                <w:sz w:val="24"/>
                <w:highlight w:val="none"/>
                <w:lang w:val="en-US" w:eastAsia="zh-CN"/>
              </w:rPr>
              <w:t>环保</w:t>
            </w:r>
            <w:r>
              <w:rPr>
                <w:rFonts w:hint="default" w:ascii="Times New Roman" w:hAnsi="Times New Roman" w:eastAsia="仿宋" w:cs="Times New Roman"/>
                <w:color w:val="auto"/>
                <w:kern w:val="0"/>
                <w:sz w:val="24"/>
                <w:highlight w:val="none"/>
              </w:rPr>
              <w:t>法律法规相符性分析见下表。</w:t>
            </w:r>
          </w:p>
          <w:p w14:paraId="7B2548D2">
            <w:pPr>
              <w:adjustRightInd w:val="0"/>
              <w:snapToGrid w:val="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表1-</w:t>
            </w:r>
            <w:r>
              <w:rPr>
                <w:rFonts w:hint="eastAsia" w:eastAsia="仿宋" w:cs="Times New Roman"/>
                <w:b/>
                <w:color w:val="auto"/>
                <w:sz w:val="24"/>
                <w:highlight w:val="none"/>
                <w:lang w:val="en-US" w:eastAsia="zh-CN"/>
              </w:rPr>
              <w:t>9</w:t>
            </w:r>
            <w:r>
              <w:rPr>
                <w:rFonts w:hint="default" w:ascii="Times New Roman" w:hAnsi="Times New Roman" w:eastAsia="仿宋" w:cs="Times New Roman"/>
                <w:b/>
                <w:color w:val="auto"/>
                <w:sz w:val="24"/>
                <w:highlight w:val="none"/>
              </w:rPr>
              <w:t xml:space="preserve">  </w:t>
            </w:r>
            <w:r>
              <w:rPr>
                <w:rFonts w:hint="default" w:ascii="Times New Roman" w:hAnsi="Times New Roman" w:eastAsia="仿宋" w:cs="Times New Roman"/>
                <w:b/>
                <w:color w:val="auto"/>
                <w:sz w:val="24"/>
                <w:highlight w:val="none"/>
                <w:lang w:val="en-US" w:eastAsia="zh-CN"/>
              </w:rPr>
              <w:t>本</w:t>
            </w:r>
            <w:r>
              <w:rPr>
                <w:rFonts w:hint="default" w:ascii="Times New Roman" w:hAnsi="Times New Roman" w:eastAsia="仿宋" w:cs="Times New Roman"/>
                <w:b/>
                <w:color w:val="auto"/>
                <w:sz w:val="24"/>
                <w:highlight w:val="none"/>
              </w:rPr>
              <w:t>项目与相关环保法律法规相符性分析</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2104"/>
              <w:gridCol w:w="6972"/>
              <w:gridCol w:w="2535"/>
              <w:gridCol w:w="870"/>
            </w:tblGrid>
            <w:tr w14:paraId="47894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472DAB27">
                  <w:pPr>
                    <w:adjustRightInd w:val="0"/>
                    <w:snapToGrid w:val="0"/>
                    <w:ind w:left="-105" w:leftChars="-50" w:right="-105" w:rightChars="-5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序号</w:t>
                  </w:r>
                </w:p>
              </w:tc>
              <w:tc>
                <w:tcPr>
                  <w:tcW w:w="810" w:type="pct"/>
                  <w:noWrap w:val="0"/>
                  <w:vAlign w:val="center"/>
                </w:tcPr>
                <w:p w14:paraId="4A746396">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文件名称</w:t>
                  </w:r>
                </w:p>
              </w:tc>
              <w:tc>
                <w:tcPr>
                  <w:tcW w:w="2684" w:type="pct"/>
                  <w:noWrap w:val="0"/>
                  <w:vAlign w:val="center"/>
                </w:tcPr>
                <w:p w14:paraId="54805254">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文件要求</w:t>
                  </w:r>
                </w:p>
              </w:tc>
              <w:tc>
                <w:tcPr>
                  <w:tcW w:w="976" w:type="pct"/>
                  <w:noWrap w:val="0"/>
                  <w:vAlign w:val="center"/>
                </w:tcPr>
                <w:p w14:paraId="718B05A4">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本项目情况</w:t>
                  </w:r>
                </w:p>
              </w:tc>
              <w:tc>
                <w:tcPr>
                  <w:tcW w:w="335" w:type="pct"/>
                  <w:noWrap w:val="0"/>
                  <w:vAlign w:val="center"/>
                </w:tcPr>
                <w:p w14:paraId="255604AC">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是否</w:t>
                  </w:r>
                </w:p>
                <w:p w14:paraId="221A4BAC">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符合</w:t>
                  </w:r>
                </w:p>
              </w:tc>
            </w:tr>
            <w:tr w14:paraId="0120B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0AC314C8">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w:t>
                  </w:r>
                </w:p>
              </w:tc>
              <w:tc>
                <w:tcPr>
                  <w:tcW w:w="810" w:type="pct"/>
                  <w:noWrap w:val="0"/>
                  <w:vAlign w:val="center"/>
                </w:tcPr>
                <w:p w14:paraId="204B7F82">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《太湖流域管理条例》（国务院令第604号）</w:t>
                  </w:r>
                </w:p>
              </w:tc>
              <w:tc>
                <w:tcPr>
                  <w:tcW w:w="2684" w:type="pct"/>
                  <w:noWrap w:val="0"/>
                  <w:vAlign w:val="center"/>
                </w:tcPr>
                <w:p w14:paraId="53A2A9BC">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第二十八条  排污单位排放水污染物，不得超过经核定的水污染物排放总量，并应当按照规定设置便于检查、采样的规范化排污口，悬挂标志牌；不得私设暗管或者采取其他规避监管的方式排放水污染物。</w:t>
                  </w:r>
                </w:p>
                <w:p w14:paraId="2987F973">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禁止在太湖流域设置不符合国家产业政策和水环境综合治理要求的造纸、制革、酒精、淀粉、冶金、酿造、印染、电镀等排放水污染物的生产项目，现有的生产项目不能实现达标排放的，应当依法关闭。”</w:t>
                  </w:r>
                </w:p>
                <w:p w14:paraId="52FA3612">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“第二十九条 新孟河、望虞河以外的其他主要入太湖河道，自河口1万米上溯至5万米河道岸线内及其岸线两侧各1000米范围内，禁止下列行为：</w:t>
                  </w:r>
                </w:p>
                <w:p w14:paraId="0E77D936">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（一）新建、扩建化工、医药生产项目；</w:t>
                  </w:r>
                </w:p>
                <w:p w14:paraId="4D953C49">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（二）新建、扩建污水集中处理设施排污口以外的排污口；</w:t>
                  </w:r>
                </w:p>
                <w:p w14:paraId="60F046CA">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（三）扩大水产养殖规模。</w:t>
                  </w:r>
                </w:p>
              </w:tc>
              <w:tc>
                <w:tcPr>
                  <w:tcW w:w="976" w:type="pct"/>
                  <w:vMerge w:val="restart"/>
                  <w:noWrap w:val="0"/>
                  <w:vAlign w:val="center"/>
                </w:tcPr>
                <w:p w14:paraId="6635BABB">
                  <w:pPr>
                    <w:adjustRightInd w:val="0"/>
                    <w:snapToGrid w:val="0"/>
                    <w:jc w:val="both"/>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本项目位于太湖流域三级保护区内，</w:t>
                  </w:r>
                  <w:r>
                    <w:rPr>
                      <w:rFonts w:hint="default" w:ascii="Times New Roman" w:hAnsi="Times New Roman" w:eastAsia="仿宋" w:cs="Times New Roman"/>
                      <w:color w:val="auto"/>
                      <w:szCs w:val="21"/>
                      <w:highlight w:val="none"/>
                      <w:lang w:eastAsia="zh-CN"/>
                    </w:rPr>
                    <w:t>从事</w:t>
                  </w:r>
                  <w:r>
                    <w:rPr>
                      <w:rFonts w:hint="eastAsia" w:ascii="Times New Roman" w:hAnsi="Times New Roman" w:eastAsia="仿宋" w:cs="Times New Roman"/>
                      <w:color w:val="auto"/>
                      <w:szCs w:val="21"/>
                      <w:highlight w:val="none"/>
                      <w:lang w:eastAsia="zh-CN"/>
                    </w:rPr>
                    <w:t>唇刷的生产</w:t>
                  </w:r>
                  <w:r>
                    <w:rPr>
                      <w:rFonts w:hint="default" w:ascii="Times New Roman" w:hAnsi="Times New Roman" w:eastAsia="仿宋" w:cs="Times New Roman"/>
                      <w:color w:val="auto"/>
                      <w:szCs w:val="21"/>
                      <w:highlight w:val="none"/>
                    </w:rPr>
                    <w:t>，不在该条例规定的禁止建设项目之列，且不处于</w:t>
                  </w:r>
                  <w:r>
                    <w:rPr>
                      <w:rFonts w:hint="eastAsia" w:ascii="Times New Roman" w:hAnsi="Times New Roman" w:eastAsia="仿宋" w:cs="Times New Roman"/>
                      <w:color w:val="auto"/>
                      <w:szCs w:val="21"/>
                      <w:highlight w:val="none"/>
                      <w:lang w:val="en-US" w:eastAsia="zh-CN"/>
                    </w:rPr>
                    <w:t>入</w:t>
                  </w:r>
                  <w:r>
                    <w:rPr>
                      <w:rFonts w:hint="default" w:ascii="Times New Roman" w:hAnsi="Times New Roman" w:eastAsia="仿宋" w:cs="Times New Roman"/>
                      <w:color w:val="auto"/>
                      <w:szCs w:val="21"/>
                      <w:highlight w:val="none"/>
                    </w:rPr>
                    <w:t>太湖河道岸线内及两侧1000米范围内。本项目</w:t>
                  </w:r>
                  <w:r>
                    <w:rPr>
                      <w:rFonts w:hint="default" w:ascii="Times New Roman" w:hAnsi="Times New Roman" w:eastAsia="仿宋" w:cs="Times New Roman"/>
                      <w:color w:val="auto"/>
                      <w:szCs w:val="21"/>
                      <w:highlight w:val="none"/>
                      <w:lang w:val="en-US" w:eastAsia="zh-CN"/>
                    </w:rPr>
                    <w:t>无生产废水外排，</w:t>
                  </w:r>
                  <w:r>
                    <w:rPr>
                      <w:rFonts w:hint="eastAsia" w:ascii="Times New Roman" w:hAnsi="Times New Roman" w:eastAsia="仿宋" w:cs="Times New Roman"/>
                      <w:color w:val="auto"/>
                      <w:szCs w:val="21"/>
                      <w:highlight w:val="none"/>
                      <w:lang w:val="en-US" w:eastAsia="zh-CN"/>
                    </w:rPr>
                    <w:t>冷却水循环使用定期补充不外排，仅</w:t>
                  </w:r>
                  <w:r>
                    <w:rPr>
                      <w:rFonts w:hint="default" w:ascii="Times New Roman" w:hAnsi="Times New Roman" w:eastAsia="仿宋" w:cs="Times New Roman"/>
                      <w:color w:val="auto"/>
                      <w:szCs w:val="21"/>
                      <w:highlight w:val="none"/>
                      <w:lang w:val="en-US" w:eastAsia="zh-CN"/>
                    </w:rPr>
                    <w:t>员工</w:t>
                  </w:r>
                  <w:r>
                    <w:rPr>
                      <w:rFonts w:hint="default" w:ascii="Times New Roman" w:hAnsi="Times New Roman" w:eastAsia="仿宋" w:cs="Times New Roman"/>
                      <w:color w:val="auto"/>
                      <w:szCs w:val="21"/>
                      <w:highlight w:val="none"/>
                    </w:rPr>
                    <w:t>生活污水接管排入常州金坛区第二污水处理有限公司集中处理，不直接排入附近水体</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各类废液全部作为危废委托有资质单位处置。</w:t>
                  </w:r>
                </w:p>
              </w:tc>
              <w:tc>
                <w:tcPr>
                  <w:tcW w:w="335" w:type="pct"/>
                  <w:noWrap w:val="0"/>
                  <w:vAlign w:val="center"/>
                </w:tcPr>
                <w:p w14:paraId="143C010A">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48E25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6F79B4D5">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w:t>
                  </w:r>
                </w:p>
              </w:tc>
              <w:tc>
                <w:tcPr>
                  <w:tcW w:w="810" w:type="pct"/>
                  <w:noWrap w:val="0"/>
                  <w:vAlign w:val="center"/>
                </w:tcPr>
                <w:p w14:paraId="17882646">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《江苏省太湖水污染防治条例》（2021年修正）</w:t>
                  </w:r>
                </w:p>
              </w:tc>
              <w:tc>
                <w:tcPr>
                  <w:tcW w:w="2684" w:type="pct"/>
                  <w:noWrap w:val="0"/>
                  <w:vAlign w:val="center"/>
                </w:tcPr>
                <w:p w14:paraId="01A4F406">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第四十三条  太湖流域一、二、三级保护区禁止下列行为：</w:t>
                  </w:r>
                </w:p>
                <w:p w14:paraId="2CF8608C">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①新建、改建、扩建化学制浆造纸、制革、酿造、染料、印染、电镀以及其他排放含磷、氮等污染物的企业和项目，城镇污水集中处理等环境基础设施项目和第四十六条规定的情形除外；</w:t>
                  </w:r>
                </w:p>
                <w:p w14:paraId="0B4B176C">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②销售、使用含磷洗涤用品；</w:t>
                  </w:r>
                </w:p>
                <w:p w14:paraId="2164AF4D">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③向水体排放或者倾倒油类、酸液、碱液、剧毒废渣废液、含放射性废渣废液、含病原体污水、工业废渣以及其他废弃物；</w:t>
                  </w:r>
                </w:p>
                <w:p w14:paraId="6E9DE762">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④在水体清洗装贮过油类或者有毒有害污染物的车辆、船舶和容器等；</w:t>
                  </w:r>
                </w:p>
                <w:p w14:paraId="7F87C3F2">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⑤使用农药等有毒物毒杀水生生物；</w:t>
                  </w:r>
                </w:p>
                <w:p w14:paraId="430EE293">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⑥向水体直接排放人畜粪便、倾倒垃圾；</w:t>
                  </w:r>
                </w:p>
                <w:p w14:paraId="1DF680B0">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⑦围湖造地；</w:t>
                  </w:r>
                </w:p>
                <w:p w14:paraId="66374C23">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⑧违法开山采石，或者进行破坏林木、植被、水生生物的活动；</w:t>
                  </w:r>
                </w:p>
                <w:p w14:paraId="5191F423">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⑨法律、法规禁止的其他行为。</w:t>
                  </w:r>
                </w:p>
              </w:tc>
              <w:tc>
                <w:tcPr>
                  <w:tcW w:w="976" w:type="pct"/>
                  <w:vMerge w:val="continue"/>
                  <w:noWrap w:val="0"/>
                  <w:vAlign w:val="center"/>
                </w:tcPr>
                <w:p w14:paraId="628FE954">
                  <w:pPr>
                    <w:adjustRightInd w:val="0"/>
                    <w:snapToGrid w:val="0"/>
                    <w:jc w:val="both"/>
                    <w:rPr>
                      <w:rFonts w:hint="default" w:ascii="Times New Roman" w:hAnsi="Times New Roman" w:eastAsia="仿宋" w:cs="Times New Roman"/>
                      <w:color w:val="auto"/>
                      <w:szCs w:val="21"/>
                      <w:highlight w:val="none"/>
                    </w:rPr>
                  </w:pPr>
                </w:p>
              </w:tc>
              <w:tc>
                <w:tcPr>
                  <w:tcW w:w="335" w:type="pct"/>
                  <w:noWrap w:val="0"/>
                  <w:vAlign w:val="center"/>
                </w:tcPr>
                <w:p w14:paraId="6BA45176">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0D176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464415EB">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w:t>
                  </w:r>
                </w:p>
              </w:tc>
              <w:tc>
                <w:tcPr>
                  <w:tcW w:w="810" w:type="pct"/>
                  <w:noWrap w:val="0"/>
                  <w:vAlign w:val="center"/>
                </w:tcPr>
                <w:p w14:paraId="34EAB052">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《中华人民共和国大气污染防治法》（2018年修正）</w:t>
                  </w:r>
                </w:p>
              </w:tc>
              <w:tc>
                <w:tcPr>
                  <w:tcW w:w="2684" w:type="pct"/>
                  <w:noWrap w:val="0"/>
                  <w:vAlign w:val="center"/>
                </w:tcPr>
                <w:p w14:paraId="2DD4071C">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第四十三条  钢铁、建材、有色金属、石油、化工等企业生产过程中排放粉尘、硫化物和氮氧化物的，应当采用清洁生产工艺，配套建设除尘、脱硫、脱硝等装置，或者采取技术改造等其他控制大气污染物排放的措施。</w:t>
                  </w:r>
                </w:p>
                <w:p w14:paraId="2686C5C8">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第四十五条  产生含挥发性有机物废气的生产和服务活动，应当在密闭空间或者设备中进行，并按照规定安装、使用污染防治设施；无法密闭的，应当采取措施减少废气排放。</w:t>
                  </w:r>
                </w:p>
              </w:tc>
              <w:tc>
                <w:tcPr>
                  <w:tcW w:w="976" w:type="pct"/>
                  <w:vMerge w:val="restart"/>
                  <w:noWrap w:val="0"/>
                  <w:vAlign w:val="center"/>
                </w:tcPr>
                <w:p w14:paraId="0EE3B9E2">
                  <w:pPr>
                    <w:adjustRightInd w:val="0"/>
                    <w:snapToGrid w:val="0"/>
                    <w:jc w:val="both"/>
                    <w:rPr>
                      <w:rFonts w:hint="default" w:ascii="Times New Roman" w:hAnsi="Times New Roman" w:eastAsia="仿宋" w:cs="Times New Roman"/>
                      <w:color w:val="auto"/>
                      <w:kern w:val="0"/>
                      <w:szCs w:val="21"/>
                      <w:highlight w:val="none"/>
                    </w:rPr>
                  </w:pPr>
                  <w:r>
                    <w:rPr>
                      <w:rFonts w:hint="eastAsia" w:eastAsia="仿宋" w:cs="Times New Roman"/>
                      <w:color w:val="0000FF"/>
                      <w:kern w:val="0"/>
                      <w:szCs w:val="21"/>
                      <w:highlight w:val="none"/>
                      <w:lang w:eastAsia="zh-CN"/>
                    </w:rPr>
                    <w:t>本项目</w:t>
                  </w:r>
                  <w:r>
                    <w:rPr>
                      <w:rFonts w:hint="eastAsia" w:ascii="Times New Roman" w:hAnsi="Times New Roman" w:eastAsia="仿宋" w:cs="Times New Roman"/>
                      <w:color w:val="0000FF"/>
                      <w:kern w:val="0"/>
                      <w:szCs w:val="21"/>
                      <w:highlight w:val="none"/>
                      <w:lang w:val="en-US" w:eastAsia="zh-CN"/>
                    </w:rPr>
                    <w:t>注塑、上胶、烘干、固化产生的废气</w:t>
                  </w:r>
                  <w:r>
                    <w:rPr>
                      <w:rFonts w:hint="eastAsia" w:eastAsia="仿宋" w:cs="Times New Roman"/>
                      <w:color w:val="0000FF"/>
                      <w:kern w:val="0"/>
                      <w:szCs w:val="21"/>
                      <w:highlight w:val="none"/>
                      <w:lang w:val="en-US" w:eastAsia="zh-CN"/>
                    </w:rPr>
                    <w:t>收集后</w:t>
                  </w:r>
                  <w:r>
                    <w:rPr>
                      <w:rFonts w:hint="eastAsia" w:ascii="Times New Roman" w:hAnsi="Times New Roman" w:eastAsia="仿宋" w:cs="Times New Roman"/>
                      <w:color w:val="0000FF"/>
                      <w:kern w:val="0"/>
                      <w:szCs w:val="21"/>
                      <w:highlight w:val="none"/>
                      <w:lang w:val="en-US" w:eastAsia="zh-CN"/>
                    </w:rPr>
                    <w:t>通过“两级活性炭吸附装置”处理</w:t>
                  </w:r>
                  <w:r>
                    <w:rPr>
                      <w:rFonts w:hint="default" w:ascii="Times New Roman" w:hAnsi="Times New Roman" w:eastAsia="仿宋" w:cs="Times New Roman"/>
                      <w:color w:val="0000FF"/>
                      <w:kern w:val="0"/>
                      <w:szCs w:val="21"/>
                      <w:highlight w:val="none"/>
                    </w:rPr>
                    <w:t>，</w:t>
                  </w:r>
                  <w:r>
                    <w:rPr>
                      <w:rFonts w:hint="eastAsia" w:ascii="Times New Roman" w:hAnsi="Times New Roman" w:eastAsia="仿宋" w:cs="Times New Roman"/>
                      <w:color w:val="0000FF"/>
                      <w:kern w:val="0"/>
                      <w:szCs w:val="21"/>
                      <w:highlight w:val="none"/>
                      <w:lang w:val="en-US" w:eastAsia="zh-CN"/>
                    </w:rPr>
                    <w:t>植绒产生的废</w:t>
                  </w:r>
                  <w:r>
                    <w:rPr>
                      <w:rFonts w:hint="eastAsia" w:eastAsia="仿宋" w:cs="Times New Roman"/>
                      <w:color w:val="0000FF"/>
                      <w:kern w:val="0"/>
                      <w:szCs w:val="21"/>
                      <w:highlight w:val="none"/>
                      <w:lang w:val="en-US" w:eastAsia="zh-CN"/>
                    </w:rPr>
                    <w:t>气</w:t>
                  </w:r>
                  <w:r>
                    <w:rPr>
                      <w:rFonts w:hint="default" w:ascii="Times New Roman" w:hAnsi="Times New Roman" w:eastAsia="仿宋" w:cs="Times New Roman"/>
                      <w:color w:val="0000FF"/>
                      <w:kern w:val="0"/>
                      <w:szCs w:val="21"/>
                      <w:highlight w:val="none"/>
                    </w:rPr>
                    <w:t>收集后</w:t>
                  </w:r>
                  <w:r>
                    <w:rPr>
                      <w:rFonts w:hint="eastAsia" w:ascii="Times New Roman" w:hAnsi="Times New Roman" w:eastAsia="仿宋" w:cs="Times New Roman"/>
                      <w:color w:val="0000FF"/>
                      <w:kern w:val="0"/>
                      <w:szCs w:val="21"/>
                      <w:highlight w:val="none"/>
                      <w:lang w:val="en-US" w:eastAsia="zh-CN"/>
                    </w:rPr>
                    <w:t>通过</w:t>
                  </w:r>
                  <w:r>
                    <w:rPr>
                      <w:rFonts w:hint="default" w:ascii="Times New Roman" w:hAnsi="Times New Roman" w:eastAsia="仿宋" w:cs="Times New Roman"/>
                      <w:color w:val="0000FF"/>
                      <w:kern w:val="0"/>
                      <w:szCs w:val="21"/>
                      <w:highlight w:val="none"/>
                    </w:rPr>
                    <w:t>“</w:t>
                  </w:r>
                  <w:r>
                    <w:rPr>
                      <w:rFonts w:hint="eastAsia" w:ascii="Times New Roman" w:hAnsi="Times New Roman" w:eastAsia="仿宋" w:cs="Times New Roman"/>
                      <w:color w:val="0000FF"/>
                      <w:kern w:val="0"/>
                      <w:szCs w:val="21"/>
                      <w:highlight w:val="none"/>
                      <w:lang w:val="en-US" w:eastAsia="zh-CN"/>
                    </w:rPr>
                    <w:t>布袋除尘装置</w:t>
                  </w:r>
                  <w:r>
                    <w:rPr>
                      <w:rFonts w:hint="default" w:ascii="Times New Roman" w:hAnsi="Times New Roman" w:eastAsia="仿宋" w:cs="Times New Roman"/>
                      <w:color w:val="0000FF"/>
                      <w:kern w:val="0"/>
                      <w:szCs w:val="21"/>
                      <w:highlight w:val="none"/>
                    </w:rPr>
                    <w:t>”处理</w:t>
                  </w:r>
                  <w:r>
                    <w:rPr>
                      <w:rFonts w:hint="eastAsia" w:eastAsia="仿宋" w:cs="Times New Roman"/>
                      <w:color w:val="0000FF"/>
                      <w:kern w:val="0"/>
                      <w:szCs w:val="21"/>
                      <w:highlight w:val="none"/>
                      <w:lang w:eastAsia="zh-CN"/>
                    </w:rPr>
                    <w:t>，</w:t>
                  </w:r>
                  <w:r>
                    <w:rPr>
                      <w:rFonts w:hint="eastAsia" w:ascii="Times New Roman" w:hAnsi="Times New Roman" w:eastAsia="仿宋" w:cs="Times New Roman"/>
                      <w:color w:val="0000FF"/>
                      <w:kern w:val="0"/>
                      <w:szCs w:val="21"/>
                      <w:highlight w:val="none"/>
                      <w:lang w:val="en-US" w:eastAsia="zh-CN"/>
                    </w:rPr>
                    <w:t>筛毛产生的废</w:t>
                  </w:r>
                  <w:r>
                    <w:rPr>
                      <w:rFonts w:hint="eastAsia" w:eastAsia="仿宋" w:cs="Times New Roman"/>
                      <w:color w:val="0000FF"/>
                      <w:kern w:val="0"/>
                      <w:szCs w:val="21"/>
                      <w:highlight w:val="none"/>
                      <w:lang w:val="en-US" w:eastAsia="zh-CN"/>
                    </w:rPr>
                    <w:t>气</w:t>
                  </w:r>
                  <w:r>
                    <w:rPr>
                      <w:rFonts w:hint="default" w:ascii="Times New Roman" w:hAnsi="Times New Roman" w:eastAsia="仿宋" w:cs="Times New Roman"/>
                      <w:color w:val="0000FF"/>
                      <w:kern w:val="0"/>
                      <w:szCs w:val="21"/>
                      <w:highlight w:val="none"/>
                    </w:rPr>
                    <w:t>收集后</w:t>
                  </w:r>
                  <w:r>
                    <w:rPr>
                      <w:rFonts w:hint="eastAsia" w:ascii="Times New Roman" w:hAnsi="Times New Roman" w:eastAsia="仿宋" w:cs="Times New Roman"/>
                      <w:color w:val="0000FF"/>
                      <w:kern w:val="0"/>
                      <w:szCs w:val="21"/>
                      <w:highlight w:val="none"/>
                      <w:lang w:val="en-US" w:eastAsia="zh-CN"/>
                    </w:rPr>
                    <w:t>通过</w:t>
                  </w:r>
                  <w:r>
                    <w:rPr>
                      <w:rFonts w:hint="default" w:ascii="Times New Roman" w:hAnsi="Times New Roman" w:eastAsia="仿宋" w:cs="Times New Roman"/>
                      <w:color w:val="0000FF"/>
                      <w:kern w:val="0"/>
                      <w:szCs w:val="21"/>
                      <w:highlight w:val="none"/>
                    </w:rPr>
                    <w:t>“</w:t>
                  </w:r>
                  <w:r>
                    <w:rPr>
                      <w:rFonts w:hint="eastAsia" w:eastAsia="仿宋" w:cs="Times New Roman"/>
                      <w:color w:val="0000FF"/>
                      <w:kern w:val="0"/>
                      <w:szCs w:val="21"/>
                      <w:highlight w:val="none"/>
                      <w:lang w:val="en-US" w:eastAsia="zh-CN"/>
                    </w:rPr>
                    <w:t>水旋除尘器</w:t>
                  </w:r>
                  <w:r>
                    <w:rPr>
                      <w:rFonts w:hint="default" w:ascii="Times New Roman" w:hAnsi="Times New Roman" w:eastAsia="仿宋" w:cs="Times New Roman"/>
                      <w:color w:val="0000FF"/>
                      <w:kern w:val="0"/>
                      <w:szCs w:val="21"/>
                      <w:highlight w:val="none"/>
                    </w:rPr>
                    <w:t>”处理，</w:t>
                  </w:r>
                  <w:r>
                    <w:rPr>
                      <w:rFonts w:hint="eastAsia" w:ascii="Times New Roman" w:hAnsi="Times New Roman" w:eastAsia="仿宋" w:cs="Times New Roman"/>
                      <w:color w:val="0000FF"/>
                      <w:kern w:val="0"/>
                      <w:szCs w:val="21"/>
                      <w:highlight w:val="none"/>
                      <w:lang w:val="en-US" w:eastAsia="zh-CN"/>
                    </w:rPr>
                    <w:t>生产</w:t>
                  </w:r>
                  <w:r>
                    <w:rPr>
                      <w:rFonts w:hint="default" w:ascii="Times New Roman" w:hAnsi="Times New Roman" w:eastAsia="仿宋" w:cs="Times New Roman"/>
                      <w:color w:val="0000FF"/>
                      <w:kern w:val="0"/>
                      <w:szCs w:val="21"/>
                      <w:highlight w:val="none"/>
                    </w:rPr>
                    <w:t>过程中产生的废气均采用有效的收集、治理措施，以减少废气排放量。</w:t>
                  </w:r>
                </w:p>
              </w:tc>
              <w:tc>
                <w:tcPr>
                  <w:tcW w:w="335" w:type="pct"/>
                  <w:noWrap w:val="0"/>
                  <w:vAlign w:val="center"/>
                </w:tcPr>
                <w:p w14:paraId="094DFC8A">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620F7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11105612">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4</w:t>
                  </w:r>
                </w:p>
              </w:tc>
              <w:tc>
                <w:tcPr>
                  <w:tcW w:w="810" w:type="pct"/>
                  <w:noWrap w:val="0"/>
                  <w:vAlign w:val="center"/>
                </w:tcPr>
                <w:p w14:paraId="3859F768">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《江苏省大气污染防治条例》(2018年修正)</w:t>
                  </w:r>
                </w:p>
              </w:tc>
              <w:tc>
                <w:tcPr>
                  <w:tcW w:w="2684" w:type="pct"/>
                  <w:noWrap w:val="0"/>
                  <w:vAlign w:val="center"/>
                </w:tcPr>
                <w:p w14:paraId="4570AF54">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第三十八条  在生产经营过程中产生有毒有害大气污染物的，排污单位应当安装收集净化装置或者采取其他措施，达到国家和省规定的排放标准或者其他相关要求。禁止直接排放有毒有害大气污染物。</w:t>
                  </w:r>
                </w:p>
                <w:p w14:paraId="1BA2B8F0">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第三十九条  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976" w:type="pct"/>
                  <w:vMerge w:val="continue"/>
                  <w:noWrap w:val="0"/>
                  <w:vAlign w:val="center"/>
                </w:tcPr>
                <w:p w14:paraId="2C327850">
                  <w:pPr>
                    <w:adjustRightInd w:val="0"/>
                    <w:snapToGrid w:val="0"/>
                    <w:jc w:val="both"/>
                    <w:rPr>
                      <w:rFonts w:hint="default" w:ascii="Times New Roman" w:hAnsi="Times New Roman" w:eastAsia="仿宋" w:cs="Times New Roman"/>
                      <w:color w:val="auto"/>
                      <w:szCs w:val="21"/>
                      <w:highlight w:val="none"/>
                    </w:rPr>
                  </w:pPr>
                </w:p>
              </w:tc>
              <w:tc>
                <w:tcPr>
                  <w:tcW w:w="335" w:type="pct"/>
                  <w:noWrap w:val="0"/>
                  <w:vAlign w:val="center"/>
                </w:tcPr>
                <w:p w14:paraId="2AF37B96">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4733A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29CA959F">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5</w:t>
                  </w:r>
                </w:p>
              </w:tc>
              <w:tc>
                <w:tcPr>
                  <w:tcW w:w="810" w:type="pct"/>
                  <w:noWrap w:val="0"/>
                  <w:vAlign w:val="center"/>
                </w:tcPr>
                <w:p w14:paraId="0171AB3C">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《江苏省挥发性有机物污染防治管理办法》(省政府令第119号)</w:t>
                  </w:r>
                </w:p>
              </w:tc>
              <w:tc>
                <w:tcPr>
                  <w:tcW w:w="2684" w:type="pct"/>
                  <w:noWrap w:val="0"/>
                  <w:vAlign w:val="center"/>
                </w:tcPr>
                <w:p w14:paraId="6471E036">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第二十一条 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976" w:type="pct"/>
                  <w:vMerge w:val="continue"/>
                  <w:noWrap w:val="0"/>
                  <w:vAlign w:val="center"/>
                </w:tcPr>
                <w:p w14:paraId="497F77C6">
                  <w:pPr>
                    <w:adjustRightInd w:val="0"/>
                    <w:snapToGrid w:val="0"/>
                    <w:jc w:val="both"/>
                    <w:rPr>
                      <w:rFonts w:hint="default" w:ascii="Times New Roman" w:hAnsi="Times New Roman" w:eastAsia="仿宋" w:cs="Times New Roman"/>
                      <w:color w:val="auto"/>
                      <w:szCs w:val="21"/>
                      <w:highlight w:val="none"/>
                    </w:rPr>
                  </w:pPr>
                </w:p>
              </w:tc>
              <w:tc>
                <w:tcPr>
                  <w:tcW w:w="335" w:type="pct"/>
                  <w:noWrap w:val="0"/>
                  <w:vAlign w:val="center"/>
                </w:tcPr>
                <w:p w14:paraId="2F70DF91">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59B12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11300DD3">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6</w:t>
                  </w:r>
                </w:p>
              </w:tc>
              <w:tc>
                <w:tcPr>
                  <w:tcW w:w="810" w:type="pct"/>
                  <w:noWrap w:val="0"/>
                  <w:vAlign w:val="center"/>
                </w:tcPr>
                <w:p w14:paraId="70D1A41A">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关于印发《江苏省挥发性有机物清洁原料替代工作方案》的通知（苏大气办</w:t>
                  </w:r>
                  <w:r>
                    <w:rPr>
                      <w:rFonts w:hint="eastAsia" w:eastAsia="仿宋" w:cs="Times New Roman"/>
                      <w:color w:val="auto"/>
                      <w:szCs w:val="21"/>
                      <w:highlight w:val="none"/>
                      <w:lang w:eastAsia="zh-CN"/>
                    </w:rPr>
                    <w:t>〔2021〕2号</w:t>
                  </w:r>
                  <w:r>
                    <w:rPr>
                      <w:rFonts w:hint="default" w:ascii="Times New Roman" w:hAnsi="Times New Roman" w:eastAsia="仿宋" w:cs="Times New Roman"/>
                      <w:color w:val="auto"/>
                      <w:szCs w:val="21"/>
                      <w:highlight w:val="none"/>
                    </w:rPr>
                    <w:t>）</w:t>
                  </w:r>
                </w:p>
              </w:tc>
              <w:tc>
                <w:tcPr>
                  <w:tcW w:w="2684" w:type="pct"/>
                  <w:noWrap w:val="0"/>
                  <w:vAlign w:val="center"/>
                </w:tcPr>
                <w:p w14:paraId="1D91F523">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以工业涂装、包装印刷、木材加工、纺织等行业为重点，分阶段推进3130家企业清洁原料替代工作，</w:t>
                  </w:r>
                  <w:r>
                    <w:rPr>
                      <w:rFonts w:hint="default" w:ascii="Times New Roman" w:hAnsi="Times New Roman" w:eastAsia="仿宋" w:cs="Times New Roman"/>
                      <w:color w:val="auto"/>
                      <w:szCs w:val="21"/>
                      <w:highlight w:val="none"/>
                      <w:lang w:val="en-US" w:eastAsia="zh-CN"/>
                    </w:rPr>
                    <w:t>其他行业企业涉VOCs相关工序</w:t>
                  </w:r>
                  <w:r>
                    <w:rPr>
                      <w:rFonts w:hint="default" w:ascii="Times New Roman" w:hAnsi="Times New Roman" w:eastAsia="仿宋" w:cs="Times New Roman"/>
                      <w:color w:val="auto"/>
                      <w:szCs w:val="21"/>
                      <w:highlight w:val="none"/>
                    </w:rPr>
                    <w:t>，</w:t>
                  </w:r>
                  <w:r>
                    <w:rPr>
                      <w:rFonts w:hint="default" w:ascii="Times New Roman" w:hAnsi="Times New Roman" w:eastAsia="仿宋" w:cs="Times New Roman"/>
                      <w:color w:val="auto"/>
                      <w:szCs w:val="21"/>
                      <w:highlight w:val="none"/>
                      <w:lang w:val="en-US" w:eastAsia="zh-CN"/>
                    </w:rPr>
                    <w:t>要使用符合《低挥发性有机化合物含量涂料产品技术要求》（GB/T 38597-2020）规定的粉末、水性、无溶剂、辐射固化涂料产品；符合《清洗剂挥发性有机化合物含量限值》（GB 38508-2020）规定的水基、半水基清洗剂产品；符合《胶粘剂挥发性有机化合物限量》（GB 33372-2020）规定的水基型、本体型胶粘剂产品。</w:t>
                  </w:r>
                  <w:r>
                    <w:rPr>
                      <w:rFonts w:hint="default" w:ascii="Times New Roman" w:hAnsi="Times New Roman" w:eastAsia="仿宋" w:cs="Times New Roman"/>
                      <w:color w:val="auto"/>
                      <w:szCs w:val="21"/>
                      <w:highlight w:val="none"/>
                    </w:rPr>
                    <w:t>若确实无法达到上述要求，应提供相应的论证说明。使用的涂料、清洗剂、胶粘剂、油墨中VOCs含量的限值应符合《船舶涂料中有害物质限量》(GB38469-2019 )、《木器涂料中有害物质限量》(GB18581-2020 )、《车辆涂料中有害物质限量》(GB24409-2020 )《工业防护涂料中有害物质限量》(GB30981-2020 )、《清洗剂挥发性有机化合物含量限值》(GB 38508-2020 )、《胶粘剂挥发性有机化合物限量》(GB33372-2020 )、《油墨中可挥发性有机化合物（VOCs ）含量的限值》( GB38507-2020 ）中的限值要求。</w:t>
                  </w:r>
                </w:p>
              </w:tc>
              <w:tc>
                <w:tcPr>
                  <w:tcW w:w="976" w:type="pct"/>
                  <w:vMerge w:val="restart"/>
                  <w:noWrap w:val="0"/>
                  <w:vAlign w:val="center"/>
                </w:tcPr>
                <w:p w14:paraId="525500EA">
                  <w:pPr>
                    <w:adjustRightInd w:val="0"/>
                    <w:snapToGrid w:val="0"/>
                    <w:jc w:val="both"/>
                    <w:rPr>
                      <w:rFonts w:hint="eastAsia"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kern w:val="0"/>
                      <w:szCs w:val="21"/>
                      <w:highlight w:val="none"/>
                    </w:rPr>
                    <w:t>本项目</w:t>
                  </w:r>
                  <w:r>
                    <w:rPr>
                      <w:rFonts w:hint="default" w:ascii="Times New Roman" w:hAnsi="Times New Roman" w:eastAsia="仿宋" w:cs="Times New Roman"/>
                      <w:color w:val="auto"/>
                      <w:kern w:val="0"/>
                      <w:szCs w:val="21"/>
                      <w:highlight w:val="none"/>
                      <w:lang w:eastAsia="zh-CN"/>
                    </w:rPr>
                    <w:t>从事</w:t>
                  </w:r>
                  <w:r>
                    <w:rPr>
                      <w:rFonts w:hint="eastAsia" w:ascii="Times New Roman" w:hAnsi="Times New Roman" w:eastAsia="仿宋" w:cs="Times New Roman"/>
                      <w:color w:val="auto"/>
                      <w:kern w:val="0"/>
                      <w:szCs w:val="21"/>
                      <w:highlight w:val="none"/>
                      <w:lang w:eastAsia="zh-CN"/>
                    </w:rPr>
                    <w:t>唇刷的生产</w:t>
                  </w:r>
                  <w:r>
                    <w:rPr>
                      <w:rFonts w:hint="default" w:ascii="Times New Roman" w:hAnsi="Times New Roman" w:eastAsia="仿宋" w:cs="Times New Roman"/>
                      <w:color w:val="auto"/>
                      <w:kern w:val="0"/>
                      <w:szCs w:val="21"/>
                      <w:highlight w:val="none"/>
                    </w:rPr>
                    <w:t>，</w:t>
                  </w:r>
                  <w:r>
                    <w:rPr>
                      <w:rFonts w:hint="eastAsia" w:ascii="Times New Roman" w:hAnsi="Times New Roman" w:eastAsia="仿宋" w:cs="Times New Roman"/>
                      <w:color w:val="auto"/>
                      <w:kern w:val="0"/>
                      <w:szCs w:val="21"/>
                      <w:highlight w:val="none"/>
                      <w:lang w:val="en-US" w:eastAsia="zh-CN"/>
                    </w:rPr>
                    <w:t>生产过程中使用的胶粘剂为</w:t>
                  </w:r>
                  <w:r>
                    <w:rPr>
                      <w:rFonts w:hint="default" w:ascii="Times New Roman" w:hAnsi="Times New Roman" w:eastAsia="仿宋" w:cs="Times New Roman"/>
                      <w:color w:val="auto"/>
                      <w:szCs w:val="21"/>
                      <w:highlight w:val="none"/>
                      <w:lang w:val="en-US" w:eastAsia="zh-CN"/>
                    </w:rPr>
                    <w:t>本体型胶粘剂</w:t>
                  </w:r>
                  <w:r>
                    <w:rPr>
                      <w:rFonts w:hint="eastAsia" w:eastAsia="仿宋" w:cs="Times New Roman"/>
                      <w:color w:val="auto"/>
                      <w:szCs w:val="21"/>
                      <w:highlight w:val="none"/>
                      <w:lang w:val="en-US" w:eastAsia="zh-CN"/>
                    </w:rPr>
                    <w:t>，</w:t>
                  </w:r>
                  <w:r>
                    <w:rPr>
                      <w:rFonts w:hint="eastAsia" w:ascii="Times New Roman" w:hAnsi="Times New Roman" w:eastAsia="仿宋" w:cs="Times New Roman"/>
                      <w:color w:val="auto"/>
                      <w:szCs w:val="21"/>
                      <w:highlight w:val="none"/>
                      <w:lang w:val="en-US" w:eastAsia="zh-CN"/>
                    </w:rPr>
                    <w:t>VOC含量约为70g/kg，符合《胶粘剂挥发性有机化合物限量》（GB33372-2020）表3中本体型胶粘剂VOC含量限值</w:t>
                  </w:r>
                  <w:r>
                    <w:rPr>
                      <w:rFonts w:hint="default" w:ascii="Times New Roman" w:hAnsi="Times New Roman" w:eastAsia="仿宋" w:cs="Times New Roman"/>
                      <w:color w:val="auto"/>
                      <w:kern w:val="0"/>
                      <w:szCs w:val="21"/>
                      <w:highlight w:val="none"/>
                    </w:rPr>
                    <w:t>。</w:t>
                  </w:r>
                  <w:r>
                    <w:rPr>
                      <w:rFonts w:hint="eastAsia" w:ascii="Times New Roman" w:hAnsi="Times New Roman" w:eastAsia="仿宋" w:cs="Times New Roman"/>
                      <w:color w:val="auto"/>
                      <w:kern w:val="0"/>
                      <w:szCs w:val="21"/>
                      <w:highlight w:val="none"/>
                      <w:lang w:val="en-US" w:eastAsia="zh-CN"/>
                    </w:rPr>
                    <w:t>胶粘剂密封存储，其</w:t>
                  </w:r>
                  <w:r>
                    <w:rPr>
                      <w:rFonts w:hint="eastAsia" w:ascii="Times New Roman" w:hAnsi="Times New Roman" w:eastAsia="仿宋" w:cs="Times New Roman"/>
                      <w:color w:val="auto"/>
                      <w:szCs w:val="21"/>
                      <w:highlight w:val="none"/>
                      <w:lang w:val="en-US" w:eastAsia="zh-CN"/>
                    </w:rPr>
                    <w:t>使用过程均在</w:t>
                  </w:r>
                  <w:r>
                    <w:rPr>
                      <w:rFonts w:hint="eastAsia" w:eastAsia="仿宋" w:cs="Times New Roman"/>
                      <w:color w:val="auto"/>
                      <w:szCs w:val="21"/>
                      <w:highlight w:val="none"/>
                      <w:lang w:val="en-US" w:eastAsia="zh-CN"/>
                    </w:rPr>
                    <w:t>密闭</w:t>
                  </w:r>
                  <w:r>
                    <w:rPr>
                      <w:rFonts w:hint="eastAsia" w:ascii="Times New Roman" w:hAnsi="Times New Roman" w:eastAsia="仿宋" w:cs="Times New Roman"/>
                      <w:color w:val="auto"/>
                      <w:szCs w:val="21"/>
                      <w:highlight w:val="none"/>
                      <w:lang w:val="en-US" w:eastAsia="zh-CN"/>
                    </w:rPr>
                    <w:t>空间内操作。</w:t>
                  </w:r>
                </w:p>
                <w:p w14:paraId="5B699230">
                  <w:pPr>
                    <w:adjustRightInd w:val="0"/>
                    <w:snapToGrid w:val="0"/>
                    <w:jc w:val="both"/>
                    <w:rPr>
                      <w:rFonts w:hint="eastAsia"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本项目</w:t>
                  </w:r>
                  <w:r>
                    <w:rPr>
                      <w:rFonts w:hint="eastAsia" w:ascii="Times New Roman" w:hAnsi="Times New Roman" w:eastAsia="仿宋" w:cs="Times New Roman"/>
                      <w:color w:val="auto"/>
                      <w:kern w:val="0"/>
                      <w:szCs w:val="21"/>
                      <w:highlight w:val="none"/>
                      <w:lang w:val="en-US" w:eastAsia="zh-CN"/>
                    </w:rPr>
                    <w:t>注塑、上胶、烘干、固化产生</w:t>
                  </w:r>
                  <w:r>
                    <w:rPr>
                      <w:rFonts w:hint="eastAsia" w:ascii="Times New Roman" w:hAnsi="Times New Roman" w:eastAsia="仿宋" w:cs="Times New Roman"/>
                      <w:color w:val="auto"/>
                      <w:szCs w:val="21"/>
                      <w:highlight w:val="none"/>
                      <w:lang w:val="en-US" w:eastAsia="zh-CN"/>
                    </w:rPr>
                    <w:t>的有机废气通过“两级活性炭吸</w:t>
                  </w:r>
                  <w:r>
                    <w:rPr>
                      <w:rFonts w:hint="eastAsia" w:ascii="Times New Roman" w:hAnsi="Times New Roman" w:eastAsia="仿宋" w:cs="Times New Roman"/>
                      <w:color w:val="auto"/>
                      <w:kern w:val="0"/>
                      <w:szCs w:val="21"/>
                      <w:highlight w:val="none"/>
                      <w:lang w:val="en-US" w:eastAsia="zh-CN"/>
                    </w:rPr>
                    <w:t>附装置”处理</w:t>
                  </w:r>
                  <w:r>
                    <w:rPr>
                      <w:rFonts w:hint="eastAsia" w:eastAsia="仿宋" w:cs="Times New Roman"/>
                      <w:color w:val="auto"/>
                      <w:kern w:val="0"/>
                      <w:szCs w:val="21"/>
                      <w:highlight w:val="none"/>
                      <w:lang w:eastAsia="zh-CN"/>
                    </w:rPr>
                    <w:t>。</w:t>
                  </w:r>
                </w:p>
              </w:tc>
              <w:tc>
                <w:tcPr>
                  <w:tcW w:w="335" w:type="pct"/>
                  <w:noWrap w:val="0"/>
                  <w:vAlign w:val="center"/>
                </w:tcPr>
                <w:p w14:paraId="647AAB4B">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45A9C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4FEFD5AF">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7</w:t>
                  </w:r>
                </w:p>
              </w:tc>
              <w:tc>
                <w:tcPr>
                  <w:tcW w:w="810" w:type="pct"/>
                  <w:noWrap w:val="0"/>
                  <w:vAlign w:val="center"/>
                </w:tcPr>
                <w:p w14:paraId="542A4BEF">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《关于印发常州市挥发性有机物清洁原料替代工作方案的通知》(常污防攻坚指办</w:t>
                  </w:r>
                  <w:r>
                    <w:rPr>
                      <w:rFonts w:hint="eastAsia" w:eastAsia="仿宋" w:cs="Times New Roman"/>
                      <w:color w:val="auto"/>
                      <w:szCs w:val="21"/>
                      <w:highlight w:val="none"/>
                      <w:lang w:eastAsia="zh-CN"/>
                    </w:rPr>
                    <w:t>〔2021〕32号</w:t>
                  </w:r>
                  <w:r>
                    <w:rPr>
                      <w:rFonts w:hint="default" w:ascii="Times New Roman" w:hAnsi="Times New Roman" w:eastAsia="仿宋" w:cs="Times New Roman"/>
                      <w:color w:val="auto"/>
                      <w:szCs w:val="21"/>
                      <w:highlight w:val="none"/>
                    </w:rPr>
                    <w:t>)</w:t>
                  </w:r>
                </w:p>
              </w:tc>
              <w:tc>
                <w:tcPr>
                  <w:tcW w:w="2684" w:type="pct"/>
                  <w:noWrap w:val="0"/>
                  <w:vAlign w:val="center"/>
                </w:tcPr>
                <w:p w14:paraId="3E6621DB">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（一）明确替代要求。以工业涂装、包装印刷、木材加工、纺织等行业为重点，按照省大气办《关于印发江苏省挥发性有机物清洁原料替代工作方案的通知》中源头替代具体要求</w:t>
                  </w:r>
                  <w:r>
                    <w:rPr>
                      <w:rFonts w:hint="eastAsia"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符合《胶粘剂挥发性有机化合物限量》（GB 33372-2020）规定的水基型、本体型胶粘剂产品。若确实无法达到上述要求，应提供相应的论证说明，相关涂料、油墨、清洗剂、胶粘剂等产品应符合相关标准中VOCs含量的限值要求。</w:t>
                  </w:r>
                </w:p>
              </w:tc>
              <w:tc>
                <w:tcPr>
                  <w:tcW w:w="976" w:type="pct"/>
                  <w:vMerge w:val="continue"/>
                  <w:noWrap w:val="0"/>
                  <w:vAlign w:val="center"/>
                </w:tcPr>
                <w:p w14:paraId="1EC40727">
                  <w:pPr>
                    <w:adjustRightInd w:val="0"/>
                    <w:snapToGrid w:val="0"/>
                    <w:jc w:val="both"/>
                    <w:rPr>
                      <w:rFonts w:hint="default" w:ascii="Times New Roman" w:hAnsi="Times New Roman" w:eastAsia="仿宋" w:cs="Times New Roman"/>
                      <w:color w:val="auto"/>
                      <w:kern w:val="0"/>
                      <w:szCs w:val="21"/>
                      <w:highlight w:val="none"/>
                    </w:rPr>
                  </w:pPr>
                </w:p>
              </w:tc>
              <w:tc>
                <w:tcPr>
                  <w:tcW w:w="335" w:type="pct"/>
                  <w:noWrap w:val="0"/>
                  <w:vAlign w:val="center"/>
                </w:tcPr>
                <w:p w14:paraId="0F90A0B2">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50E4C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1369003F">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8</w:t>
                  </w:r>
                </w:p>
              </w:tc>
              <w:tc>
                <w:tcPr>
                  <w:tcW w:w="810" w:type="pct"/>
                  <w:noWrap w:val="0"/>
                  <w:vAlign w:val="center"/>
                </w:tcPr>
                <w:p w14:paraId="0DD2E9CB">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rPr>
                    <w:t>《关于印发&lt;重点行业挥发性有机物综合治理方案&gt;的通知》(环大气</w:t>
                  </w:r>
                  <w:r>
                    <w:rPr>
                      <w:rFonts w:hint="eastAsia" w:eastAsia="仿宋" w:cs="Times New Roman"/>
                      <w:bCs/>
                      <w:color w:val="auto"/>
                      <w:szCs w:val="21"/>
                      <w:highlight w:val="none"/>
                      <w:lang w:eastAsia="zh-CN"/>
                    </w:rPr>
                    <w:t>〔2019〕53号</w:t>
                  </w:r>
                  <w:r>
                    <w:rPr>
                      <w:rFonts w:hint="default" w:ascii="Times New Roman" w:hAnsi="Times New Roman" w:eastAsia="仿宋" w:cs="Times New Roman"/>
                      <w:bCs/>
                      <w:color w:val="auto"/>
                      <w:szCs w:val="21"/>
                      <w:highlight w:val="none"/>
                    </w:rPr>
                    <w:t>)</w:t>
                  </w:r>
                </w:p>
              </w:tc>
              <w:tc>
                <w:tcPr>
                  <w:tcW w:w="2684" w:type="pct"/>
                  <w:noWrap w:val="0"/>
                  <w:vAlign w:val="center"/>
                </w:tcPr>
                <w:p w14:paraId="67A8B8DF">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（三）工业涂装VOCs综合治理。强化源头控制，加快使用粉末、水性、高固体分、辐射固化等低VOCs含量的涂料替代溶剂型涂料。</w:t>
                  </w:r>
                </w:p>
                <w:p w14:paraId="21C0AA36">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14:paraId="465ED2DF">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976" w:type="pct"/>
                  <w:vMerge w:val="continue"/>
                  <w:noWrap w:val="0"/>
                  <w:vAlign w:val="center"/>
                </w:tcPr>
                <w:p w14:paraId="6C4C23A9">
                  <w:pPr>
                    <w:adjustRightInd w:val="0"/>
                    <w:snapToGrid w:val="0"/>
                    <w:jc w:val="both"/>
                    <w:rPr>
                      <w:rFonts w:hint="default" w:ascii="Times New Roman" w:hAnsi="Times New Roman" w:eastAsia="仿宋" w:cs="Times New Roman"/>
                      <w:color w:val="auto"/>
                      <w:kern w:val="0"/>
                      <w:szCs w:val="21"/>
                      <w:highlight w:val="none"/>
                    </w:rPr>
                  </w:pPr>
                </w:p>
              </w:tc>
              <w:tc>
                <w:tcPr>
                  <w:tcW w:w="335" w:type="pct"/>
                  <w:noWrap w:val="0"/>
                  <w:vAlign w:val="center"/>
                </w:tcPr>
                <w:p w14:paraId="7E6111CA">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54BC1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2C076C72">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9</w:t>
                  </w:r>
                </w:p>
              </w:tc>
              <w:tc>
                <w:tcPr>
                  <w:tcW w:w="810" w:type="pct"/>
                  <w:noWrap w:val="0"/>
                  <w:vAlign w:val="center"/>
                </w:tcPr>
                <w:p w14:paraId="3117B2A5">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《江苏省重点行业挥发性有机物污染控制指南》(苏环办</w:t>
                  </w:r>
                  <w:r>
                    <w:rPr>
                      <w:rFonts w:hint="eastAsia" w:eastAsia="仿宋" w:cs="Times New Roman"/>
                      <w:color w:val="auto"/>
                      <w:szCs w:val="21"/>
                      <w:highlight w:val="none"/>
                      <w:lang w:eastAsia="zh-CN"/>
                    </w:rPr>
                    <w:t>〔2014〕128号</w:t>
                  </w:r>
                  <w:r>
                    <w:rPr>
                      <w:rFonts w:hint="default" w:ascii="Times New Roman" w:hAnsi="Times New Roman" w:eastAsia="仿宋" w:cs="Times New Roman"/>
                      <w:color w:val="auto"/>
                      <w:szCs w:val="21"/>
                      <w:highlight w:val="none"/>
                    </w:rPr>
                    <w:t>)</w:t>
                  </w:r>
                </w:p>
              </w:tc>
              <w:tc>
                <w:tcPr>
                  <w:tcW w:w="2684" w:type="pct"/>
                  <w:noWrap w:val="0"/>
                  <w:vAlign w:val="center"/>
                </w:tcPr>
                <w:p w14:paraId="496577B5">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废气处理的工艺路线应根据废气产生量、污染物组分和性质、温度、压力等因素，综合分析后合理选择。</w:t>
                  </w:r>
                </w:p>
              </w:tc>
              <w:tc>
                <w:tcPr>
                  <w:tcW w:w="976" w:type="pct"/>
                  <w:vMerge w:val="restart"/>
                  <w:noWrap w:val="0"/>
                  <w:vAlign w:val="center"/>
                </w:tcPr>
                <w:p w14:paraId="35C1795A">
                  <w:pPr>
                    <w:adjustRightInd w:val="0"/>
                    <w:snapToGrid w:val="0"/>
                    <w:jc w:val="both"/>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本项目</w:t>
                  </w:r>
                  <w:r>
                    <w:rPr>
                      <w:rFonts w:hint="eastAsia" w:ascii="Times New Roman" w:hAnsi="Times New Roman" w:eastAsia="仿宋" w:cs="Times New Roman"/>
                      <w:color w:val="auto"/>
                      <w:kern w:val="0"/>
                      <w:szCs w:val="21"/>
                      <w:highlight w:val="none"/>
                      <w:lang w:val="en-US" w:eastAsia="zh-CN"/>
                    </w:rPr>
                    <w:t>注塑、上胶、烘干、固化产生的</w:t>
                  </w:r>
                  <w:r>
                    <w:rPr>
                      <w:rFonts w:hint="eastAsia" w:eastAsia="仿宋" w:cs="Times New Roman"/>
                      <w:color w:val="auto"/>
                      <w:kern w:val="0"/>
                      <w:szCs w:val="21"/>
                      <w:highlight w:val="none"/>
                      <w:lang w:val="en-US" w:eastAsia="zh-CN"/>
                    </w:rPr>
                    <w:t>有机</w:t>
                  </w:r>
                  <w:r>
                    <w:rPr>
                      <w:rFonts w:hint="eastAsia" w:ascii="Times New Roman" w:hAnsi="Times New Roman" w:eastAsia="仿宋" w:cs="Times New Roman"/>
                      <w:color w:val="auto"/>
                      <w:kern w:val="0"/>
                      <w:szCs w:val="21"/>
                      <w:highlight w:val="none"/>
                      <w:lang w:val="en-US" w:eastAsia="zh-CN"/>
                    </w:rPr>
                    <w:t>废气经收集后通过“两级活性炭吸附装置”处理，</w:t>
                  </w:r>
                  <w:r>
                    <w:rPr>
                      <w:rFonts w:hint="default" w:ascii="Times New Roman" w:hAnsi="Times New Roman" w:eastAsia="仿宋" w:cs="Times New Roman"/>
                      <w:color w:val="auto"/>
                      <w:kern w:val="0"/>
                      <w:szCs w:val="21"/>
                      <w:highlight w:val="none"/>
                      <w:lang w:val="en-US" w:eastAsia="zh-CN"/>
                    </w:rPr>
                    <w:t>综合治理效率均可达90%</w:t>
                  </w:r>
                  <w:r>
                    <w:rPr>
                      <w:rFonts w:hint="default" w:ascii="Times New Roman" w:hAnsi="Times New Roman" w:eastAsia="仿宋" w:cs="Times New Roman"/>
                      <w:color w:val="auto"/>
                      <w:kern w:val="0"/>
                      <w:szCs w:val="21"/>
                      <w:highlight w:val="none"/>
                    </w:rPr>
                    <w:t>以上，符合VOCs总收集、净化处理率不低于90%的要求。</w:t>
                  </w:r>
                </w:p>
              </w:tc>
              <w:tc>
                <w:tcPr>
                  <w:tcW w:w="335" w:type="pct"/>
                  <w:noWrap w:val="0"/>
                  <w:vAlign w:val="center"/>
                </w:tcPr>
                <w:p w14:paraId="7FD1195A">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0160A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5FC14620">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10</w:t>
                  </w:r>
                </w:p>
              </w:tc>
              <w:tc>
                <w:tcPr>
                  <w:tcW w:w="810" w:type="pct"/>
                  <w:noWrap w:val="0"/>
                  <w:vAlign w:val="center"/>
                </w:tcPr>
                <w:p w14:paraId="67BBD6C6">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生态环境部关于印发《2020年挥发性有机物治理攻坚方案》的通知</w:t>
                  </w:r>
                </w:p>
              </w:tc>
              <w:tc>
                <w:tcPr>
                  <w:tcW w:w="2684" w:type="pct"/>
                  <w:noWrap w:val="0"/>
                  <w:vAlign w:val="center"/>
                </w:tcPr>
                <w:p w14:paraId="4BB986BB">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二、全面落实标准要求，强化无组织排放控制。2020年7月1日起，全面执行《挥发性有机物无组织排放控制标准》，重点区域应落实无组织排放特别控制要求。储存环节应采用密闭容器、包装袋，高效密封储罐，封闭式储库、料仓等。</w:t>
                  </w:r>
                </w:p>
              </w:tc>
              <w:tc>
                <w:tcPr>
                  <w:tcW w:w="976" w:type="pct"/>
                  <w:vMerge w:val="continue"/>
                  <w:noWrap w:val="0"/>
                  <w:vAlign w:val="center"/>
                </w:tcPr>
                <w:p w14:paraId="2F92D89E">
                  <w:pPr>
                    <w:adjustRightInd w:val="0"/>
                    <w:snapToGrid w:val="0"/>
                    <w:jc w:val="both"/>
                    <w:rPr>
                      <w:rFonts w:hint="default" w:ascii="Times New Roman" w:hAnsi="Times New Roman" w:eastAsia="仿宋" w:cs="Times New Roman"/>
                      <w:color w:val="auto"/>
                      <w:szCs w:val="21"/>
                      <w:highlight w:val="none"/>
                    </w:rPr>
                  </w:pPr>
                </w:p>
              </w:tc>
              <w:tc>
                <w:tcPr>
                  <w:tcW w:w="335" w:type="pct"/>
                  <w:vMerge w:val="restart"/>
                  <w:noWrap w:val="0"/>
                  <w:vAlign w:val="center"/>
                </w:tcPr>
                <w:p w14:paraId="72201527">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31DAB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76449EC3">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11</w:t>
                  </w:r>
                </w:p>
              </w:tc>
              <w:tc>
                <w:tcPr>
                  <w:tcW w:w="810" w:type="pct"/>
                  <w:noWrap w:val="0"/>
                  <w:vAlign w:val="center"/>
                </w:tcPr>
                <w:p w14:paraId="14800951">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《常州市深入打好污染防治攻坚战专项行动方案》（2022年）</w:t>
                  </w:r>
                </w:p>
              </w:tc>
              <w:tc>
                <w:tcPr>
                  <w:tcW w:w="2684" w:type="pct"/>
                  <w:noWrap w:val="0"/>
                  <w:vAlign w:val="center"/>
                </w:tcPr>
                <w:p w14:paraId="62E06944">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（一）着力打好重污染天气消除攻坚战</w:t>
                  </w:r>
                </w:p>
                <w:p w14:paraId="4C844924">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2.推动重点行业企业和工业炉窑、垃圾焚烧重点设施超低排放改造（深度治理），严格控制物料（含废渣）运输、装卸、储存、转移和工艺过程无组织排放。</w:t>
                  </w:r>
                </w:p>
                <w:p w14:paraId="044E34C3">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（二）着力打好臭氧污染防治攻坚战</w:t>
                  </w:r>
                </w:p>
                <w:p w14:paraId="41F6AF65">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以化工、涂装、医药、包装印刷、油品储运销等行业领域为重点，实施原辅材料和产品源头替代工程。结合产业结构分布，培育源头替代示范型企业。对照国家强制性标准，每季度开展1次各类涂料、油墨、胶黏剂、清洗剂等产品VOCs含量限值标准执行情况的监督检查。</w:t>
                  </w:r>
                </w:p>
                <w:p w14:paraId="2D3661E1">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提高企业挥发性有机物治理水平。开展有机储罐分类深度治理及回头看工作。优化企业集群布局，积极推动企业集群入工业园区或小微企业园。按照“标杆建设一批、改造提升一批、优化整合一批、淘汰退出一批”的要求，对涉气产业集群开展排查及分类治理。</w:t>
                  </w:r>
                </w:p>
              </w:tc>
              <w:tc>
                <w:tcPr>
                  <w:tcW w:w="976" w:type="pct"/>
                  <w:vMerge w:val="continue"/>
                  <w:noWrap w:val="0"/>
                  <w:vAlign w:val="center"/>
                </w:tcPr>
                <w:p w14:paraId="540C9A19">
                  <w:pPr>
                    <w:adjustRightInd w:val="0"/>
                    <w:snapToGrid w:val="0"/>
                    <w:jc w:val="both"/>
                    <w:rPr>
                      <w:rFonts w:hint="default" w:ascii="Times New Roman" w:hAnsi="Times New Roman" w:eastAsia="仿宋" w:cs="Times New Roman"/>
                      <w:color w:val="auto"/>
                      <w:szCs w:val="21"/>
                      <w:highlight w:val="none"/>
                    </w:rPr>
                  </w:pPr>
                </w:p>
              </w:tc>
              <w:tc>
                <w:tcPr>
                  <w:tcW w:w="335" w:type="pct"/>
                  <w:vMerge w:val="continue"/>
                  <w:noWrap w:val="0"/>
                  <w:vAlign w:val="center"/>
                </w:tcPr>
                <w:p w14:paraId="3E201663">
                  <w:pPr>
                    <w:adjustRightInd w:val="0"/>
                    <w:snapToGrid w:val="0"/>
                    <w:jc w:val="center"/>
                    <w:rPr>
                      <w:rFonts w:hint="default" w:ascii="Times New Roman" w:hAnsi="Times New Roman" w:eastAsia="仿宋" w:cs="Times New Roman"/>
                      <w:color w:val="auto"/>
                      <w:szCs w:val="21"/>
                      <w:highlight w:val="none"/>
                    </w:rPr>
                  </w:pPr>
                </w:p>
              </w:tc>
            </w:tr>
            <w:tr w14:paraId="2CFA3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2F5D2194">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12</w:t>
                  </w:r>
                </w:p>
              </w:tc>
              <w:tc>
                <w:tcPr>
                  <w:tcW w:w="810" w:type="pct"/>
                  <w:noWrap w:val="0"/>
                  <w:vAlign w:val="center"/>
                </w:tcPr>
                <w:p w14:paraId="26CA4797">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《省生态环境厅关于报送高耗能、高排放项目清单的通知》(苏环便函</w:t>
                  </w:r>
                  <w:r>
                    <w:rPr>
                      <w:rFonts w:hint="eastAsia" w:eastAsia="仿宋" w:cs="Times New Roman"/>
                      <w:color w:val="auto"/>
                      <w:szCs w:val="21"/>
                      <w:highlight w:val="none"/>
                      <w:lang w:eastAsia="zh-CN"/>
                    </w:rPr>
                    <w:t>〔2021〕903号</w:t>
                  </w:r>
                  <w:r>
                    <w:rPr>
                      <w:rFonts w:hint="default" w:ascii="Times New Roman" w:hAnsi="Times New Roman" w:eastAsia="仿宋" w:cs="Times New Roman"/>
                      <w:color w:val="auto"/>
                      <w:szCs w:val="21"/>
                      <w:highlight w:val="none"/>
                    </w:rPr>
                    <w:t>)</w:t>
                  </w:r>
                </w:p>
              </w:tc>
              <w:tc>
                <w:tcPr>
                  <w:tcW w:w="2684" w:type="pct"/>
                  <w:noWrap w:val="0"/>
                  <w:vAlign w:val="center"/>
                </w:tcPr>
                <w:p w14:paraId="3666BF47">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一、“两高”项目范围</w:t>
                  </w:r>
                </w:p>
                <w:p w14:paraId="254370A6">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两高（高耗能、高排放）项目范围包括煤电、石化化工、钢铁、有色金属冶炼、建材、造纸、纺织印染行业。</w:t>
                  </w:r>
                </w:p>
              </w:tc>
              <w:tc>
                <w:tcPr>
                  <w:tcW w:w="976" w:type="pct"/>
                  <w:vMerge w:val="restart"/>
                  <w:noWrap w:val="0"/>
                  <w:vAlign w:val="center"/>
                </w:tcPr>
                <w:p w14:paraId="0AB04F9E">
                  <w:pPr>
                    <w:widowControl/>
                    <w:adjustRightInd w:val="0"/>
                    <w:snapToGrid w:val="0"/>
                    <w:jc w:val="both"/>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本项目</w:t>
                  </w:r>
                  <w:r>
                    <w:rPr>
                      <w:rFonts w:hint="default" w:ascii="Times New Roman" w:hAnsi="Times New Roman" w:eastAsia="仿宋" w:cs="Times New Roman"/>
                      <w:color w:val="auto"/>
                      <w:szCs w:val="21"/>
                      <w:highlight w:val="none"/>
                      <w:lang w:eastAsia="zh-CN"/>
                    </w:rPr>
                    <w:t>从事</w:t>
                  </w:r>
                  <w:r>
                    <w:rPr>
                      <w:rFonts w:hint="eastAsia" w:ascii="Times New Roman" w:hAnsi="Times New Roman" w:eastAsia="仿宋" w:cs="Times New Roman"/>
                      <w:color w:val="auto"/>
                      <w:szCs w:val="21"/>
                      <w:highlight w:val="none"/>
                      <w:lang w:eastAsia="zh-CN"/>
                    </w:rPr>
                    <w:t>唇刷的生产</w:t>
                  </w:r>
                  <w:r>
                    <w:rPr>
                      <w:rFonts w:hint="default" w:ascii="Times New Roman" w:hAnsi="Times New Roman" w:eastAsia="仿宋" w:cs="Times New Roman"/>
                      <w:color w:val="auto"/>
                      <w:szCs w:val="21"/>
                      <w:highlight w:val="none"/>
                    </w:rPr>
                    <w:t>，行业类</w:t>
                  </w:r>
                  <w:r>
                    <w:rPr>
                      <w:rFonts w:hint="default" w:ascii="Times New Roman" w:hAnsi="Times New Roman" w:eastAsia="仿宋" w:cs="Times New Roman"/>
                      <w:color w:val="auto"/>
                      <w:szCs w:val="21"/>
                      <w:highlight w:val="none"/>
                      <w:lang w:val="en-US" w:eastAsia="zh-CN"/>
                    </w:rPr>
                    <w:t>别为C2929塑料零件及其他塑料制品制造、C4111鬃毛加</w:t>
                  </w:r>
                  <w:r>
                    <w:rPr>
                      <w:rFonts w:hint="default" w:ascii="Times New Roman" w:hAnsi="Times New Roman" w:eastAsia="仿宋" w:cs="Times New Roman"/>
                      <w:color w:val="auto"/>
                      <w:szCs w:val="21"/>
                      <w:highlight w:val="none"/>
                    </w:rPr>
                    <w:t>工、制刷及清扫工具制造，</w:t>
                  </w:r>
                  <w:r>
                    <w:rPr>
                      <w:rFonts w:hint="default" w:ascii="Times New Roman" w:hAnsi="Times New Roman" w:eastAsia="仿宋" w:cs="Times New Roman"/>
                      <w:color w:val="auto"/>
                      <w:szCs w:val="21"/>
                      <w:highlight w:val="none"/>
                      <w:lang w:val="en-US" w:eastAsia="zh-CN"/>
                    </w:rPr>
                    <w:t>不属于高耗能项目</w:t>
                  </w:r>
                  <w:r>
                    <w:rPr>
                      <w:rFonts w:hint="default" w:ascii="Times New Roman" w:hAnsi="Times New Roman" w:eastAsia="仿宋" w:cs="Times New Roman"/>
                      <w:color w:val="auto"/>
                      <w:szCs w:val="21"/>
                      <w:highlight w:val="none"/>
                    </w:rPr>
                    <w:t>。</w:t>
                  </w:r>
                </w:p>
              </w:tc>
              <w:tc>
                <w:tcPr>
                  <w:tcW w:w="335" w:type="pct"/>
                  <w:noWrap w:val="0"/>
                  <w:vAlign w:val="center"/>
                </w:tcPr>
                <w:p w14:paraId="6A8157E3">
                  <w:pPr>
                    <w:widowControl/>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13AAD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1A2B3B7E">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13</w:t>
                  </w:r>
                </w:p>
              </w:tc>
              <w:tc>
                <w:tcPr>
                  <w:tcW w:w="810" w:type="pct"/>
                  <w:noWrap w:val="0"/>
                  <w:vAlign w:val="center"/>
                </w:tcPr>
                <w:p w14:paraId="311C3B3C">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《关于加强高耗能、高排放建设项目生态环境源头防控的指导意见》(环环评</w:t>
                  </w:r>
                  <w:r>
                    <w:rPr>
                      <w:rFonts w:hint="eastAsia" w:eastAsia="仿宋" w:cs="Times New Roman"/>
                      <w:color w:val="auto"/>
                      <w:szCs w:val="21"/>
                      <w:highlight w:val="none"/>
                      <w:lang w:eastAsia="zh-CN"/>
                    </w:rPr>
                    <w:t>〔2021〕45号</w:t>
                  </w:r>
                  <w:r>
                    <w:rPr>
                      <w:rFonts w:hint="default" w:ascii="Times New Roman" w:hAnsi="Times New Roman" w:eastAsia="仿宋" w:cs="Times New Roman"/>
                      <w:color w:val="auto"/>
                      <w:szCs w:val="21"/>
                      <w:highlight w:val="none"/>
                    </w:rPr>
                    <w:t>)</w:t>
                  </w:r>
                </w:p>
              </w:tc>
              <w:tc>
                <w:tcPr>
                  <w:tcW w:w="2684" w:type="pct"/>
                  <w:noWrap w:val="0"/>
                  <w:vAlign w:val="center"/>
                </w:tcPr>
                <w:p w14:paraId="5945477C">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二、严格“两高”项目环评审批</w:t>
                  </w:r>
                </w:p>
                <w:p w14:paraId="16F2FD94">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976" w:type="pct"/>
                  <w:vMerge w:val="continue"/>
                  <w:noWrap w:val="0"/>
                  <w:vAlign w:val="center"/>
                </w:tcPr>
                <w:p w14:paraId="173EF135">
                  <w:pPr>
                    <w:widowControl/>
                    <w:adjustRightInd w:val="0"/>
                    <w:snapToGrid w:val="0"/>
                    <w:jc w:val="left"/>
                    <w:rPr>
                      <w:rFonts w:hint="default" w:ascii="Times New Roman" w:hAnsi="Times New Roman" w:eastAsia="仿宋" w:cs="Times New Roman"/>
                      <w:color w:val="auto"/>
                      <w:szCs w:val="21"/>
                      <w:highlight w:val="none"/>
                    </w:rPr>
                  </w:pPr>
                </w:p>
              </w:tc>
              <w:tc>
                <w:tcPr>
                  <w:tcW w:w="335" w:type="pct"/>
                  <w:noWrap w:val="0"/>
                  <w:vAlign w:val="center"/>
                </w:tcPr>
                <w:p w14:paraId="038FC477">
                  <w:pPr>
                    <w:widowControl/>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2E620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18233B9C">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14</w:t>
                  </w:r>
                </w:p>
              </w:tc>
              <w:tc>
                <w:tcPr>
                  <w:tcW w:w="810" w:type="pct"/>
                  <w:shd w:val="clear" w:color="auto" w:fill="auto"/>
                  <w:noWrap w:val="0"/>
                  <w:vAlign w:val="center"/>
                </w:tcPr>
                <w:p w14:paraId="4999E578">
                  <w:pPr>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关于印发《环境保护综合名录（2021年版）》的通知</w:t>
                  </w:r>
                </w:p>
              </w:tc>
              <w:tc>
                <w:tcPr>
                  <w:tcW w:w="2684" w:type="pct"/>
                  <w:shd w:val="clear" w:color="auto" w:fill="auto"/>
                  <w:noWrap w:val="0"/>
                  <w:vAlign w:val="center"/>
                </w:tcPr>
                <w:p w14:paraId="15D0687A">
                  <w:pPr>
                    <w:adjustRightInd w:val="0"/>
                    <w:snapToGrid w:val="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为深入贯彻习近平生态文明思想，落实党的十九大和十九届二中、三中、四中、五中全会精神，深入打好污染防治攻坚战，坚决遏制“两高”项目盲目发展，引导企业绿色转型，推动行业高质量发展，我部在《环境保护综合名录（2017年版）》基础上，修订形成了《环境保护综合名录（2021年版）》。</w:t>
                  </w:r>
                </w:p>
              </w:tc>
              <w:tc>
                <w:tcPr>
                  <w:tcW w:w="976" w:type="pct"/>
                  <w:vMerge w:val="continue"/>
                  <w:noWrap w:val="0"/>
                  <w:vAlign w:val="center"/>
                </w:tcPr>
                <w:p w14:paraId="4E84BC9D">
                  <w:pPr>
                    <w:widowControl/>
                    <w:adjustRightInd w:val="0"/>
                    <w:snapToGrid w:val="0"/>
                    <w:jc w:val="left"/>
                    <w:rPr>
                      <w:rFonts w:hint="default" w:ascii="Times New Roman" w:hAnsi="Times New Roman" w:eastAsia="仿宋" w:cs="Times New Roman"/>
                      <w:color w:val="auto"/>
                      <w:szCs w:val="21"/>
                      <w:highlight w:val="none"/>
                    </w:rPr>
                  </w:pPr>
                </w:p>
              </w:tc>
              <w:tc>
                <w:tcPr>
                  <w:tcW w:w="335" w:type="pct"/>
                  <w:noWrap w:val="0"/>
                  <w:vAlign w:val="center"/>
                </w:tcPr>
                <w:p w14:paraId="405C6C3B">
                  <w:pPr>
                    <w:widowControl/>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7B1B4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5248C7EA">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15</w:t>
                  </w:r>
                </w:p>
              </w:tc>
              <w:tc>
                <w:tcPr>
                  <w:tcW w:w="810" w:type="pct"/>
                  <w:shd w:val="clear" w:color="auto" w:fill="auto"/>
                  <w:noWrap w:val="0"/>
                  <w:vAlign w:val="center"/>
                </w:tcPr>
                <w:p w14:paraId="5D37300E">
                  <w:pPr>
                    <w:adjustRightInd w:val="0"/>
                    <w:snapToGrid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关于印发《江苏省“两高”项目管理目录（</w:t>
                  </w:r>
                  <w:r>
                    <w:rPr>
                      <w:rFonts w:hint="default" w:ascii="Times New Roman" w:hAnsi="Times New Roman" w:eastAsia="仿宋" w:cs="Times New Roman"/>
                      <w:color w:val="auto"/>
                      <w:szCs w:val="21"/>
                      <w:highlight w:val="none"/>
                      <w:lang w:val="en-US" w:eastAsia="zh-CN"/>
                    </w:rPr>
                    <w:t>2025</w:t>
                  </w:r>
                  <w:r>
                    <w:rPr>
                      <w:rFonts w:hint="default" w:ascii="Times New Roman" w:hAnsi="Times New Roman" w:eastAsia="仿宋" w:cs="Times New Roman"/>
                      <w:color w:val="auto"/>
                      <w:szCs w:val="21"/>
                      <w:highlight w:val="none"/>
                    </w:rPr>
                    <w:t>年版）》的通知</w:t>
                  </w:r>
                  <w:r>
                    <w:rPr>
                      <w:rFonts w:hint="eastAsia"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rPr>
                    <w:t>苏发改规发</w:t>
                  </w:r>
                  <w:r>
                    <w:rPr>
                      <w:rFonts w:hint="default" w:ascii="Times New Roman" w:hAnsi="Times New Roman" w:eastAsia="仿宋" w:cs="Times New Roman"/>
                      <w:color w:val="auto"/>
                      <w:szCs w:val="21"/>
                      <w:highlight w:val="none"/>
                      <w:lang w:eastAsia="zh-CN"/>
                    </w:rPr>
                    <w:t>〔202</w:t>
                  </w:r>
                  <w:r>
                    <w:rPr>
                      <w:rFonts w:hint="default" w:ascii="Times New Roman" w:hAnsi="Times New Roman" w:eastAsia="仿宋" w:cs="Times New Roman"/>
                      <w:color w:val="auto"/>
                      <w:szCs w:val="21"/>
                      <w:highlight w:val="none"/>
                      <w:lang w:val="en-US" w:eastAsia="zh-CN"/>
                    </w:rPr>
                    <w:t>5</w:t>
                  </w:r>
                  <w:r>
                    <w:rPr>
                      <w:rFonts w:hint="default" w:ascii="Times New Roman" w:hAnsi="Times New Roman" w:eastAsia="仿宋" w:cs="Times New Roman"/>
                      <w:color w:val="auto"/>
                      <w:szCs w:val="21"/>
                      <w:highlight w:val="none"/>
                      <w:lang w:eastAsia="zh-CN"/>
                    </w:rPr>
                    <w:t>〕4号</w:t>
                  </w:r>
                  <w:r>
                    <w:rPr>
                      <w:rFonts w:hint="eastAsia" w:ascii="Times New Roman" w:hAnsi="Times New Roman" w:eastAsia="仿宋" w:cs="Times New Roman"/>
                      <w:color w:val="auto"/>
                      <w:szCs w:val="21"/>
                      <w:highlight w:val="none"/>
                      <w:lang w:eastAsia="zh-CN"/>
                    </w:rPr>
                    <w:t>）</w:t>
                  </w:r>
                </w:p>
              </w:tc>
              <w:tc>
                <w:tcPr>
                  <w:tcW w:w="2684" w:type="pct"/>
                  <w:shd w:val="clear" w:color="auto" w:fill="auto"/>
                  <w:noWrap w:val="0"/>
                  <w:vAlign w:val="center"/>
                </w:tcPr>
                <w:p w14:paraId="72598176">
                  <w:pPr>
                    <w:adjustRightInd w:val="0"/>
                    <w:snapToGrid w:val="0"/>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石油、煤炭及其他燃料加工业(25)、化学原料和化学制品制造业(26)非金属矿物业制品(30)、黑色金属冶炼和压延加工业(31)中纳入重点管理范围的具体产品或装置。</w:t>
                  </w:r>
                </w:p>
              </w:tc>
              <w:tc>
                <w:tcPr>
                  <w:tcW w:w="976" w:type="pct"/>
                  <w:vMerge w:val="continue"/>
                  <w:noWrap w:val="0"/>
                  <w:vAlign w:val="center"/>
                </w:tcPr>
                <w:p w14:paraId="1403B1D0">
                  <w:pPr>
                    <w:widowControl/>
                    <w:adjustRightInd w:val="0"/>
                    <w:snapToGrid w:val="0"/>
                    <w:jc w:val="left"/>
                    <w:rPr>
                      <w:rFonts w:hint="default" w:ascii="Times New Roman" w:hAnsi="Times New Roman" w:eastAsia="仿宋" w:cs="Times New Roman"/>
                      <w:color w:val="auto"/>
                      <w:szCs w:val="21"/>
                      <w:highlight w:val="none"/>
                    </w:rPr>
                  </w:pPr>
                </w:p>
              </w:tc>
              <w:tc>
                <w:tcPr>
                  <w:tcW w:w="335" w:type="pct"/>
                  <w:noWrap w:val="0"/>
                  <w:vAlign w:val="center"/>
                </w:tcPr>
                <w:p w14:paraId="1246DE0E">
                  <w:pPr>
                    <w:widowControl/>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tc>
            </w:tr>
            <w:tr w14:paraId="745E3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 w:type="pct"/>
                  <w:noWrap w:val="0"/>
                  <w:vAlign w:val="center"/>
                </w:tcPr>
                <w:p w14:paraId="023D52EA">
                  <w:pPr>
                    <w:adjustRightInd w:val="0"/>
                    <w:snapToGrid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16</w:t>
                  </w:r>
                </w:p>
              </w:tc>
              <w:tc>
                <w:tcPr>
                  <w:tcW w:w="810" w:type="pct"/>
                  <w:noWrap w:val="0"/>
                  <w:vAlign w:val="center"/>
                </w:tcPr>
                <w:p w14:paraId="76C5C531">
                  <w:pPr>
                    <w:jc w:val="center"/>
                    <w:rPr>
                      <w:rFonts w:hint="default" w:ascii="Times New Roman" w:hAnsi="Times New Roman" w:eastAsia="仿宋" w:cs="Times New Roman"/>
                      <w:color w:val="auto"/>
                      <w:szCs w:val="21"/>
                      <w:highlight w:val="none"/>
                      <w:lang w:val="en-US" w:eastAsia="zh-CN"/>
                    </w:rPr>
                  </w:pPr>
                  <w:r>
                    <w:rPr>
                      <w:rFonts w:hint="eastAsia" w:ascii="仿宋" w:hAnsi="仿宋" w:eastAsia="仿宋"/>
                      <w:color w:val="auto"/>
                      <w:szCs w:val="21"/>
                      <w:highlight w:val="none"/>
                      <w:lang w:eastAsia="zh-CN"/>
                    </w:rPr>
                    <w:t>《</w:t>
                  </w:r>
                  <w:r>
                    <w:rPr>
                      <w:rFonts w:hint="eastAsia" w:ascii="仿宋" w:hAnsi="仿宋" w:eastAsia="仿宋"/>
                      <w:color w:val="auto"/>
                      <w:szCs w:val="21"/>
                      <w:highlight w:val="none"/>
                    </w:rPr>
                    <w:t>关于加强重点行业涉新污染物建设项目环境影响评价工作的意见》</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i w:val="0"/>
                      <w:iCs w:val="0"/>
                      <w:caps w:val="0"/>
                      <w:color w:val="auto"/>
                      <w:spacing w:val="0"/>
                      <w:sz w:val="21"/>
                      <w:szCs w:val="21"/>
                      <w:shd w:val="clear" w:color="auto" w:fill="FFFFFF"/>
                      <w:lang w:val="en-US" w:eastAsia="zh-CN"/>
                    </w:rPr>
                    <w:t>环环评</w:t>
                  </w:r>
                  <w:r>
                    <w:rPr>
                      <w:rFonts w:hint="eastAsia" w:ascii="Times New Roman" w:hAnsi="Times New Roman" w:eastAsia="仿宋" w:cs="Times New Roman"/>
                      <w:i w:val="0"/>
                      <w:iCs w:val="0"/>
                      <w:caps w:val="0"/>
                      <w:color w:val="auto"/>
                      <w:spacing w:val="0"/>
                      <w:sz w:val="21"/>
                      <w:szCs w:val="21"/>
                      <w:shd w:val="clear" w:color="auto" w:fill="FFFFFF"/>
                      <w:lang w:val="en-US" w:eastAsia="zh-CN"/>
                    </w:rPr>
                    <w:t>〔2025〕28号</w:t>
                  </w:r>
                  <w:r>
                    <w:rPr>
                      <w:rFonts w:hint="eastAsia" w:ascii="仿宋" w:hAnsi="仿宋" w:eastAsia="仿宋"/>
                      <w:color w:val="auto"/>
                      <w:szCs w:val="21"/>
                      <w:highlight w:val="none"/>
                      <w:lang w:eastAsia="zh-CN"/>
                    </w:rPr>
                    <w:t>）</w:t>
                  </w:r>
                </w:p>
              </w:tc>
              <w:tc>
                <w:tcPr>
                  <w:tcW w:w="2684" w:type="pct"/>
                  <w:noWrap w:val="0"/>
                  <w:vAlign w:val="center"/>
                </w:tcPr>
                <w:p w14:paraId="5D0BD30B">
                  <w:pPr>
                    <w:jc w:val="left"/>
                    <w:rPr>
                      <w:rFonts w:hint="default" w:ascii="Times New Roman" w:hAnsi="Times New Roman" w:eastAsia="仿宋" w:cs="Times New Roman"/>
                      <w:color w:val="auto"/>
                      <w:szCs w:val="21"/>
                      <w:highlight w:val="none"/>
                      <w:lang w:val="en-US" w:eastAsia="zh-CN"/>
                    </w:rPr>
                  </w:pPr>
                  <w:r>
                    <w:rPr>
                      <w:rFonts w:hint="eastAsia" w:ascii="仿宋" w:hAnsi="仿宋" w:eastAsia="仿宋"/>
                      <w:color w:val="auto"/>
                      <w:szCs w:val="21"/>
                      <w:highlight w:val="none"/>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976" w:type="pct"/>
                  <w:noWrap w:val="0"/>
                  <w:vAlign w:val="center"/>
                </w:tcPr>
                <w:p w14:paraId="3E4DB8E9">
                  <w:pPr>
                    <w:jc w:val="center"/>
                    <w:rPr>
                      <w:rFonts w:hint="default" w:ascii="Times New Roman" w:hAnsi="Times New Roman" w:eastAsia="仿宋" w:cs="Times New Roman"/>
                      <w:color w:val="auto"/>
                      <w:szCs w:val="21"/>
                      <w:highlight w:val="none"/>
                      <w:lang w:val="en-US" w:eastAsia="zh-CN"/>
                    </w:rPr>
                  </w:pPr>
                  <w:r>
                    <w:rPr>
                      <w:rFonts w:hint="eastAsia" w:ascii="仿宋" w:hAnsi="仿宋" w:eastAsia="仿宋" w:cs="仿宋"/>
                      <w:color w:val="auto"/>
                      <w:szCs w:val="21"/>
                      <w:highlight w:val="none"/>
                      <w:lang w:val="en-US" w:eastAsia="zh-CN"/>
                    </w:rPr>
                    <w:t>本项目不涉及名录和附件中的新污染物，</w:t>
                  </w:r>
                  <w:r>
                    <w:rPr>
                      <w:rFonts w:hint="eastAsia" w:ascii="仿宋" w:hAnsi="仿宋" w:eastAsia="仿宋"/>
                      <w:color w:val="auto"/>
                      <w:szCs w:val="21"/>
                      <w:highlight w:val="none"/>
                    </w:rPr>
                    <w:t>无需开展相关工作。</w:t>
                  </w:r>
                </w:p>
              </w:tc>
              <w:tc>
                <w:tcPr>
                  <w:tcW w:w="335" w:type="pct"/>
                  <w:noWrap w:val="0"/>
                  <w:vAlign w:val="center"/>
                </w:tcPr>
                <w:p w14:paraId="7130AF83">
                  <w:pPr>
                    <w:widowControl/>
                    <w:adjustRightInd w:val="0"/>
                    <w:snapToGrid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是</w:t>
                  </w:r>
                </w:p>
              </w:tc>
            </w:tr>
          </w:tbl>
          <w:p w14:paraId="2A15A0CD">
            <w:pPr>
              <w:spacing w:before="120" w:beforeLines="50"/>
              <w:ind w:firstLine="482" w:firstLineChars="200"/>
              <w:rPr>
                <w:rFonts w:hint="default" w:ascii="Times New Roman" w:hAnsi="Times New Roman" w:eastAsia="仿宋" w:cs="Times New Roman"/>
                <w:b/>
                <w:color w:val="auto"/>
                <w:sz w:val="24"/>
                <w:highlight w:val="none"/>
              </w:rPr>
            </w:pPr>
          </w:p>
          <w:p w14:paraId="555A651C">
            <w:pPr>
              <w:spacing w:before="120" w:beforeLines="50"/>
              <w:ind w:firstLine="482" w:firstLineChars="200"/>
              <w:rPr>
                <w:rFonts w:hint="default" w:ascii="Times New Roman" w:hAnsi="Times New Roman" w:eastAsia="仿宋" w:cs="Times New Roman"/>
                <w:b/>
                <w:color w:val="auto"/>
                <w:sz w:val="24"/>
                <w:highlight w:val="none"/>
              </w:rPr>
            </w:pPr>
          </w:p>
          <w:p w14:paraId="2C28542E">
            <w:pPr>
              <w:spacing w:before="120" w:beforeLines="50"/>
              <w:ind w:firstLine="482" w:firstLineChars="200"/>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4</w:t>
            </w:r>
            <w:r>
              <w:rPr>
                <w:rFonts w:hint="eastAsia" w:eastAsia="仿宋" w:cs="Times New Roman"/>
                <w:b/>
                <w:color w:val="auto"/>
                <w:sz w:val="24"/>
                <w:highlight w:val="none"/>
                <w:lang w:eastAsia="zh-CN"/>
              </w:rPr>
              <w:t>、</w:t>
            </w:r>
            <w:r>
              <w:rPr>
                <w:rFonts w:hint="default" w:ascii="Times New Roman" w:hAnsi="Times New Roman" w:eastAsia="仿宋" w:cs="Times New Roman"/>
                <w:b/>
                <w:color w:val="auto"/>
                <w:sz w:val="24"/>
                <w:highlight w:val="none"/>
              </w:rPr>
              <w:t>与《省生态环境厅关于进一步做好建设项目环评审批工作的通知》（苏环办</w:t>
            </w:r>
            <w:r>
              <w:rPr>
                <w:rFonts w:hint="eastAsia" w:eastAsia="仿宋" w:cs="Times New Roman"/>
                <w:b/>
                <w:color w:val="auto"/>
                <w:sz w:val="24"/>
                <w:highlight w:val="none"/>
                <w:lang w:eastAsia="zh-CN"/>
              </w:rPr>
              <w:t>〔2019〕36号</w:t>
            </w:r>
            <w:r>
              <w:rPr>
                <w:rFonts w:hint="default" w:ascii="Times New Roman" w:hAnsi="Times New Roman" w:eastAsia="仿宋" w:cs="Times New Roman"/>
                <w:b/>
                <w:color w:val="auto"/>
                <w:sz w:val="24"/>
                <w:highlight w:val="none"/>
              </w:rPr>
              <w:t>）相符性分析</w:t>
            </w:r>
          </w:p>
          <w:p w14:paraId="47A91E6A">
            <w:pPr>
              <w:spacing w:before="120" w:beforeLines="5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表1-</w:t>
            </w:r>
            <w:r>
              <w:rPr>
                <w:rFonts w:hint="eastAsia" w:eastAsia="仿宋" w:cs="Times New Roman"/>
                <w:b/>
                <w:color w:val="auto"/>
                <w:sz w:val="24"/>
                <w:highlight w:val="none"/>
                <w:lang w:val="en-US" w:eastAsia="zh-CN"/>
              </w:rPr>
              <w:t xml:space="preserve">10 </w:t>
            </w:r>
            <w:r>
              <w:rPr>
                <w:rFonts w:hint="default" w:ascii="Times New Roman" w:hAnsi="Times New Roman" w:eastAsia="仿宋" w:cs="Times New Roman"/>
                <w:b/>
                <w:color w:val="auto"/>
                <w:sz w:val="24"/>
                <w:highlight w:val="none"/>
              </w:rPr>
              <w:t xml:space="preserve"> 与苏环办</w:t>
            </w:r>
            <w:r>
              <w:rPr>
                <w:rFonts w:hint="eastAsia" w:eastAsia="仿宋" w:cs="Times New Roman"/>
                <w:b/>
                <w:color w:val="auto"/>
                <w:sz w:val="24"/>
                <w:highlight w:val="none"/>
                <w:lang w:eastAsia="zh-CN"/>
              </w:rPr>
              <w:t>〔2019〕36号</w:t>
            </w:r>
            <w:r>
              <w:rPr>
                <w:rFonts w:hint="default" w:ascii="Times New Roman" w:hAnsi="Times New Roman" w:eastAsia="仿宋" w:cs="Times New Roman"/>
                <w:b/>
                <w:color w:val="auto"/>
                <w:sz w:val="24"/>
                <w:highlight w:val="none"/>
              </w:rPr>
              <w:t>文对照分析</w:t>
            </w:r>
          </w:p>
          <w:tbl>
            <w:tblPr>
              <w:tblStyle w:val="29"/>
              <w:tblW w:w="12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3300"/>
              <w:gridCol w:w="4863"/>
              <w:gridCol w:w="3296"/>
              <w:gridCol w:w="923"/>
            </w:tblGrid>
            <w:tr w14:paraId="377A0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6" w:type="dxa"/>
                  <w:noWrap w:val="0"/>
                  <w:vAlign w:val="center"/>
                </w:tcPr>
                <w:p w14:paraId="1A03169E">
                  <w:pPr>
                    <w:keepNext w:val="0"/>
                    <w:keepLines w:val="0"/>
                    <w:pageBreakBefore w:val="0"/>
                    <w:widowControl w:val="0"/>
                    <w:kinsoku w:val="0"/>
                    <w:wordWrap/>
                    <w:overflowPunct w:val="0"/>
                    <w:topLinePunct w:val="0"/>
                    <w:autoSpaceDE w:val="0"/>
                    <w:autoSpaceDN w:val="0"/>
                    <w:bidi w:val="0"/>
                    <w:adjustRightInd/>
                    <w:snapToGrid/>
                    <w:spacing w:before="24" w:after="24"/>
                    <w:ind w:left="-105" w:leftChars="-50" w:right="-105" w:rightChars="-50"/>
                    <w:jc w:val="center"/>
                    <w:textAlignment w:val="auto"/>
                    <w:rPr>
                      <w:rFonts w:hint="default" w:ascii="Times New Roman" w:hAnsi="Times New Roman" w:eastAsia="仿宋" w:cs="Times New Roman"/>
                      <w:b/>
                      <w:color w:val="auto"/>
                      <w:kern w:val="0"/>
                      <w:szCs w:val="21"/>
                      <w:highlight w:val="none"/>
                    </w:rPr>
                  </w:pPr>
                  <w:r>
                    <w:rPr>
                      <w:rFonts w:hint="default" w:ascii="Times New Roman" w:hAnsi="Times New Roman" w:eastAsia="仿宋" w:cs="Times New Roman"/>
                      <w:b/>
                      <w:color w:val="auto"/>
                      <w:kern w:val="0"/>
                      <w:szCs w:val="21"/>
                      <w:highlight w:val="none"/>
                    </w:rPr>
                    <w:t>序号</w:t>
                  </w:r>
                </w:p>
              </w:tc>
              <w:tc>
                <w:tcPr>
                  <w:tcW w:w="3300" w:type="dxa"/>
                  <w:noWrap w:val="0"/>
                  <w:vAlign w:val="center"/>
                </w:tcPr>
                <w:p w14:paraId="7D6F15A5">
                  <w:pPr>
                    <w:kinsoku w:val="0"/>
                    <w:overflowPunct w:val="0"/>
                    <w:autoSpaceDE w:val="0"/>
                    <w:autoSpaceDN w:val="0"/>
                    <w:spacing w:before="24" w:after="24"/>
                    <w:jc w:val="center"/>
                    <w:rPr>
                      <w:rFonts w:hint="default" w:ascii="Times New Roman" w:hAnsi="Times New Roman" w:eastAsia="仿宋" w:cs="Times New Roman"/>
                      <w:color w:val="auto"/>
                      <w:kern w:val="0"/>
                      <w:sz w:val="20"/>
                      <w:szCs w:val="20"/>
                      <w:highlight w:val="none"/>
                    </w:rPr>
                  </w:pPr>
                  <w:r>
                    <w:rPr>
                      <w:rFonts w:hint="default" w:ascii="Times New Roman" w:hAnsi="Times New Roman" w:eastAsia="仿宋" w:cs="Times New Roman"/>
                      <w:b/>
                      <w:color w:val="auto"/>
                      <w:kern w:val="0"/>
                      <w:szCs w:val="21"/>
                      <w:highlight w:val="none"/>
                    </w:rPr>
                    <w:t>类别</w:t>
                  </w:r>
                </w:p>
              </w:tc>
              <w:tc>
                <w:tcPr>
                  <w:tcW w:w="4863" w:type="dxa"/>
                  <w:noWrap w:val="0"/>
                  <w:vAlign w:val="center"/>
                </w:tcPr>
                <w:p w14:paraId="72B1B953">
                  <w:pPr>
                    <w:kinsoku w:val="0"/>
                    <w:overflowPunct w:val="0"/>
                    <w:autoSpaceDE w:val="0"/>
                    <w:autoSpaceDN w:val="0"/>
                    <w:spacing w:before="24" w:after="24"/>
                    <w:jc w:val="center"/>
                    <w:rPr>
                      <w:rFonts w:hint="default" w:ascii="Times New Roman" w:hAnsi="Times New Roman" w:eastAsia="仿宋" w:cs="Times New Roman"/>
                      <w:color w:val="auto"/>
                      <w:kern w:val="0"/>
                      <w:sz w:val="20"/>
                      <w:szCs w:val="20"/>
                      <w:highlight w:val="none"/>
                    </w:rPr>
                  </w:pPr>
                  <w:r>
                    <w:rPr>
                      <w:rFonts w:hint="default" w:ascii="Times New Roman" w:hAnsi="Times New Roman" w:eastAsia="仿宋" w:cs="Times New Roman"/>
                      <w:b/>
                      <w:color w:val="auto"/>
                      <w:kern w:val="0"/>
                      <w:szCs w:val="21"/>
                      <w:highlight w:val="none"/>
                    </w:rPr>
                    <w:t>文件要求（建设项目环评审批要点）</w:t>
                  </w:r>
                </w:p>
              </w:tc>
              <w:tc>
                <w:tcPr>
                  <w:tcW w:w="3296" w:type="dxa"/>
                  <w:noWrap w:val="0"/>
                  <w:vAlign w:val="center"/>
                </w:tcPr>
                <w:p w14:paraId="3DDB2811">
                  <w:pPr>
                    <w:kinsoku w:val="0"/>
                    <w:overflowPunct w:val="0"/>
                    <w:autoSpaceDE w:val="0"/>
                    <w:autoSpaceDN w:val="0"/>
                    <w:spacing w:before="24" w:after="24"/>
                    <w:jc w:val="center"/>
                    <w:rPr>
                      <w:rFonts w:hint="default" w:ascii="Times New Roman" w:hAnsi="Times New Roman" w:eastAsia="仿宋" w:cs="Times New Roman"/>
                      <w:color w:val="auto"/>
                      <w:kern w:val="0"/>
                      <w:sz w:val="20"/>
                      <w:szCs w:val="20"/>
                      <w:highlight w:val="none"/>
                    </w:rPr>
                  </w:pPr>
                  <w:r>
                    <w:rPr>
                      <w:rFonts w:hint="default" w:ascii="Times New Roman" w:hAnsi="Times New Roman" w:eastAsia="仿宋" w:cs="Times New Roman"/>
                      <w:b/>
                      <w:color w:val="auto"/>
                      <w:kern w:val="0"/>
                      <w:szCs w:val="21"/>
                      <w:highlight w:val="none"/>
                    </w:rPr>
                    <w:t>本项目情况</w:t>
                  </w:r>
                </w:p>
              </w:tc>
              <w:tc>
                <w:tcPr>
                  <w:tcW w:w="923" w:type="dxa"/>
                  <w:noWrap w:val="0"/>
                  <w:vAlign w:val="center"/>
                </w:tcPr>
                <w:p w14:paraId="21CF7575">
                  <w:pPr>
                    <w:kinsoku w:val="0"/>
                    <w:overflowPunct w:val="0"/>
                    <w:autoSpaceDE w:val="0"/>
                    <w:autoSpaceDN w:val="0"/>
                    <w:adjustRightInd w:val="0"/>
                    <w:snapToGrid w:val="0"/>
                    <w:ind w:left="-105" w:leftChars="-50" w:right="-105" w:rightChars="-50"/>
                    <w:jc w:val="center"/>
                    <w:rPr>
                      <w:rFonts w:hint="default" w:ascii="Times New Roman" w:hAnsi="Times New Roman" w:eastAsia="仿宋" w:cs="Times New Roman"/>
                      <w:color w:val="auto"/>
                      <w:kern w:val="0"/>
                      <w:sz w:val="20"/>
                      <w:szCs w:val="20"/>
                      <w:highlight w:val="none"/>
                    </w:rPr>
                  </w:pPr>
                  <w:r>
                    <w:rPr>
                      <w:rFonts w:hint="default" w:ascii="Times New Roman" w:hAnsi="Times New Roman" w:eastAsia="仿宋" w:cs="Times New Roman"/>
                      <w:b/>
                      <w:color w:val="auto"/>
                      <w:kern w:val="0"/>
                      <w:szCs w:val="21"/>
                      <w:highlight w:val="none"/>
                    </w:rPr>
                    <w:t>是否相符</w:t>
                  </w:r>
                </w:p>
              </w:tc>
            </w:tr>
            <w:tr w14:paraId="0D24E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6" w:type="dxa"/>
                  <w:noWrap w:val="0"/>
                  <w:vAlign w:val="center"/>
                </w:tcPr>
                <w:p w14:paraId="4B3A12EF">
                  <w:pPr>
                    <w:kinsoku w:val="0"/>
                    <w:overflowPunct w:val="0"/>
                    <w:autoSpaceDE w:val="0"/>
                    <w:autoSpaceDN w:val="0"/>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1</w:t>
                  </w:r>
                </w:p>
              </w:tc>
              <w:tc>
                <w:tcPr>
                  <w:tcW w:w="3300" w:type="dxa"/>
                  <w:noWrap w:val="0"/>
                  <w:vAlign w:val="center"/>
                </w:tcPr>
                <w:p w14:paraId="45244379">
                  <w:pPr>
                    <w:kinsoku w:val="0"/>
                    <w:overflowPunct w:val="0"/>
                    <w:autoSpaceDE w:val="0"/>
                    <w:autoSpaceDN w:val="0"/>
                    <w:spacing w:before="24" w:after="24"/>
                    <w:jc w:val="center"/>
                    <w:rPr>
                      <w:rFonts w:hint="default" w:ascii="Times New Roman" w:hAnsi="Times New Roman" w:eastAsia="仿宋" w:cs="Times New Roman"/>
                      <w:color w:val="auto"/>
                      <w:kern w:val="0"/>
                      <w:sz w:val="20"/>
                      <w:szCs w:val="20"/>
                      <w:highlight w:val="none"/>
                    </w:rPr>
                  </w:pPr>
                  <w:r>
                    <w:rPr>
                      <w:rFonts w:hint="default" w:ascii="Times New Roman" w:hAnsi="Times New Roman" w:eastAsia="仿宋" w:cs="Times New Roman"/>
                      <w:color w:val="auto"/>
                      <w:kern w:val="0"/>
                      <w:szCs w:val="21"/>
                      <w:highlight w:val="none"/>
                    </w:rPr>
                    <w:t>《建设项目环境保护管理条例》</w:t>
                  </w:r>
                </w:p>
              </w:tc>
              <w:tc>
                <w:tcPr>
                  <w:tcW w:w="4863" w:type="dxa"/>
                  <w:noWrap w:val="0"/>
                  <w:vAlign w:val="center"/>
                </w:tcPr>
                <w:p w14:paraId="42145FEF">
                  <w:pPr>
                    <w:kinsoku w:val="0"/>
                    <w:overflowPunct w:val="0"/>
                    <w:autoSpaceDE w:val="0"/>
                    <w:autoSpaceDN w:val="0"/>
                    <w:spacing w:before="24" w:after="24"/>
                    <w:jc w:val="both"/>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w:t>
                  </w:r>
                </w:p>
                <w:p w14:paraId="508287F7">
                  <w:pPr>
                    <w:kinsoku w:val="0"/>
                    <w:overflowPunct w:val="0"/>
                    <w:autoSpaceDE w:val="0"/>
                    <w:autoSpaceDN w:val="0"/>
                    <w:spacing w:before="24" w:after="24"/>
                    <w:jc w:val="both"/>
                    <w:rPr>
                      <w:rFonts w:hint="default" w:ascii="Times New Roman" w:hAnsi="Times New Roman" w:eastAsia="仿宋" w:cs="Times New Roman"/>
                      <w:color w:val="auto"/>
                      <w:kern w:val="0"/>
                      <w:sz w:val="20"/>
                      <w:szCs w:val="20"/>
                      <w:highlight w:val="none"/>
                    </w:rPr>
                  </w:pPr>
                  <w:r>
                    <w:rPr>
                      <w:rFonts w:hint="default" w:ascii="Times New Roman" w:hAnsi="Times New Roman" w:eastAsia="仿宋" w:cs="Times New Roman"/>
                      <w:color w:val="auto"/>
                      <w:kern w:val="0"/>
                      <w:szCs w:val="21"/>
                      <w:highlight w:val="none"/>
                    </w:rPr>
                    <w:t>（5）建设项目的环境影响报告书、环境影响报告表的基础资料数据明显不实，内容存在重大缺陷、遗漏，或者环境影响评价结论不明确、不合理。</w:t>
                  </w:r>
                </w:p>
              </w:tc>
              <w:tc>
                <w:tcPr>
                  <w:tcW w:w="3296" w:type="dxa"/>
                  <w:noWrap w:val="0"/>
                  <w:vAlign w:val="center"/>
                </w:tcPr>
                <w:p w14:paraId="575D0ADC">
                  <w:pPr>
                    <w:widowControl/>
                    <w:spacing w:before="24" w:after="24"/>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1）项目类型及其选址、布局、规模等符合环境保护法律法规和相关法定规划；（2）项目所在地为环境质量不达标区，拟采取的措施满足现有环保要求，确保污染物稳定达标，区域已制定限期达标规划，项目建设满足区域环境质量改善目标管理要求；（3）本项目采取的污染防治措施确保污染物排放达到国家和地方排放标准；（4）</w:t>
                  </w:r>
                  <w:r>
                    <w:rPr>
                      <w:rFonts w:eastAsia="仿宋"/>
                      <w:kern w:val="0"/>
                      <w:szCs w:val="21"/>
                    </w:rPr>
                    <w:t>本项目为扩建项目，现有项目已采取了有效的环境污染措施</w:t>
                  </w:r>
                  <w:r>
                    <w:rPr>
                      <w:rFonts w:hint="default" w:ascii="Times New Roman" w:hAnsi="Times New Roman" w:eastAsia="仿宋" w:cs="Times New Roman"/>
                      <w:color w:val="auto"/>
                      <w:kern w:val="0"/>
                      <w:szCs w:val="21"/>
                      <w:highlight w:val="none"/>
                    </w:rPr>
                    <w:t>。（5）本项目基础资料由企业进行认真核实，并对提供资料的真实性进行承诺，基础数据真实有效，评价结论合理可信。</w:t>
                  </w:r>
                </w:p>
              </w:tc>
              <w:tc>
                <w:tcPr>
                  <w:tcW w:w="923" w:type="dxa"/>
                  <w:noWrap w:val="0"/>
                  <w:vAlign w:val="center"/>
                </w:tcPr>
                <w:p w14:paraId="6AD01773">
                  <w:pPr>
                    <w:kinsoku w:val="0"/>
                    <w:overflowPunct w:val="0"/>
                    <w:autoSpaceDE w:val="0"/>
                    <w:autoSpaceDN w:val="0"/>
                    <w:spacing w:before="24" w:after="24"/>
                    <w:jc w:val="center"/>
                    <w:rPr>
                      <w:rFonts w:hint="default" w:ascii="Times New Roman" w:hAnsi="Times New Roman" w:eastAsia="仿宋" w:cs="Times New Roman"/>
                      <w:color w:val="auto"/>
                      <w:kern w:val="0"/>
                      <w:sz w:val="20"/>
                      <w:szCs w:val="20"/>
                      <w:highlight w:val="none"/>
                    </w:rPr>
                  </w:pPr>
                  <w:r>
                    <w:rPr>
                      <w:rFonts w:hint="default" w:ascii="Times New Roman" w:hAnsi="Times New Roman" w:eastAsia="仿宋" w:cs="Times New Roman"/>
                      <w:color w:val="auto"/>
                      <w:kern w:val="0"/>
                      <w:szCs w:val="21"/>
                      <w:highlight w:val="none"/>
                    </w:rPr>
                    <w:t>相符</w:t>
                  </w:r>
                </w:p>
              </w:tc>
            </w:tr>
            <w:tr w14:paraId="18B5F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6" w:type="dxa"/>
                  <w:noWrap w:val="0"/>
                  <w:vAlign w:val="center"/>
                </w:tcPr>
                <w:p w14:paraId="1AD578A7">
                  <w:pPr>
                    <w:widowControl/>
                    <w:spacing w:before="24" w:after="24"/>
                    <w:jc w:val="center"/>
                    <w:rPr>
                      <w:rFonts w:hint="eastAsia" w:ascii="Times New Roman" w:hAnsi="Times New Roman" w:eastAsia="仿宋" w:cs="Times New Roman"/>
                      <w:color w:val="auto"/>
                      <w:kern w:val="0"/>
                      <w:szCs w:val="21"/>
                      <w:highlight w:val="none"/>
                      <w:lang w:val="en-US" w:eastAsia="zh-CN"/>
                    </w:rPr>
                  </w:pPr>
                  <w:r>
                    <w:rPr>
                      <w:rFonts w:hint="eastAsia" w:eastAsia="仿宋" w:cs="Times New Roman"/>
                      <w:color w:val="auto"/>
                      <w:kern w:val="0"/>
                      <w:szCs w:val="21"/>
                      <w:highlight w:val="none"/>
                      <w:lang w:val="en-US" w:eastAsia="zh-CN"/>
                    </w:rPr>
                    <w:t>2</w:t>
                  </w:r>
                </w:p>
              </w:tc>
              <w:tc>
                <w:tcPr>
                  <w:tcW w:w="3300" w:type="dxa"/>
                  <w:noWrap w:val="0"/>
                  <w:vAlign w:val="center"/>
                </w:tcPr>
                <w:p w14:paraId="12C1651B">
                  <w:pPr>
                    <w:widowControl/>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《关于印发&lt;建设项目主要污染物排放总量指标审核及管理暂行办法&gt;的通知》(环发</w:t>
                  </w:r>
                  <w:r>
                    <w:rPr>
                      <w:rFonts w:hint="eastAsia" w:eastAsia="仿宋" w:cs="Times New Roman"/>
                      <w:color w:val="auto"/>
                      <w:kern w:val="0"/>
                      <w:szCs w:val="21"/>
                      <w:highlight w:val="none"/>
                      <w:lang w:eastAsia="zh-CN"/>
                    </w:rPr>
                    <w:t>〔2014〕197号</w:t>
                  </w:r>
                  <w:r>
                    <w:rPr>
                      <w:rFonts w:hint="default" w:ascii="Times New Roman" w:hAnsi="Times New Roman" w:eastAsia="仿宋" w:cs="Times New Roman"/>
                      <w:color w:val="auto"/>
                      <w:kern w:val="0"/>
                      <w:szCs w:val="21"/>
                      <w:highlight w:val="none"/>
                    </w:rPr>
                    <w:t>)</w:t>
                  </w:r>
                </w:p>
              </w:tc>
              <w:tc>
                <w:tcPr>
                  <w:tcW w:w="4863" w:type="dxa"/>
                  <w:noWrap w:val="0"/>
                  <w:vAlign w:val="center"/>
                </w:tcPr>
                <w:p w14:paraId="21649208">
                  <w:pPr>
                    <w:widowControl/>
                    <w:spacing w:before="24" w:after="24"/>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3296" w:type="dxa"/>
                  <w:noWrap w:val="0"/>
                  <w:vAlign w:val="center"/>
                </w:tcPr>
                <w:p w14:paraId="511DD183">
                  <w:pPr>
                    <w:widowControl/>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本项目拟在环境影响评价文件审批前，取得主要污染物排放总量指标。</w:t>
                  </w:r>
                </w:p>
              </w:tc>
              <w:tc>
                <w:tcPr>
                  <w:tcW w:w="923" w:type="dxa"/>
                  <w:noWrap w:val="0"/>
                  <w:vAlign w:val="center"/>
                </w:tcPr>
                <w:p w14:paraId="0DF9B652">
                  <w:pPr>
                    <w:widowControl/>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相符</w:t>
                  </w:r>
                </w:p>
              </w:tc>
            </w:tr>
            <w:tr w14:paraId="6A854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6" w:type="dxa"/>
                  <w:noWrap w:val="0"/>
                  <w:vAlign w:val="center"/>
                </w:tcPr>
                <w:p w14:paraId="7D3A5F61">
                  <w:pPr>
                    <w:widowControl/>
                    <w:spacing w:before="24" w:after="24"/>
                    <w:jc w:val="center"/>
                    <w:rPr>
                      <w:rFonts w:hint="eastAsia" w:ascii="Times New Roman" w:hAnsi="Times New Roman" w:eastAsia="仿宋" w:cs="Times New Roman"/>
                      <w:color w:val="auto"/>
                      <w:kern w:val="0"/>
                      <w:szCs w:val="21"/>
                      <w:highlight w:val="none"/>
                      <w:lang w:val="en-US" w:eastAsia="zh-CN"/>
                    </w:rPr>
                  </w:pPr>
                  <w:r>
                    <w:rPr>
                      <w:rFonts w:hint="eastAsia" w:eastAsia="仿宋" w:cs="Times New Roman"/>
                      <w:color w:val="auto"/>
                      <w:kern w:val="0"/>
                      <w:szCs w:val="21"/>
                      <w:highlight w:val="none"/>
                      <w:lang w:val="en-US" w:eastAsia="zh-CN"/>
                    </w:rPr>
                    <w:t>3</w:t>
                  </w:r>
                </w:p>
              </w:tc>
              <w:tc>
                <w:tcPr>
                  <w:tcW w:w="3300" w:type="dxa"/>
                  <w:shd w:val="clear" w:color="auto" w:fill="auto"/>
                  <w:noWrap w:val="0"/>
                  <w:vAlign w:val="center"/>
                </w:tcPr>
                <w:p w14:paraId="05ADA6AB">
                  <w:pPr>
                    <w:widowControl/>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《关于以改善环境质量为核心加强环境影响评价管理的通知》（环环评</w:t>
                  </w:r>
                  <w:r>
                    <w:rPr>
                      <w:rFonts w:hint="eastAsia" w:eastAsia="仿宋" w:cs="Times New Roman"/>
                      <w:kern w:val="0"/>
                      <w:szCs w:val="21"/>
                      <w:lang w:eastAsia="zh-CN"/>
                    </w:rPr>
                    <w:t>〔2016〕150号</w:t>
                  </w:r>
                  <w:r>
                    <w:rPr>
                      <w:rFonts w:hint="default" w:ascii="Times New Roman" w:hAnsi="Times New Roman" w:eastAsia="仿宋" w:cs="Times New Roman"/>
                      <w:kern w:val="0"/>
                      <w:szCs w:val="21"/>
                    </w:rPr>
                    <w:t>）</w:t>
                  </w:r>
                </w:p>
              </w:tc>
              <w:tc>
                <w:tcPr>
                  <w:tcW w:w="4863" w:type="dxa"/>
                  <w:shd w:val="clear" w:color="auto" w:fill="auto"/>
                  <w:noWrap w:val="0"/>
                  <w:vAlign w:val="center"/>
                </w:tcPr>
                <w:p w14:paraId="0017ED16">
                  <w:pPr>
                    <w:widowControl/>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p w14:paraId="0E9611FD">
                  <w:pPr>
                    <w:widowControl/>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3296" w:type="dxa"/>
                  <w:shd w:val="clear" w:color="auto" w:fill="auto"/>
                  <w:noWrap w:val="0"/>
                  <w:vAlign w:val="center"/>
                </w:tcPr>
                <w:p w14:paraId="11A2197E">
                  <w:pPr>
                    <w:widowControl/>
                    <w:rPr>
                      <w:rFonts w:hint="default" w:ascii="Times New Roman" w:hAnsi="Times New Roman" w:eastAsia="仿宋" w:cs="Times New Roman"/>
                      <w:szCs w:val="21"/>
                    </w:rPr>
                  </w:pPr>
                  <w:r>
                    <w:rPr>
                      <w:rFonts w:hint="default" w:ascii="Times New Roman" w:hAnsi="Times New Roman" w:eastAsia="仿宋" w:cs="Times New Roman"/>
                      <w:spacing w:val="6"/>
                      <w:szCs w:val="21"/>
                    </w:rPr>
                    <w:t>（1）</w:t>
                  </w:r>
                  <w:r>
                    <w:rPr>
                      <w:rFonts w:hint="default" w:ascii="Times New Roman" w:hAnsi="Times New Roman" w:eastAsia="仿宋" w:cs="Times New Roman"/>
                      <w:kern w:val="0"/>
                      <w:szCs w:val="21"/>
                    </w:rPr>
                    <w:t>本项目位于</w:t>
                  </w:r>
                  <w:r>
                    <w:rPr>
                      <w:rFonts w:hint="default" w:ascii="Times New Roman" w:hAnsi="Times New Roman" w:eastAsia="仿宋" w:cs="Times New Roman"/>
                      <w:kern w:val="0"/>
                      <w:szCs w:val="21"/>
                      <w:lang w:val="en-US" w:eastAsia="zh-CN"/>
                    </w:rPr>
                    <w:t>江苏省金坛经济开发区盐港东路39号8幢6号</w:t>
                  </w:r>
                  <w:r>
                    <w:rPr>
                      <w:rFonts w:hint="default" w:ascii="Times New Roman" w:hAnsi="Times New Roman" w:eastAsia="仿宋" w:cs="Times New Roman"/>
                      <w:kern w:val="0"/>
                      <w:szCs w:val="21"/>
                      <w:lang w:eastAsia="zh-CN"/>
                    </w:rPr>
                    <w:t>，</w:t>
                  </w:r>
                  <w:r>
                    <w:rPr>
                      <w:rFonts w:hint="eastAsia" w:eastAsia="仿宋" w:cs="Times New Roman"/>
                      <w:kern w:val="0"/>
                      <w:szCs w:val="21"/>
                      <w:lang w:val="en-US" w:eastAsia="zh-CN"/>
                    </w:rPr>
                    <w:t>利用</w:t>
                  </w:r>
                  <w:r>
                    <w:rPr>
                      <w:rFonts w:hint="eastAsia" w:ascii="Times New Roman" w:hAnsi="Times New Roman" w:eastAsia="仿宋" w:cs="Times New Roman"/>
                      <w:kern w:val="0"/>
                      <w:szCs w:val="21"/>
                      <w:lang w:val="en-US" w:eastAsia="zh-CN"/>
                    </w:rPr>
                    <w:t>现有</w:t>
                  </w:r>
                  <w:r>
                    <w:rPr>
                      <w:rFonts w:hint="default" w:ascii="Times New Roman" w:hAnsi="Times New Roman" w:eastAsia="仿宋" w:cs="Times New Roman"/>
                      <w:kern w:val="0"/>
                      <w:szCs w:val="21"/>
                      <w:lang w:val="en-US" w:eastAsia="zh-CN"/>
                    </w:rPr>
                    <w:t>厂房从事</w:t>
                  </w:r>
                  <w:r>
                    <w:rPr>
                      <w:rFonts w:hint="eastAsia" w:ascii="Times New Roman" w:hAnsi="Times New Roman" w:eastAsia="仿宋" w:cs="Times New Roman"/>
                      <w:kern w:val="0"/>
                      <w:szCs w:val="21"/>
                      <w:lang w:val="en-US" w:eastAsia="zh-CN"/>
                    </w:rPr>
                    <w:t>唇刷的生产。</w:t>
                  </w:r>
                  <w:r>
                    <w:rPr>
                      <w:rFonts w:hint="default" w:ascii="Times New Roman" w:hAnsi="Times New Roman" w:eastAsia="仿宋" w:cs="Times New Roman"/>
                      <w:color w:val="auto"/>
                      <w:kern w:val="0"/>
                      <w:szCs w:val="21"/>
                      <w:lang w:val="en-US" w:eastAsia="zh-CN"/>
                    </w:rPr>
                    <w:t>本项目所在地块为工业</w:t>
                  </w:r>
                  <w:r>
                    <w:rPr>
                      <w:rFonts w:hint="default" w:ascii="Times New Roman" w:hAnsi="Times New Roman" w:eastAsia="仿宋" w:cs="Times New Roman"/>
                      <w:color w:val="auto"/>
                      <w:kern w:val="0"/>
                      <w:szCs w:val="21"/>
                    </w:rPr>
                    <w:t>用地，与规划相符</w:t>
                  </w:r>
                  <w:r>
                    <w:rPr>
                      <w:rFonts w:hint="default" w:ascii="Times New Roman" w:hAnsi="Times New Roman" w:eastAsia="仿宋" w:cs="Times New Roman"/>
                      <w:kern w:val="0"/>
                      <w:szCs w:val="21"/>
                    </w:rPr>
                    <w:t>。</w:t>
                  </w:r>
                </w:p>
                <w:p w14:paraId="43ABC187">
                  <w:pPr>
                    <w:widowControl/>
                    <w:rPr>
                      <w:rFonts w:hint="default" w:ascii="Times New Roman" w:hAnsi="Times New Roman" w:eastAsia="仿宋" w:cs="Times New Roman"/>
                      <w:spacing w:val="6"/>
                      <w:szCs w:val="21"/>
                    </w:rPr>
                  </w:pPr>
                  <w:r>
                    <w:rPr>
                      <w:rFonts w:hint="default" w:ascii="Times New Roman" w:hAnsi="Times New Roman" w:eastAsia="仿宋" w:cs="Times New Roman"/>
                      <w:spacing w:val="6"/>
                      <w:szCs w:val="21"/>
                    </w:rPr>
                    <w:t>（2）项目选址不在国家级生态保护红线及省级生态空间管控区域范围内，地区内现有同类型项目未对环境或生态造成严重污染。</w:t>
                  </w:r>
                </w:p>
                <w:p w14:paraId="7191CB3B">
                  <w:pPr>
                    <w:widowControl/>
                    <w:rPr>
                      <w:rFonts w:hint="default" w:ascii="Times New Roman" w:hAnsi="Times New Roman" w:eastAsia="仿宋" w:cs="Times New Roman"/>
                      <w:spacing w:val="6"/>
                      <w:kern w:val="2"/>
                      <w:sz w:val="21"/>
                      <w:szCs w:val="21"/>
                      <w:lang w:val="en-US" w:eastAsia="zh-CN" w:bidi="ar-SA"/>
                    </w:rPr>
                  </w:pPr>
                  <w:r>
                    <w:rPr>
                      <w:rFonts w:hint="default" w:ascii="Times New Roman" w:hAnsi="Times New Roman" w:eastAsia="仿宋" w:cs="Times New Roman"/>
                      <w:spacing w:val="6"/>
                      <w:szCs w:val="21"/>
                    </w:rPr>
                    <w:t>（3）本项目所在区域属于环境空气不达标区，根据大气环境质量改善方案，大气环境质量状况可得到进一步改善。本项目产生的污染物经采取相应污染物防治措施后均能达标排放，对周边环境影响较小。</w:t>
                  </w:r>
                </w:p>
              </w:tc>
              <w:tc>
                <w:tcPr>
                  <w:tcW w:w="923" w:type="dxa"/>
                  <w:noWrap w:val="0"/>
                  <w:vAlign w:val="center"/>
                </w:tcPr>
                <w:p w14:paraId="2E336436">
                  <w:pPr>
                    <w:widowControl/>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相符</w:t>
                  </w:r>
                </w:p>
              </w:tc>
            </w:tr>
            <w:tr w14:paraId="56EEA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6" w:type="dxa"/>
                  <w:noWrap w:val="0"/>
                  <w:vAlign w:val="center"/>
                </w:tcPr>
                <w:p w14:paraId="3BE3A313">
                  <w:pPr>
                    <w:widowControl/>
                    <w:spacing w:before="24" w:after="24"/>
                    <w:jc w:val="center"/>
                    <w:rPr>
                      <w:rFonts w:hint="default" w:ascii="Times New Roman" w:hAnsi="Times New Roman" w:eastAsia="仿宋" w:cs="Times New Roman"/>
                      <w:color w:val="auto"/>
                      <w:kern w:val="0"/>
                      <w:szCs w:val="21"/>
                      <w:highlight w:val="none"/>
                      <w:lang w:val="en-US" w:eastAsia="zh-CN"/>
                    </w:rPr>
                  </w:pPr>
                  <w:r>
                    <w:rPr>
                      <w:rFonts w:hint="eastAsia" w:eastAsia="仿宋" w:cs="Times New Roman"/>
                      <w:color w:val="auto"/>
                      <w:kern w:val="0"/>
                      <w:szCs w:val="21"/>
                      <w:highlight w:val="none"/>
                      <w:lang w:val="en-US" w:eastAsia="zh-CN"/>
                    </w:rPr>
                    <w:t>4</w:t>
                  </w:r>
                </w:p>
              </w:tc>
              <w:tc>
                <w:tcPr>
                  <w:tcW w:w="3300" w:type="dxa"/>
                  <w:shd w:val="clear" w:color="auto" w:fill="auto"/>
                  <w:noWrap w:val="0"/>
                  <w:vAlign w:val="center"/>
                </w:tcPr>
                <w:p w14:paraId="623E4553">
                  <w:pPr>
                    <w:widowControl/>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《关于全面加强生态环境保护坚决打好污染防治攻坚战的实施意见》（苏发</w:t>
                  </w:r>
                  <w:r>
                    <w:rPr>
                      <w:rFonts w:hint="eastAsia" w:eastAsia="仿宋" w:cs="Times New Roman"/>
                      <w:kern w:val="0"/>
                      <w:szCs w:val="21"/>
                      <w:lang w:eastAsia="zh-CN"/>
                    </w:rPr>
                    <w:t>〔2018〕24号</w:t>
                  </w:r>
                  <w:r>
                    <w:rPr>
                      <w:rFonts w:hint="default" w:ascii="Times New Roman" w:hAnsi="Times New Roman" w:eastAsia="仿宋" w:cs="Times New Roman"/>
                      <w:kern w:val="0"/>
                      <w:szCs w:val="21"/>
                    </w:rPr>
                    <w:t>）</w:t>
                  </w:r>
                </w:p>
              </w:tc>
              <w:tc>
                <w:tcPr>
                  <w:tcW w:w="4863" w:type="dxa"/>
                  <w:shd w:val="clear" w:color="auto" w:fill="auto"/>
                  <w:noWrap w:val="0"/>
                  <w:vAlign w:val="center"/>
                </w:tcPr>
                <w:p w14:paraId="6B3F37A4">
                  <w:pPr>
                    <w:widowControl/>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3296" w:type="dxa"/>
                  <w:shd w:val="clear" w:color="auto" w:fill="auto"/>
                  <w:noWrap w:val="0"/>
                  <w:vAlign w:val="center"/>
                </w:tcPr>
                <w:p w14:paraId="694AEC8E">
                  <w:pPr>
                    <w:widowControl/>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本项目位于</w:t>
                  </w:r>
                  <w:r>
                    <w:rPr>
                      <w:rFonts w:hint="default" w:ascii="Times New Roman" w:hAnsi="Times New Roman" w:eastAsia="仿宋" w:cs="Times New Roman"/>
                      <w:kern w:val="0"/>
                      <w:szCs w:val="21"/>
                      <w:lang w:val="en-US" w:eastAsia="zh-CN"/>
                    </w:rPr>
                    <w:t>江苏省金坛经济开发区盐港东路39号8幢6号</w:t>
                  </w:r>
                  <w:r>
                    <w:rPr>
                      <w:rFonts w:hint="default" w:ascii="Times New Roman" w:hAnsi="Times New Roman" w:eastAsia="仿宋" w:cs="Times New Roman"/>
                      <w:kern w:val="0"/>
                      <w:szCs w:val="21"/>
                    </w:rPr>
                    <w:t>，</w:t>
                  </w:r>
                  <w:r>
                    <w:rPr>
                      <w:rFonts w:hint="default" w:ascii="Times New Roman" w:hAnsi="Times New Roman" w:eastAsia="仿宋" w:cs="Times New Roman"/>
                      <w:kern w:val="0"/>
                      <w:szCs w:val="21"/>
                      <w:lang w:val="en-US" w:eastAsia="zh-CN"/>
                    </w:rPr>
                    <w:t>从事</w:t>
                  </w:r>
                  <w:r>
                    <w:rPr>
                      <w:rFonts w:hint="eastAsia" w:ascii="Times New Roman" w:hAnsi="Times New Roman" w:eastAsia="仿宋" w:cs="Times New Roman"/>
                      <w:kern w:val="0"/>
                      <w:szCs w:val="21"/>
                      <w:lang w:val="en-US" w:eastAsia="zh-CN"/>
                    </w:rPr>
                    <w:t>唇刷的生产</w:t>
                  </w:r>
                  <w:r>
                    <w:rPr>
                      <w:rFonts w:hint="default" w:ascii="Times New Roman" w:hAnsi="Times New Roman" w:eastAsia="仿宋" w:cs="Times New Roman"/>
                      <w:kern w:val="0"/>
                      <w:szCs w:val="21"/>
                      <w:lang w:val="en-US" w:eastAsia="zh-CN"/>
                    </w:rPr>
                    <w:t>，</w:t>
                  </w:r>
                  <w:r>
                    <w:rPr>
                      <w:rFonts w:hint="default" w:ascii="Times New Roman" w:hAnsi="Times New Roman" w:eastAsia="仿宋" w:cs="Times New Roman"/>
                      <w:kern w:val="0"/>
                      <w:szCs w:val="21"/>
                    </w:rPr>
                    <w:t>不属于化工企业，不从事化工项目，不在长江干流及主要支流岸线1公里范围内。</w:t>
                  </w:r>
                </w:p>
              </w:tc>
              <w:tc>
                <w:tcPr>
                  <w:tcW w:w="923" w:type="dxa"/>
                  <w:noWrap w:val="0"/>
                  <w:vAlign w:val="center"/>
                </w:tcPr>
                <w:p w14:paraId="7414BB1F">
                  <w:pPr>
                    <w:widowControl/>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相符</w:t>
                  </w:r>
                </w:p>
              </w:tc>
            </w:tr>
            <w:tr w14:paraId="724C0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6" w:type="dxa"/>
                  <w:noWrap w:val="0"/>
                  <w:vAlign w:val="center"/>
                </w:tcPr>
                <w:p w14:paraId="63EC4212">
                  <w:pPr>
                    <w:widowControl/>
                    <w:spacing w:before="24" w:after="24"/>
                    <w:jc w:val="center"/>
                    <w:rPr>
                      <w:rFonts w:hint="eastAsia" w:ascii="Times New Roman" w:hAnsi="Times New Roman" w:eastAsia="仿宋" w:cs="Times New Roman"/>
                      <w:color w:val="auto"/>
                      <w:kern w:val="0"/>
                      <w:szCs w:val="21"/>
                      <w:highlight w:val="none"/>
                      <w:lang w:eastAsia="zh-CN"/>
                    </w:rPr>
                  </w:pPr>
                  <w:r>
                    <w:rPr>
                      <w:rFonts w:hint="eastAsia" w:eastAsia="仿宋" w:cs="Times New Roman"/>
                      <w:color w:val="auto"/>
                      <w:kern w:val="0"/>
                      <w:szCs w:val="21"/>
                      <w:highlight w:val="none"/>
                      <w:lang w:val="en-US" w:eastAsia="zh-CN"/>
                    </w:rPr>
                    <w:t>5</w:t>
                  </w:r>
                </w:p>
              </w:tc>
              <w:tc>
                <w:tcPr>
                  <w:tcW w:w="3300" w:type="dxa"/>
                  <w:noWrap w:val="0"/>
                  <w:vAlign w:val="center"/>
                </w:tcPr>
                <w:p w14:paraId="718B7191">
                  <w:pPr>
                    <w:widowControl/>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《省政府关于印发江苏省国家级生态保护红线规划的通知》(苏政发</w:t>
                  </w:r>
                  <w:r>
                    <w:rPr>
                      <w:rFonts w:hint="eastAsia" w:eastAsia="仿宋" w:cs="Times New Roman"/>
                      <w:color w:val="auto"/>
                      <w:kern w:val="0"/>
                      <w:szCs w:val="21"/>
                      <w:highlight w:val="none"/>
                      <w:lang w:eastAsia="zh-CN"/>
                    </w:rPr>
                    <w:t>〔2018〕74号</w:t>
                  </w:r>
                  <w:r>
                    <w:rPr>
                      <w:rFonts w:hint="default" w:ascii="Times New Roman" w:hAnsi="Times New Roman" w:eastAsia="仿宋" w:cs="Times New Roman"/>
                      <w:color w:val="auto"/>
                      <w:kern w:val="0"/>
                      <w:szCs w:val="21"/>
                      <w:highlight w:val="none"/>
                    </w:rPr>
                    <w:t>)</w:t>
                  </w:r>
                </w:p>
              </w:tc>
              <w:tc>
                <w:tcPr>
                  <w:tcW w:w="4863" w:type="dxa"/>
                  <w:noWrap w:val="0"/>
                  <w:vAlign w:val="center"/>
                </w:tcPr>
                <w:p w14:paraId="6BF46477">
                  <w:pPr>
                    <w:widowControl/>
                    <w:spacing w:before="24" w:after="24"/>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生态保护红线原则上按禁止开发区域的要求进行管理，严禁不符合主体功能定位的各类开发活动，严禁任意改变用途。</w:t>
                  </w:r>
                </w:p>
              </w:tc>
              <w:tc>
                <w:tcPr>
                  <w:tcW w:w="3296" w:type="dxa"/>
                  <w:noWrap w:val="0"/>
                  <w:vAlign w:val="center"/>
                </w:tcPr>
                <w:p w14:paraId="69826845">
                  <w:pPr>
                    <w:widowControl/>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本项目不在生态保护红线内。</w:t>
                  </w:r>
                </w:p>
              </w:tc>
              <w:tc>
                <w:tcPr>
                  <w:tcW w:w="923" w:type="dxa"/>
                  <w:noWrap w:val="0"/>
                  <w:vAlign w:val="center"/>
                </w:tcPr>
                <w:p w14:paraId="4C87289E">
                  <w:pPr>
                    <w:widowControl/>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相符</w:t>
                  </w:r>
                </w:p>
              </w:tc>
            </w:tr>
            <w:tr w14:paraId="4D74D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6" w:type="dxa"/>
                  <w:noWrap w:val="0"/>
                  <w:vAlign w:val="center"/>
                </w:tcPr>
                <w:p w14:paraId="214AF4F0">
                  <w:pPr>
                    <w:widowControl/>
                    <w:spacing w:before="24" w:after="24"/>
                    <w:jc w:val="center"/>
                    <w:rPr>
                      <w:rFonts w:hint="eastAsia" w:ascii="Times New Roman" w:hAnsi="Times New Roman" w:eastAsia="仿宋" w:cs="Times New Roman"/>
                      <w:color w:val="auto"/>
                      <w:kern w:val="0"/>
                      <w:szCs w:val="21"/>
                      <w:highlight w:val="none"/>
                      <w:lang w:eastAsia="zh-CN"/>
                    </w:rPr>
                  </w:pPr>
                  <w:r>
                    <w:rPr>
                      <w:rFonts w:hint="eastAsia" w:eastAsia="仿宋" w:cs="Times New Roman"/>
                      <w:color w:val="auto"/>
                      <w:kern w:val="0"/>
                      <w:szCs w:val="21"/>
                      <w:highlight w:val="none"/>
                      <w:lang w:val="en-US" w:eastAsia="zh-CN"/>
                    </w:rPr>
                    <w:t>6</w:t>
                  </w:r>
                </w:p>
              </w:tc>
              <w:tc>
                <w:tcPr>
                  <w:tcW w:w="3300" w:type="dxa"/>
                  <w:noWrap w:val="0"/>
                  <w:vAlign w:val="center"/>
                </w:tcPr>
                <w:p w14:paraId="2148437F">
                  <w:pPr>
                    <w:widowControl/>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《省政府办公厅关于加强危险废物污染防治工作的意见》(苏政办发</w:t>
                  </w:r>
                  <w:r>
                    <w:rPr>
                      <w:rFonts w:hint="eastAsia" w:eastAsia="仿宋" w:cs="Times New Roman"/>
                      <w:color w:val="auto"/>
                      <w:kern w:val="0"/>
                      <w:szCs w:val="21"/>
                      <w:highlight w:val="none"/>
                      <w:lang w:eastAsia="zh-CN"/>
                    </w:rPr>
                    <w:t>〔2018〕91号</w:t>
                  </w:r>
                  <w:r>
                    <w:rPr>
                      <w:rFonts w:hint="default" w:ascii="Times New Roman" w:hAnsi="Times New Roman" w:eastAsia="仿宋" w:cs="Times New Roman"/>
                      <w:color w:val="auto"/>
                      <w:kern w:val="0"/>
                      <w:szCs w:val="21"/>
                      <w:highlight w:val="none"/>
                    </w:rPr>
                    <w:t>)</w:t>
                  </w:r>
                </w:p>
              </w:tc>
              <w:tc>
                <w:tcPr>
                  <w:tcW w:w="4863" w:type="dxa"/>
                  <w:noWrap w:val="0"/>
                  <w:vAlign w:val="center"/>
                </w:tcPr>
                <w:p w14:paraId="1FB49391">
                  <w:pPr>
                    <w:widowControl/>
                    <w:spacing w:before="24" w:after="24"/>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禁止审批无法落实危险废物利用、处置途径的项目，从严审批危险废物产生量大、本地无配套利用处置能力、且需设区市统筹解决的项目。</w:t>
                  </w:r>
                </w:p>
              </w:tc>
              <w:tc>
                <w:tcPr>
                  <w:tcW w:w="3296" w:type="dxa"/>
                  <w:noWrap w:val="0"/>
                  <w:vAlign w:val="center"/>
                </w:tcPr>
                <w:p w14:paraId="442B1F80">
                  <w:pPr>
                    <w:widowControl/>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本项目产生的危废分类收集，暂存于危废仓库，并委托有资质单位进行处置，处置去向明确。</w:t>
                  </w:r>
                </w:p>
              </w:tc>
              <w:tc>
                <w:tcPr>
                  <w:tcW w:w="923" w:type="dxa"/>
                  <w:noWrap w:val="0"/>
                  <w:vAlign w:val="center"/>
                </w:tcPr>
                <w:p w14:paraId="39A7797B">
                  <w:pPr>
                    <w:widowControl/>
                    <w:spacing w:before="24" w:after="24"/>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相符</w:t>
                  </w:r>
                </w:p>
              </w:tc>
            </w:tr>
          </w:tbl>
          <w:p w14:paraId="1A1EA16A">
            <w:pPr>
              <w:keepNext w:val="0"/>
              <w:keepLines w:val="0"/>
              <w:pageBreakBefore w:val="0"/>
              <w:widowControl w:val="0"/>
              <w:kinsoku/>
              <w:wordWrap/>
              <w:overflowPunct/>
              <w:topLinePunct w:val="0"/>
              <w:autoSpaceDE/>
              <w:autoSpaceDN/>
              <w:bidi w:val="0"/>
              <w:adjustRightInd/>
              <w:snapToGrid/>
              <w:spacing w:line="240" w:lineRule="auto"/>
              <w:ind w:firstLine="200" w:firstLineChars="200"/>
              <w:textAlignment w:val="auto"/>
              <w:rPr>
                <w:sz w:val="10"/>
                <w:szCs w:val="10"/>
              </w:rPr>
            </w:pPr>
          </w:p>
          <w:p w14:paraId="6224A6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000000"/>
                <w:sz w:val="24"/>
              </w:rPr>
              <w:t>综上所述，本项目符合《省生态环境厅关于进一步做好建设项目环评审批工作的通知》（苏环办</w:t>
            </w:r>
            <w:r>
              <w:rPr>
                <w:rFonts w:hint="default" w:ascii="Times New Roman" w:hAnsi="Times New Roman" w:eastAsia="仿宋" w:cs="Times New Roman"/>
                <w:color w:val="000000"/>
                <w:sz w:val="24"/>
                <w:lang w:eastAsia="zh-CN"/>
              </w:rPr>
              <w:t>〔2019〕36号</w:t>
            </w:r>
            <w:r>
              <w:rPr>
                <w:rFonts w:hint="default" w:ascii="Times New Roman" w:hAnsi="Times New Roman" w:eastAsia="仿宋" w:cs="Times New Roman"/>
                <w:color w:val="000000"/>
                <w:sz w:val="24"/>
              </w:rPr>
              <w:t>）相关内容。</w:t>
            </w:r>
          </w:p>
        </w:tc>
      </w:tr>
    </w:tbl>
    <w:p w14:paraId="7F9697C2">
      <w:pPr>
        <w:spacing w:line="360" w:lineRule="auto"/>
        <w:outlineLvl w:val="0"/>
        <w:rPr>
          <w:rFonts w:hint="default" w:ascii="Times New Roman" w:hAnsi="Times New Roman" w:eastAsia="仿宋" w:cs="Times New Roman"/>
          <w:color w:val="auto"/>
          <w:sz w:val="30"/>
          <w:highlight w:val="none"/>
        </w:rPr>
        <w:sectPr>
          <w:pgSz w:w="16838" w:h="11906" w:orient="landscape"/>
          <w:pgMar w:top="1531" w:right="1701" w:bottom="1702" w:left="1701" w:header="851" w:footer="1077" w:gutter="0"/>
          <w:pgBorders>
            <w:top w:val="none" w:sz="0" w:space="0"/>
            <w:left w:val="none" w:sz="0" w:space="0"/>
            <w:bottom w:val="none" w:sz="0" w:space="0"/>
            <w:right w:val="none" w:sz="0" w:space="0"/>
          </w:pgBorders>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8548"/>
      </w:tblGrid>
      <w:tr w14:paraId="5657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dxa"/>
          </w:tcPr>
          <w:p w14:paraId="63C98453">
            <w:pPr>
              <w:pStyle w:val="26"/>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outlineLvl w:val="0"/>
              <w:rPr>
                <w:rFonts w:ascii="仿宋" w:hAnsi="仿宋" w:eastAsia="仿宋" w:cs="Times New Roman"/>
                <w:snapToGrid w:val="0"/>
                <w:sz w:val="30"/>
                <w:szCs w:val="30"/>
                <w:vertAlign w:val="baseline"/>
              </w:rPr>
            </w:pPr>
          </w:p>
        </w:tc>
        <w:tc>
          <w:tcPr>
            <w:tcW w:w="8548" w:type="dxa"/>
          </w:tcPr>
          <w:p w14:paraId="36D04533">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eastAsia="仿宋" w:cs="Times New Roman"/>
                <w:sz w:val="24"/>
                <w:lang w:val="en-US" w:eastAsia="zh-CN"/>
              </w:rPr>
            </w:pPr>
            <w:r>
              <w:rPr>
                <w:rFonts w:hint="eastAsia" w:eastAsia="仿宋" w:cs="Times New Roman"/>
                <w:b/>
                <w:bCs/>
                <w:sz w:val="24"/>
                <w:lang w:val="en-US" w:eastAsia="zh-CN"/>
              </w:rPr>
              <w:t>5、与《常州市生态环境局关于建设项目的审批指导意见（试行）》（常州市生态环境局，2021年4月7日）及《常州市生态环境局关于调整建设项目报备范围的通知》（常州市生态环境局，2021年11月20日）的相符性分析。</w:t>
            </w:r>
          </w:p>
          <w:p w14:paraId="4BCD398A">
            <w:pPr>
              <w:autoSpaceDE w:val="0"/>
              <w:autoSpaceDN w:val="0"/>
              <w:adjustRightInd w:val="0"/>
              <w:snapToGrid w:val="0"/>
              <w:spacing w:line="240" w:lineRule="atLeast"/>
              <w:ind w:firstLine="482" w:firstLineChars="200"/>
              <w:jc w:val="center"/>
              <w:rPr>
                <w:rFonts w:hint="default" w:ascii="Times New Roman" w:hAnsi="Times New Roman" w:eastAsia="仿宋" w:cs="Times New Roman"/>
                <w:b/>
                <w:bCs/>
                <w:color w:val="auto"/>
                <w:kern w:val="0"/>
                <w:sz w:val="24"/>
                <w:highlight w:val="none"/>
                <w:lang w:val="en-US" w:eastAsia="zh-CN"/>
              </w:rPr>
            </w:pPr>
            <w:r>
              <w:rPr>
                <w:rFonts w:hint="default" w:ascii="Times New Roman" w:hAnsi="Times New Roman" w:eastAsia="仿宋" w:cs="Times New Roman"/>
                <w:b/>
                <w:bCs/>
                <w:color w:val="auto"/>
                <w:kern w:val="0"/>
                <w:sz w:val="24"/>
                <w:highlight w:val="none"/>
                <w:lang w:val="en-US" w:eastAsia="zh-CN"/>
              </w:rPr>
              <w:t>表1-1</w:t>
            </w:r>
            <w:r>
              <w:rPr>
                <w:rFonts w:hint="eastAsia" w:eastAsia="仿宋" w:cs="Times New Roman"/>
                <w:b/>
                <w:bCs/>
                <w:color w:val="auto"/>
                <w:kern w:val="0"/>
                <w:sz w:val="24"/>
                <w:highlight w:val="none"/>
                <w:lang w:val="en-US" w:eastAsia="zh-CN"/>
              </w:rPr>
              <w:t>1</w:t>
            </w:r>
            <w:r>
              <w:rPr>
                <w:rFonts w:hint="default" w:ascii="Times New Roman" w:hAnsi="Times New Roman" w:eastAsia="仿宋" w:cs="Times New Roman"/>
                <w:b/>
                <w:bCs/>
                <w:color w:val="auto"/>
                <w:kern w:val="0"/>
                <w:sz w:val="24"/>
                <w:highlight w:val="none"/>
                <w:lang w:val="en-US" w:eastAsia="zh-CN"/>
              </w:rPr>
              <w:t xml:space="preserve"> 与"常州市生态环境局关于建设项目的审批指导意见(试行)"及"常州市生态环境局关于调整建设项目报备范围的通知"相符性分析</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41"/>
              <w:gridCol w:w="3510"/>
              <w:gridCol w:w="2775"/>
            </w:tblGrid>
            <w:tr w14:paraId="60C30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1" w:type="dxa"/>
                  <w:tcBorders>
                    <w:tl2br w:val="nil"/>
                    <w:tr2bl w:val="nil"/>
                  </w:tcBorders>
                </w:tcPr>
                <w:p w14:paraId="24AB3F2A">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color w:val="auto"/>
                      <w:szCs w:val="21"/>
                      <w:highlight w:val="none"/>
                      <w:lang w:val="en-US" w:eastAsia="zh-CN"/>
                    </w:rPr>
                    <w:t>相关文件</w:t>
                  </w:r>
                </w:p>
              </w:tc>
              <w:tc>
                <w:tcPr>
                  <w:tcW w:w="3510" w:type="dxa"/>
                  <w:tcBorders>
                    <w:tl2br w:val="nil"/>
                    <w:tr2bl w:val="nil"/>
                  </w:tcBorders>
                </w:tcPr>
                <w:p w14:paraId="5CC7390A">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color w:val="auto"/>
                      <w:szCs w:val="21"/>
                      <w:highlight w:val="none"/>
                      <w:lang w:val="en-US" w:eastAsia="zh-CN"/>
                    </w:rPr>
                    <w:t>文件要求</w:t>
                  </w:r>
                </w:p>
              </w:tc>
              <w:tc>
                <w:tcPr>
                  <w:tcW w:w="2775" w:type="dxa"/>
                  <w:tcBorders>
                    <w:tl2br w:val="nil"/>
                    <w:tr2bl w:val="nil"/>
                  </w:tcBorders>
                </w:tcPr>
                <w:p w14:paraId="64219924">
                  <w:pPr>
                    <w:adjustRightInd w:val="0"/>
                    <w:snapToGrid w:val="0"/>
                    <w:jc w:val="center"/>
                    <w:rPr>
                      <w:rFonts w:hint="default" w:ascii="Times New Roman" w:hAnsi="Times New Roman" w:eastAsia="仿宋" w:cs="Times New Roman"/>
                      <w:b/>
                      <w:color w:val="auto"/>
                      <w:szCs w:val="21"/>
                      <w:highlight w:val="none"/>
                      <w:lang w:val="en-US" w:eastAsia="zh-CN"/>
                    </w:rPr>
                  </w:pPr>
                  <w:r>
                    <w:rPr>
                      <w:rFonts w:hint="default" w:ascii="Times New Roman" w:hAnsi="Times New Roman" w:eastAsia="仿宋" w:cs="Times New Roman"/>
                      <w:b/>
                      <w:color w:val="auto"/>
                      <w:szCs w:val="21"/>
                      <w:highlight w:val="none"/>
                      <w:lang w:val="en-US" w:eastAsia="zh-CN"/>
                    </w:rPr>
                    <w:t>相符性分析</w:t>
                  </w:r>
                </w:p>
              </w:tc>
            </w:tr>
            <w:tr w14:paraId="12933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1" w:type="dxa"/>
                  <w:vMerge w:val="restart"/>
                  <w:tcBorders>
                    <w:tl2br w:val="nil"/>
                    <w:tr2bl w:val="nil"/>
                  </w:tcBorders>
                  <w:vAlign w:val="center"/>
                </w:tcPr>
                <w:p w14:paraId="1B6C4650">
                  <w:pPr>
                    <w:widowControl/>
                    <w:spacing w:line="240" w:lineRule="auto"/>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常州市生态环境局关于建设项目的审批指导意见</w:t>
                  </w:r>
                  <w:r>
                    <w:rPr>
                      <w:rFonts w:hint="eastAsia"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试行</w:t>
                  </w:r>
                  <w:r>
                    <w:rPr>
                      <w:rFonts w:hint="eastAsia" w:eastAsia="仿宋" w:cs="Times New Roman"/>
                      <w:color w:val="auto"/>
                      <w:kern w:val="0"/>
                      <w:szCs w:val="21"/>
                      <w:lang w:val="en-US" w:eastAsia="zh-CN"/>
                    </w:rPr>
                    <w:t>）</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常州市生态环境局，2021年4月7日</w:t>
                  </w:r>
                  <w:r>
                    <w:rPr>
                      <w:rFonts w:hint="eastAsia" w:ascii="Times New Roman" w:hAnsi="Times New Roman" w:eastAsia="仿宋" w:cs="Times New Roman"/>
                      <w:color w:val="auto"/>
                      <w:kern w:val="0"/>
                      <w:szCs w:val="21"/>
                      <w:lang w:val="en-US" w:eastAsia="zh-CN"/>
                    </w:rPr>
                    <w:t>）</w:t>
                  </w:r>
                </w:p>
              </w:tc>
              <w:tc>
                <w:tcPr>
                  <w:tcW w:w="3510" w:type="dxa"/>
                  <w:tcBorders>
                    <w:tl2br w:val="nil"/>
                    <w:tr2bl w:val="nil"/>
                  </w:tcBorders>
                </w:tcPr>
                <w:p w14:paraId="43A7AB11">
                  <w:pPr>
                    <w:widowControl/>
                    <w:spacing w:line="240" w:lineRule="auto"/>
                    <w:jc w:val="both"/>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2.强化环评审批。对重点区域内新上的大气污染物排放的建设项目及全市范围内新上高能耗项目，审批部门对其环评文本应实施质量评估。</w:t>
                  </w:r>
                </w:p>
              </w:tc>
              <w:tc>
                <w:tcPr>
                  <w:tcW w:w="2775" w:type="dxa"/>
                  <w:vMerge w:val="restart"/>
                  <w:tcBorders>
                    <w:tl2br w:val="nil"/>
                    <w:tr2bl w:val="nil"/>
                  </w:tcBorders>
                  <w:vAlign w:val="center"/>
                </w:tcPr>
                <w:p w14:paraId="3A97A2BC">
                  <w:pPr>
                    <w:widowControl/>
                    <w:spacing w:line="240" w:lineRule="auto"/>
                    <w:jc w:val="both"/>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本项目</w:t>
                  </w:r>
                  <w:r>
                    <w:rPr>
                      <w:rFonts w:hint="eastAsia" w:eastAsia="仿宋" w:cs="Times New Roman"/>
                      <w:color w:val="auto"/>
                      <w:kern w:val="0"/>
                      <w:szCs w:val="21"/>
                      <w:lang w:val="en-US" w:eastAsia="zh-CN"/>
                    </w:rPr>
                    <w:t>位于江苏省金坛经济开发区盐港东路39号8幢6号</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离本项目最近的金坛城区国控点直线距离约为</w:t>
                  </w:r>
                  <w:r>
                    <w:rPr>
                      <w:rFonts w:hint="eastAsia" w:eastAsia="仿宋" w:cs="Times New Roman"/>
                      <w:color w:val="auto"/>
                      <w:kern w:val="0"/>
                      <w:szCs w:val="21"/>
                      <w:lang w:val="en-US" w:eastAsia="zh-CN"/>
                    </w:rPr>
                    <w:t>5.8</w:t>
                  </w:r>
                  <w:r>
                    <w:rPr>
                      <w:rFonts w:hint="default" w:ascii="Times New Roman" w:hAnsi="Times New Roman" w:eastAsia="仿宋" w:cs="Times New Roman"/>
                      <w:color w:val="auto"/>
                      <w:kern w:val="0"/>
                      <w:szCs w:val="21"/>
                      <w:lang w:val="en-US" w:eastAsia="zh-CN"/>
                    </w:rPr>
                    <w:t>km，故本项目不在国控站点3km范围内，不属于重点区域。本项目行业类别为</w:t>
                  </w:r>
                  <w:r>
                    <w:rPr>
                      <w:rFonts w:hint="default" w:ascii="Times New Roman" w:hAnsi="Times New Roman" w:eastAsia="仿宋" w:cs="Times New Roman"/>
                      <w:color w:val="auto"/>
                      <w:szCs w:val="21"/>
                      <w:highlight w:val="none"/>
                      <w:lang w:val="en-US" w:eastAsia="zh-CN"/>
                    </w:rPr>
                    <w:t>C2929塑料零件及其他塑料制品制造、C4111</w:t>
                  </w:r>
                  <w:r>
                    <w:rPr>
                      <w:rFonts w:hint="default" w:ascii="Times New Roman" w:hAnsi="Times New Roman" w:eastAsia="仿宋" w:cs="Times New Roman"/>
                      <w:color w:val="auto"/>
                      <w:szCs w:val="21"/>
                      <w:highlight w:val="none"/>
                    </w:rPr>
                    <w:t>鬃毛加工、制刷及清扫工具制造</w:t>
                  </w:r>
                  <w:r>
                    <w:rPr>
                      <w:rFonts w:hint="default" w:ascii="Times New Roman" w:hAnsi="Times New Roman" w:eastAsia="仿宋" w:cs="Times New Roman"/>
                      <w:color w:val="auto"/>
                      <w:kern w:val="0"/>
                      <w:szCs w:val="21"/>
                      <w:lang w:val="en-US" w:eastAsia="zh-CN"/>
                    </w:rPr>
                    <w:t>，不属于</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两高</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行业，不属于</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环保保护综合名录</w:t>
                  </w:r>
                  <w:r>
                    <w:rPr>
                      <w:rFonts w:hint="eastAsia"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2021年版</w:t>
                  </w:r>
                  <w:r>
                    <w:rPr>
                      <w:rFonts w:hint="eastAsia" w:eastAsia="仿宋" w:cs="Times New Roman"/>
                      <w:color w:val="auto"/>
                      <w:kern w:val="0"/>
                      <w:szCs w:val="21"/>
                      <w:lang w:val="en-US" w:eastAsia="zh-CN"/>
                    </w:rPr>
                    <w:t>）</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中"高污染、高环境风险"类别项目。</w:t>
                  </w:r>
                </w:p>
              </w:tc>
            </w:tr>
            <w:tr w14:paraId="76B4D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1" w:type="dxa"/>
                  <w:vMerge w:val="continue"/>
                  <w:tcBorders>
                    <w:tl2br w:val="nil"/>
                    <w:tr2bl w:val="nil"/>
                  </w:tcBorders>
                  <w:vAlign w:val="center"/>
                </w:tcPr>
                <w:p w14:paraId="2AAA9C16">
                  <w:pPr>
                    <w:widowControl/>
                    <w:spacing w:line="240" w:lineRule="auto"/>
                    <w:jc w:val="center"/>
                    <w:rPr>
                      <w:rFonts w:hint="default" w:ascii="Times New Roman" w:hAnsi="Times New Roman" w:eastAsia="仿宋" w:cs="Times New Roman"/>
                      <w:color w:val="auto"/>
                      <w:kern w:val="0"/>
                      <w:szCs w:val="21"/>
                    </w:rPr>
                  </w:pPr>
                </w:p>
              </w:tc>
              <w:tc>
                <w:tcPr>
                  <w:tcW w:w="3510" w:type="dxa"/>
                  <w:tcBorders>
                    <w:tl2br w:val="nil"/>
                    <w:tr2bl w:val="nil"/>
                  </w:tcBorders>
                </w:tcPr>
                <w:p w14:paraId="4E3C0D6B">
                  <w:pPr>
                    <w:widowControl/>
                    <w:spacing w:line="240" w:lineRule="auto"/>
                    <w:jc w:val="both"/>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3.推进减污降碳。对重点区域内新上的涉及大气污染物排放的建设项目及全市范围内新上高能耗项目的严格审批，区级审批部门审批前需向市生态环境局报备，审批部门方可出具审批文件。</w:t>
                  </w:r>
                </w:p>
              </w:tc>
              <w:tc>
                <w:tcPr>
                  <w:tcW w:w="2775" w:type="dxa"/>
                  <w:vMerge w:val="continue"/>
                  <w:tcBorders>
                    <w:tl2br w:val="nil"/>
                    <w:tr2bl w:val="nil"/>
                  </w:tcBorders>
                </w:tcPr>
                <w:p w14:paraId="19E866E3">
                  <w:pPr>
                    <w:widowControl/>
                    <w:spacing w:line="240" w:lineRule="auto"/>
                    <w:jc w:val="left"/>
                    <w:rPr>
                      <w:rFonts w:hint="default" w:ascii="Times New Roman" w:hAnsi="Times New Roman" w:eastAsia="仿宋" w:cs="Times New Roman"/>
                      <w:color w:val="auto"/>
                      <w:kern w:val="0"/>
                      <w:szCs w:val="21"/>
                      <w:lang w:val="en-US" w:eastAsia="zh-CN"/>
                    </w:rPr>
                  </w:pPr>
                </w:p>
              </w:tc>
            </w:tr>
            <w:tr w14:paraId="717C0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41" w:type="dxa"/>
                  <w:tcBorders>
                    <w:tl2br w:val="nil"/>
                    <w:tr2bl w:val="nil"/>
                  </w:tcBorders>
                  <w:vAlign w:val="center"/>
                </w:tcPr>
                <w:p w14:paraId="65EAC578">
                  <w:pPr>
                    <w:widowControl/>
                    <w:spacing w:line="240" w:lineRule="auto"/>
                    <w:jc w:val="center"/>
                    <w:rPr>
                      <w:rFonts w:hint="default" w:ascii="Times New Roman" w:hAnsi="Times New Roman" w:eastAsia="仿宋" w:cs="Times New Roman"/>
                      <w:color w:val="auto"/>
                      <w:kern w:val="0"/>
                      <w:szCs w:val="21"/>
                      <w:lang w:val="en-US" w:eastAsia="zh-CN"/>
                    </w:rPr>
                  </w:pP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常州市生态环境局关于调整建设项目报备范围的通知</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常州市生态环境局，2021年11月30日</w:t>
                  </w:r>
                  <w:r>
                    <w:rPr>
                      <w:rFonts w:hint="eastAsia" w:ascii="Times New Roman" w:hAnsi="Times New Roman" w:eastAsia="仿宋" w:cs="Times New Roman"/>
                      <w:color w:val="auto"/>
                      <w:kern w:val="0"/>
                      <w:szCs w:val="21"/>
                      <w:lang w:val="en-US" w:eastAsia="zh-CN"/>
                    </w:rPr>
                    <w:t>）</w:t>
                  </w:r>
                </w:p>
              </w:tc>
              <w:tc>
                <w:tcPr>
                  <w:tcW w:w="3510" w:type="dxa"/>
                  <w:tcBorders>
                    <w:tl2br w:val="nil"/>
                    <w:tr2bl w:val="nil"/>
                  </w:tcBorders>
                </w:tcPr>
                <w:p w14:paraId="525BDF7E">
                  <w:pPr>
                    <w:widowControl/>
                    <w:spacing w:line="240" w:lineRule="auto"/>
                    <w:jc w:val="both"/>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lang w:val="en-US" w:eastAsia="zh-CN"/>
                    </w:rPr>
                    <w:t>报备范围现调整为</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1、重点区域</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我市大气质量国控点位周边三公里范围。2、重点行业</w:t>
                  </w:r>
                  <w:r>
                    <w:rPr>
                      <w:rFonts w:hint="eastAsia" w:ascii="Times New Roman" w:hAnsi="Times New Roman" w:eastAsia="仿宋" w:cs="Times New Roman"/>
                      <w:color w:val="auto"/>
                      <w:kern w:val="0"/>
                      <w:szCs w:val="21"/>
                      <w:lang w:val="en-US" w:eastAsia="zh-CN"/>
                    </w:rPr>
                    <w:t>：①“</w:t>
                  </w:r>
                  <w:r>
                    <w:rPr>
                      <w:rFonts w:hint="default" w:ascii="Times New Roman" w:hAnsi="Times New Roman" w:eastAsia="仿宋" w:cs="Times New Roman"/>
                      <w:color w:val="auto"/>
                      <w:kern w:val="0"/>
                      <w:szCs w:val="21"/>
                      <w:lang w:val="en-US" w:eastAsia="zh-CN"/>
                    </w:rPr>
                    <w:t>两高</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行业主要包括煤电、石化、化工、钢铁、有色金属冶炼和建材六大行业，以及制药、农药行业</w:t>
                  </w:r>
                  <w:r>
                    <w:rPr>
                      <w:rFonts w:hint="eastAsia" w:ascii="Times New Roman" w:hAnsi="Times New Roman" w:eastAsia="仿宋" w:cs="Times New Roman"/>
                      <w:color w:val="auto"/>
                      <w:kern w:val="0"/>
                      <w:szCs w:val="21"/>
                      <w:lang w:val="en-US" w:eastAsia="zh-CN"/>
                    </w:rPr>
                    <w:t>；②《</w:t>
                  </w:r>
                  <w:r>
                    <w:rPr>
                      <w:rFonts w:hint="default" w:ascii="Times New Roman" w:hAnsi="Times New Roman" w:eastAsia="仿宋" w:cs="Times New Roman"/>
                      <w:color w:val="auto"/>
                      <w:kern w:val="0"/>
                      <w:szCs w:val="21"/>
                      <w:lang w:val="en-US" w:eastAsia="zh-CN"/>
                    </w:rPr>
                    <w:t>环保保护综合名录</w:t>
                  </w:r>
                  <w:r>
                    <w:rPr>
                      <w:rFonts w:hint="eastAsia"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2021年版</w:t>
                  </w:r>
                  <w:r>
                    <w:rPr>
                      <w:rFonts w:hint="eastAsia" w:eastAsia="仿宋" w:cs="Times New Roman"/>
                      <w:color w:val="auto"/>
                      <w:kern w:val="0"/>
                      <w:szCs w:val="21"/>
                      <w:lang w:val="en-US" w:eastAsia="zh-CN"/>
                    </w:rPr>
                    <w:t>）</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中</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高污染</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和</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高污染、高环境风险</w:t>
                  </w:r>
                  <w:r>
                    <w:rPr>
                      <w:rFonts w:hint="eastAsia" w:ascii="Times New Roman" w:hAnsi="Times New Roman" w:eastAsia="仿宋" w:cs="Times New Roman"/>
                      <w:color w:val="auto"/>
                      <w:kern w:val="0"/>
                      <w:szCs w:val="21"/>
                      <w:lang w:val="en-US" w:eastAsia="zh-CN"/>
                    </w:rPr>
                    <w:t>”</w:t>
                  </w:r>
                  <w:r>
                    <w:rPr>
                      <w:rFonts w:hint="default" w:ascii="Times New Roman" w:hAnsi="Times New Roman" w:eastAsia="仿宋" w:cs="Times New Roman"/>
                      <w:color w:val="auto"/>
                      <w:kern w:val="0"/>
                      <w:szCs w:val="21"/>
                      <w:lang w:val="en-US" w:eastAsia="zh-CN"/>
                    </w:rPr>
                    <w:t>类别项目。</w:t>
                  </w:r>
                  <w:r>
                    <w:rPr>
                      <w:rFonts w:hint="eastAsia" w:ascii="Times New Roman" w:hAnsi="Times New Roman" w:eastAsia="仿宋" w:cs="Times New Roman"/>
                      <w:color w:val="auto"/>
                      <w:kern w:val="0"/>
                      <w:szCs w:val="21"/>
                      <w:lang w:val="en-US" w:eastAsia="zh-CN"/>
                    </w:rPr>
                    <w:t>”</w:t>
                  </w:r>
                </w:p>
              </w:tc>
              <w:tc>
                <w:tcPr>
                  <w:tcW w:w="2775" w:type="dxa"/>
                  <w:vMerge w:val="continue"/>
                  <w:tcBorders>
                    <w:tl2br w:val="nil"/>
                    <w:tr2bl w:val="nil"/>
                  </w:tcBorders>
                </w:tcPr>
                <w:p w14:paraId="14E4AF13">
                  <w:pPr>
                    <w:widowControl/>
                    <w:spacing w:line="240" w:lineRule="auto"/>
                    <w:jc w:val="left"/>
                    <w:rPr>
                      <w:rFonts w:hint="default" w:ascii="Times New Roman" w:hAnsi="Times New Roman" w:eastAsia="仿宋" w:cs="Times New Roman"/>
                      <w:color w:val="auto"/>
                      <w:kern w:val="0"/>
                      <w:szCs w:val="21"/>
                      <w:lang w:val="en-US" w:eastAsia="zh-CN"/>
                    </w:rPr>
                  </w:pPr>
                </w:p>
              </w:tc>
            </w:tr>
          </w:tbl>
          <w:p w14:paraId="5DF86BA1">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仿宋" w:cs="Times New Roman"/>
                <w:sz w:val="10"/>
                <w:szCs w:val="10"/>
                <w:lang w:val="en-US" w:eastAsia="zh-CN"/>
              </w:rPr>
            </w:pPr>
          </w:p>
          <w:p w14:paraId="5E43555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eastAsia="仿宋" w:cs="Times New Roman"/>
                <w:sz w:val="24"/>
                <w:lang w:val="en-US" w:eastAsia="zh-CN"/>
              </w:rPr>
            </w:pPr>
            <w:r>
              <w:rPr>
                <w:rFonts w:hint="default" w:ascii="Times New Roman" w:hAnsi="Times New Roman" w:eastAsia="仿宋" w:cs="Times New Roman"/>
                <w:color w:val="000000"/>
                <w:sz w:val="24"/>
              </w:rPr>
              <w:t>综上所述，本项目符合</w:t>
            </w:r>
            <w:r>
              <w:rPr>
                <w:rFonts w:hint="eastAsia" w:eastAsia="仿宋" w:cs="Times New Roman"/>
                <w:sz w:val="24"/>
                <w:lang w:val="en-US" w:eastAsia="zh-CN"/>
              </w:rPr>
              <w:t>《常州市生态环境局关于建设项目的审批指导意见（试行）》（常州市生态环境局，2021年4月7日）、《常州市生态环境局关于调整建设项目报备范围的通知》（常州市生态环境局，2021年11月20日）</w:t>
            </w:r>
            <w:r>
              <w:rPr>
                <w:rFonts w:hint="default" w:ascii="Times New Roman" w:hAnsi="Times New Roman" w:eastAsia="仿宋" w:cs="Times New Roman"/>
                <w:color w:val="000000"/>
                <w:sz w:val="24"/>
              </w:rPr>
              <w:t>相关内容。</w:t>
            </w:r>
          </w:p>
          <w:p w14:paraId="333E0ED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仿宋" w:cs="Times New Roman"/>
                <w:sz w:val="24"/>
              </w:rPr>
            </w:pPr>
            <w:r>
              <w:rPr>
                <w:rFonts w:hint="eastAsia" w:eastAsia="仿宋" w:cs="Times New Roman"/>
                <w:b/>
                <w:bCs/>
                <w:sz w:val="24"/>
                <w:lang w:val="en-US" w:eastAsia="zh-CN"/>
              </w:rPr>
              <w:t>6</w:t>
            </w:r>
            <w:r>
              <w:rPr>
                <w:rFonts w:hint="default" w:ascii="Times New Roman" w:hAnsi="Times New Roman" w:eastAsia="仿宋" w:cs="Times New Roman"/>
                <w:b/>
                <w:bCs/>
                <w:sz w:val="24"/>
              </w:rPr>
              <w:t>、小结</w:t>
            </w:r>
          </w:p>
          <w:p w14:paraId="3A2E46E8">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eastAsia="仿宋" w:cs="Times New Roman"/>
                <w:sz w:val="24"/>
              </w:rPr>
            </w:pPr>
            <w:r>
              <w:rPr>
                <w:rFonts w:hint="default" w:ascii="Times New Roman" w:hAnsi="Times New Roman" w:eastAsia="仿宋" w:cs="Times New Roman"/>
                <w:sz w:val="24"/>
              </w:rPr>
              <w:t>综上，本项目位于</w:t>
            </w:r>
            <w:r>
              <w:rPr>
                <w:rFonts w:hint="eastAsia" w:ascii="Times New Roman" w:hAnsi="Times New Roman" w:eastAsia="仿宋" w:cs="Times New Roman"/>
                <w:sz w:val="24"/>
                <w:lang w:val="en-US" w:eastAsia="zh-CN"/>
              </w:rPr>
              <w:t>江苏金坛经济开发区</w:t>
            </w:r>
            <w:r>
              <w:rPr>
                <w:rFonts w:hint="default" w:ascii="Times New Roman" w:hAnsi="Times New Roman" w:eastAsia="仿宋" w:cs="Times New Roman"/>
                <w:sz w:val="24"/>
              </w:rPr>
              <w:t>规划范围内，符合区域用地规划、产业政策、管理规定及产业定位等要求，符合园区规划环评结论及审查意见，符合“三线一单”要求，符合国家、常州市国土空间总体规划及“三区三线”要求</w:t>
            </w:r>
            <w:r>
              <w:rPr>
                <w:rFonts w:hint="default" w:ascii="Times New Roman" w:hAnsi="Times New Roman" w:eastAsia="仿宋" w:cs="Times New Roman"/>
                <w:sz w:val="24"/>
                <w:lang w:eastAsia="zh-CN"/>
              </w:rPr>
              <w:t>，</w:t>
            </w:r>
            <w:r>
              <w:rPr>
                <w:rFonts w:hint="default" w:ascii="Times New Roman" w:hAnsi="Times New Roman" w:eastAsia="仿宋" w:cs="Times New Roman"/>
                <w:sz w:val="24"/>
              </w:rPr>
              <w:t>符合太湖水污染防治文件要求，符合其他环境保护管理要求。因此，本项目选址合理可行。</w:t>
            </w:r>
          </w:p>
          <w:p w14:paraId="04CB31AC">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outlineLvl w:val="0"/>
              <w:rPr>
                <w:rFonts w:hint="default" w:ascii="Times New Roman" w:hAnsi="Times New Roman" w:eastAsia="仿宋" w:cs="Times New Roman"/>
                <w:sz w:val="24"/>
              </w:rPr>
            </w:pPr>
          </w:p>
        </w:tc>
      </w:tr>
    </w:tbl>
    <w:p w14:paraId="52A6EC53">
      <w:pPr>
        <w:spacing w:before="120" w:beforeLines="50" w:after="120" w:afterLines="50"/>
        <w:outlineLvl w:val="0"/>
        <w:rPr>
          <w:rFonts w:hint="default" w:ascii="Times New Roman" w:hAnsi="Times New Roman" w:eastAsia="仿宋" w:cs="Times New Roman"/>
          <w:b/>
          <w:bCs/>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491A6AB">
      <w:pPr>
        <w:spacing w:before="120" w:beforeLines="50" w:after="120" w:afterLines="50"/>
        <w:outlineLvl w:val="0"/>
        <w:rPr>
          <w:rFonts w:hint="default" w:ascii="Times New Roman" w:hAnsi="Times New Roman" w:eastAsia="仿宋" w:cs="Times New Roman"/>
          <w:b/>
          <w:bCs/>
          <w:snapToGrid w:val="0"/>
          <w:color w:val="auto"/>
          <w:sz w:val="30"/>
          <w:szCs w:val="30"/>
          <w:highlight w:val="none"/>
        </w:rPr>
      </w:pPr>
      <w:r>
        <w:rPr>
          <w:rFonts w:hint="default" w:ascii="Times New Roman" w:hAnsi="Times New Roman" w:eastAsia="仿宋" w:cs="Times New Roman"/>
          <w:b/>
          <w:bCs/>
          <w:snapToGrid w:val="0"/>
          <w:color w:val="auto"/>
          <w:sz w:val="30"/>
          <w:szCs w:val="30"/>
          <w:highlight w:val="none"/>
        </w:rPr>
        <w:t>二、建设项目工程分析</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8595"/>
      </w:tblGrid>
      <w:tr w14:paraId="1DB2F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43" w:hRule="atLeast"/>
          <w:jc w:val="center"/>
        </w:trPr>
        <w:tc>
          <w:tcPr>
            <w:tcW w:w="313" w:type="pct"/>
            <w:noWrap w:val="0"/>
            <w:vAlign w:val="center"/>
          </w:tcPr>
          <w:p w14:paraId="36E5F526">
            <w:pPr>
              <w:adjustRightInd w:val="0"/>
              <w:snapToGrid w:val="0"/>
              <w:spacing w:line="360" w:lineRule="auto"/>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sz w:val="24"/>
                <w:highlight w:val="none"/>
              </w:rPr>
              <w:t>建设内容</w:t>
            </w:r>
          </w:p>
        </w:tc>
        <w:tc>
          <w:tcPr>
            <w:tcW w:w="4686" w:type="pct"/>
            <w:noWrap w:val="0"/>
            <w:vAlign w:val="top"/>
          </w:tcPr>
          <w:p w14:paraId="00C02272">
            <w:pPr>
              <w:keepNext w:val="0"/>
              <w:keepLines w:val="0"/>
              <w:pageBreakBefore w:val="0"/>
              <w:widowControl w:val="0"/>
              <w:kinsoku/>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一、项目概况</w:t>
            </w:r>
          </w:p>
          <w:p w14:paraId="027DF195">
            <w:pPr>
              <w:keepNext w:val="0"/>
              <w:keepLines w:val="0"/>
              <w:pageBreakBefore w:val="0"/>
              <w:widowControl w:val="0"/>
              <w:kinsoku/>
              <w:wordWrap w:val="0"/>
              <w:overflowPunct/>
              <w:topLinePunct w:val="0"/>
              <w:autoSpaceDE/>
              <w:autoSpaceDN/>
              <w:bidi w:val="0"/>
              <w:adjustRightInd w:val="0"/>
              <w:snapToGrid w:val="0"/>
              <w:spacing w:line="360" w:lineRule="auto"/>
              <w:ind w:firstLine="482"/>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eastAsia="zh-CN"/>
              </w:rPr>
              <w:t>伊轩品牌管理（江苏）有限公司</w:t>
            </w:r>
            <w:r>
              <w:rPr>
                <w:rFonts w:hint="default" w:ascii="Times New Roman" w:hAnsi="Times New Roman" w:eastAsia="仿宋" w:cs="Times New Roman"/>
                <w:bCs/>
                <w:color w:val="auto"/>
                <w:sz w:val="24"/>
                <w:highlight w:val="none"/>
              </w:rPr>
              <w:t>成立于</w:t>
            </w:r>
            <w:r>
              <w:rPr>
                <w:rFonts w:hint="default" w:ascii="Times New Roman" w:hAnsi="Times New Roman" w:eastAsia="仿宋" w:cs="Times New Roman"/>
                <w:bCs/>
                <w:color w:val="auto"/>
                <w:sz w:val="24"/>
                <w:highlight w:val="none"/>
                <w:lang w:val="en-US" w:eastAsia="zh-CN"/>
              </w:rPr>
              <w:t>2018</w:t>
            </w:r>
            <w:r>
              <w:rPr>
                <w:rFonts w:hint="default" w:ascii="Times New Roman" w:hAnsi="Times New Roman" w:eastAsia="仿宋" w:cs="Times New Roman"/>
                <w:bCs/>
                <w:color w:val="auto"/>
                <w:sz w:val="24"/>
                <w:highlight w:val="none"/>
              </w:rPr>
              <w:t>年</w:t>
            </w:r>
            <w:r>
              <w:rPr>
                <w:rFonts w:hint="default" w:ascii="Times New Roman" w:hAnsi="Times New Roman" w:eastAsia="仿宋" w:cs="Times New Roman"/>
                <w:bCs/>
                <w:color w:val="auto"/>
                <w:sz w:val="24"/>
                <w:highlight w:val="none"/>
                <w:lang w:val="en-US" w:eastAsia="zh-CN"/>
              </w:rPr>
              <w:t>9</w:t>
            </w:r>
            <w:r>
              <w:rPr>
                <w:rFonts w:hint="default" w:ascii="Times New Roman" w:hAnsi="Times New Roman" w:eastAsia="仿宋" w:cs="Times New Roman"/>
                <w:bCs/>
                <w:color w:val="auto"/>
                <w:sz w:val="24"/>
                <w:highlight w:val="none"/>
              </w:rPr>
              <w:t>月</w:t>
            </w:r>
            <w:r>
              <w:rPr>
                <w:rFonts w:hint="default" w:ascii="Times New Roman" w:hAnsi="Times New Roman" w:eastAsia="仿宋" w:cs="Times New Roman"/>
                <w:bCs/>
                <w:color w:val="auto"/>
                <w:sz w:val="24"/>
                <w:highlight w:val="none"/>
                <w:lang w:val="en-US" w:eastAsia="zh-CN"/>
              </w:rPr>
              <w:t>17</w:t>
            </w:r>
            <w:r>
              <w:rPr>
                <w:rFonts w:hint="default" w:ascii="Times New Roman" w:hAnsi="Times New Roman" w:eastAsia="仿宋" w:cs="Times New Roman"/>
                <w:bCs/>
                <w:color w:val="auto"/>
                <w:sz w:val="24"/>
                <w:highlight w:val="none"/>
              </w:rPr>
              <w:t>日，企业类型为有限责任公司（自然人</w:t>
            </w:r>
            <w:r>
              <w:rPr>
                <w:rFonts w:hint="eastAsia" w:eastAsia="仿宋" w:cs="Times New Roman"/>
                <w:bCs/>
                <w:color w:val="auto"/>
                <w:sz w:val="24"/>
                <w:highlight w:val="none"/>
                <w:lang w:val="en-US" w:eastAsia="zh-CN"/>
              </w:rPr>
              <w:t>独资</w:t>
            </w:r>
            <w:r>
              <w:rPr>
                <w:rFonts w:hint="default" w:ascii="Times New Roman" w:hAnsi="Times New Roman" w:eastAsia="仿宋" w:cs="Times New Roman"/>
                <w:bCs/>
                <w:color w:val="auto"/>
                <w:sz w:val="24"/>
                <w:highlight w:val="none"/>
              </w:rPr>
              <w:t>），注册资本</w:t>
            </w:r>
            <w:r>
              <w:rPr>
                <w:rFonts w:hint="eastAsia" w:eastAsia="仿宋" w:cs="Times New Roman"/>
                <w:bCs/>
                <w:color w:val="auto"/>
                <w:sz w:val="24"/>
                <w:highlight w:val="none"/>
                <w:lang w:val="en-US" w:eastAsia="zh-CN"/>
              </w:rPr>
              <w:t>1000</w:t>
            </w:r>
            <w:r>
              <w:rPr>
                <w:rFonts w:hint="default" w:ascii="Times New Roman" w:hAnsi="Times New Roman" w:eastAsia="仿宋" w:cs="Times New Roman"/>
                <w:bCs/>
                <w:color w:val="auto"/>
                <w:sz w:val="24"/>
                <w:highlight w:val="none"/>
              </w:rPr>
              <w:t>万元整，住所为常州市金坛区金城镇盐港东路39号8幢7号，主要营业范围详见附件2。</w:t>
            </w:r>
          </w:p>
          <w:p w14:paraId="5FA7563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企业于2020年11月</w:t>
            </w:r>
            <w:r>
              <w:rPr>
                <w:rFonts w:hint="default" w:ascii="Times New Roman" w:hAnsi="Times New Roman" w:eastAsia="仿宋" w:cs="Times New Roman"/>
                <w:bCs/>
                <w:color w:val="auto"/>
                <w:sz w:val="24"/>
                <w:highlight w:val="none"/>
                <w:lang w:val="en-US" w:eastAsia="zh-CN"/>
              </w:rPr>
              <w:t>报批了</w:t>
            </w:r>
            <w:r>
              <w:rPr>
                <w:rFonts w:hint="default" w:ascii="Times New Roman" w:hAnsi="Times New Roman" w:eastAsia="仿宋" w:cs="Times New Roman"/>
                <w:bCs/>
                <w:color w:val="auto"/>
                <w:sz w:val="24"/>
                <w:highlight w:val="none"/>
              </w:rPr>
              <w:t>《化妆用具及医疗器械制造项目环境影响报告表》，该项目于2020年12月8日取得常州市生态环境局审批意见（常金环审</w:t>
            </w:r>
            <w:r>
              <w:rPr>
                <w:rFonts w:hint="default" w:ascii="Times New Roman" w:hAnsi="Times New Roman" w:eastAsia="仿宋" w:cs="Times New Roman"/>
                <w:bCs/>
                <w:color w:val="auto"/>
                <w:sz w:val="24"/>
                <w:highlight w:val="none"/>
                <w:lang w:eastAsia="zh-CN"/>
              </w:rPr>
              <w:t>〔2020〕176号</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设计产能为：</w:t>
            </w:r>
            <w:r>
              <w:rPr>
                <w:rFonts w:hint="default" w:ascii="Times New Roman" w:hAnsi="Times New Roman" w:eastAsia="仿宋" w:cs="Times New Roman"/>
                <w:bCs/>
                <w:color w:val="auto"/>
                <w:sz w:val="24"/>
                <w:highlight w:val="none"/>
              </w:rPr>
              <w:t>年产唇刷2亿只、睫毛刷2亿只、牙间刷5000万只、眼线刷5000万只、一次性取样器6000万只。项目</w:t>
            </w:r>
            <w:r>
              <w:rPr>
                <w:rFonts w:hint="default" w:ascii="Times New Roman" w:hAnsi="Times New Roman" w:eastAsia="仿宋" w:cs="Times New Roman"/>
                <w:bCs/>
                <w:color w:val="auto"/>
                <w:sz w:val="24"/>
                <w:highlight w:val="none"/>
                <w:lang w:val="en-US" w:eastAsia="zh-CN"/>
              </w:rPr>
              <w:t>分别</w:t>
            </w:r>
            <w:r>
              <w:rPr>
                <w:rFonts w:hint="default" w:ascii="Times New Roman" w:hAnsi="Times New Roman" w:eastAsia="仿宋" w:cs="Times New Roman"/>
                <w:bCs/>
                <w:color w:val="auto"/>
                <w:sz w:val="24"/>
                <w:highlight w:val="none"/>
              </w:rPr>
              <w:t>于2022年4月</w:t>
            </w:r>
            <w:r>
              <w:rPr>
                <w:rFonts w:hint="default" w:ascii="Times New Roman" w:hAnsi="Times New Roman" w:eastAsia="仿宋" w:cs="Times New Roman"/>
                <w:bCs/>
                <w:color w:val="auto"/>
                <w:sz w:val="24"/>
                <w:highlight w:val="none"/>
                <w:lang w:val="en-US" w:eastAsia="zh-CN"/>
              </w:rPr>
              <w:t>和2024年3月</w:t>
            </w:r>
            <w:r>
              <w:rPr>
                <w:rFonts w:hint="default" w:ascii="Times New Roman" w:hAnsi="Times New Roman" w:eastAsia="仿宋" w:cs="Times New Roman"/>
                <w:bCs/>
                <w:color w:val="auto"/>
                <w:sz w:val="24"/>
                <w:highlight w:val="none"/>
              </w:rPr>
              <w:t>通过</w:t>
            </w:r>
            <w:r>
              <w:rPr>
                <w:rFonts w:hint="default" w:ascii="Times New Roman" w:hAnsi="Times New Roman" w:eastAsia="仿宋" w:cs="Times New Roman"/>
                <w:bCs/>
                <w:color w:val="auto"/>
                <w:sz w:val="24"/>
                <w:highlight w:val="none"/>
                <w:lang w:val="en-US" w:eastAsia="zh-CN"/>
              </w:rPr>
              <w:t>部分自主验收，目前全厂实际产能为：年产唇刷1亿只、睫毛刷1亿只、眼线刷2500万只、一次性取样器3000万只、牙间刷5000只，由于现有客户需求不高，剩余产能及设备一直未建设。</w:t>
            </w:r>
          </w:p>
          <w:p w14:paraId="0C6C0A26">
            <w:pPr>
              <w:wordWrap w:val="0"/>
              <w:adjustRightInd w:val="0"/>
              <w:snapToGrid w:val="0"/>
              <w:spacing w:line="360" w:lineRule="auto"/>
              <w:ind w:firstLine="480" w:firstLineChars="200"/>
              <w:rPr>
                <w:rFonts w:hint="default" w:ascii="Times New Roman" w:hAnsi="Times New Roman" w:eastAsia="仿宋" w:cs="Times New Roman"/>
                <w:bCs/>
                <w:sz w:val="24"/>
              </w:rPr>
            </w:pPr>
            <w:r>
              <w:rPr>
                <w:rFonts w:hint="default" w:ascii="Times New Roman" w:hAnsi="Times New Roman" w:eastAsia="仿宋" w:cs="Times New Roman"/>
                <w:bCs/>
                <w:sz w:val="24"/>
                <w:lang w:val="en-US" w:eastAsia="zh-CN"/>
              </w:rPr>
              <w:t>因市场拓宽，为满足新客户需求</w:t>
            </w:r>
            <w:r>
              <w:rPr>
                <w:rFonts w:hint="default" w:ascii="Times New Roman" w:hAnsi="Times New Roman" w:eastAsia="仿宋" w:cs="Times New Roman"/>
                <w:bCs/>
                <w:sz w:val="24"/>
              </w:rPr>
              <w:t>，</w:t>
            </w:r>
            <w:r>
              <w:rPr>
                <w:rFonts w:hint="default" w:ascii="Times New Roman" w:hAnsi="Times New Roman" w:eastAsia="仿宋" w:cs="Times New Roman"/>
                <w:bCs/>
                <w:color w:val="auto"/>
                <w:sz w:val="24"/>
                <w:highlight w:val="none"/>
                <w:lang w:eastAsia="zh-CN"/>
              </w:rPr>
              <w:t>伊轩品牌管理（江苏）有限公司</w:t>
            </w:r>
            <w:r>
              <w:rPr>
                <w:rFonts w:hint="default" w:ascii="Times New Roman" w:hAnsi="Times New Roman" w:eastAsia="仿宋" w:cs="Times New Roman"/>
                <w:bCs/>
                <w:sz w:val="24"/>
              </w:rPr>
              <w:t>拟投资</w:t>
            </w:r>
          </w:p>
          <w:p w14:paraId="3D18A73B">
            <w:pPr>
              <w:wordWrap w:val="0"/>
              <w:adjustRightInd w:val="0"/>
              <w:snapToGrid w:val="0"/>
              <w:spacing w:line="360" w:lineRule="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sz w:val="24"/>
                <w:highlight w:val="none"/>
                <w:lang w:val="en-US" w:eastAsia="zh-CN"/>
              </w:rPr>
              <w:t>2</w:t>
            </w:r>
            <w:r>
              <w:rPr>
                <w:rFonts w:hint="default" w:ascii="Times New Roman" w:hAnsi="Times New Roman" w:eastAsia="仿宋" w:cs="Times New Roman"/>
                <w:bCs/>
                <w:sz w:val="24"/>
                <w:highlight w:val="none"/>
              </w:rPr>
              <w:t>000</w:t>
            </w:r>
            <w:r>
              <w:rPr>
                <w:rFonts w:hint="default" w:ascii="Times New Roman" w:hAnsi="Times New Roman" w:eastAsia="仿宋" w:cs="Times New Roman"/>
                <w:bCs/>
                <w:sz w:val="24"/>
              </w:rPr>
              <w:t>万元，扩建</w:t>
            </w:r>
            <w:r>
              <w:rPr>
                <w:rFonts w:hint="eastAsia"/>
                <w:lang w:eastAsia="zh-CN"/>
              </w:rPr>
              <w:t>“</w:t>
            </w:r>
            <w:r>
              <w:rPr>
                <w:rFonts w:hint="default" w:ascii="Times New Roman" w:hAnsi="Times New Roman" w:eastAsia="仿宋" w:cs="Times New Roman"/>
                <w:bCs/>
                <w:sz w:val="24"/>
                <w:lang w:val="en-US" w:eastAsia="zh-CN"/>
              </w:rPr>
              <w:t>年产1亿</w:t>
            </w:r>
            <w:r>
              <w:rPr>
                <w:rFonts w:hint="default" w:ascii="Times New Roman" w:hAnsi="Times New Roman" w:eastAsia="仿宋" w:cs="Times New Roman"/>
                <w:bCs/>
                <w:color w:val="auto"/>
                <w:sz w:val="24"/>
                <w:highlight w:val="none"/>
                <w:lang w:val="en-US" w:eastAsia="zh-CN"/>
              </w:rPr>
              <w:t>只唇刷</w:t>
            </w:r>
            <w:r>
              <w:rPr>
                <w:rFonts w:hint="default" w:ascii="Times New Roman" w:hAnsi="Times New Roman" w:eastAsia="仿宋" w:cs="Times New Roman"/>
                <w:bCs/>
                <w:color w:val="auto"/>
                <w:sz w:val="24"/>
                <w:highlight w:val="none"/>
                <w:lang w:eastAsia="zh-CN"/>
              </w:rPr>
              <w:t>项目</w:t>
            </w:r>
            <w:r>
              <w:rPr>
                <w:rFonts w:hint="eastAsia"/>
                <w:lang w:eastAsia="zh-CN"/>
              </w:rPr>
              <w:t>”</w:t>
            </w:r>
            <w:r>
              <w:rPr>
                <w:rFonts w:hint="default" w:ascii="Times New Roman" w:hAnsi="Times New Roman" w:eastAsia="仿宋" w:cs="Times New Roman"/>
                <w:bCs/>
                <w:color w:val="auto"/>
                <w:sz w:val="24"/>
                <w:highlight w:val="none"/>
                <w:lang w:eastAsia="zh-CN"/>
              </w:rPr>
              <w:t>，本项目建设内容及规模为：</w:t>
            </w:r>
            <w:r>
              <w:rPr>
                <w:rFonts w:hint="default" w:ascii="Times New Roman" w:hAnsi="Times New Roman" w:eastAsia="仿宋" w:cs="Times New Roman"/>
                <w:bCs/>
                <w:color w:val="auto"/>
                <w:sz w:val="24"/>
                <w:highlight w:val="none"/>
                <w:lang w:val="en-US" w:eastAsia="zh-CN"/>
              </w:rPr>
              <w:t>购置常州金博通众创园内8幢6号现有厂房</w:t>
            </w:r>
            <w:r>
              <w:rPr>
                <w:rFonts w:hint="eastAsia" w:ascii="Times New Roman" w:hAnsi="Times New Roman" w:eastAsia="仿宋" w:cs="Times New Roman"/>
                <w:bCs/>
                <w:color w:val="auto"/>
                <w:sz w:val="24"/>
                <w:highlight w:val="none"/>
                <w:lang w:val="en-US" w:eastAsia="zh-CN"/>
              </w:rPr>
              <w:t>（D6车间）建筑面积</w:t>
            </w:r>
            <w:r>
              <w:rPr>
                <w:rFonts w:hint="default" w:ascii="Times New Roman" w:hAnsi="Times New Roman" w:eastAsia="仿宋" w:cs="Times New Roman"/>
                <w:bCs/>
                <w:color w:val="auto"/>
                <w:sz w:val="24"/>
                <w:highlight w:val="none"/>
                <w:lang w:val="en-US" w:eastAsia="zh-CN"/>
              </w:rPr>
              <w:t>1185.2</w:t>
            </w:r>
            <w:r>
              <w:rPr>
                <w:rFonts w:hint="default" w:ascii="Times New Roman" w:hAnsi="Times New Roman" w:eastAsia="仿宋" w:cs="Times New Roman"/>
                <w:color w:val="auto"/>
                <w:kern w:val="0"/>
                <w:sz w:val="24"/>
                <w:highlight w:val="none"/>
                <w:lang w:val="en-US" w:eastAsia="zh-CN"/>
              </w:rPr>
              <w:t>7</w:t>
            </w:r>
            <w:r>
              <w:rPr>
                <w:rFonts w:hint="eastAsia" w:eastAsia="仿宋" w:cs="Times New Roman"/>
                <w:color w:val="auto"/>
                <w:kern w:val="0"/>
                <w:sz w:val="24"/>
                <w:highlight w:val="none"/>
                <w:lang w:val="en-US" w:eastAsia="zh-CN"/>
              </w:rPr>
              <w:t>m</w:t>
            </w:r>
            <w:r>
              <w:rPr>
                <w:rFonts w:hint="eastAsia" w:eastAsia="仿宋" w:cs="Times New Roman"/>
                <w:color w:val="auto"/>
                <w:kern w:val="0"/>
                <w:sz w:val="24"/>
                <w:highlight w:val="none"/>
                <w:vertAlign w:val="superscript"/>
                <w:lang w:val="en-US" w:eastAsia="zh-CN"/>
              </w:rPr>
              <w:t>2</w:t>
            </w:r>
            <w:r>
              <w:rPr>
                <w:rFonts w:hint="eastAsia" w:eastAsia="仿宋" w:cs="Times New Roman"/>
                <w:color w:val="auto"/>
                <w:kern w:val="0"/>
                <w:sz w:val="24"/>
                <w:highlight w:val="none"/>
                <w:lang w:val="en-US" w:eastAsia="zh-CN"/>
              </w:rPr>
              <w:t>，</w:t>
            </w:r>
            <w:r>
              <w:rPr>
                <w:rFonts w:hint="default" w:ascii="Times New Roman" w:hAnsi="Times New Roman" w:eastAsia="仿宋" w:cs="Times New Roman"/>
                <w:bCs/>
                <w:color w:val="auto"/>
                <w:sz w:val="24"/>
                <w:highlight w:val="none"/>
                <w:lang w:val="en-US" w:eastAsia="zh-CN"/>
              </w:rPr>
              <w:t>并</w:t>
            </w:r>
            <w:r>
              <w:rPr>
                <w:rFonts w:hint="default" w:ascii="Times New Roman" w:hAnsi="Times New Roman" w:eastAsia="仿宋" w:cs="Times New Roman"/>
                <w:bCs/>
                <w:sz w:val="24"/>
                <w:lang w:val="en-US" w:eastAsia="zh-CN"/>
              </w:rPr>
              <w:t>进行适应性装修改造，购置注塑机、植绒机、筛毛机、烘箱等主辅生产设备共11台（套），本项目</w:t>
            </w:r>
            <w:r>
              <w:rPr>
                <w:rFonts w:hint="eastAsia" w:eastAsia="仿宋" w:cs="Times New Roman"/>
                <w:bCs/>
                <w:sz w:val="24"/>
                <w:lang w:val="en-US" w:eastAsia="zh-CN"/>
              </w:rPr>
              <w:t>新增</w:t>
            </w:r>
            <w:r>
              <w:rPr>
                <w:rFonts w:hint="default" w:ascii="Times New Roman" w:hAnsi="Times New Roman" w:eastAsia="仿宋" w:cs="Times New Roman"/>
                <w:bCs/>
                <w:sz w:val="24"/>
                <w:lang w:val="en-US" w:eastAsia="zh-CN"/>
              </w:rPr>
              <w:t>年产1亿只唇刷的生产能力</w:t>
            </w:r>
            <w:r>
              <w:rPr>
                <w:rFonts w:hint="eastAsia" w:eastAsia="仿宋" w:cs="Times New Roman"/>
                <w:bCs/>
                <w:sz w:val="24"/>
                <w:lang w:val="en-US" w:eastAsia="zh-CN"/>
              </w:rPr>
              <w:t>，本项目建成后全厂设计产能为：年产唇刷3亿只、睫毛刷2亿只、牙间刷5000万只、眼线刷5000万只、一次性取样器6000万只</w:t>
            </w:r>
            <w:r>
              <w:rPr>
                <w:rFonts w:hint="default" w:ascii="Times New Roman" w:hAnsi="Times New Roman" w:eastAsia="仿宋" w:cs="Times New Roman"/>
                <w:bCs/>
                <w:sz w:val="24"/>
                <w:lang w:val="en-US" w:eastAsia="zh-CN"/>
              </w:rPr>
              <w:t>。</w:t>
            </w:r>
          </w:p>
          <w:p w14:paraId="006E4117">
            <w:pPr>
              <w:wordWrap w:val="0"/>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根据《中华人民共和国环境保护法》（2014年修订）、《中华人民共和国环境影响评价法》（2018年修正）、《建设项目环境保护管理条例》（国务院第682号令）等相关法律法规要求，建设过程中或者建成投产后可能对环境产生影响的新建、扩建、改建、迁建、技术改造项目及区域开发建设项目，必须进行环境影响评价。</w:t>
            </w:r>
            <w:r>
              <w:rPr>
                <w:rFonts w:hint="default" w:ascii="Times New Roman" w:hAnsi="Times New Roman" w:eastAsia="仿宋" w:cs="Times New Roman"/>
                <w:color w:val="auto"/>
                <w:sz w:val="24"/>
                <w:highlight w:val="none"/>
                <w:lang w:val="en-US" w:eastAsia="zh-CN"/>
              </w:rPr>
              <w:t>本项目产品为唇刷，中间产品唇刷棉头</w:t>
            </w:r>
            <w:r>
              <w:rPr>
                <w:rFonts w:hint="eastAsia" w:eastAsia="仿宋" w:cs="Times New Roman"/>
                <w:color w:val="auto"/>
                <w:sz w:val="24"/>
                <w:highlight w:val="none"/>
                <w:lang w:val="en-US" w:eastAsia="zh-CN"/>
              </w:rPr>
              <w:t>属于塑料制品</w:t>
            </w:r>
            <w:r>
              <w:rPr>
                <w:rFonts w:hint="default" w:ascii="Times New Roman" w:hAnsi="Times New Roman" w:eastAsia="仿宋" w:cs="Times New Roman"/>
                <w:color w:val="auto"/>
                <w:sz w:val="24"/>
                <w:highlight w:val="none"/>
                <w:lang w:val="en-US" w:eastAsia="zh-CN"/>
              </w:rPr>
              <w:t>，</w:t>
            </w:r>
            <w:r>
              <w:rPr>
                <w:rFonts w:hint="default" w:ascii="Times New Roman" w:hAnsi="Times New Roman" w:eastAsia="仿宋" w:cs="Times New Roman"/>
                <w:color w:val="auto"/>
                <w:sz w:val="24"/>
                <w:highlight w:val="none"/>
              </w:rPr>
              <w:t>对照《建设项目环境影响评价分类管理名录》（2021年版），本项目属于“三十八、其他制造业”中的“</w:t>
            </w:r>
            <w:r>
              <w:rPr>
                <w:rFonts w:hint="default" w:ascii="Times New Roman" w:hAnsi="Times New Roman" w:eastAsia="仿宋" w:cs="Times New Roman"/>
                <w:color w:val="auto"/>
                <w:sz w:val="24"/>
                <w:highlight w:val="none"/>
                <w:lang w:val="en-US" w:eastAsia="zh-CN"/>
              </w:rPr>
              <w:t>84、</w:t>
            </w:r>
            <w:r>
              <w:rPr>
                <w:rFonts w:hint="default" w:ascii="Times New Roman" w:hAnsi="Times New Roman" w:eastAsia="仿宋" w:cs="Times New Roman"/>
                <w:color w:val="auto"/>
                <w:sz w:val="24"/>
                <w:highlight w:val="none"/>
              </w:rPr>
              <w:t>日用杂品制造411”</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color w:val="auto"/>
                <w:sz w:val="24"/>
                <w:highlight w:val="none"/>
              </w:rPr>
              <w:t>“二十六、橡胶和塑料制品业29”</w:t>
            </w:r>
            <w:r>
              <w:rPr>
                <w:rFonts w:hint="default" w:ascii="Times New Roman" w:hAnsi="Times New Roman" w:eastAsia="仿宋" w:cs="Times New Roman"/>
                <w:color w:val="auto"/>
                <w:sz w:val="24"/>
                <w:highlight w:val="none"/>
                <w:lang w:val="en-US" w:eastAsia="zh-CN"/>
              </w:rPr>
              <w:t>中“</w:t>
            </w:r>
            <w:r>
              <w:rPr>
                <w:rFonts w:hint="default" w:ascii="Times New Roman" w:hAnsi="Times New Roman" w:eastAsia="仿宋" w:cs="Times New Roman"/>
                <w:color w:val="auto"/>
                <w:sz w:val="24"/>
                <w:highlight w:val="none"/>
              </w:rPr>
              <w:t>53</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color w:val="auto"/>
                <w:sz w:val="24"/>
                <w:highlight w:val="none"/>
              </w:rPr>
              <w:t>塑料制品业292</w:t>
            </w:r>
            <w:r>
              <w:rPr>
                <w:rFonts w:hint="default" w:ascii="Times New Roman" w:hAnsi="Times New Roman" w:eastAsia="仿宋" w:cs="Times New Roman"/>
                <w:color w:val="auto"/>
                <w:sz w:val="24"/>
                <w:highlight w:val="none"/>
                <w:lang w:val="en-US" w:eastAsia="zh-CN"/>
              </w:rPr>
              <w:t>中</w:t>
            </w:r>
            <w:r>
              <w:rPr>
                <w:rFonts w:hint="default" w:ascii="Times New Roman" w:hAnsi="Times New Roman" w:eastAsia="仿宋" w:cs="Times New Roman"/>
                <w:color w:val="auto"/>
                <w:sz w:val="24"/>
                <w:highlight w:val="none"/>
              </w:rPr>
              <w:t>其他（年用</w:t>
            </w:r>
            <w:r>
              <w:rPr>
                <w:rFonts w:hint="eastAsia" w:eastAsia="仿宋" w:cs="Times New Roman"/>
                <w:color w:val="auto"/>
                <w:sz w:val="24"/>
                <w:highlight w:val="none"/>
                <w:lang w:val="en-US" w:eastAsia="zh-CN"/>
              </w:rPr>
              <w:t>非</w:t>
            </w:r>
            <w:r>
              <w:rPr>
                <w:rFonts w:hint="default" w:ascii="Times New Roman" w:hAnsi="Times New Roman" w:eastAsia="仿宋" w:cs="Times New Roman"/>
                <w:color w:val="auto"/>
                <w:sz w:val="24"/>
                <w:highlight w:val="none"/>
              </w:rPr>
              <w:t>溶剂型低 VOCs 含量涂料 10 吨以下的除外），应编制环境影响报告表。</w:t>
            </w:r>
            <w:r>
              <w:rPr>
                <w:rFonts w:hint="default" w:ascii="Times New Roman" w:hAnsi="Times New Roman" w:eastAsia="仿宋" w:cs="Times New Roman"/>
                <w:color w:val="auto"/>
                <w:sz w:val="24"/>
                <w:highlight w:val="none"/>
                <w:lang w:eastAsia="zh-CN"/>
              </w:rPr>
              <w:t>伊轩品牌管理（江苏）有限公司</w:t>
            </w:r>
            <w:r>
              <w:rPr>
                <w:rFonts w:hint="default" w:ascii="Times New Roman" w:hAnsi="Times New Roman" w:eastAsia="仿宋" w:cs="Times New Roman"/>
                <w:color w:val="auto"/>
                <w:sz w:val="24"/>
                <w:highlight w:val="none"/>
              </w:rPr>
              <w:t>现委托</w:t>
            </w:r>
            <w:bookmarkStart w:id="12" w:name="_GoBack"/>
            <w:r>
              <w:rPr>
                <w:rFonts w:hint="default" w:ascii="Times New Roman" w:hAnsi="Times New Roman" w:eastAsia="仿宋" w:cs="Times New Roman"/>
                <w:color w:val="auto"/>
                <w:sz w:val="24"/>
                <w:highlight w:val="none"/>
              </w:rPr>
              <w:t>江苏冠晟环境科技有限公司</w:t>
            </w:r>
            <w:bookmarkEnd w:id="12"/>
            <w:r>
              <w:rPr>
                <w:rFonts w:hint="default" w:ascii="Times New Roman" w:hAnsi="Times New Roman" w:eastAsia="仿宋" w:cs="Times New Roman"/>
                <w:color w:val="auto"/>
                <w:sz w:val="24"/>
                <w:highlight w:val="none"/>
              </w:rPr>
              <w:t>对“</w:t>
            </w:r>
            <w:r>
              <w:rPr>
                <w:rFonts w:hint="default" w:ascii="Times New Roman" w:hAnsi="Times New Roman" w:eastAsia="仿宋" w:cs="Times New Roman"/>
                <w:color w:val="auto"/>
                <w:sz w:val="24"/>
                <w:highlight w:val="none"/>
                <w:u w:val="single"/>
                <w:lang w:eastAsia="zh-CN"/>
              </w:rPr>
              <w:t>年产1亿只唇刷项目</w:t>
            </w:r>
            <w:r>
              <w:rPr>
                <w:rFonts w:hint="default" w:ascii="Times New Roman" w:hAnsi="Times New Roman" w:eastAsia="仿宋" w:cs="Times New Roman"/>
                <w:color w:val="auto"/>
                <w:sz w:val="24"/>
                <w:highlight w:val="none"/>
              </w:rPr>
              <w:t>”进行环境影响评价，编制环境影响报告表，提交生态环境主管部门审批作为项目环境管理依据。</w:t>
            </w:r>
          </w:p>
          <w:p w14:paraId="41F14E59">
            <w:pPr>
              <w:adjustRightInd w:val="0"/>
              <w:snapToGrid w:val="0"/>
              <w:spacing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二、主体工程</w:t>
            </w:r>
          </w:p>
          <w:p w14:paraId="3D4AB664">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w:t>
            </w:r>
            <w:r>
              <w:rPr>
                <w:rFonts w:hint="default" w:ascii="Times New Roman" w:hAnsi="Times New Roman" w:eastAsia="仿宋" w:cs="Times New Roman"/>
                <w:bCs/>
                <w:color w:val="auto"/>
                <w:sz w:val="24"/>
                <w:highlight w:val="none"/>
                <w:lang w:val="en-US" w:eastAsia="zh-CN"/>
              </w:rPr>
              <w:t>产品</w:t>
            </w:r>
            <w:r>
              <w:rPr>
                <w:rFonts w:hint="default" w:ascii="Times New Roman" w:hAnsi="Times New Roman" w:eastAsia="仿宋" w:cs="Times New Roman"/>
                <w:bCs/>
                <w:color w:val="auto"/>
                <w:sz w:val="24"/>
                <w:highlight w:val="none"/>
              </w:rPr>
              <w:t>方案</w:t>
            </w:r>
          </w:p>
          <w:p w14:paraId="18B2B0BC">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本项目</w:t>
            </w:r>
            <w:r>
              <w:rPr>
                <w:rFonts w:hint="eastAsia" w:ascii="Times New Roman" w:hAnsi="Times New Roman" w:eastAsia="仿宋" w:cs="Times New Roman"/>
                <w:bCs/>
                <w:color w:val="auto"/>
                <w:sz w:val="24"/>
                <w:highlight w:val="none"/>
                <w:lang w:val="en-US" w:eastAsia="zh-CN"/>
              </w:rPr>
              <w:t>从事唇刷的生产，</w:t>
            </w:r>
            <w:r>
              <w:rPr>
                <w:rFonts w:hint="default" w:ascii="Times New Roman" w:hAnsi="Times New Roman" w:eastAsia="仿宋" w:cs="Times New Roman"/>
                <w:bCs/>
                <w:color w:val="auto"/>
                <w:sz w:val="24"/>
                <w:highlight w:val="none"/>
                <w:lang w:val="en-US" w:eastAsia="zh-CN"/>
              </w:rPr>
              <w:t>项目主体工程及产品方案见表2-1</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本项目建成</w:t>
            </w:r>
            <w:r>
              <w:rPr>
                <w:rFonts w:hint="default" w:ascii="Times New Roman" w:hAnsi="Times New Roman" w:eastAsia="仿宋" w:cs="Times New Roman"/>
                <w:bCs/>
                <w:color w:val="auto"/>
                <w:sz w:val="24"/>
                <w:highlight w:val="none"/>
              </w:rPr>
              <w:t>后全厂主体工程及产品方案详见表2-</w:t>
            </w:r>
            <w:r>
              <w:rPr>
                <w:rFonts w:hint="default" w:ascii="Times New Roman" w:hAnsi="Times New Roman" w:eastAsia="仿宋" w:cs="Times New Roman"/>
                <w:bCs/>
                <w:color w:val="auto"/>
                <w:sz w:val="24"/>
                <w:highlight w:val="none"/>
                <w:lang w:val="en-US" w:eastAsia="zh-CN"/>
              </w:rPr>
              <w:t>2</w:t>
            </w:r>
            <w:r>
              <w:rPr>
                <w:rFonts w:hint="default" w:ascii="Times New Roman" w:hAnsi="Times New Roman" w:eastAsia="仿宋" w:cs="Times New Roman"/>
                <w:bCs/>
                <w:color w:val="auto"/>
                <w:sz w:val="24"/>
                <w:highlight w:val="none"/>
              </w:rPr>
              <w:t>：</w:t>
            </w:r>
          </w:p>
          <w:p w14:paraId="30CBA561">
            <w:pPr>
              <w:jc w:val="center"/>
              <w:rPr>
                <w:rFonts w:hint="default" w:ascii="Times New Roman" w:hAnsi="Times New Roman" w:eastAsia="仿宋" w:cs="Times New Roman"/>
                <w:b/>
                <w:bCs/>
                <w:color w:val="auto"/>
                <w:sz w:val="24"/>
                <w:lang w:val="en-US" w:eastAsia="zh-CN"/>
              </w:rPr>
            </w:pPr>
            <w:r>
              <w:rPr>
                <w:rFonts w:hint="default" w:ascii="Times New Roman" w:hAnsi="Times New Roman" w:eastAsia="仿宋" w:cs="Times New Roman"/>
                <w:b/>
                <w:bCs/>
                <w:color w:val="auto"/>
                <w:sz w:val="24"/>
              </w:rPr>
              <w:t>表2-</w:t>
            </w:r>
            <w:r>
              <w:rPr>
                <w:rFonts w:hint="default" w:ascii="Times New Roman" w:hAnsi="Times New Roman" w:eastAsia="仿宋" w:cs="Times New Roman"/>
                <w:b/>
                <w:bCs/>
                <w:color w:val="auto"/>
                <w:sz w:val="24"/>
                <w:lang w:val="en-US" w:eastAsia="zh-CN"/>
              </w:rPr>
              <w:t>1</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val="en-US" w:eastAsia="zh-CN"/>
              </w:rPr>
              <w:t>本项目</w:t>
            </w:r>
            <w:r>
              <w:rPr>
                <w:rFonts w:hint="default" w:ascii="Times New Roman" w:hAnsi="Times New Roman" w:eastAsia="仿宋" w:cs="Times New Roman"/>
                <w:b/>
                <w:bCs/>
                <w:color w:val="auto"/>
                <w:sz w:val="24"/>
                <w:szCs w:val="20"/>
              </w:rPr>
              <w:t>主体工程及产品方案</w:t>
            </w:r>
            <w:r>
              <w:rPr>
                <w:rFonts w:hint="default" w:ascii="Times New Roman" w:hAnsi="Times New Roman" w:eastAsia="仿宋" w:cs="Times New Roman"/>
                <w:b/>
                <w:bCs/>
                <w:color w:val="auto"/>
                <w:sz w:val="24"/>
                <w:szCs w:val="20"/>
                <w:lang w:val="en-US" w:eastAsia="zh-CN"/>
              </w:rPr>
              <w:t>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159"/>
              <w:gridCol w:w="1706"/>
              <w:gridCol w:w="1061"/>
              <w:gridCol w:w="1061"/>
              <w:gridCol w:w="1084"/>
              <w:gridCol w:w="1305"/>
            </w:tblGrid>
            <w:tr w14:paraId="643CD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289" w:type="pct"/>
                  <w:vMerge w:val="restart"/>
                  <w:tcBorders>
                    <w:tl2br w:val="nil"/>
                    <w:tr2bl w:val="nil"/>
                  </w:tcBorders>
                  <w:noWrap w:val="0"/>
                  <w:vAlign w:val="center"/>
                </w:tcPr>
                <w:p w14:paraId="52E87C61">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主体工程名称</w:t>
                  </w:r>
                  <w:r>
                    <w:rPr>
                      <w:rFonts w:hint="default" w:ascii="Times New Roman" w:hAnsi="Times New Roman" w:eastAsia="仿宋" w:cs="Times New Roman"/>
                      <w:b/>
                      <w:bCs/>
                      <w:color w:val="auto"/>
                      <w:szCs w:val="21"/>
                      <w:lang w:eastAsia="zh-CN"/>
                    </w:rPr>
                    <w:t>（</w:t>
                  </w:r>
                  <w:r>
                    <w:rPr>
                      <w:rFonts w:hint="default" w:ascii="Times New Roman" w:hAnsi="Times New Roman" w:eastAsia="仿宋" w:cs="Times New Roman"/>
                      <w:b/>
                      <w:bCs/>
                      <w:color w:val="auto"/>
                      <w:szCs w:val="21"/>
                    </w:rPr>
                    <w:t>车间、生产装置或生产线</w:t>
                  </w:r>
                  <w:r>
                    <w:rPr>
                      <w:rFonts w:hint="default" w:ascii="Times New Roman" w:hAnsi="Times New Roman" w:eastAsia="仿宋" w:cs="Times New Roman"/>
                      <w:b/>
                      <w:bCs/>
                      <w:color w:val="auto"/>
                      <w:szCs w:val="21"/>
                      <w:lang w:eastAsia="zh-CN"/>
                    </w:rPr>
                    <w:t>）</w:t>
                  </w:r>
                </w:p>
              </w:tc>
              <w:tc>
                <w:tcPr>
                  <w:tcW w:w="1018" w:type="pct"/>
                  <w:vMerge w:val="restart"/>
                  <w:tcBorders>
                    <w:tl2br w:val="nil"/>
                    <w:tr2bl w:val="nil"/>
                  </w:tcBorders>
                  <w:noWrap w:val="0"/>
                  <w:vAlign w:val="center"/>
                </w:tcPr>
                <w:p w14:paraId="5D8C9CDD">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产品名称</w:t>
                  </w:r>
                </w:p>
              </w:tc>
              <w:tc>
                <w:tcPr>
                  <w:tcW w:w="1913" w:type="pct"/>
                  <w:gridSpan w:val="3"/>
                  <w:tcBorders>
                    <w:tl2br w:val="nil"/>
                    <w:tr2bl w:val="nil"/>
                  </w:tcBorders>
                  <w:noWrap w:val="0"/>
                  <w:vAlign w:val="center"/>
                </w:tcPr>
                <w:p w14:paraId="731A3C13">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设计能力</w:t>
                  </w:r>
                </w:p>
              </w:tc>
              <w:tc>
                <w:tcPr>
                  <w:tcW w:w="779" w:type="pct"/>
                  <w:vMerge w:val="restart"/>
                  <w:tcBorders>
                    <w:tl2br w:val="nil"/>
                    <w:tr2bl w:val="nil"/>
                  </w:tcBorders>
                  <w:noWrap w:val="0"/>
                  <w:vAlign w:val="center"/>
                </w:tcPr>
                <w:p w14:paraId="41B89913">
                  <w:pPr>
                    <w:jc w:val="center"/>
                    <w:rPr>
                      <w:rFonts w:hint="default" w:ascii="Times New Roman" w:hAnsi="Times New Roman" w:eastAsia="仿宋" w:cs="Times New Roman"/>
                      <w:b/>
                      <w:bCs/>
                      <w:color w:val="auto"/>
                      <w:szCs w:val="21"/>
                      <w:highlight w:val="none"/>
                      <w:lang w:val="en-US" w:eastAsia="zh-CN"/>
                    </w:rPr>
                  </w:pPr>
                  <w:r>
                    <w:rPr>
                      <w:rFonts w:hint="default" w:ascii="Times New Roman" w:hAnsi="Times New Roman" w:eastAsia="仿宋" w:cs="Times New Roman"/>
                      <w:b/>
                      <w:bCs/>
                      <w:color w:val="auto"/>
                      <w:szCs w:val="21"/>
                      <w:highlight w:val="none"/>
                    </w:rPr>
                    <w:t>年运行时数</w:t>
                  </w:r>
                  <w:r>
                    <w:rPr>
                      <w:rFonts w:hint="default" w:ascii="Times New Roman" w:hAnsi="Times New Roman" w:eastAsia="仿宋" w:cs="Times New Roman"/>
                      <w:b/>
                      <w:bCs/>
                      <w:color w:val="auto"/>
                      <w:szCs w:val="21"/>
                      <w:highlight w:val="none"/>
                      <w:vertAlign w:val="superscript"/>
                      <w:lang w:val="en-US" w:eastAsia="zh-CN"/>
                    </w:rPr>
                    <w:t>*</w:t>
                  </w:r>
                </w:p>
              </w:tc>
            </w:tr>
            <w:tr w14:paraId="2D44C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289" w:type="pct"/>
                  <w:vMerge w:val="continue"/>
                  <w:tcBorders>
                    <w:tl2br w:val="nil"/>
                    <w:tr2bl w:val="nil"/>
                  </w:tcBorders>
                  <w:noWrap w:val="0"/>
                  <w:vAlign w:val="center"/>
                </w:tcPr>
                <w:p w14:paraId="11CA472C">
                  <w:pPr>
                    <w:jc w:val="center"/>
                    <w:rPr>
                      <w:rFonts w:hint="default" w:ascii="Times New Roman" w:hAnsi="Times New Roman" w:eastAsia="仿宋" w:cs="Times New Roman"/>
                      <w:b/>
                      <w:bCs/>
                      <w:color w:val="auto"/>
                      <w:szCs w:val="21"/>
                    </w:rPr>
                  </w:pPr>
                </w:p>
              </w:tc>
              <w:tc>
                <w:tcPr>
                  <w:tcW w:w="1018" w:type="pct"/>
                  <w:vMerge w:val="continue"/>
                  <w:tcBorders>
                    <w:tl2br w:val="nil"/>
                    <w:tr2bl w:val="nil"/>
                  </w:tcBorders>
                  <w:noWrap w:val="0"/>
                  <w:vAlign w:val="center"/>
                </w:tcPr>
                <w:p w14:paraId="7E9AB201">
                  <w:pPr>
                    <w:jc w:val="center"/>
                    <w:rPr>
                      <w:rFonts w:hint="default" w:ascii="Times New Roman" w:hAnsi="Times New Roman" w:eastAsia="仿宋" w:cs="Times New Roman"/>
                      <w:b/>
                      <w:bCs/>
                      <w:color w:val="auto"/>
                      <w:szCs w:val="21"/>
                    </w:rPr>
                  </w:pPr>
                </w:p>
              </w:tc>
              <w:tc>
                <w:tcPr>
                  <w:tcW w:w="633" w:type="pct"/>
                  <w:tcBorders>
                    <w:tl2br w:val="nil"/>
                    <w:tr2bl w:val="nil"/>
                  </w:tcBorders>
                  <w:noWrap w:val="0"/>
                  <w:vAlign w:val="center"/>
                </w:tcPr>
                <w:p w14:paraId="718030C8">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lang w:val="en-US" w:eastAsia="zh-CN"/>
                    </w:rPr>
                    <w:t>扩建</w:t>
                  </w:r>
                  <w:r>
                    <w:rPr>
                      <w:rFonts w:hint="default" w:ascii="Times New Roman" w:hAnsi="Times New Roman" w:eastAsia="仿宋" w:cs="Times New Roman"/>
                      <w:b/>
                      <w:bCs/>
                      <w:color w:val="auto"/>
                      <w:szCs w:val="21"/>
                    </w:rPr>
                    <w:t>前</w:t>
                  </w:r>
                </w:p>
              </w:tc>
              <w:tc>
                <w:tcPr>
                  <w:tcW w:w="633" w:type="pct"/>
                  <w:tcBorders>
                    <w:tl2br w:val="nil"/>
                    <w:tr2bl w:val="nil"/>
                  </w:tcBorders>
                  <w:noWrap w:val="0"/>
                  <w:vAlign w:val="center"/>
                </w:tcPr>
                <w:p w14:paraId="3A293C49">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扩建后</w:t>
                  </w:r>
                </w:p>
              </w:tc>
              <w:tc>
                <w:tcPr>
                  <w:tcW w:w="646" w:type="pct"/>
                  <w:tcBorders>
                    <w:tl2br w:val="nil"/>
                    <w:tr2bl w:val="nil"/>
                  </w:tcBorders>
                  <w:noWrap w:val="0"/>
                  <w:vAlign w:val="center"/>
                </w:tcPr>
                <w:p w14:paraId="3BAB8C63">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变化量</w:t>
                  </w:r>
                </w:p>
              </w:tc>
              <w:tc>
                <w:tcPr>
                  <w:tcW w:w="779" w:type="pct"/>
                  <w:vMerge w:val="continue"/>
                  <w:tcBorders>
                    <w:tl2br w:val="nil"/>
                    <w:tr2bl w:val="nil"/>
                  </w:tcBorders>
                  <w:noWrap w:val="0"/>
                  <w:vAlign w:val="center"/>
                </w:tcPr>
                <w:p w14:paraId="29336A4B">
                  <w:pPr>
                    <w:jc w:val="center"/>
                    <w:rPr>
                      <w:rFonts w:hint="default" w:ascii="Times New Roman" w:hAnsi="Times New Roman" w:eastAsia="仿宋" w:cs="Times New Roman"/>
                      <w:b/>
                      <w:bCs/>
                      <w:color w:val="auto"/>
                      <w:szCs w:val="21"/>
                    </w:rPr>
                  </w:pPr>
                </w:p>
              </w:tc>
            </w:tr>
            <w:tr w14:paraId="756F3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289" w:type="pct"/>
                  <w:tcBorders>
                    <w:tl2br w:val="nil"/>
                    <w:tr2bl w:val="nil"/>
                  </w:tcBorders>
                  <w:noWrap w:val="0"/>
                  <w:vAlign w:val="center"/>
                </w:tcPr>
                <w:p w14:paraId="3F516992">
                  <w:pPr>
                    <w:jc w:val="center"/>
                    <w:rPr>
                      <w:rFonts w:hint="default" w:ascii="Times New Roman" w:hAnsi="Times New Roman" w:eastAsia="宋体" w:cs="Times New Roman"/>
                      <w:color w:val="auto"/>
                      <w:szCs w:val="21"/>
                      <w:highlight w:val="none"/>
                      <w:vertAlign w:val="superscript"/>
                      <w:lang w:val="en-US" w:eastAsia="zh-CN"/>
                    </w:rPr>
                  </w:pPr>
                  <w:r>
                    <w:rPr>
                      <w:rFonts w:hint="default" w:ascii="Times New Roman" w:hAnsi="Times New Roman" w:eastAsia="仿宋" w:cs="Times New Roman"/>
                      <w:color w:val="auto"/>
                      <w:szCs w:val="21"/>
                      <w:lang w:val="en-US" w:eastAsia="zh-CN"/>
                    </w:rPr>
                    <w:t>D6车间、D7车间</w:t>
                  </w:r>
                </w:p>
              </w:tc>
              <w:tc>
                <w:tcPr>
                  <w:tcW w:w="1018" w:type="pct"/>
                  <w:tcBorders>
                    <w:tl2br w:val="nil"/>
                    <w:tr2bl w:val="nil"/>
                  </w:tcBorders>
                  <w:noWrap w:val="0"/>
                  <w:vAlign w:val="center"/>
                </w:tcPr>
                <w:p w14:paraId="77B3B9D1">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唇刷</w:t>
                  </w:r>
                </w:p>
              </w:tc>
              <w:tc>
                <w:tcPr>
                  <w:tcW w:w="633" w:type="pct"/>
                  <w:tcBorders>
                    <w:tl2br w:val="nil"/>
                    <w:tr2bl w:val="nil"/>
                  </w:tcBorders>
                  <w:noWrap w:val="0"/>
                  <w:vAlign w:val="center"/>
                </w:tcPr>
                <w:p w14:paraId="6FE9240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2亿只</w:t>
                  </w:r>
                  <w:r>
                    <w:rPr>
                      <w:rFonts w:hint="default" w:ascii="Times New Roman" w:hAnsi="Times New Roman" w:eastAsia="仿宋" w:cs="Times New Roman"/>
                      <w:color w:val="auto"/>
                      <w:szCs w:val="21"/>
                      <w:highlight w:val="none"/>
                      <w:lang w:val="en-US" w:eastAsia="zh-CN"/>
                    </w:rPr>
                    <w:t>/年</w:t>
                  </w:r>
                </w:p>
              </w:tc>
              <w:tc>
                <w:tcPr>
                  <w:tcW w:w="633" w:type="pct"/>
                  <w:tcBorders>
                    <w:tl2br w:val="nil"/>
                    <w:tr2bl w:val="nil"/>
                  </w:tcBorders>
                  <w:noWrap w:val="0"/>
                  <w:vAlign w:val="center"/>
                </w:tcPr>
                <w:p w14:paraId="15438D81">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3亿只</w:t>
                  </w:r>
                  <w:r>
                    <w:rPr>
                      <w:rFonts w:hint="default" w:ascii="Times New Roman" w:hAnsi="Times New Roman" w:eastAsia="仿宋" w:cs="Times New Roman"/>
                      <w:color w:val="auto"/>
                      <w:szCs w:val="21"/>
                      <w:highlight w:val="none"/>
                      <w:lang w:val="en-US" w:eastAsia="zh-CN"/>
                    </w:rPr>
                    <w:t>/年</w:t>
                  </w:r>
                </w:p>
              </w:tc>
              <w:tc>
                <w:tcPr>
                  <w:tcW w:w="646" w:type="pct"/>
                  <w:tcBorders>
                    <w:tl2br w:val="nil"/>
                    <w:tr2bl w:val="nil"/>
                  </w:tcBorders>
                  <w:noWrap w:val="0"/>
                  <w:vAlign w:val="center"/>
                </w:tcPr>
                <w:p w14:paraId="2A0CB63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+1亿只</w:t>
                  </w:r>
                  <w:r>
                    <w:rPr>
                      <w:rFonts w:hint="default" w:ascii="Times New Roman" w:hAnsi="Times New Roman" w:eastAsia="仿宋" w:cs="Times New Roman"/>
                      <w:color w:val="auto"/>
                      <w:szCs w:val="21"/>
                      <w:highlight w:val="none"/>
                      <w:lang w:val="en-US" w:eastAsia="zh-CN"/>
                    </w:rPr>
                    <w:t>/年</w:t>
                  </w:r>
                </w:p>
              </w:tc>
              <w:tc>
                <w:tcPr>
                  <w:tcW w:w="779" w:type="pct"/>
                  <w:tcBorders>
                    <w:tl2br w:val="nil"/>
                    <w:tr2bl w:val="nil"/>
                  </w:tcBorders>
                  <w:noWrap w:val="0"/>
                  <w:vAlign w:val="center"/>
                </w:tcPr>
                <w:p w14:paraId="6005DC0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7200h</w:t>
                  </w:r>
                </w:p>
              </w:tc>
            </w:tr>
          </w:tbl>
          <w:p w14:paraId="22C67E7D">
            <w:pPr>
              <w:adjustRightInd w:val="0"/>
              <w:snapToGrid w:val="0"/>
              <w:jc w:val="left"/>
              <w:rPr>
                <w:rFonts w:hint="default" w:ascii="Times New Roman" w:hAnsi="Times New Roman" w:eastAsia="仿宋" w:cs="Times New Roman"/>
                <w:color w:val="auto"/>
                <w:spacing w:val="-6"/>
                <w:sz w:val="18"/>
                <w:szCs w:val="18"/>
                <w:lang w:eastAsia="zh-CN"/>
              </w:rPr>
            </w:pPr>
            <w:r>
              <w:rPr>
                <w:rFonts w:hint="default" w:ascii="Times New Roman" w:hAnsi="Times New Roman" w:eastAsia="仿宋" w:cs="Times New Roman"/>
                <w:color w:val="auto"/>
                <w:spacing w:val="-6"/>
                <w:sz w:val="18"/>
                <w:szCs w:val="18"/>
              </w:rPr>
              <w:t>注</w:t>
            </w:r>
            <w:r>
              <w:rPr>
                <w:rFonts w:hint="default" w:ascii="Times New Roman" w:hAnsi="Times New Roman" w:eastAsia="仿宋" w:cs="Times New Roman"/>
                <w:color w:val="auto"/>
                <w:spacing w:val="-6"/>
                <w:sz w:val="18"/>
                <w:szCs w:val="18"/>
                <w:lang w:val="en-US" w:eastAsia="zh-CN"/>
              </w:rPr>
              <w:t>*</w:t>
            </w:r>
            <w:r>
              <w:rPr>
                <w:rFonts w:hint="default" w:ascii="Times New Roman" w:hAnsi="Times New Roman" w:eastAsia="仿宋" w:cs="Times New Roman"/>
                <w:color w:val="auto"/>
                <w:spacing w:val="-6"/>
                <w:sz w:val="18"/>
                <w:szCs w:val="18"/>
              </w:rPr>
              <w:t>：指产品产能达到设计能力时生产所需总用时，各生产工艺具体运行时间以“工程分析”为准</w:t>
            </w:r>
            <w:r>
              <w:rPr>
                <w:rFonts w:hint="default" w:ascii="Times New Roman" w:hAnsi="Times New Roman" w:eastAsia="仿宋" w:cs="Times New Roman"/>
                <w:color w:val="auto"/>
                <w:spacing w:val="-6"/>
                <w:sz w:val="18"/>
                <w:szCs w:val="18"/>
                <w:lang w:eastAsia="zh-CN"/>
              </w:rPr>
              <w:t>；</w:t>
            </w:r>
          </w:p>
          <w:p w14:paraId="50692A61">
            <w:pPr>
              <w:keepNext w:val="0"/>
              <w:keepLines w:val="0"/>
              <w:pageBreakBefore w:val="0"/>
              <w:widowControl w:val="0"/>
              <w:kinsoku/>
              <w:wordWrap/>
              <w:overflowPunct/>
              <w:topLinePunct w:val="0"/>
              <w:autoSpaceDE/>
              <w:autoSpaceDN/>
              <w:bidi w:val="0"/>
              <w:adjustRightInd w:val="0"/>
              <w:snapToGrid w:val="0"/>
              <w:spacing w:before="157" w:beforeLines="50" w:line="276" w:lineRule="auto"/>
              <w:ind w:left="0" w:leftChars="0" w:right="0" w:rightChars="0" w:firstLine="0" w:firstLineChars="0"/>
              <w:jc w:val="center"/>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
                <w:bCs/>
                <w:color w:val="auto"/>
                <w:sz w:val="24"/>
              </w:rPr>
              <w:t>表2-</w:t>
            </w:r>
            <w:r>
              <w:rPr>
                <w:rFonts w:hint="default" w:ascii="Times New Roman" w:hAnsi="Times New Roman" w:eastAsia="仿宋" w:cs="Times New Roman"/>
                <w:b/>
                <w:bCs/>
                <w:color w:val="auto"/>
                <w:sz w:val="24"/>
                <w:lang w:val="en-US" w:eastAsia="zh-CN"/>
              </w:rPr>
              <w:t>2</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val="en-US" w:eastAsia="zh-CN"/>
              </w:rPr>
              <w:t>本项目建成后</w:t>
            </w:r>
            <w:r>
              <w:rPr>
                <w:rFonts w:hint="default" w:ascii="Times New Roman" w:hAnsi="Times New Roman" w:eastAsia="仿宋" w:cs="Times New Roman"/>
                <w:b/>
                <w:bCs/>
                <w:color w:val="auto"/>
                <w:spacing w:val="-6"/>
                <w:sz w:val="24"/>
                <w:szCs w:val="24"/>
                <w:lang w:val="en-US" w:eastAsia="zh-CN"/>
              </w:rPr>
              <w:t>全厂</w:t>
            </w:r>
            <w:r>
              <w:rPr>
                <w:rFonts w:hint="default" w:ascii="Times New Roman" w:hAnsi="Times New Roman" w:eastAsia="仿宋" w:cs="Times New Roman"/>
                <w:b/>
                <w:bCs/>
                <w:color w:val="auto"/>
                <w:sz w:val="24"/>
                <w:szCs w:val="20"/>
              </w:rPr>
              <w:t>产品方案</w:t>
            </w:r>
            <w:r>
              <w:rPr>
                <w:rFonts w:hint="default" w:ascii="Times New Roman" w:hAnsi="Times New Roman" w:eastAsia="仿宋" w:cs="Times New Roman"/>
                <w:b/>
                <w:bCs/>
                <w:color w:val="auto"/>
                <w:sz w:val="24"/>
                <w:szCs w:val="20"/>
                <w:lang w:val="en-US" w:eastAsia="zh-CN"/>
              </w:rPr>
              <w:t>一览表</w:t>
            </w:r>
          </w:p>
          <w:tbl>
            <w:tblPr>
              <w:tblStyle w:val="30"/>
              <w:tblpPr w:leftFromText="181" w:rightFromText="181" w:vertAnchor="text" w:horzAnchor="page" w:tblpX="80" w:tblpY="1"/>
              <w:tblOverlap w:val="never"/>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626"/>
              <w:gridCol w:w="1545"/>
              <w:gridCol w:w="1440"/>
              <w:gridCol w:w="1371"/>
              <w:gridCol w:w="1253"/>
              <w:gridCol w:w="714"/>
            </w:tblGrid>
            <w:tr w14:paraId="0813E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vMerge w:val="restart"/>
                  <w:tcBorders>
                    <w:tl2br w:val="nil"/>
                    <w:tr2bl w:val="nil"/>
                  </w:tcBorders>
                  <w:noWrap w:val="0"/>
                  <w:vAlign w:val="center"/>
                </w:tcPr>
                <w:p w14:paraId="07CBCA16">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971" w:type="pct"/>
                  <w:vMerge w:val="restart"/>
                  <w:tcBorders>
                    <w:tl2br w:val="nil"/>
                    <w:tr2bl w:val="nil"/>
                  </w:tcBorders>
                  <w:noWrap w:val="0"/>
                  <w:vAlign w:val="center"/>
                </w:tcPr>
                <w:p w14:paraId="79840A90">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主体工程名称</w:t>
                  </w:r>
                  <w:r>
                    <w:rPr>
                      <w:rFonts w:hint="default"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车间、生产装置或生产线</w:t>
                  </w:r>
                  <w:r>
                    <w:rPr>
                      <w:rFonts w:hint="default" w:ascii="Times New Roman" w:hAnsi="Times New Roman" w:eastAsia="仿宋" w:cs="Times New Roman"/>
                      <w:b/>
                      <w:bCs/>
                      <w:color w:val="auto"/>
                      <w:sz w:val="21"/>
                      <w:szCs w:val="21"/>
                      <w:lang w:eastAsia="zh-CN"/>
                    </w:rPr>
                    <w:t>）</w:t>
                  </w:r>
                </w:p>
              </w:tc>
              <w:tc>
                <w:tcPr>
                  <w:tcW w:w="922" w:type="pct"/>
                  <w:vMerge w:val="restart"/>
                  <w:tcBorders>
                    <w:tl2br w:val="nil"/>
                    <w:tr2bl w:val="nil"/>
                  </w:tcBorders>
                  <w:noWrap w:val="0"/>
                  <w:vAlign w:val="center"/>
                </w:tcPr>
                <w:p w14:paraId="54B2DE9E">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产品名称</w:t>
                  </w:r>
                </w:p>
              </w:tc>
              <w:tc>
                <w:tcPr>
                  <w:tcW w:w="2425" w:type="pct"/>
                  <w:gridSpan w:val="3"/>
                  <w:tcBorders>
                    <w:tl2br w:val="nil"/>
                    <w:tr2bl w:val="nil"/>
                  </w:tcBorders>
                  <w:noWrap w:val="0"/>
                  <w:vAlign w:val="center"/>
                </w:tcPr>
                <w:p w14:paraId="15D45F7D">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设计产能</w:t>
                  </w:r>
                </w:p>
              </w:tc>
              <w:tc>
                <w:tcPr>
                  <w:tcW w:w="426" w:type="pct"/>
                  <w:vMerge w:val="restart"/>
                  <w:tcBorders>
                    <w:tl2br w:val="nil"/>
                    <w:tr2bl w:val="nil"/>
                  </w:tcBorders>
                  <w:noWrap w:val="0"/>
                  <w:vAlign w:val="center"/>
                </w:tcPr>
                <w:p w14:paraId="07FFD513">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备注</w:t>
                  </w:r>
                </w:p>
              </w:tc>
            </w:tr>
            <w:tr w14:paraId="77FEF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4" w:type="pct"/>
                  <w:vMerge w:val="continue"/>
                  <w:tcBorders>
                    <w:tl2br w:val="nil"/>
                    <w:tr2bl w:val="nil"/>
                  </w:tcBorders>
                  <w:noWrap w:val="0"/>
                  <w:vAlign w:val="center"/>
                </w:tcPr>
                <w:p w14:paraId="3FCFBDFF">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p>
              </w:tc>
              <w:tc>
                <w:tcPr>
                  <w:tcW w:w="971" w:type="pct"/>
                  <w:vMerge w:val="continue"/>
                  <w:tcBorders>
                    <w:tl2br w:val="nil"/>
                    <w:tr2bl w:val="nil"/>
                  </w:tcBorders>
                  <w:noWrap w:val="0"/>
                  <w:vAlign w:val="center"/>
                </w:tcPr>
                <w:p w14:paraId="02DAF07B">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p>
              </w:tc>
              <w:tc>
                <w:tcPr>
                  <w:tcW w:w="922" w:type="pct"/>
                  <w:vMerge w:val="continue"/>
                  <w:tcBorders>
                    <w:tl2br w:val="nil"/>
                    <w:tr2bl w:val="nil"/>
                  </w:tcBorders>
                  <w:noWrap w:val="0"/>
                  <w:vAlign w:val="center"/>
                </w:tcPr>
                <w:p w14:paraId="01055F1F">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p>
              </w:tc>
              <w:tc>
                <w:tcPr>
                  <w:tcW w:w="859" w:type="pct"/>
                  <w:tcBorders>
                    <w:tl2br w:val="nil"/>
                    <w:tr2bl w:val="nil"/>
                  </w:tcBorders>
                  <w:noWrap w:val="0"/>
                  <w:vAlign w:val="center"/>
                </w:tcPr>
                <w:p w14:paraId="42DE1021">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扩建</w:t>
                  </w:r>
                  <w:r>
                    <w:rPr>
                      <w:rFonts w:hint="default" w:ascii="Times New Roman" w:hAnsi="Times New Roman" w:eastAsia="仿宋" w:cs="Times New Roman"/>
                      <w:b/>
                      <w:bCs/>
                      <w:color w:val="auto"/>
                      <w:sz w:val="21"/>
                      <w:szCs w:val="21"/>
                      <w:highlight w:val="none"/>
                    </w:rPr>
                    <w:t>前</w:t>
                  </w:r>
                </w:p>
              </w:tc>
              <w:tc>
                <w:tcPr>
                  <w:tcW w:w="818" w:type="pct"/>
                  <w:tcBorders>
                    <w:tl2br w:val="nil"/>
                    <w:tr2bl w:val="nil"/>
                  </w:tcBorders>
                  <w:noWrap w:val="0"/>
                  <w:vAlign w:val="center"/>
                </w:tcPr>
                <w:p w14:paraId="5DF8B16E">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扩建</w:t>
                  </w:r>
                  <w:r>
                    <w:rPr>
                      <w:rFonts w:hint="default" w:ascii="Times New Roman" w:hAnsi="Times New Roman" w:eastAsia="仿宋" w:cs="Times New Roman"/>
                      <w:b/>
                      <w:bCs/>
                      <w:color w:val="auto"/>
                      <w:sz w:val="21"/>
                      <w:szCs w:val="21"/>
                      <w:highlight w:val="none"/>
                    </w:rPr>
                    <w:t>后</w:t>
                  </w:r>
                </w:p>
              </w:tc>
              <w:tc>
                <w:tcPr>
                  <w:tcW w:w="747" w:type="pct"/>
                  <w:tcBorders>
                    <w:tl2br w:val="nil"/>
                    <w:tr2bl w:val="nil"/>
                  </w:tcBorders>
                  <w:noWrap w:val="0"/>
                  <w:vAlign w:val="center"/>
                </w:tcPr>
                <w:p w14:paraId="2E6EE53E">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rPr>
                    <w:t>变化</w:t>
                  </w:r>
                  <w:r>
                    <w:rPr>
                      <w:rFonts w:hint="default" w:ascii="Times New Roman" w:hAnsi="Times New Roman" w:eastAsia="仿宋" w:cs="Times New Roman"/>
                      <w:b/>
                      <w:bCs/>
                      <w:color w:val="auto"/>
                      <w:sz w:val="21"/>
                      <w:szCs w:val="21"/>
                      <w:lang w:val="en-US" w:eastAsia="zh-CN"/>
                    </w:rPr>
                    <w:t>量</w:t>
                  </w:r>
                </w:p>
              </w:tc>
              <w:tc>
                <w:tcPr>
                  <w:tcW w:w="426" w:type="pct"/>
                  <w:vMerge w:val="continue"/>
                  <w:tcBorders>
                    <w:tl2br w:val="nil"/>
                    <w:tr2bl w:val="nil"/>
                  </w:tcBorders>
                  <w:noWrap w:val="0"/>
                  <w:vAlign w:val="center"/>
                </w:tcPr>
                <w:p w14:paraId="01632241">
                  <w:pPr>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p>
              </w:tc>
            </w:tr>
            <w:tr w14:paraId="28845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14:paraId="772D2665">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w:t>
                  </w:r>
                </w:p>
              </w:tc>
              <w:tc>
                <w:tcPr>
                  <w:tcW w:w="971" w:type="pct"/>
                  <w:tcBorders>
                    <w:tl2br w:val="nil"/>
                    <w:tr2bl w:val="nil"/>
                  </w:tcBorders>
                  <w:shd w:val="clear" w:color="auto" w:fill="auto"/>
                  <w:noWrap w:val="0"/>
                  <w:vAlign w:val="center"/>
                </w:tcPr>
                <w:p w14:paraId="5CEAA44F">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D6车间、D7车间</w:t>
                  </w:r>
                </w:p>
              </w:tc>
              <w:tc>
                <w:tcPr>
                  <w:tcW w:w="922" w:type="pct"/>
                  <w:tcBorders>
                    <w:tl2br w:val="nil"/>
                    <w:tr2bl w:val="nil"/>
                  </w:tcBorders>
                  <w:shd w:val="clear" w:color="auto" w:fill="auto"/>
                  <w:noWrap w:val="0"/>
                  <w:vAlign w:val="center"/>
                </w:tcPr>
                <w:p w14:paraId="67C0F0A7">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唇刷</w:t>
                  </w:r>
                </w:p>
              </w:tc>
              <w:tc>
                <w:tcPr>
                  <w:tcW w:w="859" w:type="pct"/>
                  <w:tcBorders>
                    <w:tl2br w:val="nil"/>
                    <w:tr2bl w:val="nil"/>
                  </w:tcBorders>
                  <w:shd w:val="clear" w:color="auto" w:fill="auto"/>
                  <w:noWrap w:val="0"/>
                  <w:vAlign w:val="center"/>
                </w:tcPr>
                <w:p w14:paraId="6F7E7FBB">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2亿只/年</w:t>
                  </w:r>
                </w:p>
              </w:tc>
              <w:tc>
                <w:tcPr>
                  <w:tcW w:w="818" w:type="pct"/>
                  <w:tcBorders>
                    <w:tl2br w:val="nil"/>
                    <w:tr2bl w:val="nil"/>
                  </w:tcBorders>
                  <w:noWrap w:val="0"/>
                  <w:vAlign w:val="center"/>
                </w:tcPr>
                <w:p w14:paraId="4B134A78">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3亿只/年</w:t>
                  </w:r>
                </w:p>
              </w:tc>
              <w:tc>
                <w:tcPr>
                  <w:tcW w:w="747" w:type="pct"/>
                  <w:tcBorders>
                    <w:tl2br w:val="nil"/>
                    <w:tr2bl w:val="nil"/>
                  </w:tcBorders>
                  <w:noWrap w:val="0"/>
                  <w:vAlign w:val="center"/>
                </w:tcPr>
                <w:p w14:paraId="3776D05C">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w:t>
                  </w:r>
                  <w:r>
                    <w:rPr>
                      <w:rFonts w:hint="eastAsia" w:eastAsia="仿宋" w:cs="Times New Roman"/>
                      <w:color w:val="auto"/>
                      <w:szCs w:val="21"/>
                      <w:lang w:val="en-US" w:eastAsia="zh-CN"/>
                    </w:rPr>
                    <w:t>1</w:t>
                  </w:r>
                  <w:r>
                    <w:rPr>
                      <w:rFonts w:hint="default" w:ascii="Times New Roman" w:hAnsi="Times New Roman" w:eastAsia="仿宋" w:cs="Times New Roman"/>
                      <w:color w:val="auto"/>
                      <w:szCs w:val="21"/>
                      <w:lang w:val="en-US" w:eastAsia="zh-CN"/>
                    </w:rPr>
                    <w:t>亿只/年</w:t>
                  </w:r>
                </w:p>
              </w:tc>
              <w:tc>
                <w:tcPr>
                  <w:tcW w:w="426" w:type="pct"/>
                  <w:tcBorders>
                    <w:tl2br w:val="nil"/>
                    <w:tr2bl w:val="nil"/>
                  </w:tcBorders>
                  <w:noWrap w:val="0"/>
                  <w:vAlign w:val="center"/>
                </w:tcPr>
                <w:p w14:paraId="4AB8168A">
                  <w:pPr>
                    <w:adjustRightInd w:val="0"/>
                    <w:snapToGrid w:val="0"/>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增加</w:t>
                  </w:r>
                </w:p>
              </w:tc>
            </w:tr>
            <w:tr w14:paraId="1EB71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14:paraId="443F4C74">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w:t>
                  </w:r>
                </w:p>
              </w:tc>
              <w:tc>
                <w:tcPr>
                  <w:tcW w:w="971" w:type="pct"/>
                  <w:vMerge w:val="restart"/>
                  <w:tcBorders>
                    <w:tl2br w:val="nil"/>
                    <w:tr2bl w:val="nil"/>
                  </w:tcBorders>
                  <w:shd w:val="clear" w:color="auto" w:fill="auto"/>
                  <w:noWrap w:val="0"/>
                  <w:vAlign w:val="center"/>
                </w:tcPr>
                <w:p w14:paraId="77B36116">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D7车间</w:t>
                  </w:r>
                </w:p>
              </w:tc>
              <w:tc>
                <w:tcPr>
                  <w:tcW w:w="922" w:type="pct"/>
                  <w:tcBorders>
                    <w:tl2br w:val="nil"/>
                    <w:tr2bl w:val="nil"/>
                  </w:tcBorders>
                  <w:shd w:val="clear" w:color="auto" w:fill="auto"/>
                  <w:noWrap w:val="0"/>
                  <w:vAlign w:val="center"/>
                </w:tcPr>
                <w:p w14:paraId="0BAC386C">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睫毛刷</w:t>
                  </w:r>
                </w:p>
              </w:tc>
              <w:tc>
                <w:tcPr>
                  <w:tcW w:w="859" w:type="pct"/>
                  <w:tcBorders>
                    <w:tl2br w:val="nil"/>
                    <w:tr2bl w:val="nil"/>
                  </w:tcBorders>
                  <w:shd w:val="clear" w:color="auto" w:fill="auto"/>
                  <w:noWrap w:val="0"/>
                  <w:vAlign w:val="center"/>
                </w:tcPr>
                <w:p w14:paraId="4A4C4C94">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2亿只/年</w:t>
                  </w:r>
                </w:p>
              </w:tc>
              <w:tc>
                <w:tcPr>
                  <w:tcW w:w="818" w:type="pct"/>
                  <w:tcBorders>
                    <w:tl2br w:val="nil"/>
                    <w:tr2bl w:val="nil"/>
                  </w:tcBorders>
                  <w:noWrap w:val="0"/>
                  <w:vAlign w:val="center"/>
                </w:tcPr>
                <w:p w14:paraId="1A8AA565">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2亿只/年</w:t>
                  </w:r>
                </w:p>
              </w:tc>
              <w:tc>
                <w:tcPr>
                  <w:tcW w:w="747" w:type="pct"/>
                  <w:tcBorders>
                    <w:tl2br w:val="nil"/>
                    <w:tr2bl w:val="nil"/>
                  </w:tcBorders>
                  <w:noWrap w:val="0"/>
                  <w:vAlign w:val="center"/>
                </w:tcPr>
                <w:p w14:paraId="4750F5E3">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0亿只/年</w:t>
                  </w:r>
                </w:p>
              </w:tc>
              <w:tc>
                <w:tcPr>
                  <w:tcW w:w="426" w:type="pct"/>
                  <w:vMerge w:val="restart"/>
                  <w:tcBorders>
                    <w:tl2br w:val="nil"/>
                    <w:tr2bl w:val="nil"/>
                  </w:tcBorders>
                  <w:noWrap w:val="0"/>
                  <w:vAlign w:val="center"/>
                </w:tcPr>
                <w:p w14:paraId="1254CFCA">
                  <w:pPr>
                    <w:adjustRightInd w:val="0"/>
                    <w:snapToGrid w:val="0"/>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不变</w:t>
                  </w:r>
                </w:p>
              </w:tc>
            </w:tr>
            <w:tr w14:paraId="00B61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14:paraId="352AC641">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w:t>
                  </w:r>
                </w:p>
              </w:tc>
              <w:tc>
                <w:tcPr>
                  <w:tcW w:w="971" w:type="pct"/>
                  <w:vMerge w:val="continue"/>
                  <w:tcBorders>
                    <w:tl2br w:val="nil"/>
                    <w:tr2bl w:val="nil"/>
                  </w:tcBorders>
                  <w:shd w:val="clear" w:color="auto" w:fill="auto"/>
                  <w:noWrap w:val="0"/>
                  <w:vAlign w:val="center"/>
                </w:tcPr>
                <w:p w14:paraId="0A252DDF">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p>
              </w:tc>
              <w:tc>
                <w:tcPr>
                  <w:tcW w:w="922" w:type="pct"/>
                  <w:tcBorders>
                    <w:tl2br w:val="nil"/>
                    <w:tr2bl w:val="nil"/>
                  </w:tcBorders>
                  <w:shd w:val="clear" w:color="auto" w:fill="auto"/>
                  <w:noWrap w:val="0"/>
                  <w:vAlign w:val="center"/>
                </w:tcPr>
                <w:p w14:paraId="3FCC3BC2">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眼线刷</w:t>
                  </w:r>
                </w:p>
              </w:tc>
              <w:tc>
                <w:tcPr>
                  <w:tcW w:w="859" w:type="pct"/>
                  <w:tcBorders>
                    <w:tl2br w:val="nil"/>
                    <w:tr2bl w:val="nil"/>
                  </w:tcBorders>
                  <w:shd w:val="clear" w:color="auto" w:fill="auto"/>
                  <w:noWrap w:val="0"/>
                  <w:vAlign w:val="center"/>
                </w:tcPr>
                <w:p w14:paraId="24CF3FF8">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5000万只/年</w:t>
                  </w:r>
                </w:p>
              </w:tc>
              <w:tc>
                <w:tcPr>
                  <w:tcW w:w="818" w:type="pct"/>
                  <w:tcBorders>
                    <w:tl2br w:val="nil"/>
                    <w:tr2bl w:val="nil"/>
                  </w:tcBorders>
                  <w:noWrap w:val="0"/>
                  <w:vAlign w:val="center"/>
                </w:tcPr>
                <w:p w14:paraId="1C325531">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5000万只/年</w:t>
                  </w:r>
                </w:p>
              </w:tc>
              <w:tc>
                <w:tcPr>
                  <w:tcW w:w="747" w:type="pct"/>
                  <w:tcBorders>
                    <w:tl2br w:val="nil"/>
                    <w:tr2bl w:val="nil"/>
                  </w:tcBorders>
                  <w:noWrap w:val="0"/>
                  <w:vAlign w:val="center"/>
                </w:tcPr>
                <w:p w14:paraId="1A371882">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0万只/年</w:t>
                  </w:r>
                </w:p>
              </w:tc>
              <w:tc>
                <w:tcPr>
                  <w:tcW w:w="426" w:type="pct"/>
                  <w:vMerge w:val="continue"/>
                  <w:tcBorders>
                    <w:tl2br w:val="nil"/>
                    <w:tr2bl w:val="nil"/>
                  </w:tcBorders>
                  <w:noWrap w:val="0"/>
                  <w:vAlign w:val="center"/>
                </w:tcPr>
                <w:p w14:paraId="4D60148C">
                  <w:pPr>
                    <w:adjustRightInd w:val="0"/>
                    <w:snapToGrid w:val="0"/>
                    <w:spacing w:line="240" w:lineRule="auto"/>
                    <w:ind w:firstLine="0" w:firstLineChars="0"/>
                    <w:jc w:val="center"/>
                    <w:rPr>
                      <w:rFonts w:hint="default" w:ascii="Times New Roman" w:hAnsi="Times New Roman" w:eastAsia="仿宋" w:cs="Times New Roman"/>
                      <w:color w:val="auto"/>
                      <w:sz w:val="21"/>
                      <w:szCs w:val="21"/>
                    </w:rPr>
                  </w:pPr>
                </w:p>
              </w:tc>
            </w:tr>
            <w:tr w14:paraId="66295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14:paraId="6C953C67">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w:t>
                  </w:r>
                </w:p>
              </w:tc>
              <w:tc>
                <w:tcPr>
                  <w:tcW w:w="971" w:type="pct"/>
                  <w:vMerge w:val="restart"/>
                  <w:tcBorders>
                    <w:tl2br w:val="nil"/>
                    <w:tr2bl w:val="nil"/>
                  </w:tcBorders>
                  <w:shd w:val="clear" w:color="auto" w:fill="auto"/>
                  <w:noWrap w:val="0"/>
                  <w:vAlign w:val="center"/>
                </w:tcPr>
                <w:p w14:paraId="0BF6E275">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F16车间</w:t>
                  </w:r>
                </w:p>
              </w:tc>
              <w:tc>
                <w:tcPr>
                  <w:tcW w:w="922" w:type="pct"/>
                  <w:tcBorders>
                    <w:tl2br w:val="nil"/>
                    <w:tr2bl w:val="nil"/>
                  </w:tcBorders>
                  <w:shd w:val="clear" w:color="auto" w:fill="auto"/>
                  <w:noWrap w:val="0"/>
                  <w:vAlign w:val="center"/>
                </w:tcPr>
                <w:p w14:paraId="154C7456">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牙间刷</w:t>
                  </w:r>
                </w:p>
              </w:tc>
              <w:tc>
                <w:tcPr>
                  <w:tcW w:w="859" w:type="pct"/>
                  <w:tcBorders>
                    <w:tl2br w:val="nil"/>
                    <w:tr2bl w:val="nil"/>
                  </w:tcBorders>
                  <w:shd w:val="clear" w:color="auto" w:fill="auto"/>
                  <w:noWrap w:val="0"/>
                  <w:vAlign w:val="center"/>
                </w:tcPr>
                <w:p w14:paraId="66CB1503">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5000万只/年</w:t>
                  </w:r>
                </w:p>
              </w:tc>
              <w:tc>
                <w:tcPr>
                  <w:tcW w:w="818" w:type="pct"/>
                  <w:tcBorders>
                    <w:tl2br w:val="nil"/>
                    <w:tr2bl w:val="nil"/>
                  </w:tcBorders>
                  <w:noWrap w:val="0"/>
                  <w:vAlign w:val="center"/>
                </w:tcPr>
                <w:p w14:paraId="4339C1DC">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5000万只/年</w:t>
                  </w:r>
                </w:p>
              </w:tc>
              <w:tc>
                <w:tcPr>
                  <w:tcW w:w="747" w:type="pct"/>
                  <w:tcBorders>
                    <w:tl2br w:val="nil"/>
                    <w:tr2bl w:val="nil"/>
                  </w:tcBorders>
                  <w:noWrap w:val="0"/>
                  <w:vAlign w:val="center"/>
                </w:tcPr>
                <w:p w14:paraId="6231F30F">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0万只/年</w:t>
                  </w:r>
                </w:p>
              </w:tc>
              <w:tc>
                <w:tcPr>
                  <w:tcW w:w="426" w:type="pct"/>
                  <w:vMerge w:val="continue"/>
                  <w:tcBorders>
                    <w:tl2br w:val="nil"/>
                    <w:tr2bl w:val="nil"/>
                  </w:tcBorders>
                  <w:noWrap w:val="0"/>
                  <w:vAlign w:val="center"/>
                </w:tcPr>
                <w:p w14:paraId="5BEAFD18">
                  <w:pPr>
                    <w:adjustRightInd w:val="0"/>
                    <w:snapToGrid w:val="0"/>
                    <w:spacing w:line="240" w:lineRule="auto"/>
                    <w:ind w:firstLine="0" w:firstLineChars="0"/>
                    <w:jc w:val="center"/>
                    <w:rPr>
                      <w:rFonts w:hint="default" w:ascii="Times New Roman" w:hAnsi="Times New Roman" w:eastAsia="仿宋" w:cs="Times New Roman"/>
                      <w:color w:val="auto"/>
                      <w:sz w:val="21"/>
                      <w:szCs w:val="21"/>
                    </w:rPr>
                  </w:pPr>
                </w:p>
              </w:tc>
            </w:tr>
            <w:tr w14:paraId="5163F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14:paraId="2382C3BD">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5</w:t>
                  </w:r>
                </w:p>
              </w:tc>
              <w:tc>
                <w:tcPr>
                  <w:tcW w:w="971" w:type="pct"/>
                  <w:vMerge w:val="continue"/>
                  <w:tcBorders>
                    <w:tl2br w:val="nil"/>
                    <w:tr2bl w:val="nil"/>
                  </w:tcBorders>
                  <w:shd w:val="clear" w:color="auto" w:fill="auto"/>
                  <w:noWrap w:val="0"/>
                  <w:vAlign w:val="center"/>
                </w:tcPr>
                <w:p w14:paraId="01E60B04">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p>
              </w:tc>
              <w:tc>
                <w:tcPr>
                  <w:tcW w:w="922" w:type="pct"/>
                  <w:tcBorders>
                    <w:tl2br w:val="nil"/>
                    <w:tr2bl w:val="nil"/>
                  </w:tcBorders>
                  <w:shd w:val="clear" w:color="auto" w:fill="auto"/>
                  <w:noWrap w:val="0"/>
                  <w:vAlign w:val="center"/>
                </w:tcPr>
                <w:p w14:paraId="40E17C47">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一次性取样器</w:t>
                  </w:r>
                </w:p>
              </w:tc>
              <w:tc>
                <w:tcPr>
                  <w:tcW w:w="859" w:type="pct"/>
                  <w:tcBorders>
                    <w:tl2br w:val="nil"/>
                    <w:tr2bl w:val="nil"/>
                  </w:tcBorders>
                  <w:shd w:val="clear" w:color="auto" w:fill="auto"/>
                  <w:noWrap w:val="0"/>
                  <w:vAlign w:val="center"/>
                </w:tcPr>
                <w:p w14:paraId="69991585">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6000万只/年</w:t>
                  </w:r>
                </w:p>
              </w:tc>
              <w:tc>
                <w:tcPr>
                  <w:tcW w:w="818" w:type="pct"/>
                  <w:tcBorders>
                    <w:tl2br w:val="nil"/>
                    <w:tr2bl w:val="nil"/>
                  </w:tcBorders>
                  <w:noWrap w:val="0"/>
                  <w:vAlign w:val="center"/>
                </w:tcPr>
                <w:p w14:paraId="5D1F78FE">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6000万只/年</w:t>
                  </w:r>
                </w:p>
              </w:tc>
              <w:tc>
                <w:tcPr>
                  <w:tcW w:w="747" w:type="pct"/>
                  <w:tcBorders>
                    <w:tl2br w:val="nil"/>
                    <w:tr2bl w:val="nil"/>
                  </w:tcBorders>
                  <w:noWrap w:val="0"/>
                  <w:vAlign w:val="center"/>
                </w:tcPr>
                <w:p w14:paraId="013581AE">
                  <w:pPr>
                    <w:adjustRightInd w:val="0"/>
                    <w:snapToGrid w:val="0"/>
                    <w:spacing w:line="240" w:lineRule="auto"/>
                    <w:ind w:firstLine="0" w:firstLineChars="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0万只/年</w:t>
                  </w:r>
                </w:p>
              </w:tc>
              <w:tc>
                <w:tcPr>
                  <w:tcW w:w="426" w:type="pct"/>
                  <w:vMerge w:val="continue"/>
                  <w:tcBorders>
                    <w:tl2br w:val="nil"/>
                    <w:tr2bl w:val="nil"/>
                  </w:tcBorders>
                  <w:noWrap w:val="0"/>
                  <w:vAlign w:val="center"/>
                </w:tcPr>
                <w:p w14:paraId="7D32160C">
                  <w:pPr>
                    <w:adjustRightInd w:val="0"/>
                    <w:snapToGrid w:val="0"/>
                    <w:spacing w:line="240" w:lineRule="auto"/>
                    <w:ind w:firstLine="0" w:firstLineChars="0"/>
                    <w:jc w:val="center"/>
                    <w:rPr>
                      <w:rFonts w:hint="default" w:ascii="Times New Roman" w:hAnsi="Times New Roman" w:eastAsia="仿宋" w:cs="Times New Roman"/>
                      <w:color w:val="auto"/>
                      <w:sz w:val="21"/>
                      <w:szCs w:val="21"/>
                    </w:rPr>
                  </w:pPr>
                </w:p>
              </w:tc>
            </w:tr>
          </w:tbl>
          <w:p w14:paraId="61C152A5">
            <w:pPr>
              <w:keepNext w:val="0"/>
              <w:keepLines w:val="0"/>
              <w:pageBreakBefore w:val="0"/>
              <w:widowControl w:val="0"/>
              <w:kinsoku/>
              <w:wordWrap/>
              <w:overflowPunct/>
              <w:topLinePunct w:val="0"/>
              <w:autoSpaceDE/>
              <w:autoSpaceDN/>
              <w:bidi w:val="0"/>
              <w:adjustRightInd w:val="0"/>
              <w:snapToGrid w:val="0"/>
              <w:spacing w:line="240" w:lineRule="auto"/>
              <w:ind w:firstLine="200" w:firstLineChars="200"/>
              <w:jc w:val="left"/>
              <w:textAlignment w:val="auto"/>
              <w:rPr>
                <w:rFonts w:hint="default" w:ascii="Times New Roman" w:hAnsi="Times New Roman" w:eastAsia="仿宋" w:cs="Times New Roman"/>
                <w:bCs/>
                <w:color w:val="auto"/>
                <w:sz w:val="10"/>
                <w:szCs w:val="10"/>
                <w:highlight w:val="none"/>
              </w:rPr>
            </w:pPr>
          </w:p>
          <w:p w14:paraId="0A585030">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highlight w:val="none"/>
              </w:rPr>
            </w:pPr>
            <w:bookmarkStart w:id="2" w:name="_Hlk167714390"/>
            <w:r>
              <w:rPr>
                <w:rFonts w:hint="default" w:ascii="Times New Roman" w:hAnsi="Times New Roman" w:eastAsia="仿宋" w:cs="Times New Roman"/>
                <w:bCs/>
                <w:color w:val="auto"/>
                <w:sz w:val="24"/>
                <w:highlight w:val="none"/>
              </w:rPr>
              <w:t>原辅材料</w:t>
            </w:r>
          </w:p>
          <w:p w14:paraId="16C427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highlight w:val="none"/>
              </w:rPr>
            </w:pPr>
            <w:r>
              <w:rPr>
                <w:rFonts w:hint="eastAsia" w:ascii="Times New Roman" w:hAnsi="Times New Roman" w:eastAsia="仿宋" w:cs="Times New Roman"/>
                <w:sz w:val="24"/>
                <w:szCs w:val="20"/>
                <w:lang w:val="en-US" w:eastAsia="zh-CN"/>
              </w:rPr>
              <w:t>本项目从事唇刷的生产，故</w:t>
            </w:r>
            <w:r>
              <w:rPr>
                <w:rFonts w:hint="eastAsia" w:eastAsia="仿宋" w:cs="Times New Roman"/>
                <w:sz w:val="24"/>
                <w:szCs w:val="20"/>
                <w:lang w:val="en-US" w:eastAsia="zh-CN"/>
              </w:rPr>
              <w:t>仅</w:t>
            </w:r>
            <w:r>
              <w:rPr>
                <w:rFonts w:hint="eastAsia" w:ascii="Times New Roman" w:hAnsi="Times New Roman" w:eastAsia="仿宋" w:cs="Times New Roman"/>
                <w:sz w:val="24"/>
                <w:szCs w:val="20"/>
                <w:lang w:val="en-US" w:eastAsia="zh-CN"/>
              </w:rPr>
              <w:t>列出</w:t>
            </w:r>
            <w:r>
              <w:rPr>
                <w:rFonts w:hint="eastAsia" w:eastAsia="仿宋" w:cs="Times New Roman"/>
                <w:sz w:val="24"/>
                <w:szCs w:val="20"/>
                <w:lang w:val="en-US" w:eastAsia="zh-CN"/>
              </w:rPr>
              <w:t>唇刷生产所有</w:t>
            </w:r>
            <w:r>
              <w:rPr>
                <w:rFonts w:hint="eastAsia" w:ascii="Times New Roman" w:hAnsi="Times New Roman" w:eastAsia="仿宋" w:cs="Times New Roman"/>
                <w:sz w:val="24"/>
                <w:szCs w:val="20"/>
                <w:lang w:val="en-US" w:eastAsia="zh-CN"/>
              </w:rPr>
              <w:t>原辅材料消耗情况，</w:t>
            </w:r>
            <w:r>
              <w:rPr>
                <w:rFonts w:hint="default" w:ascii="Times New Roman" w:hAnsi="Times New Roman" w:eastAsia="仿宋" w:cs="Times New Roman"/>
                <w:sz w:val="24"/>
                <w:szCs w:val="20"/>
              </w:rPr>
              <w:t>主要原辅材料消耗情况见表2-</w:t>
            </w:r>
            <w:r>
              <w:rPr>
                <w:rFonts w:hint="default" w:ascii="Times New Roman" w:hAnsi="Times New Roman" w:eastAsia="仿宋" w:cs="Times New Roman"/>
                <w:sz w:val="24"/>
                <w:szCs w:val="20"/>
                <w:lang w:val="en-US" w:eastAsia="zh-CN"/>
              </w:rPr>
              <w:t>3</w:t>
            </w:r>
            <w:r>
              <w:rPr>
                <w:rFonts w:hint="default" w:ascii="Times New Roman" w:hAnsi="Times New Roman" w:eastAsia="仿宋" w:cs="Times New Roman"/>
                <w:bCs/>
                <w:color w:val="auto"/>
                <w:sz w:val="24"/>
                <w:highlight w:val="none"/>
              </w:rPr>
              <w:t>。</w:t>
            </w:r>
          </w:p>
          <w:p w14:paraId="7E325879">
            <w:pPr>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表2-</w:t>
            </w:r>
            <w:r>
              <w:rPr>
                <w:rFonts w:hint="eastAsia" w:ascii="Times New Roman" w:hAnsi="Times New Roman" w:eastAsia="仿宋" w:cs="Times New Roman"/>
                <w:b/>
                <w:bCs/>
                <w:color w:val="auto"/>
                <w:sz w:val="24"/>
                <w:highlight w:val="none"/>
                <w:lang w:val="en-US" w:eastAsia="zh-CN"/>
              </w:rPr>
              <w:t>3</w:t>
            </w:r>
            <w:r>
              <w:rPr>
                <w:rFonts w:hint="default" w:ascii="Times New Roman" w:hAnsi="Times New Roman" w:eastAsia="仿宋" w:cs="Times New Roman"/>
                <w:b/>
                <w:bCs/>
                <w:color w:val="auto"/>
                <w:sz w:val="24"/>
                <w:highlight w:val="none"/>
              </w:rPr>
              <w:t xml:space="preserve">  本项目原辅材料消耗情况一览表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97"/>
              <w:gridCol w:w="1356"/>
              <w:gridCol w:w="2129"/>
              <w:gridCol w:w="822"/>
              <w:gridCol w:w="721"/>
              <w:gridCol w:w="645"/>
              <w:gridCol w:w="572"/>
              <w:gridCol w:w="1021"/>
              <w:gridCol w:w="513"/>
            </w:tblGrid>
            <w:tr w14:paraId="00259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trPr>
              <w:tc>
                <w:tcPr>
                  <w:tcW w:w="356" w:type="pct"/>
                  <w:vMerge w:val="restart"/>
                  <w:noWrap w:val="0"/>
                  <w:vAlign w:val="center"/>
                </w:tcPr>
                <w:p w14:paraId="242A7BDC">
                  <w:pPr>
                    <w:jc w:val="center"/>
                    <w:rPr>
                      <w:rFonts w:hint="default" w:ascii="Times New Roman" w:hAnsi="Times New Roman" w:eastAsia="仿宋" w:cs="Times New Roman"/>
                      <w:b/>
                      <w:color w:val="auto"/>
                      <w:kern w:val="0"/>
                      <w:szCs w:val="21"/>
                      <w:highlight w:val="none"/>
                    </w:rPr>
                  </w:pPr>
                  <w:r>
                    <w:rPr>
                      <w:rFonts w:hint="default" w:ascii="Times New Roman" w:hAnsi="Times New Roman" w:eastAsia="仿宋" w:cs="Times New Roman"/>
                      <w:b/>
                      <w:color w:val="auto"/>
                      <w:kern w:val="0"/>
                      <w:szCs w:val="21"/>
                      <w:highlight w:val="none"/>
                    </w:rPr>
                    <w:t>序号</w:t>
                  </w:r>
                </w:p>
              </w:tc>
              <w:tc>
                <w:tcPr>
                  <w:tcW w:w="809" w:type="pct"/>
                  <w:vMerge w:val="restart"/>
                  <w:noWrap w:val="0"/>
                  <w:tcMar>
                    <w:top w:w="0" w:type="dxa"/>
                    <w:left w:w="0" w:type="dxa"/>
                    <w:right w:w="0" w:type="dxa"/>
                  </w:tcMar>
                  <w:vAlign w:val="center"/>
                </w:tcPr>
                <w:p w14:paraId="5D2852D3">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kern w:val="0"/>
                      <w:szCs w:val="21"/>
                      <w:highlight w:val="none"/>
                    </w:rPr>
                    <w:t>原辅材料名称</w:t>
                  </w:r>
                </w:p>
              </w:tc>
              <w:tc>
                <w:tcPr>
                  <w:tcW w:w="1270" w:type="pct"/>
                  <w:vMerge w:val="restart"/>
                  <w:noWrap w:val="0"/>
                  <w:vAlign w:val="center"/>
                </w:tcPr>
                <w:p w14:paraId="0E9BD0A1">
                  <w:pPr>
                    <w:jc w:val="center"/>
                    <w:rPr>
                      <w:rFonts w:hint="default" w:ascii="Times New Roman" w:hAnsi="Times New Roman" w:eastAsia="仿宋" w:cs="Times New Roman"/>
                      <w:b/>
                      <w:color w:val="auto"/>
                      <w:kern w:val="0"/>
                      <w:szCs w:val="21"/>
                      <w:highlight w:val="none"/>
                      <w:lang w:val="en-US" w:eastAsia="zh-CN"/>
                    </w:rPr>
                  </w:pPr>
                  <w:r>
                    <w:rPr>
                      <w:rFonts w:hint="default" w:ascii="Times New Roman" w:hAnsi="Times New Roman" w:eastAsia="仿宋" w:cs="Times New Roman"/>
                      <w:b/>
                      <w:color w:val="auto"/>
                      <w:kern w:val="0"/>
                      <w:szCs w:val="21"/>
                      <w:highlight w:val="none"/>
                    </w:rPr>
                    <w:t>包装规格、</w:t>
                  </w:r>
                  <w:r>
                    <w:rPr>
                      <w:rFonts w:hint="default" w:ascii="Times New Roman" w:hAnsi="Times New Roman" w:eastAsia="仿宋" w:cs="Times New Roman"/>
                      <w:b/>
                      <w:color w:val="auto"/>
                      <w:kern w:val="0"/>
                      <w:szCs w:val="21"/>
                      <w:highlight w:val="none"/>
                      <w:lang w:val="en-US" w:eastAsia="zh-CN"/>
                    </w:rPr>
                    <w:t>成分</w:t>
                  </w:r>
                </w:p>
              </w:tc>
              <w:tc>
                <w:tcPr>
                  <w:tcW w:w="490" w:type="pct"/>
                  <w:vMerge w:val="restart"/>
                  <w:noWrap w:val="0"/>
                  <w:vAlign w:val="center"/>
                </w:tcPr>
                <w:p w14:paraId="4723F246">
                  <w:pPr>
                    <w:jc w:val="center"/>
                    <w:rPr>
                      <w:rFonts w:hint="default" w:ascii="Times New Roman" w:hAnsi="Times New Roman" w:eastAsia="仿宋" w:cs="Times New Roman"/>
                      <w:b/>
                      <w:color w:val="auto"/>
                      <w:kern w:val="0"/>
                      <w:szCs w:val="21"/>
                      <w:highlight w:val="none"/>
                    </w:rPr>
                  </w:pPr>
                  <w:r>
                    <w:rPr>
                      <w:rFonts w:hint="default" w:ascii="Times New Roman" w:hAnsi="Times New Roman" w:eastAsia="仿宋" w:cs="Times New Roman"/>
                      <w:b/>
                      <w:color w:val="auto"/>
                      <w:kern w:val="0"/>
                      <w:szCs w:val="21"/>
                      <w:highlight w:val="none"/>
                    </w:rPr>
                    <w:t>单位</w:t>
                  </w:r>
                </w:p>
              </w:tc>
              <w:tc>
                <w:tcPr>
                  <w:tcW w:w="1156" w:type="pct"/>
                  <w:gridSpan w:val="3"/>
                  <w:noWrap w:val="0"/>
                  <w:vAlign w:val="center"/>
                </w:tcPr>
                <w:p w14:paraId="438EA69F">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耗用量</w:t>
                  </w:r>
                </w:p>
              </w:tc>
              <w:tc>
                <w:tcPr>
                  <w:tcW w:w="609" w:type="pct"/>
                  <w:vMerge w:val="restart"/>
                  <w:noWrap w:val="0"/>
                  <w:vAlign w:val="center"/>
                </w:tcPr>
                <w:p w14:paraId="66E46479">
                  <w:pPr>
                    <w:adjustRightInd w:val="0"/>
                    <w:snapToGrid w:val="0"/>
                    <w:jc w:val="center"/>
                    <w:rPr>
                      <w:rFonts w:hint="default" w:ascii="Times New Roman" w:hAnsi="Times New Roman" w:eastAsia="仿宋" w:cs="Times New Roman"/>
                      <w:b/>
                      <w:color w:val="auto"/>
                      <w:kern w:val="0"/>
                      <w:szCs w:val="21"/>
                      <w:highlight w:val="none"/>
                    </w:rPr>
                  </w:pPr>
                  <w:r>
                    <w:rPr>
                      <w:rFonts w:hint="default" w:ascii="Times New Roman" w:hAnsi="Times New Roman" w:eastAsia="仿宋" w:cs="Times New Roman"/>
                      <w:b/>
                      <w:color w:val="auto"/>
                      <w:kern w:val="0"/>
                      <w:szCs w:val="21"/>
                      <w:highlight w:val="none"/>
                    </w:rPr>
                    <w:t>最大储存量</w:t>
                  </w:r>
                </w:p>
              </w:tc>
              <w:tc>
                <w:tcPr>
                  <w:tcW w:w="306" w:type="pct"/>
                  <w:vMerge w:val="restart"/>
                  <w:noWrap w:val="0"/>
                  <w:vAlign w:val="center"/>
                </w:tcPr>
                <w:p w14:paraId="49B3B42B">
                  <w:pPr>
                    <w:jc w:val="center"/>
                    <w:rPr>
                      <w:rFonts w:hint="default" w:ascii="Times New Roman" w:hAnsi="Times New Roman" w:eastAsia="仿宋" w:cs="Times New Roman"/>
                      <w:b/>
                      <w:color w:val="auto"/>
                      <w:kern w:val="0"/>
                      <w:szCs w:val="21"/>
                      <w:highlight w:val="none"/>
                    </w:rPr>
                  </w:pPr>
                  <w:r>
                    <w:rPr>
                      <w:rFonts w:hint="default" w:ascii="Times New Roman" w:hAnsi="Times New Roman" w:eastAsia="仿宋" w:cs="Times New Roman"/>
                      <w:b/>
                      <w:color w:val="auto"/>
                      <w:kern w:val="0"/>
                      <w:szCs w:val="21"/>
                      <w:highlight w:val="none"/>
                    </w:rPr>
                    <w:t>存储位置</w:t>
                  </w:r>
                </w:p>
              </w:tc>
            </w:tr>
            <w:tr w14:paraId="24185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trPr>
              <w:tc>
                <w:tcPr>
                  <w:tcW w:w="356" w:type="pct"/>
                  <w:vMerge w:val="continue"/>
                  <w:noWrap w:val="0"/>
                  <w:vAlign w:val="center"/>
                </w:tcPr>
                <w:p w14:paraId="27EEDD14">
                  <w:pPr>
                    <w:jc w:val="center"/>
                    <w:rPr>
                      <w:rFonts w:hint="default" w:ascii="Times New Roman" w:hAnsi="Times New Roman" w:cs="Times New Roman"/>
                    </w:rPr>
                  </w:pPr>
                </w:p>
              </w:tc>
              <w:tc>
                <w:tcPr>
                  <w:tcW w:w="809" w:type="pct"/>
                  <w:vMerge w:val="continue"/>
                  <w:noWrap w:val="0"/>
                  <w:tcMar>
                    <w:top w:w="0" w:type="dxa"/>
                    <w:left w:w="0" w:type="dxa"/>
                    <w:right w:w="0" w:type="dxa"/>
                  </w:tcMar>
                  <w:vAlign w:val="center"/>
                </w:tcPr>
                <w:p w14:paraId="2A2BB8CC">
                  <w:pPr>
                    <w:jc w:val="center"/>
                    <w:rPr>
                      <w:rFonts w:hint="default" w:ascii="Times New Roman" w:hAnsi="Times New Roman" w:cs="Times New Roman"/>
                    </w:rPr>
                  </w:pPr>
                </w:p>
              </w:tc>
              <w:tc>
                <w:tcPr>
                  <w:tcW w:w="1270" w:type="pct"/>
                  <w:vMerge w:val="continue"/>
                  <w:noWrap w:val="0"/>
                  <w:vAlign w:val="center"/>
                </w:tcPr>
                <w:p w14:paraId="43EB5DFA">
                  <w:pPr>
                    <w:jc w:val="center"/>
                    <w:rPr>
                      <w:rFonts w:hint="default" w:ascii="Times New Roman" w:hAnsi="Times New Roman" w:cs="Times New Roman"/>
                    </w:rPr>
                  </w:pPr>
                </w:p>
              </w:tc>
              <w:tc>
                <w:tcPr>
                  <w:tcW w:w="490" w:type="pct"/>
                  <w:vMerge w:val="continue"/>
                  <w:noWrap w:val="0"/>
                  <w:vAlign w:val="center"/>
                </w:tcPr>
                <w:p w14:paraId="1FE574C9">
                  <w:pPr>
                    <w:jc w:val="center"/>
                    <w:rPr>
                      <w:rFonts w:hint="default" w:ascii="Times New Roman" w:hAnsi="Times New Roman" w:cs="Times New Roman"/>
                    </w:rPr>
                  </w:pPr>
                </w:p>
              </w:tc>
              <w:tc>
                <w:tcPr>
                  <w:tcW w:w="430" w:type="pct"/>
                  <w:shd w:val="clear" w:color="auto" w:fill="auto"/>
                  <w:noWrap w:val="0"/>
                  <w:vAlign w:val="center"/>
                </w:tcPr>
                <w:p w14:paraId="61AA4803">
                  <w:pPr>
                    <w:jc w:val="center"/>
                    <w:rPr>
                      <w:rFonts w:hint="default" w:ascii="Times New Roman" w:hAnsi="Times New Roman" w:eastAsia="仿宋" w:cs="Times New Roman"/>
                      <w:b/>
                      <w:bCs/>
                      <w:color w:val="000000"/>
                      <w:kern w:val="0"/>
                      <w:sz w:val="21"/>
                      <w:szCs w:val="21"/>
                      <w:lang w:val="en-US" w:eastAsia="zh-CN" w:bidi="ar-SA"/>
                    </w:rPr>
                  </w:pPr>
                  <w:r>
                    <w:rPr>
                      <w:rFonts w:hint="default" w:ascii="Times New Roman" w:hAnsi="Times New Roman" w:eastAsia="仿宋" w:cs="Times New Roman"/>
                      <w:b/>
                      <w:bCs/>
                      <w:color w:val="000000"/>
                      <w:kern w:val="0"/>
                      <w:szCs w:val="21"/>
                    </w:rPr>
                    <w:t>扩建前</w:t>
                  </w:r>
                </w:p>
              </w:tc>
              <w:tc>
                <w:tcPr>
                  <w:tcW w:w="385" w:type="pct"/>
                  <w:shd w:val="clear" w:color="auto" w:fill="auto"/>
                  <w:noWrap w:val="0"/>
                  <w:vAlign w:val="center"/>
                </w:tcPr>
                <w:p w14:paraId="437A96AE">
                  <w:pPr>
                    <w:jc w:val="center"/>
                    <w:rPr>
                      <w:rFonts w:hint="default" w:ascii="Times New Roman" w:hAnsi="Times New Roman" w:eastAsia="仿宋" w:cs="Times New Roman"/>
                      <w:b/>
                      <w:bCs/>
                      <w:color w:val="000000"/>
                      <w:kern w:val="0"/>
                      <w:sz w:val="21"/>
                      <w:szCs w:val="21"/>
                      <w:lang w:val="en-US" w:eastAsia="zh-CN" w:bidi="ar-SA"/>
                    </w:rPr>
                  </w:pPr>
                  <w:r>
                    <w:rPr>
                      <w:rFonts w:hint="default" w:ascii="Times New Roman" w:hAnsi="Times New Roman" w:eastAsia="仿宋" w:cs="Times New Roman"/>
                      <w:b/>
                      <w:bCs/>
                      <w:color w:val="000000"/>
                      <w:kern w:val="0"/>
                      <w:szCs w:val="21"/>
                    </w:rPr>
                    <w:t>扩建后</w:t>
                  </w:r>
                </w:p>
              </w:tc>
              <w:tc>
                <w:tcPr>
                  <w:tcW w:w="341" w:type="pct"/>
                  <w:shd w:val="clear" w:color="auto" w:fill="auto"/>
                  <w:noWrap w:val="0"/>
                  <w:vAlign w:val="center"/>
                </w:tcPr>
                <w:p w14:paraId="3C2262B6">
                  <w:pPr>
                    <w:jc w:val="center"/>
                    <w:rPr>
                      <w:rFonts w:hint="default" w:ascii="Times New Roman" w:hAnsi="Times New Roman" w:eastAsia="仿宋" w:cs="Times New Roman"/>
                      <w:b/>
                      <w:bCs/>
                      <w:color w:val="000000"/>
                      <w:kern w:val="0"/>
                      <w:sz w:val="21"/>
                      <w:szCs w:val="21"/>
                      <w:lang w:val="en-US" w:eastAsia="zh-CN" w:bidi="ar-SA"/>
                    </w:rPr>
                  </w:pPr>
                  <w:r>
                    <w:rPr>
                      <w:rFonts w:hint="default" w:ascii="Times New Roman" w:hAnsi="Times New Roman" w:eastAsia="仿宋" w:cs="Times New Roman"/>
                      <w:b/>
                      <w:bCs/>
                      <w:color w:val="000000"/>
                      <w:kern w:val="0"/>
                      <w:szCs w:val="21"/>
                    </w:rPr>
                    <w:t>增量</w:t>
                  </w:r>
                </w:p>
              </w:tc>
              <w:tc>
                <w:tcPr>
                  <w:tcW w:w="609" w:type="pct"/>
                  <w:vMerge w:val="continue"/>
                  <w:noWrap w:val="0"/>
                  <w:vAlign w:val="center"/>
                </w:tcPr>
                <w:p w14:paraId="3820B517">
                  <w:pPr>
                    <w:jc w:val="center"/>
                    <w:rPr>
                      <w:rFonts w:hint="default" w:ascii="Times New Roman" w:hAnsi="Times New Roman" w:eastAsia="仿宋" w:cs="Times New Roman"/>
                      <w:b/>
                      <w:color w:val="auto"/>
                      <w:szCs w:val="21"/>
                      <w:highlight w:val="none"/>
                    </w:rPr>
                  </w:pPr>
                </w:p>
              </w:tc>
              <w:tc>
                <w:tcPr>
                  <w:tcW w:w="306" w:type="pct"/>
                  <w:vMerge w:val="continue"/>
                  <w:noWrap w:val="0"/>
                  <w:vAlign w:val="center"/>
                </w:tcPr>
                <w:p w14:paraId="648082C1">
                  <w:pPr>
                    <w:jc w:val="center"/>
                    <w:rPr>
                      <w:rFonts w:hint="default" w:ascii="Times New Roman" w:hAnsi="Times New Roman" w:eastAsia="仿宋" w:cs="Times New Roman"/>
                      <w:b/>
                      <w:color w:val="auto"/>
                      <w:szCs w:val="21"/>
                      <w:highlight w:val="none"/>
                    </w:rPr>
                  </w:pPr>
                </w:p>
              </w:tc>
            </w:tr>
            <w:tr w14:paraId="35442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56" w:type="pct"/>
                  <w:noWrap w:val="0"/>
                  <w:vAlign w:val="center"/>
                </w:tcPr>
                <w:p w14:paraId="41FEE3EA">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210" w:firstLineChars="10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1</w:t>
                  </w:r>
                </w:p>
              </w:tc>
              <w:tc>
                <w:tcPr>
                  <w:tcW w:w="809" w:type="pct"/>
                  <w:noWrap w:val="0"/>
                  <w:tcMar>
                    <w:top w:w="0" w:type="dxa"/>
                    <w:left w:w="0" w:type="dxa"/>
                    <w:right w:w="0" w:type="dxa"/>
                  </w:tcMar>
                  <w:vAlign w:val="center"/>
                </w:tcPr>
                <w:p w14:paraId="05C0BBD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000000"/>
                      <w:kern w:val="0"/>
                      <w:szCs w:val="21"/>
                    </w:rPr>
                    <w:t>PP</w:t>
                  </w:r>
                  <w:r>
                    <w:rPr>
                      <w:rFonts w:hint="default" w:ascii="Times New Roman" w:hAnsi="Times New Roman" w:eastAsia="仿宋" w:cs="Times New Roman"/>
                      <w:color w:val="000000"/>
                      <w:kern w:val="0"/>
                      <w:szCs w:val="21"/>
                      <w:lang w:val="en-US" w:eastAsia="zh-CN"/>
                    </w:rPr>
                    <w:t>塑料</w:t>
                  </w:r>
                  <w:r>
                    <w:rPr>
                      <w:rFonts w:hint="default" w:ascii="Times New Roman" w:hAnsi="Times New Roman" w:eastAsia="仿宋" w:cs="Times New Roman"/>
                      <w:color w:val="000000"/>
                      <w:kern w:val="0"/>
                      <w:szCs w:val="21"/>
                    </w:rPr>
                    <w:t>粒子</w:t>
                  </w:r>
                </w:p>
              </w:tc>
              <w:tc>
                <w:tcPr>
                  <w:tcW w:w="1270" w:type="pct"/>
                  <w:noWrap w:val="0"/>
                  <w:vAlign w:val="center"/>
                </w:tcPr>
                <w:p w14:paraId="42A56A2B">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000000"/>
                      <w:kern w:val="0"/>
                      <w:szCs w:val="21"/>
                    </w:rPr>
                    <w:t>25kg/袋，</w:t>
                  </w:r>
                  <w:r>
                    <w:rPr>
                      <w:rFonts w:hint="default" w:ascii="Times New Roman" w:hAnsi="Times New Roman" w:eastAsia="仿宋" w:cs="Times New Roman"/>
                      <w:color w:val="000000"/>
                      <w:kern w:val="0"/>
                      <w:szCs w:val="21"/>
                      <w:lang w:val="en-US" w:eastAsia="zh-CN"/>
                    </w:rPr>
                    <w:t>聚丙烯，</w:t>
                  </w:r>
                  <w:r>
                    <w:rPr>
                      <w:rFonts w:hint="default" w:ascii="Times New Roman" w:hAnsi="Times New Roman" w:eastAsia="仿宋" w:cs="Times New Roman"/>
                      <w:color w:val="000000"/>
                      <w:kern w:val="0"/>
                      <w:szCs w:val="21"/>
                    </w:rPr>
                    <w:t>颗粒状PP（新料，不涉及废旧再生塑料）</w:t>
                  </w:r>
                </w:p>
              </w:tc>
              <w:tc>
                <w:tcPr>
                  <w:tcW w:w="490" w:type="pct"/>
                  <w:noWrap w:val="0"/>
                  <w:vAlign w:val="center"/>
                </w:tcPr>
                <w:p w14:paraId="6E2406B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t</w:t>
                  </w:r>
                  <w:r>
                    <w:rPr>
                      <w:rFonts w:hint="default" w:ascii="Times New Roman" w:hAnsi="Times New Roman" w:eastAsia="仿宋" w:cs="Times New Roman"/>
                      <w:color w:val="auto"/>
                      <w:szCs w:val="21"/>
                      <w:highlight w:val="none"/>
                    </w:rPr>
                    <w:t>/a</w:t>
                  </w:r>
                </w:p>
              </w:tc>
              <w:tc>
                <w:tcPr>
                  <w:tcW w:w="430" w:type="pct"/>
                  <w:noWrap w:val="0"/>
                  <w:vAlign w:val="center"/>
                </w:tcPr>
                <w:p w14:paraId="4C17BB32">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200</w:t>
                  </w:r>
                </w:p>
              </w:tc>
              <w:tc>
                <w:tcPr>
                  <w:tcW w:w="385" w:type="pct"/>
                  <w:noWrap w:val="0"/>
                  <w:vAlign w:val="center"/>
                </w:tcPr>
                <w:p w14:paraId="313CBC59">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300</w:t>
                  </w:r>
                </w:p>
              </w:tc>
              <w:tc>
                <w:tcPr>
                  <w:tcW w:w="341" w:type="pct"/>
                  <w:shd w:val="clear" w:color="auto" w:fill="auto"/>
                  <w:noWrap w:val="0"/>
                  <w:vAlign w:val="center"/>
                </w:tcPr>
                <w:p w14:paraId="6926553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+100</w:t>
                  </w:r>
                </w:p>
              </w:tc>
              <w:tc>
                <w:tcPr>
                  <w:tcW w:w="609" w:type="pct"/>
                  <w:noWrap w:val="0"/>
                  <w:vAlign w:val="center"/>
                </w:tcPr>
                <w:p w14:paraId="68888459">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20t</w:t>
                  </w:r>
                </w:p>
              </w:tc>
              <w:tc>
                <w:tcPr>
                  <w:tcW w:w="306" w:type="pct"/>
                  <w:vMerge w:val="restart"/>
                  <w:noWrap w:val="0"/>
                  <w:vAlign w:val="center"/>
                </w:tcPr>
                <w:p w14:paraId="6AA5DA50">
                  <w:pPr>
                    <w:jc w:val="center"/>
                    <w:rPr>
                      <w:rFonts w:hint="default" w:ascii="Times New Roman" w:hAnsi="Times New Roman" w:eastAsia="仿宋" w:cs="Times New Roman"/>
                      <w:color w:val="auto"/>
                      <w:szCs w:val="21"/>
                      <w:highlight w:val="none"/>
                      <w:lang w:eastAsia="zh-CN"/>
                    </w:rPr>
                  </w:pPr>
                  <w:r>
                    <w:rPr>
                      <w:rFonts w:hint="eastAsia" w:ascii="Times New Roman" w:hAnsi="Times New Roman" w:eastAsia="仿宋" w:cs="Times New Roman"/>
                      <w:color w:val="auto"/>
                      <w:szCs w:val="21"/>
                      <w:highlight w:val="none"/>
                      <w:lang w:val="en-US" w:eastAsia="zh-CN"/>
                    </w:rPr>
                    <w:t>原料</w:t>
                  </w:r>
                  <w:r>
                    <w:rPr>
                      <w:rFonts w:hint="default" w:ascii="Times New Roman" w:hAnsi="Times New Roman" w:eastAsia="仿宋" w:cs="Times New Roman"/>
                      <w:color w:val="auto"/>
                      <w:szCs w:val="21"/>
                      <w:highlight w:val="none"/>
                      <w:lang w:val="en-US" w:eastAsia="zh-CN"/>
                    </w:rPr>
                    <w:t>仓库</w:t>
                  </w:r>
                </w:p>
              </w:tc>
            </w:tr>
            <w:tr w14:paraId="59F11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56" w:type="pct"/>
                  <w:noWrap w:val="0"/>
                  <w:vAlign w:val="center"/>
                </w:tcPr>
                <w:p w14:paraId="092B3366">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210" w:firstLineChars="10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2</w:t>
                  </w:r>
                </w:p>
              </w:tc>
              <w:tc>
                <w:tcPr>
                  <w:tcW w:w="809" w:type="pct"/>
                  <w:noWrap w:val="0"/>
                  <w:tcMar>
                    <w:top w:w="0" w:type="dxa"/>
                    <w:left w:w="0" w:type="dxa"/>
                    <w:right w:w="0" w:type="dxa"/>
                  </w:tcMar>
                  <w:vAlign w:val="center"/>
                </w:tcPr>
                <w:p w14:paraId="71422DC3">
                  <w:pPr>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lang w:val="en-US" w:eastAsia="zh-CN"/>
                    </w:rPr>
                    <w:t>胶粘剂</w:t>
                  </w:r>
                </w:p>
              </w:tc>
              <w:tc>
                <w:tcPr>
                  <w:tcW w:w="1270" w:type="pct"/>
                  <w:noWrap w:val="0"/>
                  <w:vAlign w:val="center"/>
                </w:tcPr>
                <w:p w14:paraId="3624BD6B">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1kg</w:t>
                  </w:r>
                  <w:r>
                    <w:rPr>
                      <w:rFonts w:hint="default" w:ascii="Times New Roman" w:hAnsi="Times New Roman" w:eastAsia="仿宋" w:cs="Times New Roman"/>
                      <w:color w:val="000000"/>
                      <w:kern w:val="0"/>
                      <w:szCs w:val="21"/>
                    </w:rPr>
                    <w:t>/</w:t>
                  </w:r>
                  <w:r>
                    <w:rPr>
                      <w:rFonts w:hint="default" w:ascii="Times New Roman" w:hAnsi="Times New Roman" w:eastAsia="仿宋" w:cs="Times New Roman"/>
                      <w:color w:val="000000"/>
                      <w:kern w:val="0"/>
                      <w:szCs w:val="21"/>
                      <w:lang w:val="en-US" w:eastAsia="zh-CN"/>
                    </w:rPr>
                    <w:t>桶</w:t>
                  </w:r>
                  <w:r>
                    <w:rPr>
                      <w:rFonts w:hint="default" w:ascii="Times New Roman" w:hAnsi="Times New Roman" w:eastAsia="仿宋" w:cs="Times New Roman"/>
                      <w:color w:val="000000"/>
                      <w:kern w:val="0"/>
                      <w:szCs w:val="21"/>
                    </w:rPr>
                    <w:t>，聚氨酯甲基丙烯酸酯树脂50-55%、丙烯酸树脂25-30%、羟基丙烯酸树脂12-14%、丙烯酸1.5-2.5%、2,2-二甲氧基-苯基乙酮3-5%、2,3-环氧丙基丙基三甲氧基硅烷0.5-2%</w:t>
                  </w:r>
                </w:p>
              </w:tc>
              <w:tc>
                <w:tcPr>
                  <w:tcW w:w="490" w:type="pct"/>
                  <w:noWrap w:val="0"/>
                  <w:vAlign w:val="center"/>
                </w:tcPr>
                <w:p w14:paraId="61656B1C">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t</w:t>
                  </w:r>
                  <w:r>
                    <w:rPr>
                      <w:rFonts w:hint="default" w:ascii="Times New Roman" w:hAnsi="Times New Roman" w:eastAsia="仿宋" w:cs="Times New Roman"/>
                      <w:color w:val="auto"/>
                      <w:szCs w:val="21"/>
                      <w:highlight w:val="none"/>
                    </w:rPr>
                    <w:t>/a</w:t>
                  </w:r>
                </w:p>
              </w:tc>
              <w:tc>
                <w:tcPr>
                  <w:tcW w:w="430" w:type="pct"/>
                  <w:noWrap w:val="0"/>
                  <w:vAlign w:val="center"/>
                </w:tcPr>
                <w:p w14:paraId="4B533A3C">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1.8</w:t>
                  </w:r>
                </w:p>
              </w:tc>
              <w:tc>
                <w:tcPr>
                  <w:tcW w:w="385" w:type="pct"/>
                  <w:noWrap w:val="0"/>
                  <w:vAlign w:val="center"/>
                </w:tcPr>
                <w:p w14:paraId="4B0B1555">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2.7</w:t>
                  </w:r>
                </w:p>
              </w:tc>
              <w:tc>
                <w:tcPr>
                  <w:tcW w:w="341" w:type="pct"/>
                  <w:shd w:val="clear" w:color="auto" w:fill="auto"/>
                  <w:noWrap w:val="0"/>
                  <w:vAlign w:val="center"/>
                </w:tcPr>
                <w:p w14:paraId="11F513E4">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+0.9</w:t>
                  </w:r>
                </w:p>
              </w:tc>
              <w:tc>
                <w:tcPr>
                  <w:tcW w:w="609" w:type="pct"/>
                  <w:noWrap w:val="0"/>
                  <w:vAlign w:val="center"/>
                </w:tcPr>
                <w:p w14:paraId="4A520D32">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0.25t</w:t>
                  </w:r>
                </w:p>
              </w:tc>
              <w:tc>
                <w:tcPr>
                  <w:tcW w:w="306" w:type="pct"/>
                  <w:vMerge w:val="continue"/>
                  <w:noWrap w:val="0"/>
                  <w:vAlign w:val="center"/>
                </w:tcPr>
                <w:p w14:paraId="4190A0C2">
                  <w:pPr>
                    <w:jc w:val="center"/>
                    <w:rPr>
                      <w:rFonts w:hint="default" w:ascii="Times New Roman" w:hAnsi="Times New Roman" w:eastAsia="仿宋" w:cs="Times New Roman"/>
                      <w:color w:val="auto"/>
                      <w:szCs w:val="21"/>
                      <w:highlight w:val="none"/>
                    </w:rPr>
                  </w:pPr>
                </w:p>
              </w:tc>
            </w:tr>
            <w:tr w14:paraId="4AA8A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56" w:type="pct"/>
                  <w:noWrap w:val="0"/>
                  <w:vAlign w:val="center"/>
                </w:tcPr>
                <w:p w14:paraId="26B0349C">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210" w:firstLineChars="10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3</w:t>
                  </w:r>
                </w:p>
              </w:tc>
              <w:tc>
                <w:tcPr>
                  <w:tcW w:w="809" w:type="pct"/>
                  <w:noWrap w:val="0"/>
                  <w:tcMar>
                    <w:top w:w="0" w:type="dxa"/>
                    <w:left w:w="0" w:type="dxa"/>
                    <w:right w:w="0" w:type="dxa"/>
                  </w:tcMar>
                  <w:vAlign w:val="center"/>
                </w:tcPr>
                <w:p w14:paraId="7C3FFF39">
                  <w:pPr>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lang w:val="en-US" w:eastAsia="zh-CN"/>
                    </w:rPr>
                    <w:t>绒毛</w:t>
                  </w:r>
                </w:p>
              </w:tc>
              <w:tc>
                <w:tcPr>
                  <w:tcW w:w="1270" w:type="pct"/>
                  <w:noWrap w:val="0"/>
                  <w:vAlign w:val="center"/>
                </w:tcPr>
                <w:p w14:paraId="26E742A4">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10</w:t>
                  </w:r>
                  <w:r>
                    <w:rPr>
                      <w:rFonts w:hint="default" w:ascii="Times New Roman" w:hAnsi="Times New Roman" w:eastAsia="仿宋" w:cs="Times New Roman"/>
                      <w:color w:val="000000"/>
                      <w:kern w:val="0"/>
                      <w:szCs w:val="21"/>
                    </w:rPr>
                    <w:t>kg/</w:t>
                  </w:r>
                  <w:r>
                    <w:rPr>
                      <w:rFonts w:hint="default" w:ascii="Times New Roman" w:hAnsi="Times New Roman" w:eastAsia="仿宋" w:cs="Times New Roman"/>
                      <w:color w:val="000000"/>
                      <w:kern w:val="0"/>
                      <w:szCs w:val="21"/>
                      <w:lang w:val="en-US" w:eastAsia="zh-CN"/>
                    </w:rPr>
                    <w:t>袋</w:t>
                  </w:r>
                  <w:r>
                    <w:rPr>
                      <w:rFonts w:hint="default" w:ascii="Times New Roman" w:hAnsi="Times New Roman" w:eastAsia="仿宋" w:cs="Times New Roman"/>
                      <w:color w:val="000000"/>
                      <w:kern w:val="0"/>
                      <w:szCs w:val="21"/>
                    </w:rPr>
                    <w:t>，</w:t>
                  </w:r>
                  <w:r>
                    <w:rPr>
                      <w:rFonts w:hint="default" w:ascii="Times New Roman" w:hAnsi="Times New Roman" w:eastAsia="仿宋" w:cs="Times New Roman"/>
                      <w:color w:val="000000"/>
                      <w:kern w:val="0"/>
                      <w:szCs w:val="21"/>
                      <w:lang w:val="en-US" w:eastAsia="zh-CN"/>
                    </w:rPr>
                    <w:t>尼龙99%</w:t>
                  </w:r>
                </w:p>
              </w:tc>
              <w:tc>
                <w:tcPr>
                  <w:tcW w:w="490" w:type="pct"/>
                  <w:noWrap w:val="0"/>
                  <w:vAlign w:val="center"/>
                </w:tcPr>
                <w:p w14:paraId="6A31380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t</w:t>
                  </w:r>
                  <w:r>
                    <w:rPr>
                      <w:rFonts w:hint="default" w:ascii="Times New Roman" w:hAnsi="Times New Roman" w:eastAsia="仿宋" w:cs="Times New Roman"/>
                      <w:color w:val="auto"/>
                      <w:szCs w:val="21"/>
                      <w:highlight w:val="none"/>
                    </w:rPr>
                    <w:t>/a</w:t>
                  </w:r>
                </w:p>
              </w:tc>
              <w:tc>
                <w:tcPr>
                  <w:tcW w:w="430" w:type="pct"/>
                  <w:noWrap w:val="0"/>
                  <w:vAlign w:val="center"/>
                </w:tcPr>
                <w:p w14:paraId="5B1EBCC4">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8</w:t>
                  </w:r>
                </w:p>
              </w:tc>
              <w:tc>
                <w:tcPr>
                  <w:tcW w:w="385" w:type="pct"/>
                  <w:noWrap w:val="0"/>
                  <w:vAlign w:val="center"/>
                </w:tcPr>
                <w:p w14:paraId="5CECF1E2">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12</w:t>
                  </w:r>
                </w:p>
              </w:tc>
              <w:tc>
                <w:tcPr>
                  <w:tcW w:w="341" w:type="pct"/>
                  <w:shd w:val="clear" w:color="auto" w:fill="auto"/>
                  <w:noWrap w:val="0"/>
                  <w:vAlign w:val="center"/>
                </w:tcPr>
                <w:p w14:paraId="3B525E24">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+4</w:t>
                  </w:r>
                </w:p>
              </w:tc>
              <w:tc>
                <w:tcPr>
                  <w:tcW w:w="609" w:type="pct"/>
                  <w:noWrap w:val="0"/>
                  <w:vAlign w:val="center"/>
                </w:tcPr>
                <w:p w14:paraId="08BCC906">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2t</w:t>
                  </w:r>
                </w:p>
              </w:tc>
              <w:tc>
                <w:tcPr>
                  <w:tcW w:w="306" w:type="pct"/>
                  <w:vMerge w:val="continue"/>
                  <w:noWrap w:val="0"/>
                  <w:vAlign w:val="center"/>
                </w:tcPr>
                <w:p w14:paraId="37C5DAD2">
                  <w:pPr>
                    <w:jc w:val="center"/>
                    <w:rPr>
                      <w:rFonts w:hint="default" w:ascii="Times New Roman" w:hAnsi="Times New Roman" w:eastAsia="仿宋" w:cs="Times New Roman"/>
                      <w:color w:val="auto"/>
                      <w:szCs w:val="21"/>
                      <w:highlight w:val="none"/>
                    </w:rPr>
                  </w:pPr>
                </w:p>
              </w:tc>
            </w:tr>
            <w:tr w14:paraId="5B818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56" w:type="pct"/>
                  <w:noWrap w:val="0"/>
                  <w:vAlign w:val="center"/>
                </w:tcPr>
                <w:p w14:paraId="0B71CC33">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210" w:firstLineChars="10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4</w:t>
                  </w:r>
                </w:p>
              </w:tc>
              <w:tc>
                <w:tcPr>
                  <w:tcW w:w="809" w:type="pct"/>
                  <w:noWrap w:val="0"/>
                  <w:tcMar>
                    <w:top w:w="0" w:type="dxa"/>
                    <w:left w:w="0" w:type="dxa"/>
                    <w:right w:w="0" w:type="dxa"/>
                  </w:tcMar>
                  <w:vAlign w:val="center"/>
                </w:tcPr>
                <w:p w14:paraId="50C423EE">
                  <w:pPr>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lang w:val="en-US" w:eastAsia="zh-CN"/>
                    </w:rPr>
                    <w:t>润滑油</w:t>
                  </w:r>
                </w:p>
              </w:tc>
              <w:tc>
                <w:tcPr>
                  <w:tcW w:w="1270" w:type="pct"/>
                  <w:noWrap w:val="0"/>
                  <w:vAlign w:val="center"/>
                </w:tcPr>
                <w:p w14:paraId="1ECB8244">
                  <w:pPr>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lang w:val="en-US" w:eastAsia="zh-CN"/>
                    </w:rPr>
                    <w:t>5</w:t>
                  </w:r>
                  <w:r>
                    <w:rPr>
                      <w:rFonts w:hint="default" w:ascii="Times New Roman" w:hAnsi="Times New Roman" w:eastAsia="仿宋" w:cs="Times New Roman"/>
                      <w:color w:val="000000"/>
                      <w:kern w:val="0"/>
                      <w:szCs w:val="21"/>
                    </w:rPr>
                    <w:t>kg/桶，</w:t>
                  </w:r>
                  <w:r>
                    <w:rPr>
                      <w:rFonts w:hint="default" w:ascii="Times New Roman" w:hAnsi="Times New Roman" w:eastAsia="仿宋" w:cs="Times New Roman"/>
                      <w:color w:val="000000"/>
                      <w:kern w:val="0"/>
                      <w:szCs w:val="21"/>
                      <w:lang w:val="en-US" w:eastAsia="zh-CN"/>
                    </w:rPr>
                    <w:t>矿物油</w:t>
                  </w:r>
                </w:p>
              </w:tc>
              <w:tc>
                <w:tcPr>
                  <w:tcW w:w="490" w:type="pct"/>
                  <w:noWrap w:val="0"/>
                  <w:vAlign w:val="center"/>
                </w:tcPr>
                <w:p w14:paraId="598B25B4">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t</w:t>
                  </w:r>
                  <w:r>
                    <w:rPr>
                      <w:rFonts w:hint="default" w:ascii="Times New Roman" w:hAnsi="Times New Roman" w:eastAsia="仿宋" w:cs="Times New Roman"/>
                      <w:color w:val="auto"/>
                      <w:szCs w:val="21"/>
                      <w:highlight w:val="none"/>
                    </w:rPr>
                    <w:t>/a</w:t>
                  </w:r>
                </w:p>
              </w:tc>
              <w:tc>
                <w:tcPr>
                  <w:tcW w:w="430" w:type="pct"/>
                  <w:noWrap w:val="0"/>
                  <w:vAlign w:val="center"/>
                </w:tcPr>
                <w:p w14:paraId="7F374467">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w:t>
                  </w:r>
                </w:p>
              </w:tc>
              <w:tc>
                <w:tcPr>
                  <w:tcW w:w="385" w:type="pct"/>
                  <w:noWrap w:val="0"/>
                  <w:vAlign w:val="center"/>
                </w:tcPr>
                <w:p w14:paraId="5645604B">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0.2</w:t>
                  </w:r>
                </w:p>
              </w:tc>
              <w:tc>
                <w:tcPr>
                  <w:tcW w:w="341" w:type="pct"/>
                  <w:shd w:val="clear" w:color="auto" w:fill="auto"/>
                  <w:noWrap w:val="0"/>
                  <w:vAlign w:val="center"/>
                </w:tcPr>
                <w:p w14:paraId="6AFFD3C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+0.2</w:t>
                  </w:r>
                </w:p>
              </w:tc>
              <w:tc>
                <w:tcPr>
                  <w:tcW w:w="609" w:type="pct"/>
                  <w:noWrap w:val="0"/>
                  <w:vAlign w:val="center"/>
                </w:tcPr>
                <w:p w14:paraId="3E448202">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0.05t</w:t>
                  </w:r>
                </w:p>
              </w:tc>
              <w:tc>
                <w:tcPr>
                  <w:tcW w:w="306" w:type="pct"/>
                  <w:vMerge w:val="continue"/>
                  <w:noWrap w:val="0"/>
                  <w:vAlign w:val="center"/>
                </w:tcPr>
                <w:p w14:paraId="701CD636">
                  <w:pPr>
                    <w:jc w:val="center"/>
                    <w:rPr>
                      <w:rFonts w:hint="default" w:ascii="Times New Roman" w:hAnsi="Times New Roman" w:eastAsia="仿宋" w:cs="Times New Roman"/>
                      <w:color w:val="auto"/>
                      <w:szCs w:val="21"/>
                      <w:highlight w:val="none"/>
                    </w:rPr>
                  </w:pPr>
                </w:p>
              </w:tc>
            </w:tr>
            <w:tr w14:paraId="31112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56" w:type="pct"/>
                  <w:noWrap w:val="0"/>
                  <w:vAlign w:val="center"/>
                </w:tcPr>
                <w:p w14:paraId="7D6F311F">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210" w:firstLineChars="10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5</w:t>
                  </w:r>
                </w:p>
              </w:tc>
              <w:tc>
                <w:tcPr>
                  <w:tcW w:w="809" w:type="pct"/>
                  <w:noWrap w:val="0"/>
                  <w:tcMar>
                    <w:top w:w="0" w:type="dxa"/>
                    <w:left w:w="0" w:type="dxa"/>
                    <w:right w:w="0" w:type="dxa"/>
                  </w:tcMar>
                  <w:vAlign w:val="center"/>
                </w:tcPr>
                <w:p w14:paraId="46E64CC7">
                  <w:pPr>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lang w:val="en-US" w:eastAsia="zh-CN"/>
                    </w:rPr>
                    <w:t>液压油</w:t>
                  </w:r>
                </w:p>
              </w:tc>
              <w:tc>
                <w:tcPr>
                  <w:tcW w:w="1270" w:type="pct"/>
                  <w:noWrap w:val="0"/>
                  <w:vAlign w:val="center"/>
                </w:tcPr>
                <w:p w14:paraId="5C763823">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200L/桶，矿物油</w:t>
                  </w:r>
                </w:p>
              </w:tc>
              <w:tc>
                <w:tcPr>
                  <w:tcW w:w="490" w:type="pct"/>
                  <w:noWrap w:val="0"/>
                  <w:vAlign w:val="center"/>
                </w:tcPr>
                <w:p w14:paraId="20732971">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t</w:t>
                  </w:r>
                  <w:r>
                    <w:rPr>
                      <w:rFonts w:hint="default" w:ascii="Times New Roman" w:hAnsi="Times New Roman" w:eastAsia="仿宋" w:cs="Times New Roman"/>
                      <w:color w:val="auto"/>
                      <w:szCs w:val="21"/>
                      <w:highlight w:val="none"/>
                    </w:rPr>
                    <w:t>/a</w:t>
                  </w:r>
                </w:p>
              </w:tc>
              <w:tc>
                <w:tcPr>
                  <w:tcW w:w="430" w:type="pct"/>
                  <w:noWrap w:val="0"/>
                  <w:vAlign w:val="center"/>
                </w:tcPr>
                <w:p w14:paraId="538C3391">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w:t>
                  </w:r>
                </w:p>
              </w:tc>
              <w:tc>
                <w:tcPr>
                  <w:tcW w:w="385" w:type="pct"/>
                  <w:noWrap w:val="0"/>
                  <w:vAlign w:val="center"/>
                </w:tcPr>
                <w:p w14:paraId="49B30C7D">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0.51</w:t>
                  </w:r>
                </w:p>
              </w:tc>
              <w:tc>
                <w:tcPr>
                  <w:tcW w:w="341" w:type="pct"/>
                  <w:shd w:val="clear" w:color="auto" w:fill="auto"/>
                  <w:noWrap w:val="0"/>
                  <w:vAlign w:val="center"/>
                </w:tcPr>
                <w:p w14:paraId="25A6901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+0.51</w:t>
                  </w:r>
                </w:p>
              </w:tc>
              <w:tc>
                <w:tcPr>
                  <w:tcW w:w="609" w:type="pct"/>
                  <w:noWrap w:val="0"/>
                  <w:vAlign w:val="center"/>
                </w:tcPr>
                <w:p w14:paraId="2FAFDB9E">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0.34t</w:t>
                  </w:r>
                </w:p>
              </w:tc>
              <w:tc>
                <w:tcPr>
                  <w:tcW w:w="306" w:type="pct"/>
                  <w:vMerge w:val="continue"/>
                  <w:noWrap w:val="0"/>
                  <w:vAlign w:val="center"/>
                </w:tcPr>
                <w:p w14:paraId="5BA58C9F">
                  <w:pPr>
                    <w:jc w:val="center"/>
                    <w:rPr>
                      <w:rFonts w:hint="default" w:ascii="Times New Roman" w:hAnsi="Times New Roman" w:eastAsia="仿宋" w:cs="Times New Roman"/>
                      <w:color w:val="auto"/>
                      <w:szCs w:val="21"/>
                      <w:highlight w:val="none"/>
                    </w:rPr>
                  </w:pPr>
                </w:p>
              </w:tc>
            </w:tr>
            <w:tr w14:paraId="1F9F0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56" w:type="pct"/>
                  <w:noWrap w:val="0"/>
                  <w:vAlign w:val="center"/>
                </w:tcPr>
                <w:p w14:paraId="1CF57873">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210" w:firstLineChars="10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6</w:t>
                  </w:r>
                </w:p>
              </w:tc>
              <w:tc>
                <w:tcPr>
                  <w:tcW w:w="809" w:type="pct"/>
                  <w:noWrap w:val="0"/>
                  <w:tcMar>
                    <w:top w:w="0" w:type="dxa"/>
                    <w:left w:w="0" w:type="dxa"/>
                    <w:right w:w="0" w:type="dxa"/>
                  </w:tcMar>
                  <w:vAlign w:val="center"/>
                </w:tcPr>
                <w:p w14:paraId="6D4BCA12">
                  <w:pPr>
                    <w:jc w:val="center"/>
                    <w:rPr>
                      <w:rFonts w:hint="default" w:ascii="Times New Roman" w:hAnsi="Times New Roman" w:eastAsia="仿宋" w:cs="Times New Roman"/>
                      <w:color w:val="000000"/>
                      <w:kern w:val="0"/>
                      <w:szCs w:val="21"/>
                    </w:rPr>
                  </w:pPr>
                  <w:r>
                    <w:rPr>
                      <w:rFonts w:hint="default" w:ascii="Times New Roman" w:hAnsi="Times New Roman" w:eastAsia="仿宋" w:cs="Times New Roman"/>
                      <w:color w:val="000000"/>
                      <w:kern w:val="0"/>
                      <w:szCs w:val="21"/>
                      <w:lang w:val="en-US" w:eastAsia="zh-CN"/>
                    </w:rPr>
                    <w:t>手柄</w:t>
                  </w:r>
                </w:p>
              </w:tc>
              <w:tc>
                <w:tcPr>
                  <w:tcW w:w="1270" w:type="pct"/>
                  <w:noWrap w:val="0"/>
                  <w:vAlign w:val="center"/>
                </w:tcPr>
                <w:p w14:paraId="01A8D67A">
                  <w:pPr>
                    <w:jc w:val="center"/>
                    <w:rPr>
                      <w:rFonts w:hint="default" w:ascii="Times New Roman" w:hAnsi="Times New Roman" w:eastAsia="仿宋" w:cs="Times New Roman"/>
                      <w:color w:val="000000"/>
                      <w:kern w:val="0"/>
                      <w:szCs w:val="21"/>
                      <w:lang w:val="en-US" w:eastAsia="zh-CN"/>
                    </w:rPr>
                  </w:pPr>
                  <w:r>
                    <w:rPr>
                      <w:rFonts w:hint="eastAsia" w:ascii="Times New Roman" w:hAnsi="Times New Roman" w:eastAsia="仿宋" w:cs="Times New Roman"/>
                      <w:color w:val="000000"/>
                      <w:kern w:val="0"/>
                      <w:szCs w:val="21"/>
                      <w:lang w:val="en-US" w:eastAsia="zh-CN"/>
                    </w:rPr>
                    <w:t>袋装，</w:t>
                  </w:r>
                  <w:r>
                    <w:rPr>
                      <w:rFonts w:hint="default" w:ascii="Times New Roman" w:hAnsi="Times New Roman" w:eastAsia="仿宋" w:cs="Times New Roman"/>
                      <w:color w:val="000000"/>
                      <w:kern w:val="0"/>
                      <w:szCs w:val="21"/>
                      <w:lang w:val="en-US" w:eastAsia="zh-CN"/>
                    </w:rPr>
                    <w:t>塑料制品</w:t>
                  </w:r>
                </w:p>
              </w:tc>
              <w:tc>
                <w:tcPr>
                  <w:tcW w:w="490" w:type="pct"/>
                  <w:noWrap w:val="0"/>
                  <w:vAlign w:val="center"/>
                </w:tcPr>
                <w:p w14:paraId="5A48073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亿只</w:t>
                  </w:r>
                  <w:r>
                    <w:rPr>
                      <w:rFonts w:hint="default" w:ascii="Times New Roman" w:hAnsi="Times New Roman" w:eastAsia="仿宋" w:cs="Times New Roman"/>
                      <w:color w:val="auto"/>
                      <w:szCs w:val="21"/>
                      <w:highlight w:val="none"/>
                    </w:rPr>
                    <w:t>/a</w:t>
                  </w:r>
                </w:p>
              </w:tc>
              <w:tc>
                <w:tcPr>
                  <w:tcW w:w="430" w:type="pct"/>
                  <w:noWrap w:val="0"/>
                  <w:vAlign w:val="center"/>
                </w:tcPr>
                <w:p w14:paraId="4FD79DE8">
                  <w:pPr>
                    <w:jc w:val="center"/>
                    <w:rPr>
                      <w:rFonts w:hint="default" w:ascii="Times New Roman" w:hAnsi="Times New Roman" w:eastAsia="仿宋" w:cs="Times New Roman"/>
                      <w:color w:val="auto"/>
                      <w:szCs w:val="21"/>
                      <w:highlight w:val="none"/>
                      <w:lang w:eastAsia="zh-CN"/>
                    </w:rPr>
                  </w:pPr>
                  <w:r>
                    <w:rPr>
                      <w:rFonts w:hint="default" w:ascii="Times New Roman" w:hAnsi="Times New Roman" w:eastAsia="仿宋" w:cs="Times New Roman"/>
                      <w:color w:val="auto"/>
                      <w:szCs w:val="21"/>
                      <w:highlight w:val="none"/>
                      <w:lang w:val="en-US" w:eastAsia="zh-CN"/>
                    </w:rPr>
                    <w:t>0</w:t>
                  </w:r>
                </w:p>
              </w:tc>
              <w:tc>
                <w:tcPr>
                  <w:tcW w:w="385" w:type="pct"/>
                  <w:noWrap w:val="0"/>
                  <w:vAlign w:val="center"/>
                </w:tcPr>
                <w:p w14:paraId="6392D2EF">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w:t>
                  </w:r>
                </w:p>
              </w:tc>
              <w:tc>
                <w:tcPr>
                  <w:tcW w:w="341" w:type="pct"/>
                  <w:shd w:val="clear" w:color="auto" w:fill="auto"/>
                  <w:noWrap w:val="0"/>
                  <w:vAlign w:val="center"/>
                </w:tcPr>
                <w:p w14:paraId="758C07E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w:t>
                  </w:r>
                  <w:r>
                    <w:rPr>
                      <w:rFonts w:hint="default" w:ascii="Times New Roman" w:hAnsi="Times New Roman" w:eastAsia="仿宋" w:cs="Times New Roman"/>
                      <w:color w:val="auto"/>
                      <w:szCs w:val="21"/>
                      <w:highlight w:val="none"/>
                    </w:rPr>
                    <w:t>1</w:t>
                  </w:r>
                </w:p>
              </w:tc>
              <w:tc>
                <w:tcPr>
                  <w:tcW w:w="609" w:type="pct"/>
                  <w:noWrap w:val="0"/>
                  <w:vAlign w:val="center"/>
                </w:tcPr>
                <w:p w14:paraId="52D20FB6">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4000万只</w:t>
                  </w:r>
                </w:p>
              </w:tc>
              <w:tc>
                <w:tcPr>
                  <w:tcW w:w="306" w:type="pct"/>
                  <w:vMerge w:val="continue"/>
                  <w:noWrap w:val="0"/>
                  <w:vAlign w:val="center"/>
                </w:tcPr>
                <w:p w14:paraId="2D1C06AD">
                  <w:pPr>
                    <w:jc w:val="center"/>
                    <w:rPr>
                      <w:rFonts w:hint="default" w:ascii="Times New Roman" w:hAnsi="Times New Roman" w:eastAsia="仿宋" w:cs="Times New Roman"/>
                      <w:color w:val="auto"/>
                      <w:szCs w:val="21"/>
                      <w:highlight w:val="none"/>
                    </w:rPr>
                  </w:pPr>
                </w:p>
              </w:tc>
            </w:tr>
            <w:tr w14:paraId="5B7F5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56" w:type="pct"/>
                  <w:noWrap w:val="0"/>
                  <w:vAlign w:val="center"/>
                </w:tcPr>
                <w:p w14:paraId="24979881">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210" w:firstLineChars="100"/>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7</w:t>
                  </w:r>
                </w:p>
              </w:tc>
              <w:tc>
                <w:tcPr>
                  <w:tcW w:w="809" w:type="pct"/>
                  <w:noWrap w:val="0"/>
                  <w:tcMar>
                    <w:top w:w="0" w:type="dxa"/>
                    <w:left w:w="0" w:type="dxa"/>
                    <w:right w:w="0" w:type="dxa"/>
                  </w:tcMar>
                  <w:vAlign w:val="center"/>
                </w:tcPr>
                <w:p w14:paraId="14658CAA">
                  <w:pPr>
                    <w:jc w:val="center"/>
                    <w:rPr>
                      <w:rFonts w:hint="default" w:ascii="Times New Roman" w:hAnsi="Times New Roman" w:eastAsia="仿宋" w:cs="Times New Roman"/>
                      <w:color w:val="000000"/>
                      <w:kern w:val="0"/>
                      <w:szCs w:val="21"/>
                      <w:lang w:val="en-US" w:eastAsia="zh-CN"/>
                    </w:rPr>
                  </w:pPr>
                  <w:r>
                    <w:rPr>
                      <w:rFonts w:hint="eastAsia" w:eastAsia="仿宋" w:cs="Times New Roman"/>
                      <w:color w:val="000000"/>
                      <w:kern w:val="0"/>
                      <w:szCs w:val="21"/>
                      <w:lang w:val="en-US" w:eastAsia="zh-CN"/>
                    </w:rPr>
                    <w:t>模具</w:t>
                  </w:r>
                </w:p>
              </w:tc>
              <w:tc>
                <w:tcPr>
                  <w:tcW w:w="1270" w:type="pct"/>
                  <w:noWrap w:val="0"/>
                  <w:vAlign w:val="center"/>
                </w:tcPr>
                <w:p w14:paraId="69AE568F">
                  <w:pPr>
                    <w:jc w:val="center"/>
                    <w:rPr>
                      <w:rFonts w:hint="default" w:ascii="Times New Roman" w:hAnsi="Times New Roman" w:eastAsia="仿宋" w:cs="Times New Roman"/>
                      <w:color w:val="000000"/>
                      <w:kern w:val="0"/>
                      <w:szCs w:val="21"/>
                      <w:lang w:val="en-US" w:eastAsia="zh-CN"/>
                    </w:rPr>
                  </w:pPr>
                  <w:r>
                    <w:rPr>
                      <w:rFonts w:hint="eastAsia" w:eastAsia="仿宋" w:cs="Times New Roman"/>
                      <w:color w:val="000000"/>
                      <w:kern w:val="0"/>
                      <w:szCs w:val="21"/>
                      <w:lang w:val="en-US" w:eastAsia="zh-CN"/>
                    </w:rPr>
                    <w:t>P20</w:t>
                  </w:r>
                </w:p>
              </w:tc>
              <w:tc>
                <w:tcPr>
                  <w:tcW w:w="490" w:type="pct"/>
                  <w:noWrap w:val="0"/>
                  <w:vAlign w:val="center"/>
                </w:tcPr>
                <w:p w14:paraId="766CFC8B">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万只</w:t>
                  </w:r>
                </w:p>
              </w:tc>
              <w:tc>
                <w:tcPr>
                  <w:tcW w:w="430" w:type="pct"/>
                  <w:noWrap w:val="0"/>
                  <w:vAlign w:val="center"/>
                </w:tcPr>
                <w:p w14:paraId="770619B1">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0</w:t>
                  </w:r>
                </w:p>
              </w:tc>
              <w:tc>
                <w:tcPr>
                  <w:tcW w:w="385" w:type="pct"/>
                  <w:noWrap w:val="0"/>
                  <w:vAlign w:val="center"/>
                </w:tcPr>
                <w:p w14:paraId="782B43EE">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160</w:t>
                  </w:r>
                </w:p>
              </w:tc>
              <w:tc>
                <w:tcPr>
                  <w:tcW w:w="341" w:type="pct"/>
                  <w:shd w:val="clear" w:color="auto" w:fill="auto"/>
                  <w:noWrap w:val="0"/>
                  <w:vAlign w:val="center"/>
                </w:tcPr>
                <w:p w14:paraId="532A8E60">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+160</w:t>
                  </w:r>
                </w:p>
              </w:tc>
              <w:tc>
                <w:tcPr>
                  <w:tcW w:w="609" w:type="pct"/>
                  <w:noWrap w:val="0"/>
                  <w:vAlign w:val="center"/>
                </w:tcPr>
                <w:p w14:paraId="5C22CF35">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160万只</w:t>
                  </w:r>
                </w:p>
              </w:tc>
              <w:tc>
                <w:tcPr>
                  <w:tcW w:w="306" w:type="pct"/>
                  <w:noWrap w:val="0"/>
                  <w:vAlign w:val="center"/>
                </w:tcPr>
                <w:p w14:paraId="22256901">
                  <w:pPr>
                    <w:jc w:val="center"/>
                    <w:rPr>
                      <w:rFonts w:hint="default" w:ascii="Times New Roman" w:hAnsi="Times New Roman" w:eastAsia="宋体" w:cs="Times New Roman"/>
                      <w:color w:val="auto"/>
                      <w:szCs w:val="21"/>
                      <w:highlight w:val="none"/>
                      <w:lang w:val="en-US" w:eastAsia="zh-CN"/>
                    </w:rPr>
                  </w:pPr>
                  <w:r>
                    <w:rPr>
                      <w:rFonts w:hint="eastAsia" w:eastAsia="仿宋" w:cs="Times New Roman"/>
                      <w:color w:val="auto"/>
                      <w:szCs w:val="21"/>
                      <w:highlight w:val="none"/>
                      <w:lang w:val="en-US" w:eastAsia="zh-CN"/>
                    </w:rPr>
                    <w:t>车间、原料仓库</w:t>
                  </w:r>
                </w:p>
              </w:tc>
            </w:tr>
            <w:bookmarkEnd w:id="2"/>
          </w:tbl>
          <w:p w14:paraId="3635AC11">
            <w:pPr>
              <w:keepNext w:val="0"/>
              <w:keepLines w:val="0"/>
              <w:pageBreakBefore w:val="0"/>
              <w:widowControl w:val="0"/>
              <w:kinsoku/>
              <w:wordWrap/>
              <w:overflowPunct/>
              <w:topLinePunct w:val="0"/>
              <w:autoSpaceDE/>
              <w:autoSpaceDN/>
              <w:bidi w:val="0"/>
              <w:adjustRightInd w:val="0"/>
              <w:snapToGrid w:val="0"/>
              <w:spacing w:line="240" w:lineRule="auto"/>
              <w:ind w:firstLine="200" w:firstLineChars="200"/>
              <w:jc w:val="left"/>
              <w:textAlignment w:val="auto"/>
              <w:rPr>
                <w:rFonts w:hint="default" w:ascii="Times New Roman" w:hAnsi="Times New Roman" w:eastAsia="仿宋" w:cs="Times New Roman"/>
                <w:color w:val="auto"/>
                <w:sz w:val="10"/>
                <w:szCs w:val="10"/>
                <w:highlight w:val="none"/>
              </w:rPr>
            </w:pPr>
          </w:p>
          <w:p w14:paraId="73494F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color w:val="auto"/>
                <w:sz w:val="24"/>
                <w:szCs w:val="20"/>
                <w:highlight w:val="none"/>
              </w:rPr>
            </w:pPr>
            <w:r>
              <w:rPr>
                <w:rFonts w:hint="default" w:ascii="Times New Roman" w:hAnsi="Times New Roman" w:eastAsia="仿宋" w:cs="Times New Roman"/>
                <w:color w:val="auto"/>
                <w:sz w:val="24"/>
                <w:szCs w:val="20"/>
                <w:highlight w:val="none"/>
              </w:rPr>
              <w:t>主要原辅材料组分理化特性及毒理毒性见表2-</w:t>
            </w:r>
            <w:r>
              <w:rPr>
                <w:rFonts w:hint="eastAsia" w:ascii="Times New Roman" w:hAnsi="Times New Roman" w:eastAsia="仿宋" w:cs="Times New Roman"/>
                <w:color w:val="auto"/>
                <w:sz w:val="24"/>
                <w:szCs w:val="20"/>
                <w:highlight w:val="none"/>
                <w:lang w:val="en-US" w:eastAsia="zh-CN"/>
              </w:rPr>
              <w:t>4</w:t>
            </w:r>
            <w:r>
              <w:rPr>
                <w:rFonts w:hint="default" w:ascii="Times New Roman" w:hAnsi="Times New Roman" w:eastAsia="仿宋" w:cs="Times New Roman"/>
                <w:color w:val="auto"/>
                <w:sz w:val="24"/>
                <w:szCs w:val="20"/>
                <w:highlight w:val="none"/>
              </w:rPr>
              <w:t>。</w:t>
            </w:r>
          </w:p>
          <w:p w14:paraId="347B5777">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表2-</w:t>
            </w:r>
            <w:r>
              <w:rPr>
                <w:rFonts w:hint="eastAsia" w:ascii="Times New Roman" w:hAnsi="Times New Roman" w:eastAsia="仿宋" w:cs="Times New Roman"/>
                <w:b/>
                <w:bCs/>
                <w:color w:val="auto"/>
                <w:sz w:val="24"/>
                <w:highlight w:val="none"/>
                <w:lang w:val="en-US" w:eastAsia="zh-CN"/>
              </w:rPr>
              <w:t>4</w:t>
            </w:r>
            <w:r>
              <w:rPr>
                <w:rFonts w:hint="default" w:ascii="Times New Roman" w:hAnsi="Times New Roman" w:eastAsia="仿宋" w:cs="Times New Roman"/>
                <w:b/>
                <w:bCs/>
                <w:color w:val="auto"/>
                <w:sz w:val="24"/>
                <w:highlight w:val="none"/>
              </w:rPr>
              <w:t xml:space="preserve">  原辅材料组分理化特性及毒理毒性表</w:t>
            </w:r>
          </w:p>
          <w:tbl>
            <w:tblPr>
              <w:tblStyle w:val="2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467"/>
              <w:gridCol w:w="4387"/>
              <w:gridCol w:w="892"/>
              <w:gridCol w:w="965"/>
            </w:tblGrid>
            <w:tr w14:paraId="488DE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noWrap w:val="0"/>
                  <w:vAlign w:val="center"/>
                </w:tcPr>
                <w:p w14:paraId="0F5EB3C5">
                  <w:pPr>
                    <w:adjustRightInd w:val="0"/>
                    <w:snapToGrid w:val="0"/>
                    <w:spacing w:line="240" w:lineRule="auto"/>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物质名称</w:t>
                  </w:r>
                </w:p>
              </w:tc>
              <w:tc>
                <w:tcPr>
                  <w:tcW w:w="987" w:type="dxa"/>
                  <w:noWrap w:val="0"/>
                  <w:vAlign w:val="center"/>
                </w:tcPr>
                <w:p w14:paraId="3F81B995">
                  <w:pPr>
                    <w:adjustRightInd w:val="0"/>
                    <w:snapToGrid w:val="0"/>
                    <w:spacing w:line="240" w:lineRule="auto"/>
                    <w:ind w:left="-105" w:leftChars="-50" w:right="-105" w:rightChars="-50"/>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分子式</w:t>
                  </w:r>
                </w:p>
              </w:tc>
              <w:tc>
                <w:tcPr>
                  <w:tcW w:w="4769" w:type="dxa"/>
                  <w:noWrap w:val="0"/>
                  <w:vAlign w:val="center"/>
                </w:tcPr>
                <w:p w14:paraId="1F75BB0B">
                  <w:pPr>
                    <w:adjustRightInd w:val="0"/>
                    <w:snapToGrid w:val="0"/>
                    <w:spacing w:line="240" w:lineRule="auto"/>
                    <w:ind w:left="-105" w:leftChars="-50" w:right="-105" w:rightChars="-50"/>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理化性质</w:t>
                  </w:r>
                </w:p>
              </w:tc>
              <w:tc>
                <w:tcPr>
                  <w:tcW w:w="946" w:type="dxa"/>
                  <w:noWrap w:val="0"/>
                  <w:vAlign w:val="center"/>
                </w:tcPr>
                <w:p w14:paraId="1728CAA1">
                  <w:pPr>
                    <w:spacing w:line="240" w:lineRule="auto"/>
                    <w:ind w:left="-105" w:leftChars="-50" w:right="-105" w:rightChars="-50"/>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燃烧爆炸性</w:t>
                  </w:r>
                </w:p>
              </w:tc>
              <w:tc>
                <w:tcPr>
                  <w:tcW w:w="991" w:type="dxa"/>
                  <w:noWrap w:val="0"/>
                  <w:vAlign w:val="center"/>
                </w:tcPr>
                <w:p w14:paraId="3758BCD9">
                  <w:pPr>
                    <w:adjustRightInd w:val="0"/>
                    <w:snapToGrid w:val="0"/>
                    <w:spacing w:line="240" w:lineRule="auto"/>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毒性毒理</w:t>
                  </w:r>
                </w:p>
              </w:tc>
            </w:tr>
            <w:tr w14:paraId="20E2A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shd w:val="clear" w:color="auto" w:fill="auto"/>
                  <w:noWrap w:val="0"/>
                  <w:vAlign w:val="center"/>
                </w:tcPr>
                <w:p w14:paraId="04A7B7EB">
                  <w:pPr>
                    <w:jc w:val="center"/>
                    <w:rPr>
                      <w:rFonts w:hint="default" w:ascii="Times New Roman" w:hAnsi="Times New Roman" w:eastAsia="仿宋" w:cs="Times New Roman"/>
                      <w:color w:val="000000"/>
                      <w:kern w:val="2"/>
                      <w:sz w:val="18"/>
                      <w:szCs w:val="18"/>
                      <w:lang w:val="en-US" w:eastAsia="zh-CN" w:bidi="ar-SA"/>
                    </w:rPr>
                  </w:pPr>
                  <w:r>
                    <w:rPr>
                      <w:rFonts w:hint="default" w:ascii="Times New Roman" w:hAnsi="Times New Roman" w:eastAsia="仿宋" w:cs="Times New Roman"/>
                      <w:color w:val="000000"/>
                      <w:sz w:val="18"/>
                      <w:szCs w:val="18"/>
                      <w:lang w:val="en-US" w:eastAsia="zh-CN"/>
                    </w:rPr>
                    <w:t>聚丙烯</w:t>
                  </w:r>
                </w:p>
              </w:tc>
              <w:tc>
                <w:tcPr>
                  <w:tcW w:w="987" w:type="dxa"/>
                  <w:shd w:val="clear" w:color="auto" w:fill="auto"/>
                  <w:noWrap w:val="0"/>
                  <w:vAlign w:val="center"/>
                </w:tcPr>
                <w:p w14:paraId="1EE5A424">
                  <w:pPr>
                    <w:jc w:val="center"/>
                    <w:rPr>
                      <w:rFonts w:hint="default" w:ascii="Times New Roman" w:hAnsi="Times New Roman" w:eastAsia="仿宋" w:cs="Times New Roman"/>
                      <w:color w:val="000000"/>
                      <w:kern w:val="2"/>
                      <w:sz w:val="18"/>
                      <w:szCs w:val="18"/>
                      <w:lang w:val="en-US" w:eastAsia="zh-CN" w:bidi="ar-SA"/>
                    </w:rPr>
                  </w:pPr>
                  <w:r>
                    <w:rPr>
                      <w:rFonts w:hint="default" w:ascii="Times New Roman" w:hAnsi="Times New Roman" w:eastAsia="仿宋" w:cs="Times New Roman"/>
                      <w:color w:val="000000"/>
                      <w:kern w:val="2"/>
                      <w:sz w:val="18"/>
                      <w:szCs w:val="18"/>
                      <w:lang w:val="en-US" w:eastAsia="zh-CN" w:bidi="ar-SA"/>
                    </w:rPr>
                    <w:t>(C₃H₆)ₙ</w:t>
                  </w:r>
                </w:p>
              </w:tc>
              <w:tc>
                <w:tcPr>
                  <w:tcW w:w="4769" w:type="dxa"/>
                  <w:shd w:val="clear" w:color="auto" w:fill="auto"/>
                  <w:noWrap w:val="0"/>
                  <w:vAlign w:val="center"/>
                </w:tcPr>
                <w:p w14:paraId="5F7D3CFA">
                  <w:pPr>
                    <w:jc w:val="left"/>
                    <w:rPr>
                      <w:rFonts w:hint="default" w:ascii="Times New Roman" w:hAnsi="Times New Roman" w:eastAsia="仿宋" w:cs="Times New Roman"/>
                      <w:color w:val="000000"/>
                      <w:kern w:val="2"/>
                      <w:sz w:val="18"/>
                      <w:szCs w:val="18"/>
                      <w:lang w:val="en-US" w:eastAsia="zh-CN" w:bidi="ar-SA"/>
                    </w:rPr>
                  </w:pPr>
                  <w:r>
                    <w:rPr>
                      <w:rFonts w:hint="default" w:ascii="Times New Roman" w:hAnsi="Times New Roman" w:eastAsia="仿宋" w:cs="Times New Roman"/>
                      <w:color w:val="000000"/>
                      <w:sz w:val="18"/>
                      <w:szCs w:val="18"/>
                    </w:rPr>
                    <w:t>无嗅、无味、无毒。是常用树脂中最轻的一种；优异的力学性能，包括拉伸强度、压缩强度和硬度，突出的刚性和耐弯曲疲劳性能</w:t>
                  </w:r>
                  <w:r>
                    <w:rPr>
                      <w:rFonts w:hint="default" w:ascii="Times New Roman" w:hAnsi="Times New Roman" w:eastAsia="仿宋" w:cs="Times New Roman"/>
                      <w:color w:val="000000"/>
                      <w:sz w:val="18"/>
                      <w:szCs w:val="18"/>
                      <w:lang w:eastAsia="zh-CN"/>
                    </w:rPr>
                    <w:t>。</w:t>
                  </w:r>
                  <w:r>
                    <w:rPr>
                      <w:rFonts w:hint="default" w:ascii="Times New Roman" w:hAnsi="Times New Roman" w:eastAsia="仿宋" w:cs="Times New Roman"/>
                      <w:color w:val="000000"/>
                      <w:sz w:val="18"/>
                      <w:szCs w:val="18"/>
                    </w:rPr>
                    <w:t>连续使用温度可达110-120℃；分解温度350-380℃；化学稳定性好，除强氧化剂外，与大多数化学药品不发生作用；在室温下只有一些卤代化合物、芳烃和高沸点脂肪烃能使之溶胀，耐水性特别好；5.电性能优异，耐高频电绝缘件好，在潮湿环境中也具有良好的电绝缘性。</w:t>
                  </w:r>
                </w:p>
              </w:tc>
              <w:tc>
                <w:tcPr>
                  <w:tcW w:w="946" w:type="dxa"/>
                  <w:shd w:val="clear" w:color="auto" w:fill="auto"/>
                  <w:noWrap w:val="0"/>
                  <w:vAlign w:val="center"/>
                </w:tcPr>
                <w:p w14:paraId="7BA946DB">
                  <w:pPr>
                    <w:jc w:val="center"/>
                    <w:rPr>
                      <w:rFonts w:hint="default" w:ascii="Times New Roman" w:hAnsi="Times New Roman" w:eastAsia="仿宋" w:cs="Times New Roman"/>
                      <w:color w:val="000000"/>
                      <w:kern w:val="2"/>
                      <w:sz w:val="18"/>
                      <w:szCs w:val="18"/>
                      <w:lang w:val="en-US" w:eastAsia="zh-CN" w:bidi="ar-SA"/>
                    </w:rPr>
                  </w:pPr>
                  <w:r>
                    <w:rPr>
                      <w:rFonts w:hint="default" w:ascii="Times New Roman" w:hAnsi="Times New Roman" w:eastAsia="仿宋" w:cs="Times New Roman"/>
                      <w:color w:val="000000"/>
                      <w:sz w:val="18"/>
                      <w:szCs w:val="18"/>
                      <w:lang w:val="en-US" w:eastAsia="zh-CN"/>
                    </w:rPr>
                    <w:t>可燃</w:t>
                  </w:r>
                </w:p>
              </w:tc>
              <w:tc>
                <w:tcPr>
                  <w:tcW w:w="991" w:type="dxa"/>
                  <w:noWrap w:val="0"/>
                  <w:vAlign w:val="center"/>
                </w:tcPr>
                <w:p w14:paraId="694A493D">
                  <w:pPr>
                    <w:spacing w:line="240" w:lineRule="auto"/>
                    <w:jc w:val="center"/>
                    <w:rPr>
                      <w:rFonts w:hint="default" w:ascii="Times New Roman" w:hAnsi="Times New Roman" w:eastAsia="仿宋" w:cs="Times New Roman"/>
                      <w:bCs/>
                      <w:color w:val="auto"/>
                      <w:sz w:val="18"/>
                      <w:szCs w:val="18"/>
                      <w:highlight w:val="none"/>
                      <w:lang w:eastAsia="zh-CN"/>
                    </w:rPr>
                  </w:pPr>
                  <w:r>
                    <w:rPr>
                      <w:rFonts w:hint="default" w:ascii="Times New Roman" w:hAnsi="Times New Roman" w:eastAsia="仿宋" w:cs="Times New Roman"/>
                      <w:bCs/>
                      <w:color w:val="auto"/>
                      <w:sz w:val="18"/>
                      <w:szCs w:val="18"/>
                      <w:highlight w:val="none"/>
                      <w:lang w:val="en-US" w:eastAsia="zh-CN"/>
                    </w:rPr>
                    <w:t>无毒</w:t>
                  </w:r>
                </w:p>
              </w:tc>
            </w:tr>
            <w:tr w14:paraId="133F5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7" w:hRule="atLeast"/>
              </w:trPr>
              <w:tc>
                <w:tcPr>
                  <w:tcW w:w="686" w:type="dxa"/>
                  <w:noWrap w:val="0"/>
                  <w:vAlign w:val="center"/>
                </w:tcPr>
                <w:p w14:paraId="5B85B7E7">
                  <w:pPr>
                    <w:spacing w:line="240"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聚氨酯甲基丙烯酸酯树脂</w:t>
                  </w:r>
                </w:p>
              </w:tc>
              <w:tc>
                <w:tcPr>
                  <w:tcW w:w="987" w:type="dxa"/>
                  <w:noWrap w:val="0"/>
                  <w:vAlign w:val="center"/>
                </w:tcPr>
                <w:p w14:paraId="72E4ED89">
                  <w:pPr>
                    <w:spacing w:line="240"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w:t>
                  </w:r>
                </w:p>
              </w:tc>
              <w:tc>
                <w:tcPr>
                  <w:tcW w:w="4769" w:type="dxa"/>
                  <w:noWrap w:val="0"/>
                  <w:vAlign w:val="center"/>
                </w:tcPr>
                <w:p w14:paraId="338AC9D6">
                  <w:pPr>
                    <w:spacing w:line="240" w:lineRule="auto"/>
                    <w:ind w:left="-105" w:leftChars="-50" w:right="-105" w:rightChars="-50"/>
                    <w:jc w:val="center"/>
                    <w:rPr>
                      <w:rFonts w:hint="default" w:ascii="Times New Roman" w:hAnsi="Times New Roman" w:eastAsia="仿宋" w:cs="Times New Roman"/>
                      <w:color w:val="auto"/>
                      <w:spacing w:val="-10"/>
                      <w:sz w:val="18"/>
                      <w:szCs w:val="18"/>
                      <w:highlight w:val="none"/>
                      <w:lang w:eastAsia="zh-CN"/>
                    </w:rPr>
                  </w:pPr>
                  <w:r>
                    <w:rPr>
                      <w:rFonts w:hint="default" w:ascii="Times New Roman" w:hAnsi="Times New Roman" w:eastAsia="仿宋" w:cs="Times New Roman"/>
                      <w:color w:val="auto"/>
                      <w:spacing w:val="-10"/>
                      <w:sz w:val="18"/>
                      <w:szCs w:val="18"/>
                      <w:highlight w:val="none"/>
                    </w:rPr>
                    <w:t>常温下为‌粘稠液体‌，颜色通常为浅黄色至琥珀色，具体取决于原料和合成工艺</w:t>
                  </w:r>
                  <w:r>
                    <w:rPr>
                      <w:rFonts w:hint="default" w:ascii="Times New Roman" w:hAnsi="Times New Roman" w:eastAsia="仿宋" w:cs="Times New Roman"/>
                      <w:color w:val="auto"/>
                      <w:spacing w:val="-10"/>
                      <w:sz w:val="18"/>
                      <w:szCs w:val="18"/>
                      <w:highlight w:val="none"/>
                      <w:lang w:eastAsia="zh-CN"/>
                    </w:rPr>
                    <w:t>；</w:t>
                  </w:r>
                  <w:r>
                    <w:rPr>
                      <w:rFonts w:hint="default" w:ascii="Times New Roman" w:hAnsi="Times New Roman" w:eastAsia="仿宋" w:cs="Times New Roman"/>
                      <w:color w:val="auto"/>
                      <w:spacing w:val="-10"/>
                      <w:sz w:val="18"/>
                      <w:szCs w:val="18"/>
                      <w:highlight w:val="none"/>
                    </w:rPr>
                    <w:t>其密度通常略高于水，但具体数值因配方而异，一般在‌1.05–1.20 g/cm³‌范围内。‌不溶于水‌，但可溶于丙酮、乙酸乙酯、甲苯、丁酮等多数有机溶剂</w:t>
                  </w:r>
                  <w:r>
                    <w:rPr>
                      <w:rFonts w:hint="eastAsia" w:eastAsia="仿宋" w:cs="Times New Roman"/>
                      <w:color w:val="auto"/>
                      <w:spacing w:val="-10"/>
                      <w:sz w:val="18"/>
                      <w:szCs w:val="18"/>
                      <w:highlight w:val="none"/>
                      <w:lang w:eastAsia="zh-CN"/>
                    </w:rPr>
                    <w:t>，</w:t>
                  </w:r>
                  <w:r>
                    <w:rPr>
                      <w:rFonts w:hint="eastAsia" w:eastAsia="仿宋" w:cs="Times New Roman"/>
                      <w:color w:val="auto"/>
                      <w:spacing w:val="-10"/>
                      <w:sz w:val="18"/>
                      <w:szCs w:val="18"/>
                      <w:highlight w:val="none"/>
                      <w:lang w:val="en-US" w:eastAsia="zh-CN"/>
                    </w:rPr>
                    <w:t>分解温度＞250℃</w:t>
                  </w:r>
                  <w:r>
                    <w:rPr>
                      <w:rFonts w:hint="default" w:ascii="Times New Roman" w:hAnsi="Times New Roman" w:eastAsia="仿宋" w:cs="Times New Roman"/>
                      <w:color w:val="auto"/>
                      <w:spacing w:val="-10"/>
                      <w:sz w:val="18"/>
                      <w:szCs w:val="18"/>
                      <w:highlight w:val="none"/>
                      <w:lang w:eastAsia="zh-CN"/>
                    </w:rPr>
                    <w:t>。</w:t>
                  </w:r>
                </w:p>
              </w:tc>
              <w:tc>
                <w:tcPr>
                  <w:tcW w:w="946" w:type="dxa"/>
                  <w:noWrap w:val="0"/>
                  <w:vAlign w:val="center"/>
                </w:tcPr>
                <w:p w14:paraId="0D9B5203">
                  <w:pPr>
                    <w:spacing w:line="240" w:lineRule="auto"/>
                    <w:jc w:val="center"/>
                    <w:rPr>
                      <w:rFonts w:hint="default" w:ascii="Times New Roman" w:hAnsi="Times New Roman" w:eastAsia="仿宋" w:cs="Times New Roman"/>
                      <w:color w:val="auto"/>
                      <w:spacing w:val="-10"/>
                      <w:sz w:val="18"/>
                      <w:szCs w:val="18"/>
                      <w:highlight w:val="none"/>
                      <w:lang w:val="en-US" w:eastAsia="zh-CN"/>
                    </w:rPr>
                  </w:pPr>
                  <w:r>
                    <w:rPr>
                      <w:rFonts w:hint="default" w:ascii="Times New Roman" w:hAnsi="Times New Roman" w:eastAsia="仿宋" w:cs="Times New Roman"/>
                      <w:color w:val="auto"/>
                      <w:spacing w:val="-10"/>
                      <w:sz w:val="18"/>
                      <w:szCs w:val="18"/>
                      <w:highlight w:val="none"/>
                      <w:lang w:val="en-US" w:eastAsia="zh-CN"/>
                    </w:rPr>
                    <w:t>可燃</w:t>
                  </w:r>
                </w:p>
              </w:tc>
              <w:tc>
                <w:tcPr>
                  <w:tcW w:w="991" w:type="dxa"/>
                  <w:noWrap w:val="0"/>
                  <w:vAlign w:val="center"/>
                </w:tcPr>
                <w:p w14:paraId="281FB711">
                  <w:pPr>
                    <w:spacing w:line="240" w:lineRule="auto"/>
                    <w:jc w:val="center"/>
                    <w:rPr>
                      <w:rFonts w:hint="default"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lang w:val="en-US" w:eastAsia="zh-CN"/>
                    </w:rPr>
                    <w:t>无资料</w:t>
                  </w:r>
                </w:p>
              </w:tc>
            </w:tr>
            <w:tr w14:paraId="1C940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noWrap w:val="0"/>
                  <w:vAlign w:val="center"/>
                </w:tcPr>
                <w:p w14:paraId="31DB5413">
                  <w:pPr>
                    <w:spacing w:line="240"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丙烯酸树脂</w:t>
                  </w:r>
                </w:p>
              </w:tc>
              <w:tc>
                <w:tcPr>
                  <w:tcW w:w="987" w:type="dxa"/>
                  <w:noWrap w:val="0"/>
                  <w:vAlign w:val="center"/>
                </w:tcPr>
                <w:p w14:paraId="2108E87E">
                  <w:pPr>
                    <w:spacing w:line="240"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(C₃H₄O₂)ₙ</w:t>
                  </w:r>
                </w:p>
              </w:tc>
              <w:tc>
                <w:tcPr>
                  <w:tcW w:w="4769" w:type="dxa"/>
                  <w:noWrap w:val="0"/>
                  <w:vAlign w:val="center"/>
                </w:tcPr>
                <w:p w14:paraId="1C3DE90B">
                  <w:pPr>
                    <w:spacing w:line="240" w:lineRule="auto"/>
                    <w:ind w:left="-105" w:leftChars="-50" w:right="-105" w:rightChars="-50"/>
                    <w:jc w:val="center"/>
                    <w:rPr>
                      <w:rFonts w:hint="default" w:ascii="Times New Roman" w:hAnsi="Times New Roman" w:eastAsia="仿宋" w:cs="Times New Roman"/>
                      <w:color w:val="auto"/>
                      <w:spacing w:val="-10"/>
                      <w:sz w:val="18"/>
                      <w:szCs w:val="18"/>
                      <w:highlight w:val="none"/>
                    </w:rPr>
                  </w:pPr>
                  <w:r>
                    <w:rPr>
                      <w:rFonts w:hint="default" w:ascii="Times New Roman" w:hAnsi="Times New Roman" w:eastAsia="仿宋" w:cs="Times New Roman"/>
                      <w:color w:val="auto"/>
                      <w:spacing w:val="-10"/>
                      <w:sz w:val="18"/>
                      <w:szCs w:val="18"/>
                      <w:highlight w:val="none"/>
                    </w:rPr>
                    <w:t>无色或淡黄色粘性液体，或无色/微黄色固体，具有良好的透明度和光泽</w:t>
                  </w:r>
                  <w:r>
                    <w:rPr>
                      <w:rFonts w:hint="default" w:ascii="Times New Roman" w:hAnsi="Times New Roman" w:eastAsia="仿宋" w:cs="Times New Roman"/>
                      <w:color w:val="auto"/>
                      <w:spacing w:val="-10"/>
                      <w:sz w:val="18"/>
                      <w:szCs w:val="18"/>
                      <w:highlight w:val="none"/>
                      <w:lang w:eastAsia="zh-CN"/>
                    </w:rPr>
                    <w:t>；</w:t>
                  </w:r>
                  <w:r>
                    <w:rPr>
                      <w:rFonts w:hint="default" w:ascii="Times New Roman" w:hAnsi="Times New Roman" w:eastAsia="仿宋" w:cs="Times New Roman"/>
                      <w:color w:val="auto"/>
                      <w:spacing w:val="-10"/>
                      <w:sz w:val="18"/>
                      <w:szCs w:val="18"/>
                      <w:highlight w:val="none"/>
                    </w:rPr>
                    <w:t>‌密度‌：约1.09 g/cm³（液体状态）</w:t>
                  </w:r>
                  <w:r>
                    <w:rPr>
                      <w:rFonts w:hint="default" w:ascii="Times New Roman" w:hAnsi="Times New Roman" w:eastAsia="仿宋" w:cs="Times New Roman"/>
                      <w:color w:val="auto"/>
                      <w:spacing w:val="-10"/>
                      <w:sz w:val="18"/>
                      <w:szCs w:val="18"/>
                      <w:highlight w:val="none"/>
                      <w:lang w:eastAsia="zh-CN"/>
                    </w:rPr>
                    <w:t>；</w:t>
                  </w:r>
                  <w:r>
                    <w:rPr>
                      <w:rFonts w:hint="default" w:ascii="Times New Roman" w:hAnsi="Times New Roman" w:eastAsia="仿宋" w:cs="Times New Roman"/>
                      <w:color w:val="auto"/>
                      <w:spacing w:val="-10"/>
                      <w:sz w:val="18"/>
                      <w:szCs w:val="18"/>
                      <w:highlight w:val="none"/>
                    </w:rPr>
                    <w:t>‌熔点‌：约106 ℃</w:t>
                  </w:r>
                  <w:r>
                    <w:rPr>
                      <w:rFonts w:hint="default" w:ascii="Times New Roman" w:hAnsi="Times New Roman" w:eastAsia="仿宋" w:cs="Times New Roman"/>
                      <w:color w:val="auto"/>
                      <w:spacing w:val="-10"/>
                      <w:sz w:val="18"/>
                      <w:szCs w:val="18"/>
                      <w:highlight w:val="none"/>
                      <w:lang w:eastAsia="zh-CN"/>
                    </w:rPr>
                    <w:t>；</w:t>
                  </w:r>
                  <w:r>
                    <w:rPr>
                      <w:rFonts w:hint="eastAsia" w:eastAsia="仿宋" w:cs="Times New Roman"/>
                      <w:color w:val="auto"/>
                      <w:spacing w:val="-10"/>
                      <w:sz w:val="18"/>
                      <w:szCs w:val="18"/>
                      <w:highlight w:val="none"/>
                      <w:lang w:val="en-US" w:eastAsia="zh-CN"/>
                    </w:rPr>
                    <w:t>分解温度＞200℃；</w:t>
                  </w:r>
                  <w:r>
                    <w:rPr>
                      <w:rFonts w:hint="default" w:ascii="Times New Roman" w:hAnsi="Times New Roman" w:eastAsia="仿宋" w:cs="Times New Roman"/>
                      <w:color w:val="auto"/>
                      <w:spacing w:val="-10"/>
                      <w:sz w:val="18"/>
                      <w:szCs w:val="18"/>
                      <w:highlight w:val="none"/>
                      <w:lang w:eastAsia="zh-CN"/>
                    </w:rPr>
                    <w:t>耐水、耐酸碱、耐溶剂性良好，但丙烯酸清漆遇热水易泛白、耐汽油性能较差‌。</w:t>
                  </w:r>
                </w:p>
              </w:tc>
              <w:tc>
                <w:tcPr>
                  <w:tcW w:w="946" w:type="dxa"/>
                  <w:noWrap w:val="0"/>
                  <w:vAlign w:val="center"/>
                </w:tcPr>
                <w:p w14:paraId="6048D705">
                  <w:pPr>
                    <w:spacing w:line="240" w:lineRule="auto"/>
                    <w:jc w:val="center"/>
                    <w:rPr>
                      <w:rFonts w:hint="default" w:ascii="Times New Roman" w:hAnsi="Times New Roman" w:eastAsia="仿宋" w:cs="Times New Roman"/>
                      <w:color w:val="auto"/>
                      <w:spacing w:val="-10"/>
                      <w:sz w:val="18"/>
                      <w:szCs w:val="18"/>
                      <w:highlight w:val="none"/>
                      <w:lang w:val="en-US" w:eastAsia="zh-CN"/>
                    </w:rPr>
                  </w:pPr>
                  <w:r>
                    <w:rPr>
                      <w:rFonts w:hint="default" w:ascii="Times New Roman" w:hAnsi="Times New Roman" w:eastAsia="仿宋" w:cs="Times New Roman"/>
                      <w:color w:val="auto"/>
                      <w:spacing w:val="-10"/>
                      <w:sz w:val="18"/>
                      <w:szCs w:val="18"/>
                      <w:highlight w:val="none"/>
                      <w:lang w:val="en-US" w:eastAsia="zh-CN"/>
                    </w:rPr>
                    <w:t>易燃</w:t>
                  </w:r>
                </w:p>
              </w:tc>
              <w:tc>
                <w:tcPr>
                  <w:tcW w:w="991" w:type="dxa"/>
                  <w:noWrap w:val="0"/>
                  <w:vAlign w:val="center"/>
                </w:tcPr>
                <w:p w14:paraId="54E24738">
                  <w:pPr>
                    <w:spacing w:line="240" w:lineRule="auto"/>
                    <w:jc w:val="center"/>
                    <w:rPr>
                      <w:rFonts w:hint="default"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lang w:val="en-US" w:eastAsia="zh-CN"/>
                    </w:rPr>
                    <w:t>无资料</w:t>
                  </w:r>
                </w:p>
              </w:tc>
            </w:tr>
            <w:tr w14:paraId="1D12A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noWrap w:val="0"/>
                  <w:vAlign w:val="center"/>
                </w:tcPr>
                <w:p w14:paraId="7B5FAA94">
                  <w:pPr>
                    <w:spacing w:line="240"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羟基丙烯酸树脂</w:t>
                  </w:r>
                </w:p>
              </w:tc>
              <w:tc>
                <w:tcPr>
                  <w:tcW w:w="987" w:type="dxa"/>
                  <w:noWrap w:val="0"/>
                  <w:vAlign w:val="center"/>
                </w:tcPr>
                <w:p w14:paraId="323AA350">
                  <w:pPr>
                    <w:spacing w:line="240" w:lineRule="auto"/>
                    <w:jc w:val="center"/>
                    <w:rPr>
                      <w:rFonts w:hint="default" w:ascii="Times New Roman" w:hAnsi="Times New Roman" w:eastAsia="仿宋" w:cs="Times New Roman"/>
                      <w:color w:val="auto"/>
                      <w:spacing w:val="-10"/>
                      <w:sz w:val="18"/>
                      <w:szCs w:val="18"/>
                      <w:highlight w:val="none"/>
                    </w:rPr>
                  </w:pPr>
                  <w:r>
                    <w:rPr>
                      <w:rFonts w:hint="default" w:ascii="Times New Roman" w:hAnsi="Times New Roman" w:eastAsia="仿宋" w:cs="Times New Roman"/>
                      <w:color w:val="auto"/>
                      <w:spacing w:val="-10"/>
                      <w:sz w:val="18"/>
                      <w:szCs w:val="18"/>
                      <w:highlight w:val="none"/>
                    </w:rPr>
                    <w:t>(C₃H₄O₃)ₓ‌</w:t>
                  </w:r>
                </w:p>
              </w:tc>
              <w:tc>
                <w:tcPr>
                  <w:tcW w:w="4769" w:type="dxa"/>
                  <w:noWrap w:val="0"/>
                  <w:vAlign w:val="center"/>
                </w:tcPr>
                <w:p w14:paraId="6ED9AEFB">
                  <w:pPr>
                    <w:spacing w:line="240" w:lineRule="auto"/>
                    <w:ind w:left="-105" w:leftChars="-50" w:right="-105" w:rightChars="-50"/>
                    <w:jc w:val="center"/>
                    <w:rPr>
                      <w:rFonts w:hint="default" w:ascii="Times New Roman" w:hAnsi="Times New Roman" w:eastAsia="仿宋" w:cs="Times New Roman"/>
                      <w:color w:val="auto"/>
                      <w:spacing w:val="-10"/>
                      <w:sz w:val="18"/>
                      <w:szCs w:val="18"/>
                      <w:highlight w:val="none"/>
                    </w:rPr>
                  </w:pPr>
                  <w:r>
                    <w:rPr>
                      <w:rFonts w:hint="default" w:ascii="Times New Roman" w:hAnsi="Times New Roman" w:eastAsia="仿宋" w:cs="Times New Roman"/>
                      <w:color w:val="auto"/>
                      <w:spacing w:val="-10"/>
                      <w:sz w:val="18"/>
                      <w:szCs w:val="18"/>
                      <w:highlight w:val="none"/>
                    </w:rPr>
                    <w:t>通常为‌透明或微黄的粘稠液体‌，无机械杂质。可溶于‌二甲苯、醋酸丁酯、醋酸乙酯、丙酮、丁酮‌等常见有机溶剂</w:t>
                  </w:r>
                  <w:r>
                    <w:rPr>
                      <w:rFonts w:hint="eastAsia" w:eastAsia="仿宋" w:cs="Times New Roman"/>
                      <w:color w:val="auto"/>
                      <w:spacing w:val="-10"/>
                      <w:sz w:val="18"/>
                      <w:szCs w:val="18"/>
                      <w:highlight w:val="none"/>
                      <w:lang w:eastAsia="zh-CN"/>
                    </w:rPr>
                    <w:t>，</w:t>
                  </w:r>
                  <w:r>
                    <w:rPr>
                      <w:rFonts w:hint="eastAsia" w:eastAsia="仿宋" w:cs="Times New Roman"/>
                      <w:color w:val="auto"/>
                      <w:spacing w:val="-10"/>
                      <w:sz w:val="18"/>
                      <w:szCs w:val="18"/>
                      <w:highlight w:val="none"/>
                      <w:lang w:val="en-US" w:eastAsia="zh-CN"/>
                    </w:rPr>
                    <w:t>分解温度＞299℃</w:t>
                  </w:r>
                  <w:r>
                    <w:rPr>
                      <w:rFonts w:hint="default" w:ascii="Times New Roman" w:hAnsi="Times New Roman" w:eastAsia="仿宋" w:cs="Times New Roman"/>
                      <w:color w:val="auto"/>
                      <w:spacing w:val="-10"/>
                      <w:sz w:val="18"/>
                      <w:szCs w:val="18"/>
                      <w:highlight w:val="none"/>
                    </w:rPr>
                    <w:t>。</w:t>
                  </w:r>
                </w:p>
              </w:tc>
              <w:tc>
                <w:tcPr>
                  <w:tcW w:w="946" w:type="dxa"/>
                  <w:noWrap w:val="0"/>
                  <w:vAlign w:val="center"/>
                </w:tcPr>
                <w:p w14:paraId="1DAD3E28">
                  <w:pPr>
                    <w:spacing w:line="240" w:lineRule="auto"/>
                    <w:jc w:val="center"/>
                    <w:rPr>
                      <w:rFonts w:hint="default" w:ascii="Times New Roman" w:hAnsi="Times New Roman" w:eastAsia="仿宋" w:cs="Times New Roman"/>
                      <w:color w:val="auto"/>
                      <w:spacing w:val="-10"/>
                      <w:sz w:val="18"/>
                      <w:szCs w:val="18"/>
                      <w:highlight w:val="none"/>
                      <w:lang w:val="en-US" w:eastAsia="zh-CN"/>
                    </w:rPr>
                  </w:pPr>
                  <w:r>
                    <w:rPr>
                      <w:rFonts w:hint="default" w:ascii="Times New Roman" w:hAnsi="Times New Roman" w:eastAsia="仿宋" w:cs="Times New Roman"/>
                      <w:color w:val="auto"/>
                      <w:spacing w:val="-10"/>
                      <w:sz w:val="18"/>
                      <w:szCs w:val="18"/>
                      <w:highlight w:val="none"/>
                      <w:lang w:val="en-US" w:eastAsia="zh-CN"/>
                    </w:rPr>
                    <w:t>易燃</w:t>
                  </w:r>
                </w:p>
              </w:tc>
              <w:tc>
                <w:tcPr>
                  <w:tcW w:w="991" w:type="dxa"/>
                  <w:noWrap w:val="0"/>
                  <w:vAlign w:val="center"/>
                </w:tcPr>
                <w:p w14:paraId="1AF7E019">
                  <w:pPr>
                    <w:spacing w:line="240"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bCs/>
                      <w:color w:val="auto"/>
                      <w:sz w:val="18"/>
                      <w:szCs w:val="18"/>
                      <w:highlight w:val="none"/>
                      <w:lang w:val="en-US" w:eastAsia="zh-CN"/>
                    </w:rPr>
                    <w:t>无资料</w:t>
                  </w:r>
                </w:p>
              </w:tc>
            </w:tr>
            <w:tr w14:paraId="6F92D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noWrap w:val="0"/>
                  <w:vAlign w:val="center"/>
                </w:tcPr>
                <w:p w14:paraId="5F396DAB">
                  <w:pPr>
                    <w:spacing w:line="240"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丙烯酸</w:t>
                  </w:r>
                </w:p>
              </w:tc>
              <w:tc>
                <w:tcPr>
                  <w:tcW w:w="987" w:type="dxa"/>
                  <w:noWrap w:val="0"/>
                  <w:vAlign w:val="center"/>
                </w:tcPr>
                <w:p w14:paraId="1251A2EA">
                  <w:pPr>
                    <w:spacing w:line="240" w:lineRule="auto"/>
                    <w:jc w:val="center"/>
                    <w:rPr>
                      <w:rFonts w:hint="default" w:ascii="Times New Roman" w:hAnsi="Times New Roman" w:eastAsia="仿宋" w:cs="Times New Roman"/>
                      <w:color w:val="auto"/>
                      <w:spacing w:val="-10"/>
                      <w:sz w:val="18"/>
                      <w:szCs w:val="18"/>
                      <w:highlight w:val="none"/>
                    </w:rPr>
                  </w:pPr>
                  <w:r>
                    <w:rPr>
                      <w:rFonts w:hint="default" w:ascii="Times New Roman" w:hAnsi="Times New Roman" w:eastAsia="仿宋" w:cs="Times New Roman"/>
                      <w:color w:val="auto"/>
                      <w:spacing w:val="-10"/>
                      <w:sz w:val="18"/>
                      <w:szCs w:val="18"/>
                      <w:highlight w:val="none"/>
                    </w:rPr>
                    <w:t>C₃H₄O₂</w:t>
                  </w:r>
                </w:p>
              </w:tc>
              <w:tc>
                <w:tcPr>
                  <w:tcW w:w="4769" w:type="dxa"/>
                  <w:noWrap w:val="0"/>
                  <w:vAlign w:val="center"/>
                </w:tcPr>
                <w:p w14:paraId="40B18718">
                  <w:pPr>
                    <w:spacing w:line="240" w:lineRule="auto"/>
                    <w:ind w:left="-105" w:leftChars="-50" w:right="-105" w:rightChars="-50"/>
                    <w:jc w:val="center"/>
                    <w:rPr>
                      <w:rFonts w:hint="default" w:ascii="Times New Roman" w:hAnsi="Times New Roman" w:eastAsia="仿宋" w:cs="Times New Roman"/>
                      <w:color w:val="auto"/>
                      <w:spacing w:val="-10"/>
                      <w:sz w:val="18"/>
                      <w:szCs w:val="18"/>
                      <w:highlight w:val="none"/>
                      <w:lang w:val="en-US" w:eastAsia="zh-CN"/>
                    </w:rPr>
                  </w:pPr>
                  <w:r>
                    <w:rPr>
                      <w:rFonts w:hint="default" w:ascii="Times New Roman" w:hAnsi="Times New Roman" w:eastAsia="仿宋" w:cs="Times New Roman"/>
                      <w:color w:val="auto"/>
                      <w:spacing w:val="-10"/>
                      <w:sz w:val="18"/>
                      <w:szCs w:val="18"/>
                      <w:highlight w:val="none"/>
                    </w:rPr>
                    <w:t>常温常压下为无色、有刺激性气味的液体，易溶于水（混溶）、乙醇、乙醚等。由于在结构中含有不饱和键，其化学性质较为活泼，在空气中易聚合，可与氢气发生还原反应，可与醇类发生酯化反应，亦可与卤化氢发生加成反应</w:t>
                  </w:r>
                  <w:r>
                    <w:rPr>
                      <w:rFonts w:hint="default" w:ascii="Times New Roman" w:hAnsi="Times New Roman" w:eastAsia="仿宋" w:cs="Times New Roman"/>
                      <w:color w:val="auto"/>
                      <w:spacing w:val="-10"/>
                      <w:sz w:val="18"/>
                      <w:szCs w:val="18"/>
                      <w:highlight w:val="none"/>
                      <w:lang w:eastAsia="zh-CN"/>
                    </w:rPr>
                    <w:t>。</w:t>
                  </w:r>
                  <w:r>
                    <w:rPr>
                      <w:rFonts w:hint="default" w:ascii="Times New Roman" w:hAnsi="Times New Roman" w:eastAsia="仿宋" w:cs="Times New Roman"/>
                      <w:color w:val="auto"/>
                      <w:spacing w:val="-10"/>
                      <w:sz w:val="18"/>
                      <w:szCs w:val="18"/>
                      <w:highlight w:val="none"/>
                      <w:lang w:val="en-US" w:eastAsia="zh-CN"/>
                    </w:rPr>
                    <w:t>闪点54℃，熔点13℃，沸点140.9℃。</w:t>
                  </w:r>
                </w:p>
              </w:tc>
              <w:tc>
                <w:tcPr>
                  <w:tcW w:w="946" w:type="dxa"/>
                  <w:noWrap w:val="0"/>
                  <w:vAlign w:val="center"/>
                </w:tcPr>
                <w:p w14:paraId="4323445F">
                  <w:pPr>
                    <w:spacing w:line="240" w:lineRule="auto"/>
                    <w:jc w:val="center"/>
                    <w:rPr>
                      <w:rFonts w:hint="default" w:ascii="Times New Roman" w:hAnsi="Times New Roman" w:eastAsia="仿宋" w:cs="Times New Roman"/>
                      <w:color w:val="auto"/>
                      <w:spacing w:val="-10"/>
                      <w:sz w:val="18"/>
                      <w:szCs w:val="18"/>
                      <w:highlight w:val="none"/>
                      <w:lang w:val="en-US" w:eastAsia="zh-CN"/>
                    </w:rPr>
                  </w:pPr>
                  <w:r>
                    <w:rPr>
                      <w:rFonts w:hint="default" w:ascii="Times New Roman" w:hAnsi="Times New Roman" w:eastAsia="仿宋" w:cs="Times New Roman"/>
                      <w:color w:val="auto"/>
                      <w:spacing w:val="-10"/>
                      <w:sz w:val="18"/>
                      <w:szCs w:val="18"/>
                      <w:highlight w:val="none"/>
                      <w:lang w:val="en-US" w:eastAsia="zh-CN"/>
                    </w:rPr>
                    <w:t>易燃</w:t>
                  </w:r>
                </w:p>
              </w:tc>
              <w:tc>
                <w:tcPr>
                  <w:tcW w:w="991" w:type="dxa"/>
                  <w:noWrap w:val="0"/>
                  <w:vAlign w:val="center"/>
                </w:tcPr>
                <w:p w14:paraId="48ED13D5">
                  <w:pPr>
                    <w:spacing w:line="240" w:lineRule="auto"/>
                    <w:jc w:val="center"/>
                    <w:rPr>
                      <w:rFonts w:hint="default" w:ascii="Times New Roman" w:hAnsi="Times New Roman" w:eastAsia="仿宋" w:cs="Times New Roman"/>
                      <w:color w:val="auto"/>
                      <w:spacing w:val="-10"/>
                      <w:sz w:val="18"/>
                      <w:szCs w:val="18"/>
                      <w:highlight w:val="none"/>
                    </w:rPr>
                  </w:pPr>
                  <w:r>
                    <w:rPr>
                      <w:rFonts w:hint="default" w:ascii="Times New Roman" w:hAnsi="Times New Roman" w:eastAsia="仿宋" w:cs="Times New Roman"/>
                      <w:color w:val="auto"/>
                      <w:spacing w:val="-10"/>
                      <w:sz w:val="18"/>
                      <w:szCs w:val="18"/>
                      <w:highlight w:val="none"/>
                    </w:rPr>
                    <w:fldChar w:fldCharType="begin"/>
                  </w:r>
                  <w:r>
                    <w:rPr>
                      <w:rFonts w:hint="default" w:ascii="Times New Roman" w:hAnsi="Times New Roman" w:eastAsia="仿宋" w:cs="Times New Roman"/>
                      <w:color w:val="auto"/>
                      <w:spacing w:val="-10"/>
                      <w:sz w:val="18"/>
                      <w:szCs w:val="18"/>
                      <w:highlight w:val="none"/>
                    </w:rPr>
                    <w:instrText xml:space="preserve"> HYPERLINK "https://baike.baidu.com/item/LD50/4041609?fromModule=lemma_inlink" \t "https://baike.baidu.com/item/%E4%B8%99%E7%83%AF%E9%85%B8/_blank" </w:instrText>
                  </w:r>
                  <w:r>
                    <w:rPr>
                      <w:rFonts w:hint="default" w:ascii="Times New Roman" w:hAnsi="Times New Roman" w:eastAsia="仿宋" w:cs="Times New Roman"/>
                      <w:color w:val="auto"/>
                      <w:spacing w:val="-10"/>
                      <w:sz w:val="18"/>
                      <w:szCs w:val="18"/>
                      <w:highlight w:val="none"/>
                    </w:rPr>
                    <w:fldChar w:fldCharType="separate"/>
                  </w:r>
                  <w:r>
                    <w:rPr>
                      <w:rFonts w:hint="default" w:ascii="Times New Roman" w:hAnsi="Times New Roman" w:eastAsia="仿宋" w:cs="Times New Roman"/>
                      <w:color w:val="auto"/>
                      <w:spacing w:val="-10"/>
                      <w:sz w:val="18"/>
                      <w:szCs w:val="18"/>
                      <w:highlight w:val="none"/>
                    </w:rPr>
                    <w:t>LD50</w:t>
                  </w:r>
                  <w:r>
                    <w:rPr>
                      <w:rFonts w:hint="default" w:ascii="Times New Roman" w:hAnsi="Times New Roman" w:eastAsia="仿宋" w:cs="Times New Roman"/>
                      <w:color w:val="auto"/>
                      <w:spacing w:val="-10"/>
                      <w:sz w:val="18"/>
                      <w:szCs w:val="18"/>
                      <w:highlight w:val="none"/>
                    </w:rPr>
                    <w:fldChar w:fldCharType="end"/>
                  </w:r>
                  <w:r>
                    <w:rPr>
                      <w:rFonts w:hint="default" w:ascii="Times New Roman" w:hAnsi="Times New Roman" w:eastAsia="仿宋" w:cs="Times New Roman"/>
                      <w:color w:val="auto"/>
                      <w:spacing w:val="-10"/>
                      <w:sz w:val="18"/>
                      <w:szCs w:val="18"/>
                      <w:highlight w:val="none"/>
                    </w:rPr>
                    <w:t>：2520 mg/kg（大鼠经口）；2400 mg/kg（小鼠经口）</w:t>
                  </w:r>
                </w:p>
              </w:tc>
            </w:tr>
            <w:tr w14:paraId="27ADC1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noWrap w:val="0"/>
                  <w:vAlign w:val="center"/>
                </w:tcPr>
                <w:p w14:paraId="71746A91">
                  <w:pPr>
                    <w:spacing w:line="240"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2,2-二甲氧基-苯基乙酮</w:t>
                  </w:r>
                </w:p>
              </w:tc>
              <w:tc>
                <w:tcPr>
                  <w:tcW w:w="987" w:type="dxa"/>
                  <w:noWrap w:val="0"/>
                  <w:vAlign w:val="center"/>
                </w:tcPr>
                <w:p w14:paraId="76DA7000">
                  <w:pPr>
                    <w:spacing w:line="240" w:lineRule="auto"/>
                    <w:jc w:val="center"/>
                    <w:rPr>
                      <w:rFonts w:hint="default" w:ascii="Times New Roman" w:hAnsi="Times New Roman" w:eastAsia="仿宋" w:cs="Times New Roman"/>
                      <w:color w:val="auto"/>
                      <w:spacing w:val="-10"/>
                      <w:sz w:val="18"/>
                      <w:szCs w:val="18"/>
                      <w:highlight w:val="none"/>
                    </w:rPr>
                  </w:pPr>
                  <w:r>
                    <w:rPr>
                      <w:rFonts w:hint="default" w:ascii="Times New Roman" w:hAnsi="Times New Roman" w:eastAsia="仿宋" w:cs="Times New Roman"/>
                      <w:color w:val="auto"/>
                      <w:spacing w:val="-10"/>
                      <w:sz w:val="18"/>
                      <w:szCs w:val="18"/>
                      <w:highlight w:val="none"/>
                    </w:rPr>
                    <w:t>C₁₆H₁₆O₃</w:t>
                  </w:r>
                </w:p>
              </w:tc>
              <w:tc>
                <w:tcPr>
                  <w:tcW w:w="4769" w:type="dxa"/>
                  <w:noWrap w:val="0"/>
                  <w:vAlign w:val="center"/>
                </w:tcPr>
                <w:p w14:paraId="17011548">
                  <w:pPr>
                    <w:spacing w:line="240" w:lineRule="auto"/>
                    <w:ind w:left="-105" w:leftChars="-50" w:right="-105" w:rightChars="-50"/>
                    <w:jc w:val="center"/>
                    <w:rPr>
                      <w:rFonts w:hint="default" w:ascii="Times New Roman" w:hAnsi="Times New Roman" w:eastAsia="仿宋" w:cs="Times New Roman"/>
                      <w:color w:val="auto"/>
                      <w:spacing w:val="-10"/>
                      <w:sz w:val="18"/>
                      <w:szCs w:val="18"/>
                      <w:highlight w:val="none"/>
                      <w:lang w:val="en-US" w:eastAsia="zh-CN"/>
                    </w:rPr>
                  </w:pPr>
                  <w:r>
                    <w:rPr>
                      <w:rFonts w:hint="default" w:ascii="Times New Roman" w:hAnsi="Times New Roman" w:eastAsia="仿宋" w:cs="Times New Roman"/>
                      <w:color w:val="auto"/>
                      <w:spacing w:val="-10"/>
                      <w:sz w:val="18"/>
                      <w:szCs w:val="18"/>
                      <w:highlight w:val="none"/>
                    </w:rPr>
                    <w:t>白色至淡黄色结晶粉末</w:t>
                  </w:r>
                  <w:r>
                    <w:rPr>
                      <w:rFonts w:hint="default" w:ascii="Times New Roman" w:hAnsi="Times New Roman" w:eastAsia="仿宋" w:cs="Times New Roman"/>
                      <w:color w:val="auto"/>
                      <w:spacing w:val="-10"/>
                      <w:sz w:val="18"/>
                      <w:szCs w:val="18"/>
                      <w:highlight w:val="none"/>
                      <w:lang w:eastAsia="zh-CN"/>
                    </w:rPr>
                    <w:t>；</w:t>
                  </w:r>
                  <w:r>
                    <w:rPr>
                      <w:rFonts w:hint="default" w:ascii="Times New Roman" w:hAnsi="Times New Roman" w:eastAsia="仿宋" w:cs="Times New Roman"/>
                      <w:color w:val="auto"/>
                      <w:spacing w:val="-10"/>
                      <w:sz w:val="18"/>
                      <w:szCs w:val="18"/>
                      <w:highlight w:val="none"/>
                      <w:lang w:val="en-US" w:eastAsia="zh-CN"/>
                    </w:rPr>
                    <w:t>熔点67-70℃；沸点169℃；不溶于水，溶于丙酮、乙酸乙酯、热甲醇、异丙醇等有机溶剂。</w:t>
                  </w:r>
                </w:p>
              </w:tc>
              <w:tc>
                <w:tcPr>
                  <w:tcW w:w="946" w:type="dxa"/>
                  <w:noWrap w:val="0"/>
                  <w:vAlign w:val="center"/>
                </w:tcPr>
                <w:p w14:paraId="2543CD94">
                  <w:pPr>
                    <w:spacing w:line="240" w:lineRule="auto"/>
                    <w:jc w:val="center"/>
                    <w:rPr>
                      <w:rFonts w:hint="default" w:ascii="Times New Roman" w:hAnsi="Times New Roman" w:eastAsia="仿宋" w:cs="Times New Roman"/>
                      <w:color w:val="auto"/>
                      <w:spacing w:val="-10"/>
                      <w:sz w:val="18"/>
                      <w:szCs w:val="18"/>
                      <w:highlight w:val="none"/>
                      <w:lang w:val="en-US" w:eastAsia="zh-CN"/>
                    </w:rPr>
                  </w:pPr>
                  <w:r>
                    <w:rPr>
                      <w:rFonts w:hint="default" w:ascii="Times New Roman" w:hAnsi="Times New Roman" w:eastAsia="仿宋" w:cs="Times New Roman"/>
                      <w:color w:val="auto"/>
                      <w:spacing w:val="-10"/>
                      <w:sz w:val="18"/>
                      <w:szCs w:val="18"/>
                      <w:highlight w:val="none"/>
                      <w:lang w:val="en-US" w:eastAsia="zh-CN"/>
                    </w:rPr>
                    <w:t>易燃</w:t>
                  </w:r>
                </w:p>
              </w:tc>
              <w:tc>
                <w:tcPr>
                  <w:tcW w:w="991" w:type="dxa"/>
                  <w:noWrap w:val="0"/>
                  <w:vAlign w:val="center"/>
                </w:tcPr>
                <w:p w14:paraId="5E4A586B">
                  <w:pPr>
                    <w:spacing w:line="240"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无资料</w:t>
                  </w:r>
                </w:p>
              </w:tc>
            </w:tr>
            <w:tr w14:paraId="0015B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noWrap w:val="0"/>
                  <w:vAlign w:val="center"/>
                </w:tcPr>
                <w:p w14:paraId="66468FFB">
                  <w:pPr>
                    <w:spacing w:line="240"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2,3-环氧丙基丙基三甲氧基硅烷</w:t>
                  </w:r>
                </w:p>
              </w:tc>
              <w:tc>
                <w:tcPr>
                  <w:tcW w:w="987" w:type="dxa"/>
                  <w:noWrap w:val="0"/>
                  <w:vAlign w:val="center"/>
                </w:tcPr>
                <w:p w14:paraId="160A473B">
                  <w:pPr>
                    <w:spacing w:line="240"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C₉H₂₀O₅Si</w:t>
                  </w:r>
                </w:p>
              </w:tc>
              <w:tc>
                <w:tcPr>
                  <w:tcW w:w="4769" w:type="dxa"/>
                  <w:noWrap w:val="0"/>
                  <w:vAlign w:val="center"/>
                </w:tcPr>
                <w:p w14:paraId="13490AB6">
                  <w:pPr>
                    <w:spacing w:line="240" w:lineRule="auto"/>
                    <w:ind w:left="-105" w:leftChars="-50" w:right="-105" w:rightChars="-50"/>
                    <w:jc w:val="center"/>
                    <w:rPr>
                      <w:rFonts w:hint="default" w:ascii="Times New Roman" w:hAnsi="Times New Roman" w:eastAsia="仿宋" w:cs="Times New Roman"/>
                      <w:color w:val="auto"/>
                      <w:spacing w:val="-10"/>
                      <w:sz w:val="18"/>
                      <w:szCs w:val="18"/>
                      <w:highlight w:val="none"/>
                      <w:lang w:val="en-US" w:eastAsia="zh-CN"/>
                    </w:rPr>
                  </w:pPr>
                  <w:r>
                    <w:rPr>
                      <w:rFonts w:hint="default" w:ascii="Times New Roman" w:hAnsi="Times New Roman" w:eastAsia="仿宋" w:cs="Times New Roman"/>
                      <w:color w:val="auto"/>
                      <w:spacing w:val="-10"/>
                      <w:sz w:val="18"/>
                      <w:szCs w:val="18"/>
                      <w:highlight w:val="none"/>
                      <w:lang w:val="en-US" w:eastAsia="zh-CN"/>
                    </w:rPr>
                    <w:t>无色透明液体；熔点-50℃，沸点120℃，闪点＞110℃；对湿气敏感，过热、光照或过氧化物存在下易聚合；易溶于丙酮、苯、乙醚、乙酸乙酯、汽油等多数有机溶剂，不溶于水，但遇水易水解，缩合形成聚硅氧烷</w:t>
                  </w:r>
                </w:p>
              </w:tc>
              <w:tc>
                <w:tcPr>
                  <w:tcW w:w="946" w:type="dxa"/>
                  <w:noWrap w:val="0"/>
                  <w:vAlign w:val="center"/>
                </w:tcPr>
                <w:p w14:paraId="74946CD3">
                  <w:pPr>
                    <w:spacing w:line="240" w:lineRule="auto"/>
                    <w:jc w:val="center"/>
                    <w:rPr>
                      <w:rFonts w:hint="default" w:ascii="Times New Roman" w:hAnsi="Times New Roman" w:eastAsia="仿宋" w:cs="Times New Roman"/>
                      <w:color w:val="auto"/>
                      <w:spacing w:val="-10"/>
                      <w:sz w:val="18"/>
                      <w:szCs w:val="18"/>
                      <w:highlight w:val="none"/>
                      <w:lang w:val="en-US" w:eastAsia="zh-CN"/>
                    </w:rPr>
                  </w:pPr>
                  <w:r>
                    <w:rPr>
                      <w:rFonts w:hint="default" w:ascii="Times New Roman" w:hAnsi="Times New Roman" w:eastAsia="仿宋" w:cs="Times New Roman"/>
                      <w:color w:val="auto"/>
                      <w:spacing w:val="-10"/>
                      <w:sz w:val="18"/>
                      <w:szCs w:val="18"/>
                      <w:highlight w:val="none"/>
                      <w:lang w:val="en-US" w:eastAsia="zh-CN"/>
                    </w:rPr>
                    <w:t>可燃</w:t>
                  </w:r>
                </w:p>
              </w:tc>
              <w:tc>
                <w:tcPr>
                  <w:tcW w:w="991" w:type="dxa"/>
                  <w:noWrap w:val="0"/>
                  <w:vAlign w:val="center"/>
                </w:tcPr>
                <w:p w14:paraId="434869A8">
                  <w:pPr>
                    <w:spacing w:line="240" w:lineRule="auto"/>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rPr>
                    <w:t>LD50: 22600 µL/kg</w:t>
                  </w:r>
                  <w:r>
                    <w:rPr>
                      <w:rFonts w:hint="default" w:ascii="Times New Roman" w:hAnsi="Times New Roman" w:eastAsia="仿宋" w:cs="Times New Roman"/>
                      <w:color w:val="auto"/>
                      <w:sz w:val="18"/>
                      <w:szCs w:val="18"/>
                      <w:highlight w:val="none"/>
                      <w:lang w:eastAsia="zh-CN"/>
                    </w:rPr>
                    <w:t>（</w:t>
                  </w:r>
                  <w:r>
                    <w:rPr>
                      <w:rFonts w:hint="default" w:ascii="Times New Roman" w:hAnsi="Times New Roman" w:eastAsia="仿宋" w:cs="Times New Roman"/>
                      <w:color w:val="auto"/>
                      <w:sz w:val="18"/>
                      <w:szCs w:val="18"/>
                      <w:highlight w:val="none"/>
                      <w:lang w:val="en-US" w:eastAsia="zh-CN"/>
                    </w:rPr>
                    <w:t>大鼠径口</w:t>
                  </w:r>
                  <w:r>
                    <w:rPr>
                      <w:rFonts w:hint="default" w:ascii="Times New Roman" w:hAnsi="Times New Roman" w:eastAsia="仿宋" w:cs="Times New Roman"/>
                      <w:color w:val="auto"/>
                      <w:sz w:val="18"/>
                      <w:szCs w:val="18"/>
                      <w:highlight w:val="none"/>
                      <w:lang w:eastAsia="zh-CN"/>
                    </w:rPr>
                    <w:t>）</w:t>
                  </w:r>
                </w:p>
              </w:tc>
            </w:tr>
            <w:tr w14:paraId="546BB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6" w:type="dxa"/>
                  <w:noWrap w:val="0"/>
                  <w:vAlign w:val="center"/>
                </w:tcPr>
                <w:p w14:paraId="7B8BA365">
                  <w:pPr>
                    <w:spacing w:line="240" w:lineRule="auto"/>
                    <w:jc w:val="center"/>
                    <w:rPr>
                      <w:rFonts w:hint="eastAsia"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矿物油</w:t>
                  </w:r>
                </w:p>
              </w:tc>
              <w:tc>
                <w:tcPr>
                  <w:tcW w:w="987" w:type="dxa"/>
                  <w:noWrap w:val="0"/>
                  <w:vAlign w:val="center"/>
                </w:tcPr>
                <w:p w14:paraId="4D90A651">
                  <w:pPr>
                    <w:spacing w:line="240" w:lineRule="auto"/>
                    <w:jc w:val="center"/>
                    <w:rPr>
                      <w:rFonts w:hint="eastAsia"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w:t>
                  </w:r>
                </w:p>
              </w:tc>
              <w:tc>
                <w:tcPr>
                  <w:tcW w:w="4769" w:type="dxa"/>
                  <w:noWrap w:val="0"/>
                  <w:vAlign w:val="center"/>
                </w:tcPr>
                <w:p w14:paraId="3FB713F4">
                  <w:pPr>
                    <w:spacing w:line="240" w:lineRule="auto"/>
                    <w:ind w:left="-105" w:leftChars="-50" w:right="-105" w:rightChars="-50"/>
                    <w:jc w:val="center"/>
                    <w:rPr>
                      <w:rFonts w:hint="default" w:ascii="Times New Roman" w:hAnsi="Times New Roman" w:eastAsia="仿宋" w:cs="Times New Roman"/>
                      <w:color w:val="auto"/>
                      <w:spacing w:val="-10"/>
                      <w:sz w:val="18"/>
                      <w:szCs w:val="18"/>
                      <w:highlight w:val="none"/>
                      <w:lang w:val="en-US" w:eastAsia="zh-CN"/>
                    </w:rPr>
                  </w:pPr>
                  <w:r>
                    <w:rPr>
                      <w:rFonts w:hint="default" w:ascii="Times New Roman" w:hAnsi="Times New Roman" w:eastAsia="仿宋" w:cs="Times New Roman"/>
                      <w:color w:val="auto"/>
                      <w:spacing w:val="-10"/>
                      <w:sz w:val="18"/>
                      <w:szCs w:val="18"/>
                      <w:highlight w:val="none"/>
                      <w:lang w:val="en-US" w:eastAsia="zh-CN"/>
                    </w:rPr>
                    <w:t>石油所得精炼液态烃的混合物，原油经常压和减压分馏、溶剂抽提和脱蜡，加氢精制而得。密度 0.877。折射率 1.476-1.483。闪点220°C。</w:t>
                  </w:r>
                </w:p>
              </w:tc>
              <w:tc>
                <w:tcPr>
                  <w:tcW w:w="946" w:type="dxa"/>
                  <w:noWrap w:val="0"/>
                  <w:vAlign w:val="center"/>
                </w:tcPr>
                <w:p w14:paraId="188CF8A8">
                  <w:pPr>
                    <w:spacing w:line="240" w:lineRule="auto"/>
                    <w:jc w:val="center"/>
                    <w:rPr>
                      <w:rFonts w:hint="default" w:ascii="Times New Roman" w:hAnsi="Times New Roman" w:eastAsia="仿宋" w:cs="Times New Roman"/>
                      <w:color w:val="auto"/>
                      <w:spacing w:val="-10"/>
                      <w:sz w:val="18"/>
                      <w:szCs w:val="18"/>
                      <w:highlight w:val="none"/>
                      <w:lang w:val="en-US" w:eastAsia="zh-CN"/>
                    </w:rPr>
                  </w:pPr>
                  <w:r>
                    <w:rPr>
                      <w:rFonts w:hint="eastAsia" w:eastAsia="仿宋" w:cs="Times New Roman"/>
                      <w:color w:val="auto"/>
                      <w:spacing w:val="-10"/>
                      <w:sz w:val="18"/>
                      <w:szCs w:val="18"/>
                      <w:highlight w:val="none"/>
                      <w:lang w:val="en-US" w:eastAsia="zh-CN"/>
                    </w:rPr>
                    <w:t>可燃</w:t>
                  </w:r>
                </w:p>
              </w:tc>
              <w:tc>
                <w:tcPr>
                  <w:tcW w:w="991" w:type="dxa"/>
                  <w:noWrap w:val="0"/>
                  <w:vAlign w:val="center"/>
                </w:tcPr>
                <w:p w14:paraId="3E771AC8">
                  <w:pPr>
                    <w:spacing w:line="240" w:lineRule="auto"/>
                    <w:jc w:val="center"/>
                    <w:rPr>
                      <w:rFonts w:hint="eastAsia"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无资料</w:t>
                  </w:r>
                </w:p>
              </w:tc>
            </w:tr>
          </w:tbl>
          <w:p w14:paraId="4CB67731">
            <w:pPr>
              <w:keepNext w:val="0"/>
              <w:keepLines w:val="0"/>
              <w:pageBreakBefore w:val="0"/>
              <w:widowControl w:val="0"/>
              <w:kinsoku/>
              <w:wordWrap/>
              <w:overflowPunct/>
              <w:topLinePunct w:val="0"/>
              <w:autoSpaceDE/>
              <w:autoSpaceDN/>
              <w:bidi w:val="0"/>
              <w:adjustRightInd w:val="0"/>
              <w:snapToGrid w:val="0"/>
              <w:spacing w:line="240" w:lineRule="auto"/>
              <w:ind w:firstLine="200" w:firstLineChars="200"/>
              <w:jc w:val="left"/>
              <w:textAlignment w:val="auto"/>
              <w:rPr>
                <w:rFonts w:hint="default" w:ascii="Times New Roman" w:hAnsi="Times New Roman" w:eastAsia="仿宋" w:cs="Times New Roman"/>
                <w:bCs/>
                <w:color w:val="auto"/>
                <w:sz w:val="10"/>
                <w:szCs w:val="10"/>
                <w:highlight w:val="none"/>
                <w:lang w:val="en-US" w:eastAsia="zh-CN"/>
              </w:rPr>
            </w:pPr>
          </w:p>
          <w:p w14:paraId="6988BB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highlight w:val="none"/>
                <w:lang w:val="en-US" w:eastAsia="zh-CN"/>
              </w:rPr>
            </w:pPr>
            <w:r>
              <w:rPr>
                <w:rFonts w:hint="eastAsia" w:eastAsia="仿宋" w:cs="Times New Roman"/>
                <w:bCs/>
                <w:color w:val="auto"/>
                <w:sz w:val="24"/>
                <w:highlight w:val="none"/>
                <w:lang w:val="en-US" w:eastAsia="zh-CN"/>
              </w:rPr>
              <w:t>胶粘剂</w:t>
            </w:r>
            <w:r>
              <w:rPr>
                <w:rFonts w:hint="default" w:ascii="Times New Roman" w:hAnsi="Times New Roman" w:eastAsia="仿宋" w:cs="Times New Roman"/>
                <w:bCs/>
                <w:color w:val="auto"/>
                <w:sz w:val="24"/>
                <w:highlight w:val="none"/>
                <w:lang w:val="en-US" w:eastAsia="zh-CN"/>
              </w:rPr>
              <w:t>合规性分析：</w:t>
            </w:r>
          </w:p>
          <w:p w14:paraId="14306B2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本项目使用胶粘剂组分为：聚氨酯甲基丙烯酸酯树脂50-55%、丙烯酸树脂25-30%、羟基丙烯酸树脂12-14%、丙烯酸1.5-2.5%、2,2-二甲氧基-苯基乙酮3-5%、2,3-环氧丙基丙基三甲氧基硅烷0.5-2%，属于本体型胶粘剂中的“丙烯酸酯类”。《胶粘剂挥发性有机化合物限量》（GB 33372-2020）表3中本体型胶粘剂VOC含量限值如下：</w:t>
            </w:r>
          </w:p>
          <w:p w14:paraId="30371941">
            <w:pPr>
              <w:adjustRightInd w:val="0"/>
              <w:snapToGrid w:val="0"/>
              <w:jc w:val="center"/>
              <w:rPr>
                <w:rFonts w:hint="default" w:ascii="Times New Roman" w:hAnsi="Times New Roman" w:eastAsia="仿宋" w:cs="Times New Roman"/>
                <w:b/>
                <w:bCs/>
                <w:color w:val="auto"/>
                <w:sz w:val="24"/>
                <w:highlight w:val="none"/>
                <w:lang w:val="en-US" w:eastAsia="zh-CN"/>
              </w:rPr>
            </w:pPr>
            <w:r>
              <w:rPr>
                <w:rFonts w:hint="default" w:ascii="Times New Roman" w:hAnsi="Times New Roman" w:eastAsia="仿宋" w:cs="Times New Roman"/>
                <w:b/>
                <w:bCs/>
                <w:color w:val="auto"/>
                <w:sz w:val="24"/>
                <w:highlight w:val="none"/>
              </w:rPr>
              <w:t>表</w:t>
            </w:r>
            <w:r>
              <w:rPr>
                <w:rFonts w:hint="default" w:ascii="Times New Roman" w:hAnsi="Times New Roman" w:eastAsia="仿宋" w:cs="Times New Roman"/>
                <w:b/>
                <w:bCs/>
                <w:color w:val="auto"/>
                <w:sz w:val="24"/>
                <w:highlight w:val="none"/>
                <w:lang w:val="en-US" w:eastAsia="zh-CN"/>
              </w:rPr>
              <w:t>2-</w:t>
            </w:r>
            <w:r>
              <w:rPr>
                <w:rFonts w:hint="eastAsia" w:ascii="Times New Roman" w:hAnsi="Times New Roman" w:eastAsia="仿宋" w:cs="Times New Roman"/>
                <w:b/>
                <w:bCs/>
                <w:color w:val="auto"/>
                <w:sz w:val="24"/>
                <w:highlight w:val="none"/>
                <w:lang w:val="en-US" w:eastAsia="zh-CN"/>
              </w:rPr>
              <w:t>5</w:t>
            </w:r>
            <w:r>
              <w:rPr>
                <w:rFonts w:hint="default" w:ascii="Times New Roman" w:hAnsi="Times New Roman" w:eastAsia="仿宋" w:cs="Times New Roman"/>
                <w:b/>
                <w:bCs/>
                <w:color w:val="auto"/>
                <w:sz w:val="24"/>
                <w:highlight w:val="none"/>
              </w:rPr>
              <w:t xml:space="preserve">  </w:t>
            </w:r>
            <w:r>
              <w:rPr>
                <w:rFonts w:hint="eastAsia" w:eastAsia="仿宋" w:cs="Times New Roman"/>
                <w:b/>
                <w:bCs/>
                <w:color w:val="auto"/>
                <w:sz w:val="24"/>
                <w:highlight w:val="none"/>
                <w:lang w:val="en-US" w:eastAsia="zh-CN"/>
              </w:rPr>
              <w:t>本体型胶粘剂VOC含量限量</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15"/>
              <w:gridCol w:w="826"/>
              <w:gridCol w:w="828"/>
              <w:gridCol w:w="560"/>
              <w:gridCol w:w="1101"/>
              <w:gridCol w:w="965"/>
              <w:gridCol w:w="823"/>
              <w:gridCol w:w="687"/>
              <w:gridCol w:w="688"/>
              <w:gridCol w:w="683"/>
            </w:tblGrid>
            <w:tr w14:paraId="5E4AC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6" w:hRule="atLeast"/>
                <w:jc w:val="center"/>
              </w:trPr>
              <w:tc>
                <w:tcPr>
                  <w:tcW w:w="725" w:type="pct"/>
                  <w:vAlign w:val="center"/>
                </w:tcPr>
                <w:p w14:paraId="547906CD">
                  <w:pPr>
                    <w:jc w:val="center"/>
                    <w:rPr>
                      <w:rFonts w:hint="default" w:ascii="Times New Roman" w:hAnsi="Times New Roman" w:eastAsia="仿宋" w:cs="Times New Roman"/>
                      <w:b/>
                      <w:bCs/>
                      <w:color w:val="000000"/>
                      <w:kern w:val="0"/>
                      <w:szCs w:val="21"/>
                      <w:lang w:val="en-US" w:eastAsia="zh-CN"/>
                    </w:rPr>
                  </w:pPr>
                  <w:r>
                    <w:rPr>
                      <w:rFonts w:hint="default" w:ascii="Times New Roman" w:hAnsi="Times New Roman" w:eastAsia="仿宋" w:cs="Times New Roman"/>
                      <w:b/>
                      <w:bCs/>
                      <w:color w:val="000000"/>
                      <w:kern w:val="0"/>
                      <w:szCs w:val="21"/>
                      <w:lang w:val="en-US" w:eastAsia="zh-CN"/>
                    </w:rPr>
                    <w:t>应用领域</w:t>
                  </w:r>
                </w:p>
              </w:tc>
              <w:tc>
                <w:tcPr>
                  <w:tcW w:w="493" w:type="pct"/>
                  <w:vAlign w:val="center"/>
                </w:tcPr>
                <w:p w14:paraId="2969A653">
                  <w:pPr>
                    <w:jc w:val="center"/>
                    <w:rPr>
                      <w:rFonts w:hint="default" w:ascii="Times New Roman" w:hAnsi="Times New Roman" w:eastAsia="仿宋" w:cs="Times New Roman"/>
                      <w:b/>
                      <w:bCs/>
                      <w:color w:val="000000"/>
                      <w:kern w:val="0"/>
                      <w:szCs w:val="21"/>
                      <w:lang w:val="en-US" w:eastAsia="zh-CN"/>
                    </w:rPr>
                  </w:pPr>
                  <w:r>
                    <w:rPr>
                      <w:rFonts w:hint="default" w:ascii="Times New Roman" w:hAnsi="Times New Roman" w:eastAsia="仿宋" w:cs="Times New Roman"/>
                      <w:b/>
                      <w:bCs/>
                      <w:color w:val="000000"/>
                      <w:kern w:val="0"/>
                      <w:szCs w:val="21"/>
                      <w:lang w:val="en-US" w:eastAsia="zh-CN"/>
                    </w:rPr>
                    <w:t>建筑</w:t>
                  </w:r>
                </w:p>
              </w:tc>
              <w:tc>
                <w:tcPr>
                  <w:tcW w:w="494" w:type="pct"/>
                  <w:vAlign w:val="center"/>
                </w:tcPr>
                <w:p w14:paraId="0B830671">
                  <w:pPr>
                    <w:jc w:val="center"/>
                    <w:rPr>
                      <w:rFonts w:hint="default" w:ascii="Times New Roman" w:hAnsi="Times New Roman" w:eastAsia="仿宋" w:cs="Times New Roman"/>
                      <w:b/>
                      <w:bCs/>
                      <w:color w:val="000000"/>
                      <w:kern w:val="0"/>
                      <w:szCs w:val="21"/>
                      <w:lang w:val="en-US" w:eastAsia="zh-CN"/>
                    </w:rPr>
                  </w:pPr>
                  <w:r>
                    <w:rPr>
                      <w:rFonts w:hint="default" w:ascii="Times New Roman" w:hAnsi="Times New Roman" w:eastAsia="仿宋" w:cs="Times New Roman"/>
                      <w:b/>
                      <w:bCs/>
                      <w:color w:val="000000"/>
                      <w:kern w:val="0"/>
                      <w:szCs w:val="21"/>
                      <w:lang w:val="en-US" w:eastAsia="zh-CN"/>
                    </w:rPr>
                    <w:t>室内装饰装修</w:t>
                  </w:r>
                </w:p>
              </w:tc>
              <w:tc>
                <w:tcPr>
                  <w:tcW w:w="334" w:type="pct"/>
                  <w:vAlign w:val="center"/>
                </w:tcPr>
                <w:p w14:paraId="2F700EFE">
                  <w:pPr>
                    <w:jc w:val="center"/>
                    <w:rPr>
                      <w:rFonts w:hint="default" w:ascii="Times New Roman" w:hAnsi="Times New Roman" w:eastAsia="仿宋" w:cs="Times New Roman"/>
                      <w:b/>
                      <w:bCs/>
                      <w:color w:val="000000"/>
                      <w:kern w:val="0"/>
                      <w:szCs w:val="21"/>
                      <w:lang w:val="en-US" w:eastAsia="zh-CN"/>
                    </w:rPr>
                  </w:pPr>
                  <w:r>
                    <w:rPr>
                      <w:rFonts w:hint="default" w:ascii="Times New Roman" w:hAnsi="Times New Roman" w:eastAsia="仿宋" w:cs="Times New Roman"/>
                      <w:b/>
                      <w:bCs/>
                      <w:color w:val="000000"/>
                      <w:kern w:val="0"/>
                      <w:szCs w:val="21"/>
                      <w:lang w:val="en-US" w:eastAsia="zh-CN"/>
                    </w:rPr>
                    <w:t>鞋和箱包</w:t>
                  </w:r>
                </w:p>
              </w:tc>
              <w:tc>
                <w:tcPr>
                  <w:tcW w:w="657" w:type="pct"/>
                  <w:vAlign w:val="center"/>
                </w:tcPr>
                <w:p w14:paraId="331E5AEF">
                  <w:pPr>
                    <w:jc w:val="center"/>
                    <w:rPr>
                      <w:rFonts w:hint="default" w:ascii="Times New Roman" w:hAnsi="Times New Roman" w:eastAsia="仿宋" w:cs="Times New Roman"/>
                      <w:b/>
                      <w:bCs/>
                      <w:color w:val="000000"/>
                      <w:kern w:val="0"/>
                      <w:szCs w:val="21"/>
                      <w:lang w:val="en-US" w:eastAsia="zh-CN"/>
                    </w:rPr>
                  </w:pPr>
                  <w:r>
                    <w:rPr>
                      <w:rFonts w:hint="default" w:ascii="Times New Roman" w:hAnsi="Times New Roman" w:eastAsia="仿宋" w:cs="Times New Roman"/>
                      <w:b/>
                      <w:bCs/>
                      <w:color w:val="000000"/>
                      <w:kern w:val="0"/>
                      <w:szCs w:val="21"/>
                      <w:lang w:val="en-US" w:eastAsia="zh-CN"/>
                    </w:rPr>
                    <w:t>卫材、服装与纤维加工</w:t>
                  </w:r>
                </w:p>
              </w:tc>
              <w:tc>
                <w:tcPr>
                  <w:tcW w:w="576" w:type="pct"/>
                  <w:vAlign w:val="center"/>
                </w:tcPr>
                <w:p w14:paraId="6BB18649">
                  <w:pPr>
                    <w:jc w:val="center"/>
                    <w:rPr>
                      <w:rFonts w:hint="default" w:ascii="Times New Roman" w:hAnsi="Times New Roman" w:eastAsia="仿宋" w:cs="Times New Roman"/>
                      <w:b/>
                      <w:bCs/>
                      <w:color w:val="000000"/>
                      <w:kern w:val="0"/>
                      <w:szCs w:val="21"/>
                      <w:lang w:val="en-US" w:eastAsia="zh-CN"/>
                    </w:rPr>
                  </w:pPr>
                  <w:r>
                    <w:rPr>
                      <w:rFonts w:hint="default" w:ascii="Times New Roman" w:hAnsi="Times New Roman" w:eastAsia="仿宋" w:cs="Times New Roman"/>
                      <w:b/>
                      <w:bCs/>
                      <w:color w:val="000000"/>
                      <w:kern w:val="0"/>
                      <w:szCs w:val="21"/>
                      <w:lang w:val="en-US" w:eastAsia="zh-CN"/>
                    </w:rPr>
                    <w:t>纸加工及书本装订</w:t>
                  </w:r>
                </w:p>
              </w:tc>
              <w:tc>
                <w:tcPr>
                  <w:tcW w:w="491" w:type="pct"/>
                  <w:vAlign w:val="center"/>
                </w:tcPr>
                <w:p w14:paraId="5521FA71">
                  <w:pPr>
                    <w:jc w:val="center"/>
                    <w:rPr>
                      <w:rFonts w:hint="default" w:ascii="Times New Roman" w:hAnsi="Times New Roman" w:eastAsia="仿宋" w:cs="Times New Roman"/>
                      <w:b/>
                      <w:bCs/>
                      <w:color w:val="000000"/>
                      <w:kern w:val="0"/>
                      <w:szCs w:val="21"/>
                      <w:lang w:val="en-US" w:eastAsia="zh-CN"/>
                    </w:rPr>
                  </w:pPr>
                  <w:r>
                    <w:rPr>
                      <w:rFonts w:hint="default" w:ascii="Times New Roman" w:hAnsi="Times New Roman" w:eastAsia="仿宋" w:cs="Times New Roman"/>
                      <w:b/>
                      <w:bCs/>
                      <w:color w:val="000000"/>
                      <w:kern w:val="0"/>
                      <w:szCs w:val="21"/>
                      <w:lang w:val="en-US" w:eastAsia="zh-CN"/>
                    </w:rPr>
                    <w:t>交通运输</w:t>
                  </w:r>
                </w:p>
              </w:tc>
              <w:tc>
                <w:tcPr>
                  <w:tcW w:w="410" w:type="pct"/>
                  <w:vAlign w:val="center"/>
                </w:tcPr>
                <w:p w14:paraId="12CDA624">
                  <w:pPr>
                    <w:jc w:val="center"/>
                    <w:rPr>
                      <w:rFonts w:hint="default" w:ascii="Times New Roman" w:hAnsi="Times New Roman" w:eastAsia="仿宋" w:cs="Times New Roman"/>
                      <w:b/>
                      <w:bCs/>
                      <w:color w:val="000000"/>
                      <w:kern w:val="0"/>
                      <w:szCs w:val="21"/>
                      <w:lang w:val="en-US" w:eastAsia="zh-CN"/>
                    </w:rPr>
                  </w:pPr>
                  <w:r>
                    <w:rPr>
                      <w:rFonts w:hint="default" w:ascii="Times New Roman" w:hAnsi="Times New Roman" w:eastAsia="仿宋" w:cs="Times New Roman"/>
                      <w:b/>
                      <w:bCs/>
                      <w:color w:val="000000"/>
                      <w:kern w:val="0"/>
                      <w:szCs w:val="21"/>
                      <w:lang w:val="en-US" w:eastAsia="zh-CN"/>
                    </w:rPr>
                    <w:t>装配业</w:t>
                  </w:r>
                </w:p>
              </w:tc>
              <w:tc>
                <w:tcPr>
                  <w:tcW w:w="410" w:type="pct"/>
                  <w:vAlign w:val="center"/>
                </w:tcPr>
                <w:p w14:paraId="53EBF484">
                  <w:pPr>
                    <w:jc w:val="center"/>
                    <w:rPr>
                      <w:rFonts w:hint="default" w:ascii="Times New Roman" w:hAnsi="Times New Roman" w:eastAsia="仿宋" w:cs="Times New Roman"/>
                      <w:b/>
                      <w:bCs/>
                      <w:color w:val="000000"/>
                      <w:kern w:val="0"/>
                      <w:szCs w:val="21"/>
                      <w:lang w:val="en-US" w:eastAsia="zh-CN"/>
                    </w:rPr>
                  </w:pPr>
                  <w:r>
                    <w:rPr>
                      <w:rFonts w:hint="default" w:ascii="Times New Roman" w:hAnsi="Times New Roman" w:eastAsia="仿宋" w:cs="Times New Roman"/>
                      <w:b/>
                      <w:bCs/>
                      <w:color w:val="000000"/>
                      <w:kern w:val="0"/>
                      <w:szCs w:val="21"/>
                      <w:lang w:val="en-US" w:eastAsia="zh-CN"/>
                    </w:rPr>
                    <w:t>包装</w:t>
                  </w:r>
                </w:p>
              </w:tc>
              <w:tc>
                <w:tcPr>
                  <w:tcW w:w="407" w:type="pct"/>
                  <w:tcBorders>
                    <w:bottom w:val="single" w:color="auto" w:sz="4" w:space="0"/>
                  </w:tcBorders>
                  <w:vAlign w:val="center"/>
                </w:tcPr>
                <w:p w14:paraId="5927AFD1">
                  <w:pPr>
                    <w:jc w:val="center"/>
                    <w:rPr>
                      <w:rFonts w:hint="default" w:ascii="Times New Roman" w:hAnsi="Times New Roman" w:eastAsia="仿宋" w:cs="Times New Roman"/>
                      <w:b/>
                      <w:bCs/>
                      <w:color w:val="000000"/>
                      <w:kern w:val="0"/>
                      <w:szCs w:val="21"/>
                      <w:lang w:val="en-US" w:eastAsia="zh-CN"/>
                    </w:rPr>
                  </w:pPr>
                  <w:r>
                    <w:rPr>
                      <w:rFonts w:hint="default" w:ascii="Times New Roman" w:hAnsi="Times New Roman" w:eastAsia="仿宋" w:cs="Times New Roman"/>
                      <w:b/>
                      <w:bCs/>
                      <w:color w:val="000000"/>
                      <w:kern w:val="0"/>
                      <w:szCs w:val="21"/>
                      <w:lang w:val="en-US" w:eastAsia="zh-CN"/>
                    </w:rPr>
                    <w:t>其他</w:t>
                  </w:r>
                </w:p>
              </w:tc>
            </w:tr>
            <w:tr w14:paraId="72DA2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6" w:hRule="atLeast"/>
                <w:jc w:val="center"/>
              </w:trPr>
              <w:tc>
                <w:tcPr>
                  <w:tcW w:w="725" w:type="pct"/>
                  <w:vAlign w:val="center"/>
                </w:tcPr>
                <w:p w14:paraId="57D52501">
                  <w:pPr>
                    <w:jc w:val="center"/>
                    <w:rPr>
                      <w:rFonts w:hint="default" w:ascii="Times New Roman" w:hAnsi="Times New Roman" w:eastAsia="仿宋" w:cs="Times New Roman"/>
                      <w:color w:val="000000"/>
                      <w:kern w:val="0"/>
                      <w:szCs w:val="21"/>
                      <w:lang w:val="en-US" w:eastAsia="zh-CN"/>
                    </w:rPr>
                  </w:pPr>
                  <w:r>
                    <w:rPr>
                      <w:rFonts w:hint="eastAsia" w:eastAsia="仿宋" w:cs="Times New Roman"/>
                      <w:color w:val="000000"/>
                      <w:kern w:val="0"/>
                      <w:szCs w:val="21"/>
                      <w:lang w:val="en-US" w:eastAsia="zh-CN"/>
                    </w:rPr>
                    <w:t>丙烯酸酯类</w:t>
                  </w:r>
                </w:p>
                <w:p w14:paraId="65765116">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限量值/(g/kg)</w:t>
                  </w:r>
                </w:p>
              </w:tc>
              <w:tc>
                <w:tcPr>
                  <w:tcW w:w="493" w:type="pct"/>
                  <w:vAlign w:val="center"/>
                </w:tcPr>
                <w:p w14:paraId="18A67084">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w:t>
                  </w:r>
                </w:p>
              </w:tc>
              <w:tc>
                <w:tcPr>
                  <w:tcW w:w="494" w:type="pct"/>
                  <w:vAlign w:val="center"/>
                </w:tcPr>
                <w:p w14:paraId="3A7CF2EB">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w:t>
                  </w:r>
                </w:p>
              </w:tc>
              <w:tc>
                <w:tcPr>
                  <w:tcW w:w="334" w:type="pct"/>
                  <w:vAlign w:val="center"/>
                </w:tcPr>
                <w:p w14:paraId="4C35D719">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w:t>
                  </w:r>
                </w:p>
              </w:tc>
              <w:tc>
                <w:tcPr>
                  <w:tcW w:w="657" w:type="pct"/>
                  <w:vAlign w:val="center"/>
                </w:tcPr>
                <w:p w14:paraId="1DC45403">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w:t>
                  </w:r>
                </w:p>
              </w:tc>
              <w:tc>
                <w:tcPr>
                  <w:tcW w:w="576" w:type="pct"/>
                  <w:vAlign w:val="center"/>
                </w:tcPr>
                <w:p w14:paraId="6D3B0BDA">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w:t>
                  </w:r>
                </w:p>
              </w:tc>
              <w:tc>
                <w:tcPr>
                  <w:tcW w:w="491" w:type="pct"/>
                  <w:vAlign w:val="center"/>
                </w:tcPr>
                <w:p w14:paraId="0EA0FF8E">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200</w:t>
                  </w:r>
                </w:p>
              </w:tc>
              <w:tc>
                <w:tcPr>
                  <w:tcW w:w="410" w:type="pct"/>
                  <w:vAlign w:val="center"/>
                </w:tcPr>
                <w:p w14:paraId="556A075F">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200</w:t>
                  </w:r>
                </w:p>
              </w:tc>
              <w:tc>
                <w:tcPr>
                  <w:tcW w:w="410" w:type="pct"/>
                  <w:vAlign w:val="center"/>
                </w:tcPr>
                <w:p w14:paraId="36C477CF">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w:t>
                  </w:r>
                </w:p>
              </w:tc>
              <w:tc>
                <w:tcPr>
                  <w:tcW w:w="407" w:type="pct"/>
                  <w:tcBorders>
                    <w:top w:val="single" w:color="auto" w:sz="4" w:space="0"/>
                    <w:bottom w:val="single" w:color="auto" w:sz="12" w:space="0"/>
                  </w:tcBorders>
                  <w:shd w:val="clear" w:color="auto" w:fill="BEBEBE" w:themeFill="background1" w:themeFillShade="BF"/>
                  <w:vAlign w:val="center"/>
                </w:tcPr>
                <w:p w14:paraId="50340330">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200</w:t>
                  </w:r>
                </w:p>
              </w:tc>
            </w:tr>
          </w:tbl>
          <w:p w14:paraId="1F79C6BA">
            <w:pPr>
              <w:keepNext w:val="0"/>
              <w:keepLines w:val="0"/>
              <w:pageBreakBefore w:val="0"/>
              <w:widowControl w:val="0"/>
              <w:kinsoku/>
              <w:wordWrap/>
              <w:overflowPunct/>
              <w:topLinePunct w:val="0"/>
              <w:autoSpaceDE/>
              <w:autoSpaceDN/>
              <w:bidi w:val="0"/>
              <w:adjustRightInd w:val="0"/>
              <w:snapToGrid w:val="0"/>
              <w:spacing w:line="240" w:lineRule="auto"/>
              <w:ind w:firstLine="200" w:firstLineChars="200"/>
              <w:jc w:val="left"/>
              <w:textAlignment w:val="auto"/>
              <w:rPr>
                <w:rFonts w:hint="default" w:ascii="Times New Roman" w:hAnsi="Times New Roman" w:eastAsia="仿宋" w:cs="Times New Roman"/>
                <w:bCs/>
                <w:color w:val="auto"/>
                <w:sz w:val="10"/>
                <w:szCs w:val="10"/>
                <w:highlight w:val="none"/>
              </w:rPr>
            </w:pPr>
          </w:p>
          <w:p w14:paraId="06CE48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根据胶粘剂</w:t>
            </w:r>
            <w:r>
              <w:rPr>
                <w:rFonts w:hint="default" w:ascii="Times New Roman" w:hAnsi="Times New Roman" w:eastAsia="仿宋" w:cs="Times New Roman"/>
                <w:bCs/>
                <w:color w:val="auto"/>
                <w:sz w:val="24"/>
                <w:highlight w:val="none"/>
                <w:lang w:val="en-US" w:eastAsia="zh-CN"/>
              </w:rPr>
              <w:t>MSDS报告可知</w:t>
            </w:r>
            <w:r>
              <w:rPr>
                <w:rFonts w:hint="default" w:ascii="Times New Roman" w:hAnsi="Times New Roman" w:eastAsia="仿宋" w:cs="Times New Roman"/>
                <w:bCs/>
                <w:color w:val="auto"/>
                <w:sz w:val="24"/>
                <w:highlight w:val="none"/>
              </w:rPr>
              <w:t>本项目使用的胶粘剂中挥发性有机物组分占比约为</w:t>
            </w:r>
            <w:r>
              <w:rPr>
                <w:rFonts w:hint="eastAsia" w:eastAsia="仿宋" w:cs="Times New Roman"/>
                <w:bCs/>
                <w:color w:val="auto"/>
                <w:sz w:val="24"/>
                <w:highlight w:val="none"/>
                <w:lang w:val="en-US" w:eastAsia="zh-CN"/>
              </w:rPr>
              <w:t>9.5</w:t>
            </w:r>
            <w:r>
              <w:rPr>
                <w:rFonts w:hint="default" w:ascii="Times New Roman" w:hAnsi="Times New Roman" w:eastAsia="仿宋" w:cs="Times New Roman"/>
                <w:bCs/>
                <w:color w:val="auto"/>
                <w:sz w:val="24"/>
                <w:highlight w:val="none"/>
              </w:rPr>
              <w:t>%，使用过程中不需要调配，考虑最不利情况以其全部挥发核算，胶粘剂用量为</w:t>
            </w:r>
            <w:r>
              <w:rPr>
                <w:rFonts w:hint="eastAsia" w:eastAsia="仿宋" w:cs="Times New Roman"/>
                <w:bCs/>
                <w:color w:val="auto"/>
                <w:sz w:val="24"/>
                <w:highlight w:val="none"/>
                <w:lang w:val="en-US" w:eastAsia="zh-CN"/>
              </w:rPr>
              <w:t>0.9</w:t>
            </w:r>
            <w:r>
              <w:rPr>
                <w:rFonts w:hint="default" w:ascii="Times New Roman" w:hAnsi="Times New Roman" w:eastAsia="仿宋" w:cs="Times New Roman"/>
                <w:bCs/>
                <w:color w:val="auto"/>
                <w:sz w:val="24"/>
                <w:highlight w:val="none"/>
              </w:rPr>
              <w:t>t/a，则挥发性有机物的产生量</w:t>
            </w:r>
            <w:r>
              <w:rPr>
                <w:rFonts w:hint="eastAsia" w:eastAsia="仿宋" w:cs="Times New Roman"/>
                <w:bCs/>
                <w:color w:val="auto"/>
                <w:sz w:val="24"/>
                <w:highlight w:val="none"/>
                <w:lang w:val="en-US" w:eastAsia="zh-CN"/>
              </w:rPr>
              <w:t>约</w:t>
            </w:r>
            <w:r>
              <w:rPr>
                <w:rFonts w:hint="default" w:ascii="Times New Roman" w:hAnsi="Times New Roman" w:eastAsia="仿宋" w:cs="Times New Roman"/>
                <w:bCs/>
                <w:color w:val="auto"/>
                <w:sz w:val="24"/>
                <w:highlight w:val="none"/>
              </w:rPr>
              <w:t>为0.</w:t>
            </w:r>
            <w:r>
              <w:rPr>
                <w:rFonts w:hint="eastAsia" w:eastAsia="仿宋" w:cs="Times New Roman"/>
                <w:bCs/>
                <w:color w:val="auto"/>
                <w:sz w:val="24"/>
                <w:highlight w:val="none"/>
                <w:lang w:val="en-US" w:eastAsia="zh-CN"/>
              </w:rPr>
              <w:t>086</w:t>
            </w:r>
            <w:r>
              <w:rPr>
                <w:rFonts w:hint="default" w:ascii="Times New Roman" w:hAnsi="Times New Roman" w:eastAsia="仿宋" w:cs="Times New Roman"/>
                <w:bCs/>
                <w:color w:val="auto"/>
                <w:sz w:val="24"/>
                <w:highlight w:val="none"/>
              </w:rPr>
              <w:t>t/a，即VOC含量值为</w:t>
            </w:r>
            <w:r>
              <w:rPr>
                <w:rFonts w:hint="eastAsia" w:eastAsia="仿宋" w:cs="Times New Roman"/>
                <w:bCs/>
                <w:color w:val="auto"/>
                <w:sz w:val="24"/>
                <w:highlight w:val="none"/>
                <w:lang w:val="en-US" w:eastAsia="zh-CN"/>
              </w:rPr>
              <w:t>95.556</w:t>
            </w:r>
            <w:r>
              <w:rPr>
                <w:rFonts w:hint="default" w:ascii="Times New Roman" w:hAnsi="Times New Roman" w:eastAsia="仿宋" w:cs="Times New Roman"/>
                <w:bCs/>
                <w:color w:val="auto"/>
                <w:sz w:val="24"/>
                <w:highlight w:val="none"/>
              </w:rPr>
              <w:t>g/kg，符合《胶粘剂挥发性有机化合物限量》（GB 33372-2020）</w:t>
            </w:r>
            <w:r>
              <w:rPr>
                <w:rFonts w:hint="default" w:ascii="Times New Roman" w:hAnsi="Times New Roman" w:eastAsia="仿宋" w:cs="Times New Roman"/>
                <w:bCs/>
                <w:color w:val="auto"/>
                <w:sz w:val="24"/>
                <w:highlight w:val="none"/>
                <w:lang w:val="en-US" w:eastAsia="zh-CN"/>
              </w:rPr>
              <w:t>表3要求</w:t>
            </w:r>
            <w:r>
              <w:rPr>
                <w:rFonts w:hint="default" w:ascii="Times New Roman" w:hAnsi="Times New Roman" w:eastAsia="仿宋" w:cs="Times New Roman"/>
                <w:bCs/>
                <w:color w:val="auto"/>
                <w:sz w:val="24"/>
                <w:highlight w:val="none"/>
              </w:rPr>
              <w:t>。</w:t>
            </w:r>
          </w:p>
          <w:p w14:paraId="71426A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根据《关于印发常州市挥发性有机物清洁原料替代工作方案的通知》，“实施替代的企业要使用符合《胶粘剂挥发性有机化合物限量》（GB 33372-2020）规定的水基型、本体型胶粘剂产品。若确实无法达到上述要求，应提供相应的论证说明，相关涂料、油墨、清洗剂、胶粘剂等产品应符合相关标准中 VOCs 含量的限值要求”，</w:t>
            </w:r>
            <w:r>
              <w:rPr>
                <w:rFonts w:hint="default" w:ascii="Times New Roman" w:hAnsi="Times New Roman" w:eastAsia="仿宋" w:cs="Times New Roman"/>
                <w:bCs/>
                <w:color w:val="0000FF"/>
                <w:sz w:val="24"/>
                <w:highlight w:val="none"/>
                <w:lang w:val="en-US" w:eastAsia="zh-CN"/>
              </w:rPr>
              <w:t>本项目使用的胶粘剂</w:t>
            </w:r>
            <w:r>
              <w:rPr>
                <w:rFonts w:hint="eastAsia" w:eastAsia="仿宋" w:cs="Times New Roman"/>
                <w:bCs/>
                <w:color w:val="0000FF"/>
                <w:sz w:val="24"/>
                <w:highlight w:val="none"/>
                <w:lang w:val="en-US" w:eastAsia="zh-CN"/>
              </w:rPr>
              <w:t>符合</w:t>
            </w:r>
            <w:r>
              <w:rPr>
                <w:rFonts w:hint="default" w:ascii="Times New Roman" w:hAnsi="Times New Roman" w:eastAsia="仿宋" w:cs="Times New Roman"/>
                <w:bCs/>
                <w:color w:val="0000FF"/>
                <w:sz w:val="24"/>
                <w:highlight w:val="none"/>
                <w:lang w:val="en-US" w:eastAsia="zh-CN"/>
              </w:rPr>
              <w:t>《胶粘剂挥发性有机化合物限量》（GB 33372-2020）</w:t>
            </w:r>
            <w:r>
              <w:rPr>
                <w:rFonts w:hint="eastAsia" w:eastAsia="仿宋" w:cs="Times New Roman"/>
                <w:bCs/>
                <w:color w:val="0000FF"/>
                <w:sz w:val="24"/>
                <w:highlight w:val="none"/>
                <w:lang w:val="en-US" w:eastAsia="zh-CN"/>
              </w:rPr>
              <w:t>表3中“本体型丙烯酸类胶粘剂其他应用领域限值≤200g/kg”的</w:t>
            </w:r>
            <w:r>
              <w:rPr>
                <w:rFonts w:hint="default" w:ascii="Times New Roman" w:hAnsi="Times New Roman" w:eastAsia="仿宋" w:cs="Times New Roman"/>
                <w:bCs/>
                <w:color w:val="0000FF"/>
                <w:sz w:val="24"/>
                <w:highlight w:val="none"/>
                <w:lang w:val="en-US" w:eastAsia="zh-CN"/>
              </w:rPr>
              <w:t>要求</w:t>
            </w:r>
            <w:r>
              <w:rPr>
                <w:rFonts w:hint="eastAsia" w:eastAsia="仿宋" w:cs="Times New Roman"/>
                <w:bCs/>
                <w:color w:val="0000FF"/>
                <w:sz w:val="24"/>
                <w:highlight w:val="none"/>
                <w:lang w:val="en-US" w:eastAsia="zh-CN"/>
              </w:rPr>
              <w:t>。</w:t>
            </w:r>
            <w:r>
              <w:rPr>
                <w:rFonts w:hint="default" w:ascii="Times New Roman" w:hAnsi="Times New Roman" w:eastAsia="仿宋" w:cs="Times New Roman"/>
                <w:bCs/>
                <w:color w:val="0000FF"/>
                <w:sz w:val="24"/>
                <w:highlight w:val="none"/>
                <w:lang w:val="en-US" w:eastAsia="zh-CN"/>
              </w:rPr>
              <w:t>同时，根据《胶粘剂挥发性有机化合物限量》(GB33372-2020)中分类注释，通常本体型胶黏剂属于低VOC型胶黏剂，故本项目使用的胶黏剂为低VOC型胶黏剂</w:t>
            </w:r>
            <w:r>
              <w:rPr>
                <w:rFonts w:hint="eastAsia"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故本项目使用的胶粘剂与</w:t>
            </w:r>
            <w:r>
              <w:rPr>
                <w:rFonts w:hint="default" w:ascii="Times New Roman" w:hAnsi="Times New Roman" w:eastAsia="仿宋" w:cs="Times New Roman"/>
                <w:spacing w:val="-2"/>
                <w:sz w:val="24"/>
              </w:rPr>
              <w:t>常污防攻坚指办</w:t>
            </w:r>
            <w:r>
              <w:rPr>
                <w:rFonts w:hint="default" w:ascii="Times New Roman" w:hAnsi="Times New Roman" w:eastAsia="仿宋" w:cs="Times New Roman"/>
                <w:spacing w:val="-2"/>
                <w:sz w:val="24"/>
                <w:lang w:eastAsia="zh-CN"/>
              </w:rPr>
              <w:t>〔2021〕32号</w:t>
            </w:r>
            <w:r>
              <w:rPr>
                <w:rFonts w:hint="default" w:ascii="Times New Roman" w:hAnsi="Times New Roman" w:eastAsia="仿宋" w:cs="Times New Roman"/>
                <w:spacing w:val="-2"/>
                <w:sz w:val="24"/>
                <w:lang w:val="en-US" w:eastAsia="zh-CN"/>
              </w:rPr>
              <w:t>文件要求相符。</w:t>
            </w:r>
          </w:p>
          <w:p w14:paraId="46AFB1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highlight w:val="none"/>
              </w:rPr>
            </w:pPr>
            <w:r>
              <w:rPr>
                <w:rFonts w:hint="eastAsia" w:eastAsia="仿宋" w:cs="Times New Roman"/>
                <w:bCs/>
                <w:color w:val="auto"/>
                <w:sz w:val="24"/>
                <w:highlight w:val="none"/>
                <w:lang w:val="en-US" w:eastAsia="zh-CN"/>
              </w:rPr>
              <w:t>3</w:t>
            </w:r>
            <w:r>
              <w:rPr>
                <w:rFonts w:hint="default" w:ascii="Times New Roman" w:hAnsi="Times New Roman" w:eastAsia="仿宋" w:cs="Times New Roman"/>
                <w:bCs/>
                <w:color w:val="auto"/>
                <w:sz w:val="24"/>
                <w:highlight w:val="none"/>
              </w:rPr>
              <w:t>、生产设备</w:t>
            </w:r>
          </w:p>
          <w:p w14:paraId="598F37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highlight w:val="none"/>
                <w:lang w:eastAsia="zh-CN"/>
              </w:rPr>
            </w:pPr>
            <w:r>
              <w:rPr>
                <w:rFonts w:hint="default" w:ascii="Times New Roman" w:hAnsi="Times New Roman" w:eastAsia="仿宋" w:cs="Times New Roman"/>
                <w:bCs/>
                <w:color w:val="auto"/>
                <w:sz w:val="24"/>
                <w:highlight w:val="none"/>
                <w:lang w:val="en-US" w:eastAsia="zh-CN"/>
              </w:rPr>
              <w:t>本项目从事唇刷的生产，</w:t>
            </w:r>
            <w:r>
              <w:rPr>
                <w:rFonts w:hint="default" w:ascii="Times New Roman" w:hAnsi="Times New Roman" w:eastAsia="仿宋" w:cs="Times New Roman"/>
                <w:bCs/>
                <w:color w:val="auto"/>
                <w:sz w:val="24"/>
                <w:highlight w:val="none"/>
              </w:rPr>
              <w:t>为独立生产线，生产</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环保设备均为新增，</w:t>
            </w:r>
            <w:r>
              <w:rPr>
                <w:rFonts w:hint="default" w:ascii="Times New Roman" w:hAnsi="Times New Roman" w:eastAsia="仿宋" w:cs="Times New Roman"/>
                <w:bCs/>
                <w:color w:val="auto"/>
                <w:sz w:val="24"/>
                <w:highlight w:val="none"/>
                <w:lang w:val="en-US" w:eastAsia="zh-CN"/>
              </w:rPr>
              <w:t>仅公辅设备</w:t>
            </w:r>
            <w:r>
              <w:rPr>
                <w:rFonts w:hint="eastAsia" w:ascii="Times New Roman" w:hAnsi="Times New Roman"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空压机、冷却塔</w:t>
            </w:r>
            <w:r>
              <w:rPr>
                <w:rFonts w:hint="eastAsia" w:ascii="Times New Roman" w:hAnsi="Times New Roman"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依托</w:t>
            </w:r>
            <w:r>
              <w:rPr>
                <w:rFonts w:hint="eastAsia" w:ascii="Times New Roman" w:hAnsi="Times New Roman" w:eastAsia="仿宋" w:cs="Times New Roman"/>
                <w:bCs/>
                <w:color w:val="auto"/>
                <w:sz w:val="24"/>
                <w:highlight w:val="none"/>
                <w:lang w:val="en-US" w:eastAsia="zh-CN"/>
              </w:rPr>
              <w:t>现有</w:t>
            </w:r>
            <w:r>
              <w:rPr>
                <w:rFonts w:hint="default" w:ascii="Times New Roman" w:hAnsi="Times New Roman" w:eastAsia="仿宋" w:cs="Times New Roman"/>
                <w:bCs/>
                <w:color w:val="auto"/>
                <w:sz w:val="24"/>
                <w:highlight w:val="none"/>
                <w:lang w:val="en-US" w:eastAsia="zh-CN"/>
              </w:rPr>
              <w:t>设备</w:t>
            </w:r>
            <w:r>
              <w:rPr>
                <w:rFonts w:hint="eastAsia" w:ascii="Times New Roman" w:hAnsi="Times New Roman" w:eastAsia="仿宋" w:cs="Times New Roman"/>
                <w:bCs/>
                <w:color w:val="auto"/>
                <w:sz w:val="24"/>
                <w:highlight w:val="none"/>
                <w:lang w:val="en-US" w:eastAsia="zh-CN"/>
              </w:rPr>
              <w:t>，因F16车间与本项目相隔较远，且无任何依</w:t>
            </w:r>
            <w:r>
              <w:rPr>
                <w:rFonts w:hint="eastAsia" w:eastAsia="仿宋" w:cs="Times New Roman"/>
                <w:bCs/>
                <w:color w:val="auto"/>
                <w:sz w:val="24"/>
                <w:highlight w:val="none"/>
                <w:lang w:val="en-US" w:eastAsia="zh-CN"/>
              </w:rPr>
              <w:t>托关系，相对独立，故</w:t>
            </w:r>
            <w:r>
              <w:rPr>
                <w:rFonts w:hint="default" w:ascii="Times New Roman" w:hAnsi="Times New Roman" w:eastAsia="仿宋" w:cs="Times New Roman"/>
                <w:bCs/>
                <w:color w:val="auto"/>
                <w:sz w:val="24"/>
                <w:highlight w:val="none"/>
              </w:rPr>
              <w:t>本次</w:t>
            </w:r>
            <w:r>
              <w:rPr>
                <w:rFonts w:hint="eastAsia" w:eastAsia="仿宋" w:cs="Times New Roman"/>
                <w:bCs/>
                <w:color w:val="auto"/>
                <w:sz w:val="24"/>
                <w:highlight w:val="none"/>
                <w:lang w:val="en-US" w:eastAsia="zh-CN"/>
              </w:rPr>
              <w:t>仅分析D6车间及本</w:t>
            </w:r>
            <w:r>
              <w:rPr>
                <w:rFonts w:hint="eastAsia" w:ascii="Times New Roman" w:hAnsi="Times New Roman" w:eastAsia="仿宋" w:cs="Times New Roman"/>
                <w:bCs/>
                <w:color w:val="auto"/>
                <w:sz w:val="24"/>
                <w:highlight w:val="none"/>
                <w:lang w:val="en-US" w:eastAsia="zh-CN"/>
              </w:rPr>
              <w:t>次扩建项目D7车间涉及的相关设备，</w:t>
            </w:r>
            <w:r>
              <w:rPr>
                <w:rFonts w:hint="default" w:ascii="Times New Roman" w:hAnsi="Times New Roman" w:eastAsia="仿宋" w:cs="Times New Roman"/>
                <w:bCs/>
                <w:color w:val="auto"/>
                <w:sz w:val="24"/>
                <w:highlight w:val="none"/>
                <w:lang w:eastAsia="zh-CN"/>
              </w:rPr>
              <w:t>主要生产设备及设施见下表。</w:t>
            </w:r>
          </w:p>
          <w:p w14:paraId="57F7BCE4">
            <w:pPr>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表2-</w:t>
            </w:r>
            <w:r>
              <w:rPr>
                <w:rFonts w:hint="eastAsia" w:ascii="Times New Roman" w:hAnsi="Times New Roman" w:eastAsia="仿宋" w:cs="Times New Roman"/>
                <w:b/>
                <w:bCs/>
                <w:color w:val="auto"/>
                <w:sz w:val="24"/>
                <w:highlight w:val="none"/>
                <w:lang w:val="en-US" w:eastAsia="zh-CN"/>
              </w:rPr>
              <w:t>6</w:t>
            </w:r>
            <w:r>
              <w:rPr>
                <w:rFonts w:hint="default" w:ascii="Times New Roman" w:hAnsi="Times New Roman" w:eastAsia="仿宋" w:cs="Times New Roman"/>
                <w:b/>
                <w:bCs/>
                <w:color w:val="auto"/>
                <w:sz w:val="24"/>
                <w:highlight w:val="none"/>
              </w:rPr>
              <w:t xml:space="preserve">  本项目设备及设施一览表</w:t>
            </w:r>
          </w:p>
          <w:tbl>
            <w:tblPr>
              <w:tblStyle w:val="29"/>
              <w:tblpPr w:leftFromText="181" w:rightFromText="181" w:vertAnchor="text" w:horzAnchor="page" w:tblpXSpec="center" w:tblpY="1"/>
              <w:tblOverlap w:val="never"/>
              <w:tblW w:w="4998" w:type="pct"/>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555"/>
              <w:gridCol w:w="565"/>
              <w:gridCol w:w="2184"/>
              <w:gridCol w:w="1592"/>
              <w:gridCol w:w="912"/>
              <w:gridCol w:w="781"/>
              <w:gridCol w:w="769"/>
              <w:gridCol w:w="1018"/>
            </w:tblGrid>
            <w:tr w14:paraId="1E0B9233">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vMerge w:val="restart"/>
                  <w:tcBorders>
                    <w:tl2br w:val="nil"/>
                    <w:tr2bl w:val="nil"/>
                  </w:tcBorders>
                  <w:noWrap w:val="0"/>
                  <w:vAlign w:val="center"/>
                </w:tcPr>
                <w:p w14:paraId="633F49C5">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337" w:type="pct"/>
                  <w:vMerge w:val="restart"/>
                  <w:tcBorders>
                    <w:tl2br w:val="nil"/>
                    <w:tr2bl w:val="nil"/>
                  </w:tcBorders>
                  <w:noWrap w:val="0"/>
                  <w:vAlign w:val="center"/>
                </w:tcPr>
                <w:p w14:paraId="50A5ADA7">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分类</w:t>
                  </w:r>
                </w:p>
              </w:tc>
              <w:tc>
                <w:tcPr>
                  <w:tcW w:w="1303" w:type="pct"/>
                  <w:vMerge w:val="restart"/>
                  <w:tcBorders>
                    <w:tl2br w:val="nil"/>
                    <w:tr2bl w:val="nil"/>
                  </w:tcBorders>
                  <w:noWrap w:val="0"/>
                  <w:vAlign w:val="center"/>
                </w:tcPr>
                <w:p w14:paraId="6D5A7DBD">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设备名称</w:t>
                  </w:r>
                </w:p>
              </w:tc>
              <w:tc>
                <w:tcPr>
                  <w:tcW w:w="950" w:type="pct"/>
                  <w:vMerge w:val="restart"/>
                  <w:tcBorders>
                    <w:tl2br w:val="nil"/>
                    <w:tr2bl w:val="nil"/>
                  </w:tcBorders>
                  <w:noWrap w:val="0"/>
                  <w:vAlign w:val="center"/>
                </w:tcPr>
                <w:p w14:paraId="035EBB66">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规格、型号</w:t>
                  </w:r>
                </w:p>
              </w:tc>
              <w:tc>
                <w:tcPr>
                  <w:tcW w:w="1469" w:type="pct"/>
                  <w:gridSpan w:val="3"/>
                  <w:tcBorders>
                    <w:tl2br w:val="nil"/>
                    <w:tr2bl w:val="nil"/>
                  </w:tcBorders>
                  <w:noWrap w:val="0"/>
                  <w:vAlign w:val="center"/>
                </w:tcPr>
                <w:p w14:paraId="5603FFFE">
                  <w:pPr>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数量（台/</w:t>
                  </w:r>
                  <w:r>
                    <w:rPr>
                      <w:rFonts w:hint="default" w:ascii="Times New Roman" w:hAnsi="Times New Roman" w:eastAsia="仿宋" w:cs="Times New Roman"/>
                      <w:b/>
                      <w:color w:val="auto"/>
                      <w:sz w:val="21"/>
                      <w:szCs w:val="21"/>
                      <w:lang w:val="en-US" w:eastAsia="zh-CN"/>
                    </w:rPr>
                    <w:t>条</w:t>
                  </w:r>
                  <w:r>
                    <w:rPr>
                      <w:rFonts w:hint="default" w:ascii="Times New Roman" w:hAnsi="Times New Roman" w:eastAsia="仿宋" w:cs="Times New Roman"/>
                      <w:b/>
                      <w:color w:val="auto"/>
                      <w:sz w:val="21"/>
                      <w:szCs w:val="21"/>
                    </w:rPr>
                    <w:t>）</w:t>
                  </w:r>
                </w:p>
              </w:tc>
              <w:tc>
                <w:tcPr>
                  <w:tcW w:w="607" w:type="pct"/>
                  <w:vMerge w:val="restart"/>
                  <w:tcBorders>
                    <w:tl2br w:val="nil"/>
                    <w:tr2bl w:val="nil"/>
                  </w:tcBorders>
                  <w:noWrap w:val="0"/>
                  <w:vAlign w:val="center"/>
                </w:tcPr>
                <w:p w14:paraId="77477416">
                  <w:pPr>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备注</w:t>
                  </w:r>
                </w:p>
              </w:tc>
            </w:tr>
            <w:tr w14:paraId="4998BA4E">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vMerge w:val="continue"/>
                  <w:tcBorders>
                    <w:tl2br w:val="nil"/>
                    <w:tr2bl w:val="nil"/>
                  </w:tcBorders>
                  <w:noWrap w:val="0"/>
                  <w:vAlign w:val="center"/>
                </w:tcPr>
                <w:p w14:paraId="259FD56B">
                  <w:pPr>
                    <w:jc w:val="center"/>
                    <w:rPr>
                      <w:rFonts w:hint="default" w:ascii="Times New Roman" w:hAnsi="Times New Roman" w:eastAsia="仿宋" w:cs="Times New Roman"/>
                      <w:b/>
                      <w:color w:val="auto"/>
                      <w:sz w:val="21"/>
                      <w:szCs w:val="21"/>
                    </w:rPr>
                  </w:pPr>
                </w:p>
              </w:tc>
              <w:tc>
                <w:tcPr>
                  <w:tcW w:w="337" w:type="pct"/>
                  <w:vMerge w:val="continue"/>
                  <w:tcBorders>
                    <w:tl2br w:val="nil"/>
                    <w:tr2bl w:val="nil"/>
                  </w:tcBorders>
                  <w:noWrap w:val="0"/>
                  <w:vAlign w:val="center"/>
                </w:tcPr>
                <w:p w14:paraId="6187808D">
                  <w:pPr>
                    <w:jc w:val="center"/>
                    <w:rPr>
                      <w:rFonts w:hint="default" w:ascii="Times New Roman" w:hAnsi="Times New Roman" w:eastAsia="仿宋" w:cs="Times New Roman"/>
                      <w:b/>
                      <w:color w:val="auto"/>
                      <w:sz w:val="21"/>
                      <w:szCs w:val="21"/>
                    </w:rPr>
                  </w:pPr>
                </w:p>
              </w:tc>
              <w:tc>
                <w:tcPr>
                  <w:tcW w:w="1303" w:type="pct"/>
                  <w:vMerge w:val="continue"/>
                  <w:tcBorders>
                    <w:tl2br w:val="nil"/>
                    <w:tr2bl w:val="nil"/>
                  </w:tcBorders>
                  <w:noWrap w:val="0"/>
                  <w:vAlign w:val="center"/>
                </w:tcPr>
                <w:p w14:paraId="495BA60C">
                  <w:pPr>
                    <w:jc w:val="center"/>
                    <w:rPr>
                      <w:rFonts w:hint="default" w:ascii="Times New Roman" w:hAnsi="Times New Roman" w:eastAsia="仿宋" w:cs="Times New Roman"/>
                      <w:b/>
                      <w:color w:val="auto"/>
                      <w:sz w:val="21"/>
                      <w:szCs w:val="21"/>
                    </w:rPr>
                  </w:pPr>
                </w:p>
              </w:tc>
              <w:tc>
                <w:tcPr>
                  <w:tcW w:w="950" w:type="pct"/>
                  <w:vMerge w:val="continue"/>
                  <w:tcBorders>
                    <w:tl2br w:val="nil"/>
                    <w:tr2bl w:val="nil"/>
                  </w:tcBorders>
                  <w:noWrap w:val="0"/>
                  <w:vAlign w:val="center"/>
                </w:tcPr>
                <w:p w14:paraId="57061F45">
                  <w:pPr>
                    <w:jc w:val="center"/>
                    <w:rPr>
                      <w:rFonts w:hint="default" w:ascii="Times New Roman" w:hAnsi="Times New Roman" w:eastAsia="仿宋" w:cs="Times New Roman"/>
                      <w:b/>
                      <w:color w:val="auto"/>
                      <w:sz w:val="21"/>
                      <w:szCs w:val="21"/>
                    </w:rPr>
                  </w:pPr>
                </w:p>
              </w:tc>
              <w:tc>
                <w:tcPr>
                  <w:tcW w:w="544" w:type="pct"/>
                  <w:tcBorders>
                    <w:right w:val="single" w:color="auto" w:sz="4" w:space="0"/>
                    <w:tl2br w:val="nil"/>
                    <w:tr2bl w:val="nil"/>
                  </w:tcBorders>
                  <w:noWrap w:val="0"/>
                  <w:vAlign w:val="center"/>
                </w:tcPr>
                <w:p w14:paraId="26250AAA">
                  <w:pPr>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扩建前</w:t>
                  </w:r>
                </w:p>
              </w:tc>
              <w:tc>
                <w:tcPr>
                  <w:tcW w:w="466" w:type="pct"/>
                  <w:tcBorders>
                    <w:left w:val="single" w:color="auto" w:sz="4" w:space="0"/>
                    <w:right w:val="single" w:color="auto" w:sz="4" w:space="0"/>
                    <w:tl2br w:val="nil"/>
                    <w:tr2bl w:val="nil"/>
                  </w:tcBorders>
                  <w:noWrap w:val="0"/>
                  <w:vAlign w:val="center"/>
                </w:tcPr>
                <w:p w14:paraId="507CF358">
                  <w:pPr>
                    <w:jc w:val="center"/>
                    <w:rPr>
                      <w:rFonts w:hint="default" w:ascii="Times New Roman" w:hAnsi="Times New Roman" w:eastAsia="仿宋" w:cs="Times New Roman"/>
                      <w:b/>
                      <w:color w:val="auto"/>
                      <w:sz w:val="21"/>
                      <w:szCs w:val="21"/>
                      <w:lang w:val="en-US"/>
                    </w:rPr>
                  </w:pPr>
                  <w:r>
                    <w:rPr>
                      <w:rFonts w:hint="default" w:ascii="Times New Roman" w:hAnsi="Times New Roman" w:eastAsia="仿宋" w:cs="Times New Roman"/>
                      <w:b/>
                      <w:color w:val="auto"/>
                      <w:sz w:val="21"/>
                      <w:szCs w:val="21"/>
                      <w:lang w:val="en-US" w:eastAsia="zh-CN"/>
                    </w:rPr>
                    <w:t>扩建后</w:t>
                  </w:r>
                </w:p>
              </w:tc>
              <w:tc>
                <w:tcPr>
                  <w:tcW w:w="459" w:type="pct"/>
                  <w:tcBorders>
                    <w:left w:val="single" w:color="auto" w:sz="4" w:space="0"/>
                    <w:tl2br w:val="nil"/>
                    <w:tr2bl w:val="nil"/>
                  </w:tcBorders>
                  <w:noWrap w:val="0"/>
                  <w:vAlign w:val="center"/>
                </w:tcPr>
                <w:p w14:paraId="6BFB12DF">
                  <w:pPr>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变化量</w:t>
                  </w:r>
                </w:p>
              </w:tc>
              <w:tc>
                <w:tcPr>
                  <w:tcW w:w="607" w:type="pct"/>
                  <w:vMerge w:val="continue"/>
                  <w:tcBorders>
                    <w:tl2br w:val="nil"/>
                    <w:tr2bl w:val="nil"/>
                  </w:tcBorders>
                  <w:noWrap w:val="0"/>
                  <w:vAlign w:val="center"/>
                </w:tcPr>
                <w:p w14:paraId="5396C341">
                  <w:pPr>
                    <w:jc w:val="center"/>
                    <w:rPr>
                      <w:rFonts w:hint="default" w:ascii="Times New Roman" w:hAnsi="Times New Roman" w:eastAsia="仿宋" w:cs="Times New Roman"/>
                      <w:b/>
                      <w:color w:val="auto"/>
                      <w:sz w:val="21"/>
                      <w:szCs w:val="21"/>
                      <w:lang w:val="en-US" w:eastAsia="zh-CN"/>
                    </w:rPr>
                  </w:pPr>
                </w:p>
              </w:tc>
            </w:tr>
            <w:tr w14:paraId="656C8024">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tcBorders>
                    <w:tl2br w:val="nil"/>
                    <w:tr2bl w:val="nil"/>
                  </w:tcBorders>
                  <w:noWrap w:val="0"/>
                  <w:vAlign w:val="center"/>
                </w:tcPr>
                <w:p w14:paraId="6852F45C">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337" w:type="pct"/>
                  <w:vMerge w:val="restart"/>
                  <w:tcBorders>
                    <w:tl2br w:val="nil"/>
                    <w:tr2bl w:val="nil"/>
                  </w:tcBorders>
                  <w:noWrap w:val="0"/>
                  <w:vAlign w:val="center"/>
                </w:tcPr>
                <w:p w14:paraId="3EE579FD">
                  <w:pPr>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生产设备</w:t>
                  </w:r>
                </w:p>
              </w:tc>
              <w:tc>
                <w:tcPr>
                  <w:tcW w:w="1303" w:type="pct"/>
                  <w:tcBorders>
                    <w:tl2br w:val="nil"/>
                    <w:tr2bl w:val="nil"/>
                  </w:tcBorders>
                  <w:noWrap w:val="0"/>
                  <w:vAlign w:val="center"/>
                </w:tcPr>
                <w:p w14:paraId="01398E1B">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注塑机</w:t>
                  </w:r>
                </w:p>
              </w:tc>
              <w:tc>
                <w:tcPr>
                  <w:tcW w:w="950" w:type="pct"/>
                  <w:tcBorders>
                    <w:tl2br w:val="nil"/>
                    <w:tr2bl w:val="nil"/>
                  </w:tcBorders>
                  <w:noWrap w:val="0"/>
                  <w:vAlign w:val="center"/>
                </w:tcPr>
                <w:p w14:paraId="45497862">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544" w:type="pct"/>
                  <w:tcBorders>
                    <w:right w:val="single" w:color="auto" w:sz="4" w:space="0"/>
                    <w:tl2br w:val="nil"/>
                    <w:tr2bl w:val="nil"/>
                  </w:tcBorders>
                  <w:noWrap w:val="0"/>
                  <w:vAlign w:val="center"/>
                </w:tcPr>
                <w:p w14:paraId="18B45391">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15</w:t>
                  </w:r>
                </w:p>
              </w:tc>
              <w:tc>
                <w:tcPr>
                  <w:tcW w:w="466" w:type="pct"/>
                  <w:tcBorders>
                    <w:left w:val="single" w:color="auto" w:sz="4" w:space="0"/>
                    <w:right w:val="single" w:color="auto" w:sz="4" w:space="0"/>
                    <w:tl2br w:val="nil"/>
                    <w:tr2bl w:val="nil"/>
                  </w:tcBorders>
                  <w:noWrap w:val="0"/>
                  <w:vAlign w:val="center"/>
                </w:tcPr>
                <w:p w14:paraId="42F4DB05">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18</w:t>
                  </w:r>
                </w:p>
              </w:tc>
              <w:tc>
                <w:tcPr>
                  <w:tcW w:w="459" w:type="pct"/>
                  <w:tcBorders>
                    <w:left w:val="single" w:color="auto" w:sz="4" w:space="0"/>
                    <w:tl2br w:val="nil"/>
                    <w:tr2bl w:val="nil"/>
                  </w:tcBorders>
                  <w:noWrap w:val="0"/>
                  <w:vAlign w:val="center"/>
                </w:tcPr>
                <w:p w14:paraId="4DC7F76B">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607" w:type="pct"/>
                  <w:tcBorders>
                    <w:tl2br w:val="nil"/>
                    <w:tr2bl w:val="nil"/>
                  </w:tcBorders>
                  <w:noWrap w:val="0"/>
                  <w:vAlign w:val="center"/>
                </w:tcPr>
                <w:p w14:paraId="6D75EBE1">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注塑</w:t>
                  </w:r>
                </w:p>
              </w:tc>
            </w:tr>
            <w:tr w14:paraId="786AE267">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tcBorders>
                    <w:tl2br w:val="nil"/>
                    <w:tr2bl w:val="nil"/>
                  </w:tcBorders>
                  <w:noWrap w:val="0"/>
                  <w:vAlign w:val="center"/>
                </w:tcPr>
                <w:p w14:paraId="7D68F94B">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337" w:type="pct"/>
                  <w:vMerge w:val="continue"/>
                  <w:tcBorders>
                    <w:tl2br w:val="nil"/>
                    <w:tr2bl w:val="nil"/>
                  </w:tcBorders>
                  <w:noWrap w:val="0"/>
                  <w:vAlign w:val="center"/>
                </w:tcPr>
                <w:p w14:paraId="2C81B019">
                  <w:pPr>
                    <w:jc w:val="center"/>
                    <w:rPr>
                      <w:rFonts w:hint="default" w:ascii="Times New Roman" w:hAnsi="Times New Roman" w:eastAsia="仿宋" w:cs="Times New Roman"/>
                      <w:color w:val="auto"/>
                      <w:kern w:val="0"/>
                      <w:sz w:val="21"/>
                      <w:szCs w:val="21"/>
                    </w:rPr>
                  </w:pPr>
                </w:p>
              </w:tc>
              <w:tc>
                <w:tcPr>
                  <w:tcW w:w="1303" w:type="pct"/>
                  <w:tcBorders>
                    <w:tl2br w:val="nil"/>
                    <w:tr2bl w:val="nil"/>
                  </w:tcBorders>
                  <w:noWrap w:val="0"/>
                  <w:vAlign w:val="center"/>
                </w:tcPr>
                <w:p w14:paraId="2E5FE474">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植绒机</w:t>
                  </w:r>
                </w:p>
              </w:tc>
              <w:tc>
                <w:tcPr>
                  <w:tcW w:w="950" w:type="pct"/>
                  <w:tcBorders>
                    <w:tl2br w:val="nil"/>
                    <w:tr2bl w:val="nil"/>
                  </w:tcBorders>
                  <w:noWrap w:val="0"/>
                  <w:vAlign w:val="center"/>
                </w:tcPr>
                <w:p w14:paraId="46E7B75C">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0000FF"/>
                      <w:sz w:val="21"/>
                      <w:szCs w:val="21"/>
                      <w:highlight w:val="none"/>
                      <w:lang w:val="en-US" w:eastAsia="zh-CN"/>
                    </w:rPr>
                    <w:t>单台植绒机包含</w:t>
                  </w:r>
                  <w:r>
                    <w:rPr>
                      <w:rFonts w:hint="default" w:ascii="Times New Roman" w:hAnsi="Times New Roman" w:eastAsia="仿宋" w:cs="Times New Roman"/>
                      <w:color w:val="0000FF"/>
                      <w:sz w:val="21"/>
                      <w:szCs w:val="21"/>
                      <w:highlight w:val="none"/>
                      <w:lang w:val="en-US" w:eastAsia="zh-CN"/>
                    </w:rPr>
                    <w:t>挂具单元、上胶单元、植绒单元、烘干单元各一个</w:t>
                  </w:r>
                </w:p>
              </w:tc>
              <w:tc>
                <w:tcPr>
                  <w:tcW w:w="544" w:type="pct"/>
                  <w:tcBorders>
                    <w:right w:val="single" w:color="auto" w:sz="4" w:space="0"/>
                    <w:tl2br w:val="nil"/>
                    <w:tr2bl w:val="nil"/>
                  </w:tcBorders>
                  <w:noWrap w:val="0"/>
                  <w:vAlign w:val="center"/>
                </w:tcPr>
                <w:p w14:paraId="4675FDC6">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466" w:type="pct"/>
                  <w:tcBorders>
                    <w:left w:val="single" w:color="auto" w:sz="4" w:space="0"/>
                    <w:right w:val="single" w:color="auto" w:sz="4" w:space="0"/>
                    <w:tl2br w:val="nil"/>
                    <w:tr2bl w:val="nil"/>
                  </w:tcBorders>
                  <w:noWrap w:val="0"/>
                  <w:vAlign w:val="center"/>
                </w:tcPr>
                <w:p w14:paraId="7FF536E7">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459" w:type="pct"/>
                  <w:tcBorders>
                    <w:left w:val="single" w:color="auto" w:sz="4" w:space="0"/>
                    <w:tl2br w:val="nil"/>
                    <w:tr2bl w:val="nil"/>
                  </w:tcBorders>
                  <w:noWrap w:val="0"/>
                  <w:vAlign w:val="center"/>
                </w:tcPr>
                <w:p w14:paraId="19F7CD97">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607" w:type="pct"/>
                  <w:tcBorders>
                    <w:tl2br w:val="nil"/>
                    <w:tr2bl w:val="nil"/>
                  </w:tcBorders>
                  <w:noWrap w:val="0"/>
                  <w:vAlign w:val="center"/>
                </w:tcPr>
                <w:p w14:paraId="13C2A19C">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上胶、植绒、烘干</w:t>
                  </w:r>
                </w:p>
              </w:tc>
            </w:tr>
            <w:tr w14:paraId="10D59AE6">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tcBorders>
                    <w:tl2br w:val="nil"/>
                    <w:tr2bl w:val="nil"/>
                  </w:tcBorders>
                  <w:noWrap w:val="0"/>
                  <w:vAlign w:val="center"/>
                </w:tcPr>
                <w:p w14:paraId="78843514">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337" w:type="pct"/>
                  <w:vMerge w:val="continue"/>
                  <w:tcBorders>
                    <w:tl2br w:val="nil"/>
                    <w:tr2bl w:val="nil"/>
                  </w:tcBorders>
                  <w:noWrap w:val="0"/>
                  <w:vAlign w:val="center"/>
                </w:tcPr>
                <w:p w14:paraId="09B7025B">
                  <w:pPr>
                    <w:jc w:val="center"/>
                    <w:rPr>
                      <w:rFonts w:hint="default" w:ascii="Times New Roman" w:hAnsi="Times New Roman" w:eastAsia="仿宋" w:cs="Times New Roman"/>
                      <w:color w:val="auto"/>
                      <w:kern w:val="0"/>
                      <w:sz w:val="21"/>
                      <w:szCs w:val="21"/>
                    </w:rPr>
                  </w:pPr>
                </w:p>
              </w:tc>
              <w:tc>
                <w:tcPr>
                  <w:tcW w:w="1303" w:type="pct"/>
                  <w:tcBorders>
                    <w:tl2br w:val="nil"/>
                    <w:tr2bl w:val="nil"/>
                  </w:tcBorders>
                  <w:noWrap w:val="0"/>
                  <w:vAlign w:val="center"/>
                </w:tcPr>
                <w:p w14:paraId="0C394644">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筛毛机</w:t>
                  </w:r>
                </w:p>
              </w:tc>
              <w:tc>
                <w:tcPr>
                  <w:tcW w:w="950" w:type="pct"/>
                  <w:tcBorders>
                    <w:tl2br w:val="nil"/>
                    <w:tr2bl w:val="nil"/>
                  </w:tcBorders>
                  <w:noWrap w:val="0"/>
                  <w:vAlign w:val="center"/>
                </w:tcPr>
                <w:p w14:paraId="7DB56961">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544" w:type="pct"/>
                  <w:tcBorders>
                    <w:right w:val="single" w:color="auto" w:sz="4" w:space="0"/>
                    <w:tl2br w:val="nil"/>
                    <w:tr2bl w:val="nil"/>
                  </w:tcBorders>
                  <w:noWrap w:val="0"/>
                  <w:vAlign w:val="center"/>
                </w:tcPr>
                <w:p w14:paraId="52CB22F9">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466" w:type="pct"/>
                  <w:tcBorders>
                    <w:left w:val="single" w:color="auto" w:sz="4" w:space="0"/>
                    <w:right w:val="single" w:color="auto" w:sz="4" w:space="0"/>
                    <w:tl2br w:val="nil"/>
                    <w:tr2bl w:val="nil"/>
                  </w:tcBorders>
                  <w:noWrap w:val="0"/>
                  <w:vAlign w:val="center"/>
                </w:tcPr>
                <w:p w14:paraId="0F4C77FD">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459" w:type="pct"/>
                  <w:tcBorders>
                    <w:left w:val="single" w:color="auto" w:sz="4" w:space="0"/>
                    <w:tl2br w:val="nil"/>
                    <w:tr2bl w:val="nil"/>
                  </w:tcBorders>
                  <w:noWrap w:val="0"/>
                  <w:vAlign w:val="center"/>
                </w:tcPr>
                <w:p w14:paraId="7464C02E">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607" w:type="pct"/>
                  <w:tcBorders>
                    <w:tl2br w:val="nil"/>
                    <w:tr2bl w:val="nil"/>
                  </w:tcBorders>
                  <w:noWrap w:val="0"/>
                  <w:vAlign w:val="center"/>
                </w:tcPr>
                <w:p w14:paraId="7A897899">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筛毛</w:t>
                  </w:r>
                </w:p>
              </w:tc>
            </w:tr>
            <w:tr w14:paraId="382C63D1">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tcBorders>
                    <w:tl2br w:val="nil"/>
                    <w:tr2bl w:val="nil"/>
                  </w:tcBorders>
                  <w:noWrap w:val="0"/>
                  <w:vAlign w:val="center"/>
                </w:tcPr>
                <w:p w14:paraId="2DC1CBE9">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4</w:t>
                  </w:r>
                </w:p>
              </w:tc>
              <w:tc>
                <w:tcPr>
                  <w:tcW w:w="337" w:type="pct"/>
                  <w:vMerge w:val="continue"/>
                  <w:tcBorders>
                    <w:tl2br w:val="nil"/>
                    <w:tr2bl w:val="nil"/>
                  </w:tcBorders>
                  <w:noWrap w:val="0"/>
                  <w:vAlign w:val="center"/>
                </w:tcPr>
                <w:p w14:paraId="7DED905A">
                  <w:pPr>
                    <w:jc w:val="center"/>
                    <w:rPr>
                      <w:rFonts w:hint="default" w:ascii="Times New Roman" w:hAnsi="Times New Roman" w:eastAsia="仿宋" w:cs="Times New Roman"/>
                      <w:color w:val="auto"/>
                      <w:kern w:val="0"/>
                      <w:sz w:val="21"/>
                      <w:szCs w:val="21"/>
                    </w:rPr>
                  </w:pPr>
                </w:p>
              </w:tc>
              <w:tc>
                <w:tcPr>
                  <w:tcW w:w="1303" w:type="pct"/>
                  <w:tcBorders>
                    <w:tl2br w:val="nil"/>
                    <w:tr2bl w:val="nil"/>
                  </w:tcBorders>
                  <w:noWrap w:val="0"/>
                  <w:vAlign w:val="center"/>
                </w:tcPr>
                <w:p w14:paraId="5F445C7A">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烘箱</w:t>
                  </w:r>
                </w:p>
              </w:tc>
              <w:tc>
                <w:tcPr>
                  <w:tcW w:w="950" w:type="pct"/>
                  <w:tcBorders>
                    <w:tl2br w:val="nil"/>
                    <w:tr2bl w:val="nil"/>
                  </w:tcBorders>
                  <w:noWrap w:val="0"/>
                  <w:vAlign w:val="center"/>
                </w:tcPr>
                <w:p w14:paraId="616FF40D">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544" w:type="pct"/>
                  <w:tcBorders>
                    <w:right w:val="single" w:color="auto" w:sz="4" w:space="0"/>
                    <w:tl2br w:val="nil"/>
                    <w:tr2bl w:val="nil"/>
                  </w:tcBorders>
                  <w:noWrap w:val="0"/>
                  <w:vAlign w:val="center"/>
                </w:tcPr>
                <w:p w14:paraId="5BED1B10">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4</w:t>
                  </w:r>
                </w:p>
              </w:tc>
              <w:tc>
                <w:tcPr>
                  <w:tcW w:w="466" w:type="pct"/>
                  <w:tcBorders>
                    <w:left w:val="single" w:color="auto" w:sz="4" w:space="0"/>
                    <w:right w:val="single" w:color="auto" w:sz="4" w:space="0"/>
                    <w:tl2br w:val="nil"/>
                    <w:tr2bl w:val="nil"/>
                  </w:tcBorders>
                  <w:noWrap w:val="0"/>
                  <w:vAlign w:val="center"/>
                </w:tcPr>
                <w:p w14:paraId="18487FEA">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w:t>
                  </w:r>
                </w:p>
              </w:tc>
              <w:tc>
                <w:tcPr>
                  <w:tcW w:w="459" w:type="pct"/>
                  <w:tcBorders>
                    <w:left w:val="single" w:color="auto" w:sz="4" w:space="0"/>
                    <w:tl2br w:val="nil"/>
                    <w:tr2bl w:val="nil"/>
                  </w:tcBorders>
                  <w:noWrap w:val="0"/>
                  <w:vAlign w:val="center"/>
                </w:tcPr>
                <w:p w14:paraId="4E186E32">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607" w:type="pct"/>
                  <w:tcBorders>
                    <w:tl2br w:val="nil"/>
                    <w:tr2bl w:val="nil"/>
                  </w:tcBorders>
                  <w:noWrap w:val="0"/>
                  <w:vAlign w:val="center"/>
                </w:tcPr>
                <w:p w14:paraId="28C172F5">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固化</w:t>
                  </w:r>
                </w:p>
              </w:tc>
            </w:tr>
            <w:tr w14:paraId="579F7293">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86" w:hRule="atLeast"/>
                <w:jc w:val="center"/>
              </w:trPr>
              <w:tc>
                <w:tcPr>
                  <w:tcW w:w="331" w:type="pct"/>
                  <w:tcBorders>
                    <w:tl2br w:val="nil"/>
                    <w:tr2bl w:val="nil"/>
                  </w:tcBorders>
                  <w:noWrap w:val="0"/>
                  <w:vAlign w:val="center"/>
                </w:tcPr>
                <w:p w14:paraId="3D9021A6">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w:t>
                  </w:r>
                </w:p>
              </w:tc>
              <w:tc>
                <w:tcPr>
                  <w:tcW w:w="337" w:type="pct"/>
                  <w:vMerge w:val="continue"/>
                  <w:tcBorders>
                    <w:tl2br w:val="nil"/>
                    <w:tr2bl w:val="nil"/>
                  </w:tcBorders>
                  <w:noWrap w:val="0"/>
                  <w:vAlign w:val="center"/>
                </w:tcPr>
                <w:p w14:paraId="5603D896">
                  <w:pPr>
                    <w:jc w:val="center"/>
                    <w:rPr>
                      <w:rFonts w:hint="default" w:ascii="Times New Roman" w:hAnsi="Times New Roman" w:eastAsia="仿宋" w:cs="Times New Roman"/>
                      <w:color w:val="auto"/>
                      <w:kern w:val="0"/>
                      <w:sz w:val="21"/>
                      <w:szCs w:val="21"/>
                    </w:rPr>
                  </w:pPr>
                </w:p>
              </w:tc>
              <w:tc>
                <w:tcPr>
                  <w:tcW w:w="1303" w:type="pct"/>
                  <w:tcBorders>
                    <w:tl2br w:val="nil"/>
                    <w:tr2bl w:val="nil"/>
                  </w:tcBorders>
                  <w:noWrap w:val="0"/>
                  <w:vAlign w:val="center"/>
                </w:tcPr>
                <w:p w14:paraId="271747F8">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破碎机</w:t>
                  </w:r>
                </w:p>
              </w:tc>
              <w:tc>
                <w:tcPr>
                  <w:tcW w:w="950" w:type="pct"/>
                  <w:tcBorders>
                    <w:tl2br w:val="nil"/>
                    <w:tr2bl w:val="nil"/>
                  </w:tcBorders>
                  <w:shd w:val="clear" w:color="auto" w:fill="auto"/>
                  <w:noWrap w:val="0"/>
                  <w:vAlign w:val="center"/>
                </w:tcPr>
                <w:p w14:paraId="4A5B552A">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544" w:type="pct"/>
                  <w:tcBorders>
                    <w:right w:val="single" w:color="auto" w:sz="4" w:space="0"/>
                    <w:tl2br w:val="nil"/>
                    <w:tr2bl w:val="nil"/>
                  </w:tcBorders>
                  <w:noWrap w:val="0"/>
                  <w:vAlign w:val="center"/>
                </w:tcPr>
                <w:p w14:paraId="012885D9">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466" w:type="pct"/>
                  <w:tcBorders>
                    <w:left w:val="single" w:color="auto" w:sz="4" w:space="0"/>
                    <w:right w:val="single" w:color="auto" w:sz="4" w:space="0"/>
                    <w:tl2br w:val="nil"/>
                    <w:tr2bl w:val="nil"/>
                  </w:tcBorders>
                  <w:noWrap w:val="0"/>
                  <w:vAlign w:val="center"/>
                </w:tcPr>
                <w:p w14:paraId="3D87A8B2">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459" w:type="pct"/>
                  <w:tcBorders>
                    <w:left w:val="single" w:color="auto" w:sz="4" w:space="0"/>
                    <w:tl2br w:val="nil"/>
                    <w:tr2bl w:val="nil"/>
                  </w:tcBorders>
                  <w:noWrap w:val="0"/>
                  <w:vAlign w:val="center"/>
                </w:tcPr>
                <w:p w14:paraId="4CE16D8D">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607" w:type="pct"/>
                  <w:tcBorders>
                    <w:tl2br w:val="nil"/>
                    <w:tr2bl w:val="nil"/>
                  </w:tcBorders>
                  <w:noWrap w:val="0"/>
                  <w:vAlign w:val="center"/>
                </w:tcPr>
                <w:p w14:paraId="01F0AD70">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破碎</w:t>
                  </w:r>
                </w:p>
              </w:tc>
            </w:tr>
            <w:tr w14:paraId="02706683">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tcBorders>
                    <w:tl2br w:val="nil"/>
                    <w:tr2bl w:val="nil"/>
                  </w:tcBorders>
                  <w:noWrap w:val="0"/>
                  <w:vAlign w:val="center"/>
                </w:tcPr>
                <w:p w14:paraId="457E091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6</w:t>
                  </w:r>
                </w:p>
              </w:tc>
              <w:tc>
                <w:tcPr>
                  <w:tcW w:w="337" w:type="pct"/>
                  <w:vMerge w:val="continue"/>
                  <w:tcBorders>
                    <w:tl2br w:val="nil"/>
                    <w:tr2bl w:val="nil"/>
                  </w:tcBorders>
                  <w:noWrap w:val="0"/>
                  <w:vAlign w:val="center"/>
                </w:tcPr>
                <w:p w14:paraId="4E439D1F">
                  <w:pPr>
                    <w:jc w:val="center"/>
                    <w:rPr>
                      <w:rFonts w:hint="default" w:ascii="Times New Roman" w:hAnsi="Times New Roman" w:eastAsia="仿宋" w:cs="Times New Roman"/>
                      <w:color w:val="auto"/>
                      <w:kern w:val="0"/>
                      <w:sz w:val="21"/>
                      <w:szCs w:val="21"/>
                    </w:rPr>
                  </w:pPr>
                </w:p>
              </w:tc>
              <w:tc>
                <w:tcPr>
                  <w:tcW w:w="1303" w:type="pct"/>
                  <w:tcBorders>
                    <w:tl2br w:val="nil"/>
                    <w:tr2bl w:val="nil"/>
                  </w:tcBorders>
                  <w:noWrap w:val="0"/>
                  <w:vAlign w:val="center"/>
                </w:tcPr>
                <w:p w14:paraId="7005366D">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拌料机</w:t>
                  </w:r>
                </w:p>
              </w:tc>
              <w:tc>
                <w:tcPr>
                  <w:tcW w:w="950" w:type="pct"/>
                  <w:tcBorders>
                    <w:tl2br w:val="nil"/>
                    <w:tr2bl w:val="nil"/>
                  </w:tcBorders>
                  <w:shd w:val="clear" w:color="auto" w:fill="auto"/>
                  <w:noWrap w:val="0"/>
                  <w:vAlign w:val="center"/>
                </w:tcPr>
                <w:p w14:paraId="7FCDC252">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544" w:type="pct"/>
                  <w:tcBorders>
                    <w:right w:val="single" w:color="auto" w:sz="4" w:space="0"/>
                    <w:tl2br w:val="nil"/>
                    <w:tr2bl w:val="nil"/>
                  </w:tcBorders>
                  <w:noWrap w:val="0"/>
                  <w:vAlign w:val="center"/>
                </w:tcPr>
                <w:p w14:paraId="7B944A9C">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66" w:type="pct"/>
                  <w:tcBorders>
                    <w:left w:val="single" w:color="auto" w:sz="4" w:space="0"/>
                    <w:right w:val="single" w:color="auto" w:sz="4" w:space="0"/>
                    <w:tl2br w:val="nil"/>
                    <w:tr2bl w:val="nil"/>
                  </w:tcBorders>
                  <w:noWrap w:val="0"/>
                  <w:vAlign w:val="center"/>
                </w:tcPr>
                <w:p w14:paraId="05678312">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459" w:type="pct"/>
                  <w:tcBorders>
                    <w:left w:val="single" w:color="auto" w:sz="4" w:space="0"/>
                    <w:tl2br w:val="nil"/>
                    <w:tr2bl w:val="nil"/>
                  </w:tcBorders>
                  <w:noWrap w:val="0"/>
                  <w:vAlign w:val="center"/>
                </w:tcPr>
                <w:p w14:paraId="4C4D4C0A">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607" w:type="pct"/>
                  <w:tcBorders>
                    <w:tl2br w:val="nil"/>
                    <w:tr2bl w:val="nil"/>
                  </w:tcBorders>
                  <w:noWrap w:val="0"/>
                  <w:vAlign w:val="center"/>
                </w:tcPr>
                <w:p w14:paraId="19865177">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拌料</w:t>
                  </w:r>
                </w:p>
              </w:tc>
            </w:tr>
            <w:tr w14:paraId="7C30AD88">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tcBorders>
                    <w:tl2br w:val="nil"/>
                    <w:tr2bl w:val="nil"/>
                  </w:tcBorders>
                  <w:noWrap w:val="0"/>
                  <w:vAlign w:val="center"/>
                </w:tcPr>
                <w:p w14:paraId="1D2D774E">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w:t>
                  </w:r>
                </w:p>
              </w:tc>
              <w:tc>
                <w:tcPr>
                  <w:tcW w:w="337" w:type="pct"/>
                  <w:vMerge w:val="restart"/>
                  <w:tcBorders>
                    <w:tl2br w:val="nil"/>
                    <w:tr2bl w:val="nil"/>
                  </w:tcBorders>
                  <w:noWrap w:val="0"/>
                  <w:vAlign w:val="center"/>
                </w:tcPr>
                <w:p w14:paraId="69C092C4">
                  <w:pPr>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公辅设备</w:t>
                  </w:r>
                </w:p>
              </w:tc>
              <w:tc>
                <w:tcPr>
                  <w:tcW w:w="1303" w:type="pct"/>
                  <w:tcBorders>
                    <w:tl2br w:val="nil"/>
                    <w:tr2bl w:val="nil"/>
                  </w:tcBorders>
                  <w:noWrap w:val="0"/>
                  <w:vAlign w:val="center"/>
                </w:tcPr>
                <w:p w14:paraId="5619A318">
                  <w:pPr>
                    <w:spacing w:line="240" w:lineRule="auto"/>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空压机</w:t>
                  </w:r>
                </w:p>
              </w:tc>
              <w:tc>
                <w:tcPr>
                  <w:tcW w:w="950" w:type="pct"/>
                  <w:tcBorders>
                    <w:tl2br w:val="nil"/>
                    <w:tr2bl w:val="nil"/>
                  </w:tcBorders>
                  <w:shd w:val="clear" w:color="auto" w:fill="auto"/>
                  <w:noWrap w:val="0"/>
                  <w:vAlign w:val="center"/>
                </w:tcPr>
                <w:p w14:paraId="65FE212B">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制气能力单台19.6Nm</w:t>
                  </w:r>
                  <w:r>
                    <w:rPr>
                      <w:rFonts w:hint="default" w:ascii="Times New Roman" w:hAnsi="Times New Roman" w:eastAsia="仿宋" w:cs="Times New Roman"/>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/min</w:t>
                  </w:r>
                </w:p>
              </w:tc>
              <w:tc>
                <w:tcPr>
                  <w:tcW w:w="544" w:type="pct"/>
                  <w:tcBorders>
                    <w:right w:val="single" w:color="auto" w:sz="4" w:space="0"/>
                    <w:tl2br w:val="nil"/>
                    <w:tr2bl w:val="nil"/>
                  </w:tcBorders>
                  <w:noWrap w:val="0"/>
                  <w:vAlign w:val="center"/>
                </w:tcPr>
                <w:p w14:paraId="335DBC06">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466" w:type="pct"/>
                  <w:tcBorders>
                    <w:left w:val="single" w:color="auto" w:sz="4" w:space="0"/>
                    <w:right w:val="single" w:color="auto" w:sz="4" w:space="0"/>
                    <w:tl2br w:val="nil"/>
                    <w:tr2bl w:val="nil"/>
                  </w:tcBorders>
                  <w:noWrap w:val="0"/>
                  <w:vAlign w:val="center"/>
                </w:tcPr>
                <w:p w14:paraId="7089E541">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3</w:t>
                  </w:r>
                </w:p>
              </w:tc>
              <w:tc>
                <w:tcPr>
                  <w:tcW w:w="459" w:type="pct"/>
                  <w:tcBorders>
                    <w:left w:val="single" w:color="auto" w:sz="4" w:space="0"/>
                    <w:tl2br w:val="nil"/>
                    <w:tr2bl w:val="nil"/>
                  </w:tcBorders>
                  <w:noWrap w:val="0"/>
                  <w:vAlign w:val="center"/>
                </w:tcPr>
                <w:p w14:paraId="36A4A876">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607" w:type="pct"/>
                  <w:vMerge w:val="restart"/>
                  <w:tcBorders>
                    <w:tl2br w:val="nil"/>
                    <w:tr2bl w:val="nil"/>
                  </w:tcBorders>
                  <w:noWrap w:val="0"/>
                  <w:vAlign w:val="center"/>
                </w:tcPr>
                <w:p w14:paraId="1602CB75">
                  <w:p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制备压缩空气，为设备提供动力，依托现有</w:t>
                  </w:r>
                </w:p>
              </w:tc>
            </w:tr>
            <w:tr w14:paraId="1F5545C5">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tcBorders>
                    <w:tl2br w:val="nil"/>
                    <w:tr2bl w:val="nil"/>
                  </w:tcBorders>
                  <w:noWrap w:val="0"/>
                  <w:vAlign w:val="center"/>
                </w:tcPr>
                <w:p w14:paraId="5008B33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w:t>
                  </w:r>
                </w:p>
              </w:tc>
              <w:tc>
                <w:tcPr>
                  <w:tcW w:w="337" w:type="pct"/>
                  <w:vMerge w:val="continue"/>
                  <w:tcBorders>
                    <w:tl2br w:val="nil"/>
                    <w:tr2bl w:val="nil"/>
                  </w:tcBorders>
                  <w:noWrap w:val="0"/>
                  <w:vAlign w:val="center"/>
                </w:tcPr>
                <w:p w14:paraId="00D1F240">
                  <w:pPr>
                    <w:jc w:val="center"/>
                    <w:rPr>
                      <w:rFonts w:hint="default" w:ascii="Times New Roman" w:hAnsi="Times New Roman" w:eastAsia="仿宋" w:cs="Times New Roman"/>
                      <w:color w:val="auto"/>
                      <w:kern w:val="0"/>
                      <w:sz w:val="21"/>
                      <w:szCs w:val="21"/>
                    </w:rPr>
                  </w:pPr>
                </w:p>
              </w:tc>
              <w:tc>
                <w:tcPr>
                  <w:tcW w:w="1303" w:type="pct"/>
                  <w:tcBorders>
                    <w:tl2br w:val="nil"/>
                    <w:tr2bl w:val="nil"/>
                  </w:tcBorders>
                  <w:noWrap w:val="0"/>
                  <w:vAlign w:val="center"/>
                </w:tcPr>
                <w:p w14:paraId="48E184D8">
                  <w:pPr>
                    <w:spacing w:line="240" w:lineRule="auto"/>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储气罐</w:t>
                  </w:r>
                </w:p>
              </w:tc>
              <w:tc>
                <w:tcPr>
                  <w:tcW w:w="950" w:type="pct"/>
                  <w:tcBorders>
                    <w:tl2br w:val="nil"/>
                    <w:tr2bl w:val="nil"/>
                  </w:tcBorders>
                  <w:shd w:val="clear" w:color="auto" w:fill="auto"/>
                  <w:noWrap w:val="0"/>
                  <w:vAlign w:val="center"/>
                </w:tcPr>
                <w:p w14:paraId="3D4B83CC">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6m</w:t>
                  </w:r>
                  <w:r>
                    <w:rPr>
                      <w:rFonts w:hint="default" w:ascii="Times New Roman" w:hAnsi="Times New Roman" w:eastAsia="仿宋" w:cs="Times New Roman"/>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vertAlign w:val="baseline"/>
                      <w:lang w:val="en-US" w:eastAsia="zh-CN"/>
                    </w:rPr>
                    <w:t>/个</w:t>
                  </w:r>
                </w:p>
              </w:tc>
              <w:tc>
                <w:tcPr>
                  <w:tcW w:w="544" w:type="pct"/>
                  <w:tcBorders>
                    <w:right w:val="single" w:color="auto" w:sz="4" w:space="0"/>
                    <w:tl2br w:val="nil"/>
                    <w:tr2bl w:val="nil"/>
                  </w:tcBorders>
                  <w:shd w:val="clear" w:color="auto" w:fill="auto"/>
                  <w:noWrap w:val="0"/>
                  <w:vAlign w:val="center"/>
                </w:tcPr>
                <w:p w14:paraId="04AF6B11">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3</w:t>
                  </w:r>
                </w:p>
              </w:tc>
              <w:tc>
                <w:tcPr>
                  <w:tcW w:w="466" w:type="pct"/>
                  <w:tcBorders>
                    <w:left w:val="single" w:color="auto" w:sz="4" w:space="0"/>
                    <w:right w:val="single" w:color="auto" w:sz="4" w:space="0"/>
                    <w:tl2br w:val="nil"/>
                    <w:tr2bl w:val="nil"/>
                  </w:tcBorders>
                  <w:shd w:val="clear" w:color="auto" w:fill="auto"/>
                  <w:noWrap w:val="0"/>
                  <w:vAlign w:val="center"/>
                </w:tcPr>
                <w:p w14:paraId="43CED9EF">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3</w:t>
                  </w:r>
                </w:p>
              </w:tc>
              <w:tc>
                <w:tcPr>
                  <w:tcW w:w="459" w:type="pct"/>
                  <w:tcBorders>
                    <w:left w:val="single" w:color="auto" w:sz="4" w:space="0"/>
                    <w:tl2br w:val="nil"/>
                    <w:tr2bl w:val="nil"/>
                  </w:tcBorders>
                  <w:shd w:val="clear" w:color="auto" w:fill="auto"/>
                  <w:noWrap w:val="0"/>
                  <w:vAlign w:val="center"/>
                </w:tcPr>
                <w:p w14:paraId="3DE83F9F">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0</w:t>
                  </w:r>
                </w:p>
              </w:tc>
              <w:tc>
                <w:tcPr>
                  <w:tcW w:w="607" w:type="pct"/>
                  <w:vMerge w:val="continue"/>
                  <w:tcBorders>
                    <w:tl2br w:val="nil"/>
                    <w:tr2bl w:val="nil"/>
                  </w:tcBorders>
                  <w:noWrap w:val="0"/>
                  <w:vAlign w:val="center"/>
                </w:tcPr>
                <w:p w14:paraId="3F4BC4A1">
                  <w:pPr>
                    <w:jc w:val="center"/>
                    <w:rPr>
                      <w:rFonts w:hint="default" w:ascii="Times New Roman" w:hAnsi="Times New Roman" w:eastAsia="仿宋" w:cs="Times New Roman"/>
                      <w:color w:val="auto"/>
                      <w:sz w:val="21"/>
                      <w:szCs w:val="21"/>
                      <w:lang w:val="en-US" w:eastAsia="zh-CN"/>
                    </w:rPr>
                  </w:pPr>
                </w:p>
              </w:tc>
            </w:tr>
            <w:tr w14:paraId="04FF8C03">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tcBorders>
                    <w:tl2br w:val="nil"/>
                    <w:tr2bl w:val="nil"/>
                  </w:tcBorders>
                  <w:noWrap w:val="0"/>
                  <w:vAlign w:val="center"/>
                </w:tcPr>
                <w:p w14:paraId="114BD7EF">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w:t>
                  </w:r>
                </w:p>
              </w:tc>
              <w:tc>
                <w:tcPr>
                  <w:tcW w:w="337" w:type="pct"/>
                  <w:vMerge w:val="continue"/>
                  <w:tcBorders>
                    <w:tl2br w:val="nil"/>
                    <w:tr2bl w:val="nil"/>
                  </w:tcBorders>
                  <w:noWrap w:val="0"/>
                  <w:vAlign w:val="center"/>
                </w:tcPr>
                <w:p w14:paraId="143E31DD">
                  <w:pPr>
                    <w:jc w:val="center"/>
                    <w:rPr>
                      <w:rFonts w:hint="default" w:ascii="Times New Roman" w:hAnsi="Times New Roman" w:eastAsia="仿宋" w:cs="Times New Roman"/>
                      <w:color w:val="auto"/>
                      <w:kern w:val="0"/>
                      <w:sz w:val="21"/>
                      <w:szCs w:val="21"/>
                    </w:rPr>
                  </w:pPr>
                </w:p>
              </w:tc>
              <w:tc>
                <w:tcPr>
                  <w:tcW w:w="1303" w:type="pct"/>
                  <w:tcBorders>
                    <w:tl2br w:val="nil"/>
                    <w:tr2bl w:val="nil"/>
                  </w:tcBorders>
                  <w:noWrap w:val="0"/>
                  <w:vAlign w:val="center"/>
                </w:tcPr>
                <w:p w14:paraId="2F699FAD">
                  <w:pPr>
                    <w:spacing w:line="240" w:lineRule="auto"/>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冷却塔</w:t>
                  </w:r>
                </w:p>
              </w:tc>
              <w:tc>
                <w:tcPr>
                  <w:tcW w:w="950" w:type="pct"/>
                  <w:tcBorders>
                    <w:tl2br w:val="nil"/>
                    <w:tr2bl w:val="nil"/>
                  </w:tcBorders>
                  <w:shd w:val="clear" w:color="auto" w:fill="auto"/>
                  <w:noWrap w:val="0"/>
                  <w:vAlign w:val="center"/>
                </w:tcPr>
                <w:p w14:paraId="08FF9A2C">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循环量2m</w:t>
                  </w:r>
                  <w:r>
                    <w:rPr>
                      <w:rFonts w:hint="default" w:ascii="Times New Roman" w:hAnsi="Times New Roman" w:eastAsia="仿宋" w:cs="Times New Roman"/>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/h</w:t>
                  </w:r>
                </w:p>
              </w:tc>
              <w:tc>
                <w:tcPr>
                  <w:tcW w:w="544" w:type="pct"/>
                  <w:tcBorders>
                    <w:right w:val="single" w:color="auto" w:sz="4" w:space="0"/>
                    <w:tl2br w:val="nil"/>
                    <w:tr2bl w:val="nil"/>
                  </w:tcBorders>
                  <w:noWrap w:val="0"/>
                  <w:vAlign w:val="center"/>
                </w:tcPr>
                <w:p w14:paraId="57C4987B">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466" w:type="pct"/>
                  <w:tcBorders>
                    <w:left w:val="single" w:color="auto" w:sz="4" w:space="0"/>
                    <w:right w:val="single" w:color="auto" w:sz="4" w:space="0"/>
                    <w:tl2br w:val="nil"/>
                    <w:tr2bl w:val="nil"/>
                  </w:tcBorders>
                  <w:noWrap w:val="0"/>
                  <w:vAlign w:val="center"/>
                </w:tcPr>
                <w:p w14:paraId="77FBCCEF">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459" w:type="pct"/>
                  <w:tcBorders>
                    <w:left w:val="single" w:color="auto" w:sz="4" w:space="0"/>
                    <w:tl2br w:val="nil"/>
                    <w:tr2bl w:val="nil"/>
                  </w:tcBorders>
                  <w:noWrap w:val="0"/>
                  <w:vAlign w:val="center"/>
                </w:tcPr>
                <w:p w14:paraId="79CE7724">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607" w:type="pct"/>
                  <w:tcBorders>
                    <w:tl2br w:val="nil"/>
                    <w:tr2bl w:val="nil"/>
                  </w:tcBorders>
                  <w:noWrap w:val="0"/>
                  <w:vAlign w:val="center"/>
                </w:tcPr>
                <w:p w14:paraId="2D8D0B1B">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为注塑提供冷却水</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依托现有</w:t>
                  </w:r>
                </w:p>
              </w:tc>
            </w:tr>
            <w:tr w14:paraId="7922CA61">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tcBorders>
                    <w:tl2br w:val="nil"/>
                    <w:tr2bl w:val="nil"/>
                  </w:tcBorders>
                  <w:noWrap w:val="0"/>
                  <w:vAlign w:val="center"/>
                </w:tcPr>
                <w:p w14:paraId="5F022C87">
                  <w:pPr>
                    <w:spacing w:line="240" w:lineRule="auto"/>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10</w:t>
                  </w:r>
                </w:p>
              </w:tc>
              <w:tc>
                <w:tcPr>
                  <w:tcW w:w="337" w:type="pct"/>
                  <w:vMerge w:val="restart"/>
                  <w:tcBorders>
                    <w:tl2br w:val="nil"/>
                    <w:tr2bl w:val="nil"/>
                  </w:tcBorders>
                  <w:noWrap w:val="0"/>
                  <w:vAlign w:val="center"/>
                </w:tcPr>
                <w:p w14:paraId="5BF58014">
                  <w:pPr>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环保设备</w:t>
                  </w:r>
                </w:p>
              </w:tc>
              <w:tc>
                <w:tcPr>
                  <w:tcW w:w="1303" w:type="pct"/>
                  <w:tcBorders>
                    <w:tl2br w:val="nil"/>
                    <w:tr2bl w:val="nil"/>
                  </w:tcBorders>
                  <w:noWrap w:val="0"/>
                  <w:vAlign w:val="center"/>
                </w:tcPr>
                <w:p w14:paraId="336F155D">
                  <w:pPr>
                    <w:spacing w:line="240" w:lineRule="auto"/>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两级活性炭吸附装置</w:t>
                  </w:r>
                </w:p>
              </w:tc>
              <w:tc>
                <w:tcPr>
                  <w:tcW w:w="950" w:type="pct"/>
                  <w:tcBorders>
                    <w:tl2br w:val="nil"/>
                    <w:tr2bl w:val="nil"/>
                  </w:tcBorders>
                  <w:shd w:val="clear" w:color="auto" w:fill="auto"/>
                  <w:noWrap w:val="0"/>
                  <w:vAlign w:val="center"/>
                </w:tcPr>
                <w:p w14:paraId="453F5BDA">
                  <w:pPr>
                    <w:widowControl/>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lang w:val="en-US" w:eastAsia="zh-CN"/>
                    </w:rPr>
                    <w:t>12000m</w:t>
                  </w:r>
                  <w:r>
                    <w:rPr>
                      <w:rFonts w:hint="eastAsia"/>
                      <w:vertAlign w:val="superscript"/>
                      <w:lang w:val="en-US" w:eastAsia="zh-CN"/>
                    </w:rPr>
                    <w:t>3</w:t>
                  </w:r>
                  <w:r>
                    <w:rPr>
                      <w:rFonts w:hint="eastAsia"/>
                      <w:lang w:val="en-US" w:eastAsia="zh-CN"/>
                    </w:rPr>
                    <w:t>/h</w:t>
                  </w:r>
                </w:p>
              </w:tc>
              <w:tc>
                <w:tcPr>
                  <w:tcW w:w="544" w:type="pct"/>
                  <w:tcBorders>
                    <w:right w:val="single" w:color="auto" w:sz="4" w:space="0"/>
                    <w:tl2br w:val="nil"/>
                    <w:tr2bl w:val="nil"/>
                  </w:tcBorders>
                  <w:noWrap w:val="0"/>
                  <w:vAlign w:val="center"/>
                </w:tcPr>
                <w:p w14:paraId="22CEE31F">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66" w:type="pct"/>
                  <w:tcBorders>
                    <w:left w:val="single" w:color="auto" w:sz="4" w:space="0"/>
                    <w:right w:val="single" w:color="auto" w:sz="4" w:space="0"/>
                    <w:tl2br w:val="nil"/>
                    <w:tr2bl w:val="nil"/>
                  </w:tcBorders>
                  <w:noWrap w:val="0"/>
                  <w:vAlign w:val="center"/>
                </w:tcPr>
                <w:p w14:paraId="2E04EA02">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459" w:type="pct"/>
                  <w:tcBorders>
                    <w:left w:val="single" w:color="auto" w:sz="4" w:space="0"/>
                    <w:tl2br w:val="nil"/>
                    <w:tr2bl w:val="nil"/>
                  </w:tcBorders>
                  <w:noWrap w:val="0"/>
                  <w:vAlign w:val="center"/>
                </w:tcPr>
                <w:p w14:paraId="0D3555EA">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607" w:type="pct"/>
                  <w:tcBorders>
                    <w:tl2br w:val="nil"/>
                    <w:tr2bl w:val="nil"/>
                  </w:tcBorders>
                  <w:noWrap w:val="0"/>
                  <w:vAlign w:val="center"/>
                </w:tcPr>
                <w:p w14:paraId="6512C714">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处理注塑、上胶、固化烘干废气</w:t>
                  </w:r>
                </w:p>
              </w:tc>
            </w:tr>
            <w:tr w14:paraId="3C2A429F">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tcBorders>
                    <w:tl2br w:val="nil"/>
                    <w:tr2bl w:val="nil"/>
                  </w:tcBorders>
                  <w:noWrap w:val="0"/>
                  <w:vAlign w:val="center"/>
                </w:tcPr>
                <w:p w14:paraId="092204C2">
                  <w:pPr>
                    <w:spacing w:line="240" w:lineRule="auto"/>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11</w:t>
                  </w:r>
                </w:p>
              </w:tc>
              <w:tc>
                <w:tcPr>
                  <w:tcW w:w="337" w:type="pct"/>
                  <w:vMerge w:val="continue"/>
                  <w:tcBorders>
                    <w:tl2br w:val="nil"/>
                    <w:tr2bl w:val="nil"/>
                  </w:tcBorders>
                  <w:noWrap w:val="0"/>
                  <w:vAlign w:val="center"/>
                </w:tcPr>
                <w:p w14:paraId="500D9E4D">
                  <w:pPr>
                    <w:spacing w:line="240" w:lineRule="auto"/>
                    <w:jc w:val="center"/>
                    <w:rPr>
                      <w:rFonts w:hint="eastAsia" w:ascii="Times New Roman" w:hAnsi="Times New Roman" w:eastAsia="仿宋" w:cs="Times New Roman"/>
                      <w:color w:val="auto"/>
                      <w:kern w:val="0"/>
                      <w:sz w:val="21"/>
                      <w:szCs w:val="21"/>
                      <w:lang w:val="en-US" w:eastAsia="zh-CN"/>
                    </w:rPr>
                  </w:pPr>
                </w:p>
              </w:tc>
              <w:tc>
                <w:tcPr>
                  <w:tcW w:w="1303" w:type="pct"/>
                  <w:tcBorders>
                    <w:tl2br w:val="nil"/>
                    <w:tr2bl w:val="nil"/>
                  </w:tcBorders>
                  <w:noWrap w:val="0"/>
                  <w:vAlign w:val="center"/>
                </w:tcPr>
                <w:p w14:paraId="1267CF5C">
                  <w:pPr>
                    <w:spacing w:line="240" w:lineRule="auto"/>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布袋除尘装置</w:t>
                  </w:r>
                </w:p>
              </w:tc>
              <w:tc>
                <w:tcPr>
                  <w:tcW w:w="950" w:type="pct"/>
                  <w:tcBorders>
                    <w:tl2br w:val="nil"/>
                    <w:tr2bl w:val="nil"/>
                  </w:tcBorders>
                  <w:shd w:val="clear" w:color="auto" w:fill="auto"/>
                  <w:noWrap w:val="0"/>
                  <w:vAlign w:val="center"/>
                </w:tcPr>
                <w:p w14:paraId="27B82864">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lang w:val="en-US" w:eastAsia="zh-CN"/>
                    </w:rPr>
                    <w:t>8000m</w:t>
                  </w:r>
                  <w:r>
                    <w:rPr>
                      <w:rFonts w:hint="eastAsia"/>
                      <w:vertAlign w:val="superscript"/>
                      <w:lang w:val="en-US" w:eastAsia="zh-CN"/>
                    </w:rPr>
                    <w:t>3</w:t>
                  </w:r>
                  <w:r>
                    <w:rPr>
                      <w:rFonts w:hint="eastAsia"/>
                      <w:lang w:val="en-US" w:eastAsia="zh-CN"/>
                    </w:rPr>
                    <w:t>/h</w:t>
                  </w:r>
                </w:p>
              </w:tc>
              <w:tc>
                <w:tcPr>
                  <w:tcW w:w="544" w:type="pct"/>
                  <w:tcBorders>
                    <w:right w:val="single" w:color="auto" w:sz="4" w:space="0"/>
                    <w:tl2br w:val="nil"/>
                    <w:tr2bl w:val="nil"/>
                  </w:tcBorders>
                  <w:noWrap w:val="0"/>
                  <w:vAlign w:val="center"/>
                </w:tcPr>
                <w:p w14:paraId="6383C0E2">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466" w:type="pct"/>
                  <w:tcBorders>
                    <w:left w:val="single" w:color="auto" w:sz="4" w:space="0"/>
                    <w:right w:val="single" w:color="auto" w:sz="4" w:space="0"/>
                    <w:tl2br w:val="nil"/>
                    <w:tr2bl w:val="nil"/>
                  </w:tcBorders>
                  <w:noWrap w:val="0"/>
                  <w:vAlign w:val="center"/>
                </w:tcPr>
                <w:p w14:paraId="50641A90">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w:t>
                  </w:r>
                </w:p>
              </w:tc>
              <w:tc>
                <w:tcPr>
                  <w:tcW w:w="459" w:type="pct"/>
                  <w:tcBorders>
                    <w:left w:val="single" w:color="auto" w:sz="4" w:space="0"/>
                    <w:tl2br w:val="nil"/>
                    <w:tr2bl w:val="nil"/>
                  </w:tcBorders>
                  <w:noWrap w:val="0"/>
                  <w:vAlign w:val="center"/>
                </w:tcPr>
                <w:p w14:paraId="6DE5D36E">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+1</w:t>
                  </w:r>
                </w:p>
              </w:tc>
              <w:tc>
                <w:tcPr>
                  <w:tcW w:w="607" w:type="pct"/>
                  <w:tcBorders>
                    <w:tl2br w:val="nil"/>
                    <w:tr2bl w:val="nil"/>
                  </w:tcBorders>
                  <w:noWrap w:val="0"/>
                  <w:vAlign w:val="center"/>
                </w:tcPr>
                <w:p w14:paraId="4708A86B">
                  <w:pPr>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处理植绒废气</w:t>
                  </w:r>
                </w:p>
              </w:tc>
            </w:tr>
            <w:tr w14:paraId="6ACDF1C1">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23" w:hRule="atLeast"/>
                <w:jc w:val="center"/>
              </w:trPr>
              <w:tc>
                <w:tcPr>
                  <w:tcW w:w="331" w:type="pct"/>
                  <w:tcBorders>
                    <w:tl2br w:val="nil"/>
                    <w:tr2bl w:val="nil"/>
                  </w:tcBorders>
                  <w:noWrap w:val="0"/>
                  <w:vAlign w:val="center"/>
                </w:tcPr>
                <w:p w14:paraId="3A846E22">
                  <w:pPr>
                    <w:spacing w:line="240" w:lineRule="auto"/>
                    <w:jc w:val="center"/>
                    <w:rPr>
                      <w:rFonts w:hint="default" w:ascii="Times New Roman" w:hAnsi="Times New Roman" w:eastAsia="仿宋" w:cs="Times New Roman"/>
                      <w:color w:val="auto"/>
                      <w:kern w:val="0"/>
                      <w:sz w:val="21"/>
                      <w:szCs w:val="21"/>
                      <w:lang w:val="en-US" w:eastAsia="zh-CN"/>
                    </w:rPr>
                  </w:pPr>
                  <w:r>
                    <w:rPr>
                      <w:rFonts w:hint="eastAsia" w:eastAsia="仿宋" w:cs="Times New Roman"/>
                      <w:color w:val="auto"/>
                      <w:kern w:val="0"/>
                      <w:sz w:val="21"/>
                      <w:szCs w:val="21"/>
                      <w:lang w:val="en-US" w:eastAsia="zh-CN"/>
                    </w:rPr>
                    <w:t>12</w:t>
                  </w:r>
                </w:p>
              </w:tc>
              <w:tc>
                <w:tcPr>
                  <w:tcW w:w="337" w:type="pct"/>
                  <w:vMerge w:val="continue"/>
                  <w:tcBorders>
                    <w:tl2br w:val="nil"/>
                    <w:tr2bl w:val="nil"/>
                  </w:tcBorders>
                  <w:noWrap w:val="0"/>
                  <w:vAlign w:val="center"/>
                </w:tcPr>
                <w:p w14:paraId="056291EB">
                  <w:pPr>
                    <w:spacing w:line="240" w:lineRule="auto"/>
                    <w:jc w:val="center"/>
                    <w:rPr>
                      <w:rFonts w:hint="eastAsia" w:ascii="Times New Roman" w:hAnsi="Times New Roman" w:eastAsia="仿宋" w:cs="Times New Roman"/>
                      <w:color w:val="auto"/>
                      <w:kern w:val="0"/>
                      <w:sz w:val="21"/>
                      <w:szCs w:val="21"/>
                      <w:lang w:val="en-US" w:eastAsia="zh-CN"/>
                    </w:rPr>
                  </w:pPr>
                </w:p>
              </w:tc>
              <w:tc>
                <w:tcPr>
                  <w:tcW w:w="1303" w:type="pct"/>
                  <w:tcBorders>
                    <w:tl2br w:val="nil"/>
                    <w:tr2bl w:val="nil"/>
                  </w:tcBorders>
                  <w:noWrap w:val="0"/>
                  <w:vAlign w:val="center"/>
                </w:tcPr>
                <w:p w14:paraId="7777A47D">
                  <w:pPr>
                    <w:spacing w:line="240" w:lineRule="auto"/>
                    <w:jc w:val="center"/>
                    <w:rPr>
                      <w:rFonts w:hint="default" w:ascii="Times New Roman" w:hAnsi="Times New Roman" w:eastAsia="仿宋" w:cs="Times New Roman"/>
                      <w:color w:val="0000FF"/>
                      <w:kern w:val="0"/>
                      <w:sz w:val="21"/>
                      <w:szCs w:val="21"/>
                      <w:lang w:val="en-US" w:eastAsia="zh-CN"/>
                    </w:rPr>
                  </w:pPr>
                  <w:r>
                    <w:rPr>
                      <w:rFonts w:hint="eastAsia" w:eastAsia="仿宋" w:cs="Times New Roman"/>
                      <w:color w:val="0000FF"/>
                      <w:kern w:val="0"/>
                      <w:sz w:val="21"/>
                      <w:szCs w:val="21"/>
                      <w:lang w:val="en-US" w:eastAsia="zh-CN"/>
                    </w:rPr>
                    <w:t>水旋除尘器</w:t>
                  </w:r>
                </w:p>
              </w:tc>
              <w:tc>
                <w:tcPr>
                  <w:tcW w:w="950" w:type="pct"/>
                  <w:tcBorders>
                    <w:tl2br w:val="nil"/>
                    <w:tr2bl w:val="nil"/>
                  </w:tcBorders>
                  <w:shd w:val="clear" w:color="auto" w:fill="auto"/>
                  <w:noWrap w:val="0"/>
                  <w:vAlign w:val="center"/>
                </w:tcPr>
                <w:p w14:paraId="51467FDB">
                  <w:pPr>
                    <w:widowControl/>
                    <w:adjustRightInd w:val="0"/>
                    <w:snapToGrid w:val="0"/>
                    <w:spacing w:line="240" w:lineRule="auto"/>
                    <w:ind w:firstLine="0" w:firstLineChars="0"/>
                    <w:jc w:val="center"/>
                    <w:textAlignment w:val="center"/>
                    <w:rPr>
                      <w:rFonts w:hint="eastAsia"/>
                      <w:color w:val="0000FF"/>
                      <w:lang w:val="en-US" w:eastAsia="zh-CN"/>
                    </w:rPr>
                  </w:pPr>
                  <w:r>
                    <w:rPr>
                      <w:rFonts w:hint="eastAsia" w:eastAsia="仿宋" w:cs="Times New Roman"/>
                      <w:color w:val="0000FF"/>
                      <w:kern w:val="0"/>
                      <w:sz w:val="21"/>
                      <w:szCs w:val="21"/>
                      <w:lang w:val="en-US" w:eastAsia="zh-CN"/>
                    </w:rPr>
                    <w:t>单台30</w:t>
                  </w:r>
                  <w:r>
                    <w:rPr>
                      <w:rFonts w:hint="eastAsia"/>
                      <w:color w:val="0000FF"/>
                      <w:lang w:val="en-US" w:eastAsia="zh-CN"/>
                    </w:rPr>
                    <w:t>00m</w:t>
                  </w:r>
                  <w:r>
                    <w:rPr>
                      <w:rFonts w:hint="eastAsia"/>
                      <w:color w:val="0000FF"/>
                      <w:vertAlign w:val="superscript"/>
                      <w:lang w:val="en-US" w:eastAsia="zh-CN"/>
                    </w:rPr>
                    <w:t>3</w:t>
                  </w:r>
                  <w:r>
                    <w:rPr>
                      <w:rFonts w:hint="eastAsia"/>
                      <w:color w:val="0000FF"/>
                      <w:lang w:val="en-US" w:eastAsia="zh-CN"/>
                    </w:rPr>
                    <w:t>/h</w:t>
                  </w:r>
                </w:p>
              </w:tc>
              <w:tc>
                <w:tcPr>
                  <w:tcW w:w="544" w:type="pct"/>
                  <w:tcBorders>
                    <w:right w:val="single" w:color="auto" w:sz="4" w:space="0"/>
                    <w:tl2br w:val="nil"/>
                    <w:tr2bl w:val="nil"/>
                  </w:tcBorders>
                  <w:shd w:val="clear" w:color="auto" w:fill="auto"/>
                  <w:noWrap w:val="0"/>
                  <w:vAlign w:val="center"/>
                </w:tcPr>
                <w:p w14:paraId="5277A6DD">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0000FF"/>
                      <w:kern w:val="2"/>
                      <w:sz w:val="21"/>
                      <w:szCs w:val="21"/>
                      <w:highlight w:val="none"/>
                      <w:lang w:val="en-US" w:eastAsia="zh-CN" w:bidi="ar-SA"/>
                    </w:rPr>
                  </w:pPr>
                  <w:r>
                    <w:rPr>
                      <w:rFonts w:hint="default" w:ascii="Times New Roman" w:hAnsi="Times New Roman" w:eastAsia="仿宋" w:cs="Times New Roman"/>
                      <w:color w:val="0000FF"/>
                      <w:sz w:val="21"/>
                      <w:szCs w:val="21"/>
                      <w:highlight w:val="none"/>
                      <w:lang w:val="en-US" w:eastAsia="zh-CN"/>
                    </w:rPr>
                    <w:t>0</w:t>
                  </w:r>
                </w:p>
              </w:tc>
              <w:tc>
                <w:tcPr>
                  <w:tcW w:w="466" w:type="pct"/>
                  <w:tcBorders>
                    <w:left w:val="single" w:color="auto" w:sz="4" w:space="0"/>
                    <w:right w:val="single" w:color="auto" w:sz="4" w:space="0"/>
                    <w:tl2br w:val="nil"/>
                    <w:tr2bl w:val="nil"/>
                  </w:tcBorders>
                  <w:shd w:val="clear" w:color="auto" w:fill="auto"/>
                  <w:noWrap w:val="0"/>
                  <w:vAlign w:val="center"/>
                </w:tcPr>
                <w:p w14:paraId="31B243F6">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0000FF"/>
                      <w:kern w:val="2"/>
                      <w:sz w:val="21"/>
                      <w:szCs w:val="21"/>
                      <w:highlight w:val="none"/>
                      <w:lang w:val="en-US" w:eastAsia="zh-CN" w:bidi="ar-SA"/>
                    </w:rPr>
                  </w:pPr>
                  <w:r>
                    <w:rPr>
                      <w:rFonts w:hint="eastAsia" w:eastAsia="仿宋" w:cs="Times New Roman"/>
                      <w:color w:val="0000FF"/>
                      <w:sz w:val="21"/>
                      <w:szCs w:val="21"/>
                      <w:highlight w:val="none"/>
                      <w:lang w:val="en-US" w:eastAsia="zh-CN"/>
                    </w:rPr>
                    <w:t>2</w:t>
                  </w:r>
                </w:p>
              </w:tc>
              <w:tc>
                <w:tcPr>
                  <w:tcW w:w="459" w:type="pct"/>
                  <w:tcBorders>
                    <w:left w:val="single" w:color="auto" w:sz="4" w:space="0"/>
                    <w:tl2br w:val="nil"/>
                    <w:tr2bl w:val="nil"/>
                  </w:tcBorders>
                  <w:shd w:val="clear" w:color="auto" w:fill="auto"/>
                  <w:noWrap w:val="0"/>
                  <w:vAlign w:val="center"/>
                </w:tcPr>
                <w:p w14:paraId="2343093E">
                  <w:pPr>
                    <w:widowControl/>
                    <w:adjustRightInd w:val="0"/>
                    <w:snapToGrid w:val="0"/>
                    <w:spacing w:line="240" w:lineRule="auto"/>
                    <w:ind w:firstLine="0" w:firstLineChars="0"/>
                    <w:jc w:val="center"/>
                    <w:textAlignment w:val="center"/>
                    <w:rPr>
                      <w:rFonts w:hint="eastAsia" w:ascii="Times New Roman" w:hAnsi="Times New Roman" w:eastAsia="仿宋" w:cs="Times New Roman"/>
                      <w:color w:val="0000FF"/>
                      <w:kern w:val="2"/>
                      <w:sz w:val="21"/>
                      <w:szCs w:val="21"/>
                      <w:highlight w:val="none"/>
                      <w:lang w:val="en-US" w:eastAsia="zh-CN" w:bidi="ar-SA"/>
                    </w:rPr>
                  </w:pPr>
                  <w:r>
                    <w:rPr>
                      <w:rFonts w:hint="eastAsia" w:eastAsia="仿宋" w:cs="Times New Roman"/>
                      <w:color w:val="0000FF"/>
                      <w:sz w:val="21"/>
                      <w:szCs w:val="21"/>
                      <w:highlight w:val="none"/>
                      <w:lang w:val="en-US" w:eastAsia="zh-CN"/>
                    </w:rPr>
                    <w:t>+2</w:t>
                  </w:r>
                </w:p>
              </w:tc>
              <w:tc>
                <w:tcPr>
                  <w:tcW w:w="607" w:type="pct"/>
                  <w:tcBorders>
                    <w:tl2br w:val="nil"/>
                    <w:tr2bl w:val="nil"/>
                  </w:tcBorders>
                  <w:noWrap w:val="0"/>
                  <w:vAlign w:val="center"/>
                </w:tcPr>
                <w:p w14:paraId="61E97DAC">
                  <w:pPr>
                    <w:jc w:val="center"/>
                    <w:rPr>
                      <w:rFonts w:hint="eastAsia" w:eastAsia="仿宋" w:cs="Times New Roman"/>
                      <w:color w:val="0000FF"/>
                      <w:sz w:val="21"/>
                      <w:szCs w:val="21"/>
                      <w:lang w:val="en-US" w:eastAsia="zh-CN"/>
                    </w:rPr>
                  </w:pPr>
                  <w:r>
                    <w:rPr>
                      <w:rFonts w:hint="eastAsia" w:eastAsia="仿宋" w:cs="Times New Roman"/>
                      <w:color w:val="0000FF"/>
                      <w:sz w:val="21"/>
                      <w:szCs w:val="21"/>
                      <w:lang w:val="en-US" w:eastAsia="zh-CN"/>
                    </w:rPr>
                    <w:t>处理筛毛废气</w:t>
                  </w:r>
                </w:p>
              </w:tc>
            </w:tr>
          </w:tbl>
          <w:p w14:paraId="7F170001">
            <w:pPr>
              <w:keepNext w:val="0"/>
              <w:keepLines w:val="0"/>
              <w:pageBreakBefore w:val="0"/>
              <w:widowControl w:val="0"/>
              <w:kinsoku/>
              <w:wordWrap/>
              <w:overflowPunct/>
              <w:topLinePunct w:val="0"/>
              <w:autoSpaceDE/>
              <w:autoSpaceDN/>
              <w:bidi w:val="0"/>
              <w:adjustRightInd w:val="0"/>
              <w:snapToGrid w:val="0"/>
              <w:spacing w:line="240" w:lineRule="auto"/>
              <w:ind w:firstLine="200" w:firstLineChars="200"/>
              <w:jc w:val="left"/>
              <w:textAlignment w:val="auto"/>
              <w:rPr>
                <w:rFonts w:hint="default" w:ascii="Times New Roman" w:hAnsi="Times New Roman" w:eastAsia="仿宋" w:cs="Times New Roman"/>
                <w:bCs/>
                <w:color w:val="auto"/>
                <w:sz w:val="10"/>
                <w:szCs w:val="10"/>
                <w:highlight w:val="none"/>
              </w:rPr>
            </w:pPr>
          </w:p>
          <w:p w14:paraId="13E15A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highlight w:val="none"/>
              </w:rPr>
            </w:pPr>
            <w:r>
              <w:rPr>
                <w:rFonts w:hint="eastAsia" w:eastAsia="仿宋" w:cs="Times New Roman"/>
                <w:bCs/>
                <w:color w:val="auto"/>
                <w:sz w:val="24"/>
                <w:highlight w:val="none"/>
                <w:lang w:val="en-US" w:eastAsia="zh-CN"/>
              </w:rPr>
              <w:t>4</w:t>
            </w:r>
            <w:r>
              <w:rPr>
                <w:rFonts w:hint="default" w:ascii="Times New Roman" w:hAnsi="Times New Roman" w:eastAsia="仿宋" w:cs="Times New Roman"/>
                <w:bCs/>
                <w:color w:val="auto"/>
                <w:sz w:val="24"/>
                <w:highlight w:val="none"/>
              </w:rPr>
              <w:t>、厂区周边环境及平面布局</w:t>
            </w:r>
          </w:p>
          <w:p w14:paraId="5FAE05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（1）周边环境概况</w:t>
            </w:r>
          </w:p>
          <w:p w14:paraId="4E1D30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本项目位于</w:t>
            </w:r>
            <w:r>
              <w:rPr>
                <w:rFonts w:hint="default" w:ascii="Times New Roman" w:hAnsi="Times New Roman" w:eastAsia="仿宋" w:cs="Times New Roman"/>
                <w:bCs/>
                <w:color w:val="auto"/>
                <w:sz w:val="24"/>
                <w:highlight w:val="none"/>
                <w:lang w:eastAsia="zh-CN"/>
              </w:rPr>
              <w:t>江苏省金坛经济开发区盐港东路39号8幢6号（常州金博通众创园内）</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eastAsia="zh-CN"/>
              </w:rPr>
              <w:t>常州金博通众创园</w:t>
            </w:r>
            <w:r>
              <w:rPr>
                <w:rFonts w:hint="default" w:ascii="Times New Roman" w:hAnsi="Times New Roman" w:eastAsia="仿宋" w:cs="Times New Roman"/>
                <w:bCs/>
                <w:color w:val="auto"/>
                <w:sz w:val="24"/>
                <w:highlight w:val="none"/>
              </w:rPr>
              <w:t>东侧为江苏东宝印染有限公司；西侧为建材路，隔路为江苏省兴荣兆邦金属股份有限公司和</w:t>
            </w:r>
            <w:r>
              <w:rPr>
                <w:rFonts w:hint="default" w:ascii="Times New Roman" w:hAnsi="Times New Roman" w:eastAsia="仿宋" w:cs="Times New Roman"/>
                <w:bCs/>
                <w:color w:val="auto"/>
                <w:sz w:val="24"/>
                <w:highlight w:val="none"/>
                <w:lang w:val="en-US" w:eastAsia="zh-CN"/>
              </w:rPr>
              <w:t>江苏百洋实业有限公司</w:t>
            </w:r>
            <w:r>
              <w:rPr>
                <w:rFonts w:hint="default" w:ascii="Times New Roman" w:hAnsi="Times New Roman" w:eastAsia="仿宋" w:cs="Times New Roman"/>
                <w:bCs/>
                <w:color w:val="auto"/>
                <w:sz w:val="24"/>
                <w:highlight w:val="none"/>
              </w:rPr>
              <w:t>；南侧为盐港路</w:t>
            </w:r>
            <w:r>
              <w:rPr>
                <w:rFonts w:hint="eastAsia" w:eastAsia="仿宋" w:cs="Times New Roman"/>
                <w:bCs/>
                <w:color w:val="auto"/>
                <w:sz w:val="24"/>
                <w:highlight w:val="none"/>
                <w:lang w:eastAsia="zh-CN"/>
              </w:rPr>
              <w:t>、</w:t>
            </w:r>
            <w:r>
              <w:rPr>
                <w:rFonts w:hint="eastAsia" w:eastAsia="仿宋" w:cs="Times New Roman"/>
                <w:bCs/>
                <w:color w:val="auto"/>
                <w:sz w:val="24"/>
                <w:highlight w:val="none"/>
                <w:lang w:val="en-US" w:eastAsia="zh-CN"/>
              </w:rPr>
              <w:t>小拓荡河</w:t>
            </w:r>
            <w:r>
              <w:rPr>
                <w:rFonts w:hint="default" w:ascii="Times New Roman" w:hAnsi="Times New Roman" w:eastAsia="仿宋" w:cs="Times New Roman"/>
                <w:bCs/>
                <w:color w:val="auto"/>
                <w:sz w:val="24"/>
                <w:highlight w:val="none"/>
              </w:rPr>
              <w:t>，隔路为空地（规划为工业用地）和常州市金坛区润辉羊毛碳化原料有限公司；北侧为</w:t>
            </w:r>
            <w:r>
              <w:rPr>
                <w:rFonts w:hint="default" w:ascii="Times New Roman" w:hAnsi="Times New Roman" w:eastAsia="仿宋" w:cs="Times New Roman"/>
                <w:bCs/>
                <w:color w:val="auto"/>
                <w:sz w:val="24"/>
                <w:highlight w:val="none"/>
                <w:lang w:val="en-US" w:eastAsia="zh-CN"/>
              </w:rPr>
              <w:t>江苏晶久微电子材料有限公司</w:t>
            </w:r>
            <w:r>
              <w:rPr>
                <w:rFonts w:hint="default" w:ascii="Times New Roman" w:hAnsi="Times New Roman" w:eastAsia="仿宋" w:cs="Times New Roman"/>
                <w:bCs/>
                <w:color w:val="auto"/>
                <w:sz w:val="24"/>
                <w:highlight w:val="none"/>
              </w:rPr>
              <w:t>。本项目周边500米范围内具体用地现状见附图2。</w:t>
            </w:r>
          </w:p>
          <w:p w14:paraId="0418FB97">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（2）厂区平面布局</w:t>
            </w:r>
          </w:p>
          <w:p w14:paraId="4D563EEC">
            <w:pPr>
              <w:widowControl/>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本项目位于</w:t>
            </w:r>
            <w:r>
              <w:rPr>
                <w:rFonts w:hint="default" w:ascii="Times New Roman" w:hAnsi="Times New Roman" w:eastAsia="仿宋" w:cs="Times New Roman"/>
                <w:bCs/>
                <w:color w:val="auto"/>
                <w:sz w:val="24"/>
                <w:highlight w:val="none"/>
                <w:lang w:eastAsia="zh-CN"/>
              </w:rPr>
              <w:t>江苏省金坛经济开发区盐港东路39号8幢6号（常州金博通众创园内）</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购置现有厂房D6</w:t>
            </w:r>
            <w:r>
              <w:rPr>
                <w:rFonts w:hint="default" w:ascii="Times New Roman" w:hAnsi="Times New Roman" w:eastAsia="仿宋" w:cs="Times New Roman"/>
                <w:bCs/>
                <w:color w:val="auto"/>
                <w:sz w:val="24"/>
                <w:highlight w:val="none"/>
                <w:lang w:eastAsia="zh-CN"/>
              </w:rPr>
              <w:t>从事唇刷的生产。</w:t>
            </w:r>
            <w:r>
              <w:rPr>
                <w:rFonts w:hint="default" w:ascii="Times New Roman" w:hAnsi="Times New Roman" w:eastAsia="仿宋" w:cs="Times New Roman"/>
                <w:bCs/>
                <w:color w:val="auto"/>
                <w:sz w:val="24"/>
                <w:highlight w:val="none"/>
                <w:lang w:val="en-US" w:eastAsia="zh-CN"/>
              </w:rPr>
              <w:t>D6车间共两层，一层为生产车间，二层为仓库</w:t>
            </w:r>
            <w:r>
              <w:rPr>
                <w:rFonts w:hint="eastAsia" w:eastAsia="仿宋" w:cs="Times New Roman"/>
                <w:bCs/>
                <w:color w:val="auto"/>
                <w:sz w:val="24"/>
                <w:highlight w:val="none"/>
                <w:lang w:val="en-US" w:eastAsia="zh-CN"/>
              </w:rPr>
              <w:t>。</w:t>
            </w:r>
            <w:r>
              <w:rPr>
                <w:rFonts w:hint="eastAsia" w:ascii="Times New Roman" w:hAnsi="Times New Roman" w:eastAsia="仿宋" w:cs="Times New Roman"/>
                <w:bCs/>
                <w:color w:val="auto"/>
                <w:sz w:val="24"/>
                <w:highlight w:val="none"/>
                <w:lang w:val="en-US" w:eastAsia="zh-CN"/>
              </w:rPr>
              <w:t>其中</w:t>
            </w:r>
            <w:r>
              <w:rPr>
                <w:rFonts w:hint="default" w:ascii="Times New Roman" w:hAnsi="Times New Roman" w:eastAsia="仿宋" w:cs="Times New Roman"/>
                <w:bCs/>
                <w:color w:val="auto"/>
                <w:sz w:val="24"/>
                <w:highlight w:val="none"/>
                <w:lang w:val="en-US" w:eastAsia="zh-CN"/>
              </w:rPr>
              <w:t>一层</w:t>
            </w:r>
            <w:r>
              <w:rPr>
                <w:rFonts w:hint="eastAsia" w:ascii="Times New Roman" w:hAnsi="Times New Roman" w:eastAsia="仿宋" w:cs="Times New Roman"/>
                <w:bCs/>
                <w:color w:val="auto"/>
                <w:sz w:val="24"/>
                <w:highlight w:val="none"/>
                <w:lang w:val="en-US" w:eastAsia="zh-CN"/>
              </w:rPr>
              <w:t>生产车间</w:t>
            </w:r>
            <w:r>
              <w:rPr>
                <w:rFonts w:hint="default" w:ascii="Times New Roman" w:hAnsi="Times New Roman" w:eastAsia="仿宋" w:cs="Times New Roman"/>
                <w:bCs/>
                <w:color w:val="auto"/>
                <w:sz w:val="24"/>
                <w:highlight w:val="none"/>
                <w:lang w:val="en-US" w:eastAsia="zh-CN"/>
              </w:rPr>
              <w:t>从西到东、</w:t>
            </w:r>
            <w:r>
              <w:rPr>
                <w:rFonts w:hint="default" w:ascii="Times New Roman" w:hAnsi="Times New Roman" w:eastAsia="仿宋" w:cs="Times New Roman"/>
                <w:bCs/>
                <w:sz w:val="24"/>
                <w:lang w:val="en-US" w:eastAsia="zh-CN"/>
              </w:rPr>
              <w:t>由北到南依次为破碎机、注塑机、烘箱、</w:t>
            </w:r>
            <w:r>
              <w:rPr>
                <w:rFonts w:hint="eastAsia" w:ascii="Times New Roman" w:hAnsi="Times New Roman" w:eastAsia="仿宋" w:cs="Times New Roman"/>
                <w:bCs/>
                <w:sz w:val="24"/>
                <w:lang w:val="en-US" w:eastAsia="zh-CN"/>
              </w:rPr>
              <w:t>办公区、</w:t>
            </w:r>
            <w:r>
              <w:rPr>
                <w:rFonts w:hint="default" w:ascii="Times New Roman" w:hAnsi="Times New Roman" w:eastAsia="仿宋" w:cs="Times New Roman"/>
                <w:bCs/>
                <w:sz w:val="24"/>
                <w:lang w:val="en-US" w:eastAsia="zh-CN"/>
              </w:rPr>
              <w:t>拌料机、植绒机、筛毛机</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空压机</w:t>
            </w:r>
            <w:r>
              <w:rPr>
                <w:rFonts w:hint="eastAsia"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lang w:val="en-US" w:eastAsia="zh-CN"/>
              </w:rPr>
              <w:t>冷却塔</w:t>
            </w:r>
            <w:r>
              <w:rPr>
                <w:rFonts w:hint="eastAsia" w:eastAsia="仿宋" w:cs="Times New Roman"/>
                <w:bCs/>
                <w:color w:val="auto"/>
                <w:sz w:val="24"/>
                <w:highlight w:val="none"/>
                <w:lang w:val="en-US" w:eastAsia="zh-CN"/>
              </w:rPr>
              <w:t>（依托现有）</w:t>
            </w:r>
            <w:r>
              <w:rPr>
                <w:rFonts w:hint="default" w:ascii="Times New Roman" w:hAnsi="Times New Roman" w:eastAsia="仿宋" w:cs="Times New Roman"/>
                <w:bCs/>
                <w:color w:val="auto"/>
                <w:sz w:val="24"/>
                <w:highlight w:val="none"/>
                <w:lang w:val="en-US" w:eastAsia="zh-CN"/>
              </w:rPr>
              <w:t>位于D7车间和D6车间中间，废气处理设施分布在D6车间楼顶。</w:t>
            </w:r>
            <w:r>
              <w:rPr>
                <w:rFonts w:hint="default" w:ascii="Times New Roman" w:hAnsi="Times New Roman" w:eastAsia="仿宋" w:cs="Times New Roman"/>
                <w:bCs/>
                <w:color w:val="auto"/>
                <w:sz w:val="24"/>
                <w:highlight w:val="none"/>
              </w:rPr>
              <w:t>本项目</w:t>
            </w:r>
            <w:r>
              <w:rPr>
                <w:rFonts w:hint="eastAsia" w:eastAsia="仿宋" w:cs="Times New Roman"/>
                <w:bCs/>
                <w:color w:val="auto"/>
                <w:sz w:val="24"/>
                <w:highlight w:val="none"/>
                <w:lang w:val="en-US" w:eastAsia="zh-CN"/>
              </w:rPr>
              <w:t>车间</w:t>
            </w:r>
            <w:r>
              <w:rPr>
                <w:rFonts w:hint="default" w:ascii="Times New Roman" w:hAnsi="Times New Roman" w:eastAsia="仿宋" w:cs="Times New Roman"/>
                <w:bCs/>
                <w:color w:val="auto"/>
                <w:sz w:val="24"/>
                <w:highlight w:val="none"/>
              </w:rPr>
              <w:t>平面布置情况具体见附图3。</w:t>
            </w:r>
          </w:p>
          <w:p w14:paraId="643A0D5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eastAsia" w:eastAsia="仿宋" w:cs="Times New Roman"/>
                <w:bCs/>
                <w:color w:val="auto"/>
                <w:sz w:val="24"/>
                <w:highlight w:val="none"/>
                <w:lang w:val="en-US" w:eastAsia="zh-CN"/>
              </w:rPr>
              <w:t>5</w:t>
            </w:r>
            <w:r>
              <w:rPr>
                <w:rFonts w:hint="default" w:ascii="Times New Roman" w:hAnsi="Times New Roman" w:eastAsia="仿宋" w:cs="Times New Roman"/>
                <w:bCs/>
                <w:color w:val="auto"/>
                <w:sz w:val="24"/>
                <w:highlight w:val="none"/>
              </w:rPr>
              <w:t>、职工人数、工作制度</w:t>
            </w:r>
          </w:p>
          <w:p w14:paraId="05210B5C">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eastAsia="zh-CN"/>
              </w:rPr>
            </w:pP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新增员工8人</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sz w:val="24"/>
                <w:lang w:val="en-US" w:eastAsia="zh-CN"/>
              </w:rPr>
              <w:t>扩建后全厂工作制度不发生改变</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仍采用两</w:t>
            </w:r>
            <w:r>
              <w:rPr>
                <w:rFonts w:hint="default" w:ascii="Times New Roman" w:hAnsi="Times New Roman" w:eastAsia="仿宋" w:cs="Times New Roman"/>
                <w:bCs/>
                <w:color w:val="auto"/>
                <w:sz w:val="24"/>
                <w:highlight w:val="none"/>
              </w:rPr>
              <w:t>班制，每班12小时，年工作300天，年工作时间按</w:t>
            </w:r>
            <w:r>
              <w:rPr>
                <w:rFonts w:hint="default" w:ascii="Times New Roman" w:hAnsi="Times New Roman" w:eastAsia="仿宋" w:cs="Times New Roman"/>
                <w:bCs/>
                <w:color w:val="auto"/>
                <w:sz w:val="24"/>
                <w:highlight w:val="none"/>
                <w:lang w:val="en-US" w:eastAsia="zh-CN"/>
              </w:rPr>
              <w:t>72</w:t>
            </w:r>
            <w:r>
              <w:rPr>
                <w:rFonts w:hint="default" w:ascii="Times New Roman" w:hAnsi="Times New Roman" w:eastAsia="仿宋" w:cs="Times New Roman"/>
                <w:bCs/>
                <w:color w:val="auto"/>
                <w:sz w:val="24"/>
                <w:highlight w:val="none"/>
              </w:rPr>
              <w:t>00h计。厂区不设食堂、宿舍，员工就餐为外购快餐解决</w:t>
            </w:r>
            <w:r>
              <w:rPr>
                <w:rFonts w:hint="default" w:ascii="Times New Roman" w:hAnsi="Times New Roman" w:eastAsia="仿宋" w:cs="Times New Roman"/>
                <w:bCs/>
                <w:color w:val="auto"/>
                <w:sz w:val="24"/>
                <w:highlight w:val="none"/>
                <w:lang w:eastAsia="zh-CN"/>
              </w:rPr>
              <w:t>。</w:t>
            </w:r>
          </w:p>
          <w:p w14:paraId="3BD7DCEC">
            <w:pPr>
              <w:adjustRightInd w:val="0"/>
              <w:snapToGrid w:val="0"/>
              <w:spacing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二、公辅及环保工程</w:t>
            </w:r>
          </w:p>
          <w:p w14:paraId="4EA3BF2D">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1、公用及辅助工程</w:t>
            </w:r>
          </w:p>
          <w:p w14:paraId="33C5F8EB">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（1）给水</w:t>
            </w:r>
          </w:p>
          <w:p w14:paraId="18B7E322">
            <w:pPr>
              <w:adjustRightInd w:val="0"/>
              <w:snapToGrid w:val="0"/>
              <w:spacing w:line="360" w:lineRule="auto"/>
              <w:ind w:firstLine="480" w:firstLineChars="200"/>
              <w:rPr>
                <w:rFonts w:hint="default" w:ascii="Times New Roman" w:hAnsi="Times New Roman" w:eastAsia="仿宋" w:cs="Times New Roman"/>
                <w:bCs/>
                <w:color w:val="0000FF"/>
                <w:sz w:val="24"/>
                <w:highlight w:val="none"/>
              </w:rPr>
            </w:pPr>
            <w:r>
              <w:rPr>
                <w:rFonts w:hint="eastAsia" w:eastAsia="仿宋" w:cs="Times New Roman"/>
                <w:color w:val="0000FF"/>
                <w:sz w:val="24"/>
                <w:highlight w:val="none"/>
                <w:lang w:val="en-US" w:eastAsia="zh-CN"/>
              </w:rPr>
              <w:t>本项目新增用水量366.82t/a，主要为员工生活用水360t/a、冷却塔补充用水4.8t/a、水旋除尘器用水2.02t/a，本项目建成后全厂自来水用量为1648.72t/a，</w:t>
            </w:r>
            <w:r>
              <w:rPr>
                <w:rFonts w:hint="default" w:ascii="Times New Roman" w:hAnsi="Times New Roman" w:eastAsia="仿宋" w:cs="Times New Roman"/>
                <w:bCs/>
                <w:color w:val="0000FF"/>
                <w:sz w:val="24"/>
                <w:highlight w:val="none"/>
              </w:rPr>
              <w:t>来自当地市政自来水管网</w:t>
            </w:r>
            <w:r>
              <w:rPr>
                <w:rFonts w:hint="default" w:ascii="Times New Roman" w:hAnsi="Times New Roman" w:eastAsia="仿宋" w:cs="Times New Roman"/>
                <w:color w:val="0000FF"/>
                <w:sz w:val="24"/>
                <w:highlight w:val="none"/>
              </w:rPr>
              <w:t>，可满足需求</w:t>
            </w:r>
            <w:r>
              <w:rPr>
                <w:rFonts w:hint="default" w:ascii="Times New Roman" w:hAnsi="Times New Roman" w:eastAsia="仿宋" w:cs="Times New Roman"/>
                <w:bCs/>
                <w:color w:val="0000FF"/>
                <w:sz w:val="24"/>
                <w:highlight w:val="none"/>
              </w:rPr>
              <w:t>。</w:t>
            </w:r>
          </w:p>
          <w:p w14:paraId="767F0589">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（2）排水</w:t>
            </w:r>
          </w:p>
          <w:p w14:paraId="4997A752">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color w:val="auto"/>
                <w:sz w:val="24"/>
                <w:highlight w:val="none"/>
              </w:rPr>
              <w:t>厂区排水实施“雨污分流”，雨水依托</w:t>
            </w:r>
            <w:r>
              <w:rPr>
                <w:rFonts w:hint="default" w:ascii="Times New Roman" w:hAnsi="Times New Roman" w:eastAsia="仿宋" w:cs="Times New Roman"/>
                <w:color w:val="auto"/>
                <w:sz w:val="24"/>
                <w:highlight w:val="none"/>
                <w:lang w:val="en-US" w:eastAsia="zh-CN"/>
              </w:rPr>
              <w:t>园区</w:t>
            </w:r>
            <w:r>
              <w:rPr>
                <w:rFonts w:hint="default" w:ascii="Times New Roman" w:hAnsi="Times New Roman" w:eastAsia="仿宋" w:cs="Times New Roman"/>
                <w:color w:val="auto"/>
                <w:sz w:val="24"/>
                <w:highlight w:val="none"/>
              </w:rPr>
              <w:t>雨水管网收集后，排入当地市政雨水管网，最终</w:t>
            </w:r>
            <w:r>
              <w:rPr>
                <w:rFonts w:hint="default" w:ascii="Times New Roman" w:hAnsi="Times New Roman" w:eastAsia="仿宋" w:cs="Times New Roman"/>
                <w:bCs/>
                <w:color w:val="auto"/>
                <w:sz w:val="24"/>
                <w:highlight w:val="none"/>
                <w:lang w:val="en-US" w:eastAsia="zh-CN"/>
              </w:rPr>
              <w:t>汇入附近河流。</w:t>
            </w:r>
          </w:p>
          <w:p w14:paraId="6628C10A">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bCs/>
                <w:color w:val="auto"/>
                <w:sz w:val="24"/>
                <w:highlight w:val="none"/>
                <w:lang w:val="en-US" w:eastAsia="zh-CN"/>
              </w:rPr>
              <w:t>本项目依托现有冷却塔，冷却用水循环使用不外排，</w:t>
            </w:r>
            <w:r>
              <w:rPr>
                <w:rFonts w:hint="eastAsia" w:ascii="Times New Roman" w:hAnsi="Times New Roman" w:eastAsia="仿宋" w:cs="Times New Roman"/>
                <w:bCs/>
                <w:color w:val="auto"/>
                <w:sz w:val="24"/>
                <w:highlight w:val="none"/>
                <w:lang w:val="en-US" w:eastAsia="zh-CN"/>
              </w:rPr>
              <w:t>仅新增</w:t>
            </w:r>
            <w:r>
              <w:rPr>
                <w:rFonts w:hint="default" w:ascii="Times New Roman" w:hAnsi="Times New Roman" w:eastAsia="仿宋" w:cs="Times New Roman"/>
                <w:bCs/>
                <w:color w:val="auto"/>
                <w:sz w:val="24"/>
                <w:highlight w:val="none"/>
                <w:lang w:val="en-US" w:eastAsia="zh-CN"/>
              </w:rPr>
              <w:t>职工生活污水</w:t>
            </w:r>
            <w:r>
              <w:rPr>
                <w:rFonts w:hint="eastAsia" w:ascii="Times New Roman" w:hAnsi="Times New Roman" w:eastAsia="仿宋" w:cs="Times New Roman"/>
                <w:bCs/>
                <w:color w:val="auto"/>
                <w:sz w:val="24"/>
                <w:highlight w:val="none"/>
                <w:lang w:val="en-US" w:eastAsia="zh-CN"/>
              </w:rPr>
              <w:t>324t/a与现有生活污水1080t/a一并</w:t>
            </w:r>
            <w:r>
              <w:rPr>
                <w:rFonts w:hint="default" w:ascii="Times New Roman" w:hAnsi="Times New Roman" w:eastAsia="仿宋" w:cs="Times New Roman"/>
                <w:bCs/>
                <w:color w:val="auto"/>
                <w:sz w:val="24"/>
                <w:highlight w:val="none"/>
                <w:lang w:val="en-US" w:eastAsia="zh-CN"/>
              </w:rPr>
              <w:t>依托园区现有污水管网，接管排入常州金坛区第二污水处理有限公司集中处理</w:t>
            </w:r>
            <w:r>
              <w:rPr>
                <w:rFonts w:hint="default" w:ascii="Times New Roman" w:hAnsi="Times New Roman" w:eastAsia="仿宋" w:cs="Times New Roman"/>
                <w:color w:val="auto"/>
                <w:sz w:val="24"/>
                <w:highlight w:val="none"/>
              </w:rPr>
              <w:t>。</w:t>
            </w:r>
          </w:p>
          <w:p w14:paraId="4841230A">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（3）供电</w:t>
            </w:r>
          </w:p>
          <w:p w14:paraId="0D3318AC">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本项目用电量约</w:t>
            </w:r>
            <w:r>
              <w:rPr>
                <w:rFonts w:hint="default" w:ascii="Times New Roman" w:hAnsi="Times New Roman" w:eastAsia="仿宋" w:cs="Times New Roman"/>
                <w:color w:val="auto"/>
                <w:sz w:val="24"/>
                <w:highlight w:val="none"/>
                <w:lang w:val="en-US" w:eastAsia="zh-CN"/>
              </w:rPr>
              <w:t>96.12</w:t>
            </w:r>
            <w:r>
              <w:rPr>
                <w:rFonts w:hint="default" w:ascii="Times New Roman" w:hAnsi="Times New Roman" w:eastAsia="仿宋" w:cs="Times New Roman"/>
                <w:color w:val="auto"/>
                <w:sz w:val="24"/>
                <w:highlight w:val="none"/>
              </w:rPr>
              <w:t>万度/年，</w:t>
            </w:r>
            <w:r>
              <w:rPr>
                <w:rFonts w:hint="default" w:ascii="Times New Roman" w:hAnsi="Times New Roman" w:eastAsia="仿宋" w:cs="Times New Roman"/>
                <w:color w:val="auto"/>
                <w:sz w:val="24"/>
                <w:highlight w:val="none"/>
                <w:lang w:val="en-US" w:eastAsia="zh-CN"/>
              </w:rPr>
              <w:t>扩建后全厂用电176.12</w:t>
            </w:r>
            <w:r>
              <w:rPr>
                <w:rFonts w:hint="default" w:ascii="Times New Roman" w:hAnsi="Times New Roman" w:eastAsia="仿宋" w:cs="Times New Roman"/>
                <w:color w:val="auto"/>
                <w:sz w:val="24"/>
                <w:highlight w:val="none"/>
              </w:rPr>
              <w:t>万度/年</w:t>
            </w:r>
            <w:r>
              <w:rPr>
                <w:rFonts w:hint="default" w:ascii="Times New Roman" w:hAnsi="Times New Roman" w:eastAsia="仿宋" w:cs="Times New Roman"/>
                <w:color w:val="auto"/>
                <w:sz w:val="24"/>
                <w:highlight w:val="none"/>
                <w:lang w:val="en-US" w:eastAsia="zh-CN"/>
              </w:rPr>
              <w:t>，</w:t>
            </w:r>
            <w:r>
              <w:rPr>
                <w:rFonts w:hint="default" w:ascii="Times New Roman" w:hAnsi="Times New Roman" w:eastAsia="仿宋" w:cs="Times New Roman"/>
                <w:color w:val="auto"/>
                <w:sz w:val="24"/>
                <w:highlight w:val="none"/>
              </w:rPr>
              <w:t>由当地市政电网提供，可满足项目需求。</w:t>
            </w:r>
          </w:p>
          <w:p w14:paraId="4967F8F1">
            <w:pPr>
              <w:widowControl/>
              <w:spacing w:line="360" w:lineRule="auto"/>
              <w:ind w:firstLine="480" w:firstLineChars="200"/>
              <w:rPr>
                <w:rFonts w:hint="default" w:ascii="Times New Roman" w:hAnsi="Times New Roman" w:eastAsia="仿宋" w:cs="Times New Roman"/>
                <w:sz w:val="24"/>
                <w:highlight w:val="none"/>
              </w:rPr>
            </w:pPr>
            <w:r>
              <w:rPr>
                <w:rFonts w:hint="default" w:ascii="Times New Roman" w:hAnsi="Times New Roman" w:eastAsia="仿宋" w:cs="Times New Roman"/>
                <w:color w:val="auto"/>
                <w:sz w:val="24"/>
                <w:highlight w:val="none"/>
              </w:rPr>
              <w:t>（4）</w:t>
            </w:r>
            <w:r>
              <w:rPr>
                <w:rFonts w:hint="default" w:ascii="Times New Roman" w:hAnsi="Times New Roman" w:eastAsia="仿宋" w:cs="Times New Roman"/>
                <w:sz w:val="24"/>
                <w:highlight w:val="none"/>
              </w:rPr>
              <w:t>压缩空气</w:t>
            </w:r>
          </w:p>
          <w:p w14:paraId="600A181B">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bCs/>
                <w:sz w:val="24"/>
                <w:lang w:val="en-US" w:eastAsia="zh-CN"/>
              </w:rPr>
              <w:t>本项目依托现有3</w:t>
            </w:r>
            <w:r>
              <w:rPr>
                <w:rFonts w:hint="default" w:ascii="Times New Roman" w:hAnsi="Times New Roman" w:eastAsia="仿宋" w:cs="Times New Roman"/>
                <w:bCs/>
                <w:sz w:val="24"/>
              </w:rPr>
              <w:t>台</w:t>
            </w:r>
            <w:r>
              <w:rPr>
                <w:rFonts w:hint="default" w:ascii="Times New Roman" w:hAnsi="Times New Roman" w:eastAsia="仿宋" w:cs="Times New Roman"/>
                <w:bCs/>
                <w:sz w:val="24"/>
                <w:lang w:val="en-US" w:eastAsia="zh-CN"/>
              </w:rPr>
              <w:t>空压机，单台</w:t>
            </w:r>
            <w:r>
              <w:rPr>
                <w:rFonts w:hint="default" w:ascii="Times New Roman" w:hAnsi="Times New Roman" w:eastAsia="仿宋" w:cs="Times New Roman"/>
                <w:bCs/>
                <w:sz w:val="24"/>
              </w:rPr>
              <w:t>制备能力为</w:t>
            </w:r>
            <w:r>
              <w:rPr>
                <w:rFonts w:hint="default" w:ascii="Times New Roman" w:hAnsi="Times New Roman" w:eastAsia="仿宋" w:cs="Times New Roman"/>
                <w:bCs/>
                <w:sz w:val="24"/>
                <w:lang w:val="en-US" w:eastAsia="zh-CN"/>
              </w:rPr>
              <w:t>19.6Nm</w:t>
            </w:r>
            <w:r>
              <w:rPr>
                <w:rFonts w:hint="default" w:ascii="Times New Roman" w:hAnsi="Times New Roman" w:eastAsia="仿宋" w:cs="Times New Roman"/>
                <w:bCs/>
                <w:sz w:val="24"/>
                <w:vertAlign w:val="superscript"/>
                <w:lang w:val="en-US" w:eastAsia="zh-CN"/>
              </w:rPr>
              <w:t>3</w:t>
            </w:r>
            <w:r>
              <w:rPr>
                <w:rFonts w:hint="default" w:ascii="Times New Roman" w:hAnsi="Times New Roman" w:eastAsia="仿宋" w:cs="Times New Roman"/>
                <w:bCs/>
                <w:sz w:val="24"/>
                <w:lang w:val="en-US" w:eastAsia="zh-CN"/>
              </w:rPr>
              <w:t>/min</w:t>
            </w:r>
            <w:r>
              <w:rPr>
                <w:rFonts w:hint="default" w:ascii="Times New Roman" w:hAnsi="Times New Roman" w:eastAsia="仿宋" w:cs="Times New Roman"/>
                <w:bCs/>
                <w:sz w:val="24"/>
              </w:rPr>
              <w:t>的空压机</w:t>
            </w:r>
            <w:r>
              <w:rPr>
                <w:rFonts w:hint="default" w:ascii="Times New Roman" w:hAnsi="Times New Roman" w:eastAsia="仿宋" w:cs="Times New Roman"/>
                <w:bCs/>
                <w:sz w:val="24"/>
                <w:lang w:eastAsia="zh-CN"/>
              </w:rPr>
              <w:t>，</w:t>
            </w:r>
            <w:r>
              <w:rPr>
                <w:rFonts w:hint="default" w:ascii="Times New Roman" w:hAnsi="Times New Roman" w:eastAsia="仿宋" w:cs="Times New Roman"/>
                <w:bCs/>
                <w:sz w:val="24"/>
                <w:lang w:val="en-US" w:eastAsia="zh-CN"/>
              </w:rPr>
              <w:t>各配置1个6</w:t>
            </w:r>
            <w:r>
              <w:rPr>
                <w:rFonts w:hint="default" w:ascii="Times New Roman" w:hAnsi="Times New Roman" w:eastAsia="仿宋" w:cs="Times New Roman"/>
                <w:bCs/>
                <w:sz w:val="24"/>
              </w:rPr>
              <w:t>m</w:t>
            </w:r>
            <w:r>
              <w:rPr>
                <w:rFonts w:hint="default" w:ascii="Times New Roman" w:hAnsi="Times New Roman" w:eastAsia="仿宋" w:cs="Times New Roman"/>
                <w:bCs/>
                <w:sz w:val="24"/>
                <w:vertAlign w:val="superscript"/>
              </w:rPr>
              <w:t>3</w:t>
            </w:r>
            <w:r>
              <w:rPr>
                <w:rFonts w:hint="default" w:ascii="Times New Roman" w:hAnsi="Times New Roman" w:eastAsia="仿宋" w:cs="Times New Roman"/>
                <w:bCs/>
                <w:sz w:val="24"/>
              </w:rPr>
              <w:t>的</w:t>
            </w:r>
            <w:r>
              <w:rPr>
                <w:rFonts w:hint="default" w:ascii="Times New Roman" w:hAnsi="Times New Roman" w:eastAsia="仿宋" w:cs="Times New Roman"/>
                <w:bCs/>
                <w:sz w:val="24"/>
                <w:lang w:val="en-US" w:eastAsia="zh-CN"/>
              </w:rPr>
              <w:t>储气罐</w:t>
            </w:r>
            <w:r>
              <w:rPr>
                <w:rFonts w:hint="default" w:ascii="Times New Roman" w:hAnsi="Times New Roman" w:eastAsia="仿宋" w:cs="Times New Roman"/>
                <w:bCs/>
                <w:sz w:val="24"/>
              </w:rPr>
              <w:t>，为</w:t>
            </w:r>
            <w:r>
              <w:rPr>
                <w:rFonts w:hint="default" w:ascii="Times New Roman" w:hAnsi="Times New Roman" w:eastAsia="仿宋" w:cs="Times New Roman"/>
                <w:bCs/>
                <w:sz w:val="24"/>
                <w:lang w:val="en-US" w:eastAsia="zh-CN"/>
              </w:rPr>
              <w:t>设备</w:t>
            </w:r>
            <w:r>
              <w:rPr>
                <w:rFonts w:hint="default" w:ascii="Times New Roman" w:hAnsi="Times New Roman" w:eastAsia="仿宋" w:cs="Times New Roman"/>
                <w:bCs/>
                <w:sz w:val="24"/>
              </w:rPr>
              <w:t>提供动力，可满足要求</w:t>
            </w:r>
            <w:r>
              <w:rPr>
                <w:rFonts w:hint="default" w:ascii="Times New Roman" w:hAnsi="Times New Roman" w:eastAsia="仿宋" w:cs="Times New Roman"/>
                <w:color w:val="auto"/>
                <w:sz w:val="24"/>
                <w:highlight w:val="none"/>
              </w:rPr>
              <w:t>。</w:t>
            </w:r>
          </w:p>
          <w:p w14:paraId="7B1E8128">
            <w:pPr>
              <w:tabs>
                <w:tab w:val="left" w:pos="1224"/>
                <w:tab w:val="left" w:pos="1770"/>
              </w:tabs>
              <w:adjustRightInd w:val="0"/>
              <w:snapToGrid w:val="0"/>
              <w:spacing w:line="352" w:lineRule="auto"/>
              <w:ind w:firstLine="480" w:firstLineChars="200"/>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rPr>
              <w:t>（5）</w:t>
            </w:r>
            <w:r>
              <w:rPr>
                <w:rFonts w:hint="default" w:ascii="Times New Roman" w:hAnsi="Times New Roman" w:eastAsia="仿宋" w:cs="Times New Roman"/>
                <w:color w:val="auto"/>
                <w:sz w:val="24"/>
                <w:highlight w:val="none"/>
                <w:lang w:val="en-US" w:eastAsia="zh-CN"/>
              </w:rPr>
              <w:t>冷却塔</w:t>
            </w:r>
          </w:p>
          <w:p w14:paraId="32F1E560">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w:t>
            </w:r>
            <w:r>
              <w:rPr>
                <w:rFonts w:hint="default" w:ascii="Times New Roman" w:hAnsi="Times New Roman" w:eastAsia="仿宋" w:cs="Times New Roman"/>
                <w:color w:val="auto"/>
                <w:sz w:val="24"/>
                <w:highlight w:val="none"/>
                <w:lang w:val="en-US" w:eastAsia="zh-CN"/>
              </w:rPr>
              <w:t>依托现有2台冷却塔为注塑提供冷却水，单台循环量为2m</w:t>
            </w:r>
            <w:r>
              <w:rPr>
                <w:rFonts w:hint="default" w:ascii="Times New Roman" w:hAnsi="Times New Roman" w:eastAsia="仿宋" w:cs="Times New Roman"/>
                <w:color w:val="auto"/>
                <w:sz w:val="24"/>
                <w:highlight w:val="none"/>
                <w:vertAlign w:val="superscript"/>
                <w:lang w:val="en-US" w:eastAsia="zh-CN"/>
              </w:rPr>
              <w:t>3</w:t>
            </w:r>
            <w:r>
              <w:rPr>
                <w:rFonts w:hint="default" w:ascii="Times New Roman" w:hAnsi="Times New Roman" w:eastAsia="仿宋" w:cs="Times New Roman"/>
                <w:color w:val="auto"/>
                <w:sz w:val="24"/>
                <w:highlight w:val="none"/>
                <w:lang w:val="en-US" w:eastAsia="zh-CN"/>
              </w:rPr>
              <w:t>/h</w:t>
            </w:r>
            <w:r>
              <w:rPr>
                <w:rFonts w:hint="default" w:ascii="Times New Roman" w:hAnsi="Times New Roman" w:eastAsia="仿宋" w:cs="Times New Roman"/>
                <w:color w:val="auto"/>
                <w:sz w:val="24"/>
                <w:highlight w:val="none"/>
              </w:rPr>
              <w:t>。</w:t>
            </w:r>
          </w:p>
          <w:p w14:paraId="4A7CC303">
            <w:pPr>
              <w:widowControl/>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rPr>
              <w:t>根据企业生产数据，单台</w:t>
            </w:r>
            <w:r>
              <w:rPr>
                <w:rFonts w:hint="eastAsia" w:eastAsia="仿宋" w:cs="Times New Roman"/>
                <w:color w:val="auto"/>
                <w:sz w:val="24"/>
                <w:highlight w:val="none"/>
                <w:lang w:val="en-US" w:eastAsia="zh-CN"/>
              </w:rPr>
              <w:t>注塑机</w:t>
            </w:r>
            <w:r>
              <w:rPr>
                <w:rFonts w:hint="default" w:ascii="Times New Roman" w:hAnsi="Times New Roman" w:eastAsia="仿宋" w:cs="Times New Roman"/>
                <w:color w:val="auto"/>
                <w:sz w:val="24"/>
                <w:highlight w:val="none"/>
              </w:rPr>
              <w:t>冷却水循环量约为0.2</w:t>
            </w:r>
            <w:r>
              <w:rPr>
                <w:rFonts w:hint="eastAsia"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rPr>
              <w:t>m³/h，则现有</w:t>
            </w:r>
            <w:r>
              <w:rPr>
                <w:rFonts w:hint="eastAsia" w:eastAsia="仿宋" w:cs="Times New Roman"/>
                <w:color w:val="auto"/>
                <w:sz w:val="24"/>
                <w:highlight w:val="none"/>
                <w:lang w:val="en-US" w:eastAsia="zh-CN"/>
              </w:rPr>
              <w:t>项目使用的循环量约为</w:t>
            </w:r>
            <w:r>
              <w:rPr>
                <w:rFonts w:hint="default" w:ascii="Times New Roman" w:hAnsi="Times New Roman" w:eastAsia="仿宋" w:cs="Times New Roman"/>
                <w:color w:val="auto"/>
                <w:sz w:val="24"/>
                <w:highlight w:val="none"/>
              </w:rPr>
              <w:t>15×0.2</w:t>
            </w:r>
            <w:r>
              <w:rPr>
                <w:rFonts w:hint="eastAsia"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rPr>
              <w:t>=3.</w:t>
            </w:r>
            <w:r>
              <w:rPr>
                <w:rFonts w:hint="eastAsia"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rPr>
              <w:t> m³/h</w:t>
            </w:r>
            <w:r>
              <w:rPr>
                <w:rFonts w:hint="eastAsia" w:eastAsia="仿宋" w:cs="Times New Roman"/>
                <w:color w:val="auto"/>
                <w:sz w:val="24"/>
                <w:highlight w:val="none"/>
                <w:lang w:eastAsia="zh-CN"/>
              </w:rPr>
              <w:t>，</w:t>
            </w:r>
            <w:r>
              <w:rPr>
                <w:rFonts w:hint="eastAsia" w:eastAsia="仿宋" w:cs="Times New Roman"/>
                <w:color w:val="auto"/>
                <w:sz w:val="24"/>
                <w:highlight w:val="none"/>
                <w:lang w:val="en-US" w:eastAsia="zh-CN"/>
              </w:rPr>
              <w:t>本项目新增3台注塑机，单台使用的循环量约为</w:t>
            </w:r>
            <w:r>
              <w:rPr>
                <w:rFonts w:hint="default" w:ascii="Times New Roman" w:hAnsi="Times New Roman" w:eastAsia="仿宋" w:cs="Times New Roman"/>
                <w:color w:val="auto"/>
                <w:sz w:val="24"/>
                <w:highlight w:val="none"/>
              </w:rPr>
              <w:t>0.2</w:t>
            </w:r>
            <w:r>
              <w:rPr>
                <w:rFonts w:hint="eastAsia"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rPr>
              <w:t>m³/h</w:t>
            </w:r>
            <w:r>
              <w:rPr>
                <w:rFonts w:hint="eastAsia" w:eastAsia="仿宋" w:cs="Times New Roman"/>
                <w:color w:val="auto"/>
                <w:sz w:val="24"/>
                <w:highlight w:val="none"/>
                <w:lang w:eastAsia="zh-CN"/>
              </w:rPr>
              <w:t>，</w:t>
            </w:r>
            <w:r>
              <w:rPr>
                <w:rFonts w:hint="eastAsia" w:eastAsia="仿宋" w:cs="Times New Roman"/>
                <w:color w:val="auto"/>
                <w:sz w:val="24"/>
                <w:highlight w:val="none"/>
                <w:lang w:val="en-US" w:eastAsia="zh-CN"/>
              </w:rPr>
              <w:t>本项目使用的循环量约为</w:t>
            </w:r>
            <w:r>
              <w:rPr>
                <w:rFonts w:hint="default" w:ascii="Times New Roman" w:hAnsi="Times New Roman" w:eastAsia="仿宋" w:cs="Times New Roman"/>
                <w:color w:val="auto"/>
                <w:sz w:val="24"/>
                <w:highlight w:val="none"/>
              </w:rPr>
              <w:t>0.</w:t>
            </w:r>
            <w:r>
              <w:rPr>
                <w:rFonts w:hint="eastAsia" w:eastAsia="仿宋" w:cs="Times New Roman"/>
                <w:color w:val="auto"/>
                <w:sz w:val="24"/>
                <w:highlight w:val="none"/>
                <w:lang w:val="en-US" w:eastAsia="zh-CN"/>
              </w:rPr>
              <w:t>66</w:t>
            </w:r>
            <w:r>
              <w:rPr>
                <w:rFonts w:hint="default" w:ascii="Times New Roman" w:hAnsi="Times New Roman" w:eastAsia="仿宋" w:cs="Times New Roman"/>
                <w:color w:val="auto"/>
                <w:sz w:val="24"/>
                <w:highlight w:val="none"/>
              </w:rPr>
              <w:t>m³/h</w:t>
            </w:r>
            <w:r>
              <w:rPr>
                <w:rFonts w:hint="eastAsia" w:eastAsia="仿宋" w:cs="Times New Roman"/>
                <w:color w:val="auto"/>
                <w:sz w:val="24"/>
                <w:highlight w:val="none"/>
                <w:lang w:eastAsia="zh-CN"/>
              </w:rPr>
              <w:t>，</w:t>
            </w:r>
            <w:r>
              <w:rPr>
                <w:rFonts w:hint="eastAsia" w:eastAsia="仿宋" w:cs="Times New Roman"/>
                <w:color w:val="auto"/>
                <w:sz w:val="24"/>
                <w:highlight w:val="none"/>
                <w:lang w:val="en-US" w:eastAsia="zh-CN"/>
              </w:rPr>
              <w:t>综上全厂使用的循环量约为3.96</w:t>
            </w:r>
            <w:r>
              <w:rPr>
                <w:rFonts w:hint="default" w:ascii="Times New Roman" w:hAnsi="Times New Roman" w:eastAsia="仿宋" w:cs="Times New Roman"/>
                <w:color w:val="auto"/>
                <w:sz w:val="24"/>
                <w:highlight w:val="none"/>
              </w:rPr>
              <w:t>m³/h</w:t>
            </w:r>
            <w:r>
              <w:rPr>
                <w:rFonts w:hint="eastAsia" w:eastAsia="仿宋" w:cs="Times New Roman"/>
                <w:color w:val="auto"/>
                <w:sz w:val="24"/>
                <w:highlight w:val="none"/>
                <w:lang w:eastAsia="zh-CN"/>
              </w:rPr>
              <w:t>，</w:t>
            </w:r>
            <w:r>
              <w:rPr>
                <w:rFonts w:hint="eastAsia" w:eastAsia="仿宋" w:cs="Times New Roman"/>
                <w:color w:val="auto"/>
                <w:sz w:val="24"/>
                <w:highlight w:val="none"/>
                <w:lang w:val="en-US" w:eastAsia="zh-CN"/>
              </w:rPr>
              <w:t>冷却塔总循环量为4</w:t>
            </w:r>
            <w:r>
              <w:rPr>
                <w:rFonts w:hint="default" w:ascii="Times New Roman" w:hAnsi="Times New Roman" w:eastAsia="仿宋" w:cs="Times New Roman"/>
                <w:color w:val="auto"/>
                <w:sz w:val="24"/>
                <w:highlight w:val="none"/>
              </w:rPr>
              <w:t>m³/h</w:t>
            </w:r>
            <w:r>
              <w:rPr>
                <w:rFonts w:hint="eastAsia" w:eastAsia="仿宋" w:cs="Times New Roman"/>
                <w:color w:val="auto"/>
                <w:sz w:val="24"/>
                <w:highlight w:val="none"/>
                <w:lang w:eastAsia="zh-CN"/>
              </w:rPr>
              <w:t>，</w:t>
            </w:r>
            <w:r>
              <w:rPr>
                <w:rFonts w:hint="eastAsia" w:eastAsia="仿宋" w:cs="Times New Roman"/>
                <w:color w:val="auto"/>
                <w:sz w:val="24"/>
                <w:highlight w:val="none"/>
                <w:lang w:val="en-US" w:eastAsia="zh-CN"/>
              </w:rPr>
              <w:t>全厂使用的循环量未突破冷却塔的设计值，故本项目依托现有冷却塔提供冷却水可行。</w:t>
            </w:r>
          </w:p>
          <w:p w14:paraId="6FC5839C">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（6）绿化</w:t>
            </w:r>
          </w:p>
          <w:p w14:paraId="598D6AA5">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本项目依托</w:t>
            </w:r>
            <w:r>
              <w:rPr>
                <w:rFonts w:hint="default" w:ascii="Times New Roman" w:hAnsi="Times New Roman" w:eastAsia="仿宋" w:cs="Times New Roman"/>
                <w:color w:val="auto"/>
                <w:sz w:val="24"/>
                <w:highlight w:val="none"/>
                <w:lang w:val="en-US" w:eastAsia="zh-CN"/>
              </w:rPr>
              <w:t>园区</w:t>
            </w:r>
            <w:r>
              <w:rPr>
                <w:rFonts w:hint="default" w:ascii="Times New Roman" w:hAnsi="Times New Roman" w:eastAsia="仿宋" w:cs="Times New Roman"/>
                <w:color w:val="auto"/>
                <w:sz w:val="24"/>
                <w:highlight w:val="none"/>
              </w:rPr>
              <w:t>现有绿化。</w:t>
            </w:r>
          </w:p>
          <w:p w14:paraId="2C57D08E">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（7）贮运与运输</w:t>
            </w:r>
          </w:p>
          <w:p w14:paraId="6DB273E0">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本项目原辅材料进出厂均使用汽车运输，</w:t>
            </w:r>
            <w:r>
              <w:rPr>
                <w:rFonts w:hint="default" w:ascii="Times New Roman" w:hAnsi="Times New Roman" w:eastAsia="仿宋" w:cs="Times New Roman"/>
                <w:color w:val="auto"/>
                <w:sz w:val="24"/>
                <w:highlight w:val="none"/>
                <w:lang w:val="en-US" w:eastAsia="zh-CN"/>
              </w:rPr>
              <w:t>置于仓库内</w:t>
            </w:r>
            <w:r>
              <w:rPr>
                <w:rFonts w:hint="default" w:ascii="Times New Roman" w:hAnsi="Times New Roman" w:eastAsia="仿宋" w:cs="Times New Roman"/>
                <w:color w:val="auto"/>
                <w:sz w:val="24"/>
                <w:highlight w:val="none"/>
              </w:rPr>
              <w:t>。</w:t>
            </w:r>
          </w:p>
          <w:p w14:paraId="57BC5DF1">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本项目公用及辅助工程见表2-</w:t>
            </w:r>
            <w:r>
              <w:rPr>
                <w:rFonts w:hint="eastAsia" w:ascii="Times New Roman" w:hAnsi="Times New Roman" w:eastAsia="仿宋" w:cs="Times New Roman"/>
                <w:color w:val="auto"/>
                <w:sz w:val="24"/>
                <w:highlight w:val="none"/>
                <w:lang w:val="en-US" w:eastAsia="zh-CN"/>
              </w:rPr>
              <w:t>7</w:t>
            </w:r>
            <w:r>
              <w:rPr>
                <w:rFonts w:hint="default" w:ascii="Times New Roman" w:hAnsi="Times New Roman" w:eastAsia="仿宋" w:cs="Times New Roman"/>
                <w:color w:val="auto"/>
                <w:sz w:val="24"/>
                <w:highlight w:val="none"/>
              </w:rPr>
              <w:t>。</w:t>
            </w:r>
          </w:p>
          <w:p w14:paraId="122C70A5">
            <w:pPr>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表2-</w:t>
            </w:r>
            <w:r>
              <w:rPr>
                <w:rFonts w:hint="eastAsia" w:ascii="Times New Roman" w:hAnsi="Times New Roman" w:eastAsia="仿宋" w:cs="Times New Roman"/>
                <w:b/>
                <w:color w:val="auto"/>
                <w:sz w:val="24"/>
                <w:highlight w:val="none"/>
                <w:lang w:val="en-US" w:eastAsia="zh-CN"/>
              </w:rPr>
              <w:t>7</w:t>
            </w:r>
            <w:r>
              <w:rPr>
                <w:rFonts w:hint="default" w:ascii="Times New Roman" w:hAnsi="Times New Roman" w:eastAsia="仿宋" w:cs="Times New Roman"/>
                <w:b/>
                <w:color w:val="auto"/>
                <w:sz w:val="24"/>
                <w:highlight w:val="none"/>
              </w:rPr>
              <w:t xml:space="preserve">  本项目公用及辅助工程一览表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838"/>
              <w:gridCol w:w="2523"/>
              <w:gridCol w:w="1587"/>
              <w:gridCol w:w="2779"/>
            </w:tblGrid>
            <w:tr w14:paraId="2EA71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noWrap w:val="0"/>
                  <w:vAlign w:val="center"/>
                </w:tcPr>
                <w:p w14:paraId="5EEA5983">
                  <w:pPr>
                    <w:adjustRightInd w:val="0"/>
                    <w:snapToGrid w:val="0"/>
                    <w:spacing w:line="264" w:lineRule="auto"/>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类别</w:t>
                  </w:r>
                </w:p>
              </w:tc>
              <w:tc>
                <w:tcPr>
                  <w:tcW w:w="2005" w:type="pct"/>
                  <w:gridSpan w:val="2"/>
                  <w:noWrap w:val="0"/>
                  <w:vAlign w:val="center"/>
                </w:tcPr>
                <w:p w14:paraId="7D24A65F">
                  <w:pPr>
                    <w:adjustRightInd w:val="0"/>
                    <w:snapToGrid w:val="0"/>
                    <w:spacing w:line="264" w:lineRule="auto"/>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建设名称</w:t>
                  </w:r>
                </w:p>
              </w:tc>
              <w:tc>
                <w:tcPr>
                  <w:tcW w:w="947" w:type="pct"/>
                  <w:noWrap w:val="0"/>
                  <w:vAlign w:val="center"/>
                </w:tcPr>
                <w:p w14:paraId="2C50FAEB">
                  <w:pPr>
                    <w:adjustRightInd w:val="0"/>
                    <w:snapToGrid w:val="0"/>
                    <w:spacing w:line="264" w:lineRule="auto"/>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设计能力</w:t>
                  </w:r>
                </w:p>
              </w:tc>
              <w:tc>
                <w:tcPr>
                  <w:tcW w:w="1658" w:type="pct"/>
                  <w:noWrap w:val="0"/>
                  <w:vAlign w:val="center"/>
                </w:tcPr>
                <w:p w14:paraId="701CC34D">
                  <w:pPr>
                    <w:adjustRightInd w:val="0"/>
                    <w:snapToGrid w:val="0"/>
                    <w:spacing w:line="264" w:lineRule="auto"/>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备注</w:t>
                  </w:r>
                </w:p>
              </w:tc>
            </w:tr>
            <w:tr w14:paraId="4546B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restart"/>
                  <w:noWrap w:val="0"/>
                  <w:vAlign w:val="center"/>
                </w:tcPr>
                <w:p w14:paraId="2F13A8BB">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贮运工程</w:t>
                  </w:r>
                </w:p>
              </w:tc>
              <w:tc>
                <w:tcPr>
                  <w:tcW w:w="2005" w:type="pct"/>
                  <w:gridSpan w:val="2"/>
                  <w:noWrap w:val="0"/>
                  <w:vAlign w:val="center"/>
                </w:tcPr>
                <w:p w14:paraId="5EB02025">
                  <w:pPr>
                    <w:adjustRightInd w:val="0"/>
                    <w:snapToGrid w:val="0"/>
                    <w:spacing w:line="264" w:lineRule="auto"/>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原料仓库</w:t>
                  </w:r>
                </w:p>
              </w:tc>
              <w:tc>
                <w:tcPr>
                  <w:tcW w:w="947" w:type="pct"/>
                  <w:tcBorders>
                    <w:bottom w:val="single" w:color="auto" w:sz="4" w:space="0"/>
                  </w:tcBorders>
                  <w:noWrap w:val="0"/>
                  <w:vAlign w:val="center"/>
                </w:tcPr>
                <w:p w14:paraId="1F77BA4F">
                  <w:pPr>
                    <w:adjustRightInd w:val="0"/>
                    <w:snapToGrid w:val="0"/>
                    <w:spacing w:line="264" w:lineRule="auto"/>
                    <w:jc w:val="center"/>
                    <w:rPr>
                      <w:rFonts w:hint="default" w:ascii="Times New Roman" w:hAnsi="Times New Roman" w:eastAsia="仿宋" w:cs="Times New Roman"/>
                      <w:color w:val="auto"/>
                      <w:szCs w:val="21"/>
                      <w:highlight w:val="none"/>
                    </w:rPr>
                  </w:pPr>
                  <w:r>
                    <w:rPr>
                      <w:rFonts w:hint="eastAsia" w:eastAsia="仿宋" w:cs="Times New Roman"/>
                      <w:color w:val="auto"/>
                      <w:szCs w:val="21"/>
                      <w:highlight w:val="none"/>
                      <w:lang w:val="en-US" w:eastAsia="zh-CN"/>
                    </w:rPr>
                    <w:t>240</w:t>
                  </w:r>
                  <w:r>
                    <w:rPr>
                      <w:rFonts w:hint="default" w:ascii="Times New Roman" w:hAnsi="Times New Roman" w:eastAsia="仿宋" w:cs="Times New Roman"/>
                      <w:color w:val="auto"/>
                      <w:szCs w:val="21"/>
                      <w:highlight w:val="none"/>
                    </w:rPr>
                    <w:t>m</w:t>
                  </w:r>
                  <w:r>
                    <w:rPr>
                      <w:rFonts w:hint="default" w:ascii="Times New Roman" w:hAnsi="Times New Roman" w:eastAsia="仿宋" w:cs="Times New Roman"/>
                      <w:color w:val="auto"/>
                      <w:szCs w:val="21"/>
                      <w:highlight w:val="none"/>
                      <w:vertAlign w:val="superscript"/>
                    </w:rPr>
                    <w:t>2</w:t>
                  </w:r>
                </w:p>
              </w:tc>
              <w:tc>
                <w:tcPr>
                  <w:tcW w:w="1658" w:type="pct"/>
                  <w:vMerge w:val="restart"/>
                  <w:noWrap w:val="0"/>
                  <w:vAlign w:val="center"/>
                </w:tcPr>
                <w:p w14:paraId="1BBF1FF8">
                  <w:pPr>
                    <w:adjustRightInd w:val="0"/>
                    <w:snapToGrid w:val="0"/>
                    <w:spacing w:line="264" w:lineRule="auto"/>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汽车运输</w:t>
                  </w:r>
                  <w:r>
                    <w:rPr>
                      <w:rFonts w:hint="eastAsia" w:ascii="Times New Roman" w:hAnsi="Times New Roman" w:eastAsia="仿宋" w:cs="Times New Roman"/>
                      <w:color w:val="auto"/>
                      <w:szCs w:val="21"/>
                      <w:highlight w:val="none"/>
                      <w:lang w:eastAsia="zh-CN"/>
                    </w:rPr>
                    <w:t>，</w:t>
                  </w:r>
                  <w:r>
                    <w:rPr>
                      <w:rFonts w:hint="eastAsia" w:ascii="Times New Roman" w:hAnsi="Times New Roman" w:eastAsia="仿宋" w:cs="Times New Roman"/>
                      <w:color w:val="auto"/>
                      <w:szCs w:val="21"/>
                      <w:highlight w:val="none"/>
                      <w:lang w:val="en-US" w:eastAsia="zh-CN"/>
                    </w:rPr>
                    <w:t>新增</w:t>
                  </w:r>
                </w:p>
              </w:tc>
            </w:tr>
            <w:tr w14:paraId="1EBCD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continue"/>
                  <w:noWrap w:val="0"/>
                  <w:vAlign w:val="center"/>
                </w:tcPr>
                <w:p w14:paraId="149E011E">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2005" w:type="pct"/>
                  <w:gridSpan w:val="2"/>
                  <w:noWrap w:val="0"/>
                  <w:vAlign w:val="center"/>
                </w:tcPr>
                <w:p w14:paraId="2F82A5C8">
                  <w:pPr>
                    <w:adjustRightInd w:val="0"/>
                    <w:snapToGrid w:val="0"/>
                    <w:spacing w:line="264" w:lineRule="auto"/>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产品仓库</w:t>
                  </w:r>
                </w:p>
              </w:tc>
              <w:tc>
                <w:tcPr>
                  <w:tcW w:w="947" w:type="pct"/>
                  <w:tcBorders>
                    <w:top w:val="single" w:color="auto" w:sz="4" w:space="0"/>
                  </w:tcBorders>
                  <w:noWrap w:val="0"/>
                  <w:vAlign w:val="center"/>
                </w:tcPr>
                <w:p w14:paraId="5C268225">
                  <w:pPr>
                    <w:adjustRightInd w:val="0"/>
                    <w:snapToGrid w:val="0"/>
                    <w:spacing w:line="264" w:lineRule="auto"/>
                    <w:jc w:val="center"/>
                    <w:rPr>
                      <w:rFonts w:hint="default" w:ascii="Times New Roman" w:hAnsi="Times New Roman" w:eastAsia="仿宋" w:cs="Times New Roman"/>
                      <w:color w:val="auto"/>
                      <w:szCs w:val="21"/>
                      <w:highlight w:val="none"/>
                    </w:rPr>
                  </w:pPr>
                  <w:r>
                    <w:rPr>
                      <w:rFonts w:hint="eastAsia" w:eastAsia="仿宋" w:cs="Times New Roman"/>
                      <w:color w:val="auto"/>
                      <w:szCs w:val="21"/>
                      <w:highlight w:val="none"/>
                      <w:lang w:val="en-US" w:eastAsia="zh-CN"/>
                    </w:rPr>
                    <w:t>240</w:t>
                  </w:r>
                  <w:r>
                    <w:rPr>
                      <w:rFonts w:hint="default" w:ascii="Times New Roman" w:hAnsi="Times New Roman" w:eastAsia="仿宋" w:cs="Times New Roman"/>
                      <w:color w:val="auto"/>
                      <w:szCs w:val="21"/>
                      <w:highlight w:val="none"/>
                    </w:rPr>
                    <w:t>m</w:t>
                  </w:r>
                  <w:r>
                    <w:rPr>
                      <w:rFonts w:hint="default" w:ascii="Times New Roman" w:hAnsi="Times New Roman" w:eastAsia="仿宋" w:cs="Times New Roman"/>
                      <w:color w:val="auto"/>
                      <w:szCs w:val="21"/>
                      <w:highlight w:val="none"/>
                      <w:vertAlign w:val="superscript"/>
                    </w:rPr>
                    <w:t>2</w:t>
                  </w:r>
                </w:p>
              </w:tc>
              <w:tc>
                <w:tcPr>
                  <w:tcW w:w="1658" w:type="pct"/>
                  <w:vMerge w:val="continue"/>
                  <w:noWrap w:val="0"/>
                  <w:vAlign w:val="center"/>
                </w:tcPr>
                <w:p w14:paraId="47AB4CDF">
                  <w:pPr>
                    <w:adjustRightInd w:val="0"/>
                    <w:snapToGrid w:val="0"/>
                    <w:spacing w:line="264" w:lineRule="auto"/>
                    <w:jc w:val="center"/>
                    <w:rPr>
                      <w:rFonts w:hint="default" w:ascii="Times New Roman" w:hAnsi="Times New Roman" w:eastAsia="仿宋" w:cs="Times New Roman"/>
                      <w:color w:val="auto"/>
                      <w:szCs w:val="21"/>
                      <w:highlight w:val="none"/>
                    </w:rPr>
                  </w:pPr>
                </w:p>
              </w:tc>
            </w:tr>
            <w:tr w14:paraId="4DDE9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restart"/>
                  <w:noWrap w:val="0"/>
                  <w:vAlign w:val="center"/>
                </w:tcPr>
                <w:p w14:paraId="4B8E1780">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公用工程</w:t>
                  </w:r>
                </w:p>
              </w:tc>
              <w:tc>
                <w:tcPr>
                  <w:tcW w:w="2005" w:type="pct"/>
                  <w:gridSpan w:val="2"/>
                  <w:noWrap w:val="0"/>
                  <w:vAlign w:val="center"/>
                </w:tcPr>
                <w:p w14:paraId="628E1405">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给水</w:t>
                  </w:r>
                </w:p>
              </w:tc>
              <w:tc>
                <w:tcPr>
                  <w:tcW w:w="947" w:type="pct"/>
                  <w:noWrap w:val="0"/>
                  <w:vAlign w:val="center"/>
                </w:tcPr>
                <w:p w14:paraId="2D249ECA">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36</w:t>
                  </w:r>
                  <w:r>
                    <w:rPr>
                      <w:rFonts w:hint="eastAsia" w:eastAsia="仿宋" w:cs="Times New Roman"/>
                      <w:color w:val="auto"/>
                      <w:szCs w:val="21"/>
                      <w:highlight w:val="none"/>
                      <w:lang w:val="en-US" w:eastAsia="zh-CN"/>
                    </w:rPr>
                    <w:t>6.82</w:t>
                  </w:r>
                  <w:r>
                    <w:rPr>
                      <w:rFonts w:hint="default" w:ascii="Times New Roman" w:hAnsi="Times New Roman" w:eastAsia="仿宋" w:cs="Times New Roman"/>
                      <w:color w:val="auto"/>
                      <w:szCs w:val="21"/>
                      <w:highlight w:val="none"/>
                    </w:rPr>
                    <w:t>t/a</w:t>
                  </w:r>
                </w:p>
              </w:tc>
              <w:tc>
                <w:tcPr>
                  <w:tcW w:w="1658" w:type="pct"/>
                  <w:noWrap w:val="0"/>
                  <w:vAlign w:val="center"/>
                </w:tcPr>
                <w:p w14:paraId="48BA35F9">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来自当地市政自来水管网</w:t>
                  </w:r>
                </w:p>
              </w:tc>
            </w:tr>
            <w:tr w14:paraId="6A2A9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continue"/>
                  <w:noWrap w:val="0"/>
                  <w:vAlign w:val="center"/>
                </w:tcPr>
                <w:p w14:paraId="3FAF87FA">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2005" w:type="pct"/>
                  <w:gridSpan w:val="2"/>
                  <w:noWrap w:val="0"/>
                  <w:vAlign w:val="center"/>
                </w:tcPr>
                <w:p w14:paraId="54A596BF">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排水</w:t>
                  </w:r>
                </w:p>
              </w:tc>
              <w:tc>
                <w:tcPr>
                  <w:tcW w:w="947" w:type="pct"/>
                  <w:noWrap w:val="0"/>
                  <w:vAlign w:val="center"/>
                </w:tcPr>
                <w:p w14:paraId="4BC32912">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324</w:t>
                  </w:r>
                  <w:r>
                    <w:rPr>
                      <w:rFonts w:hint="default" w:ascii="Times New Roman" w:hAnsi="Times New Roman" w:eastAsia="仿宋" w:cs="Times New Roman"/>
                      <w:color w:val="auto"/>
                      <w:szCs w:val="21"/>
                      <w:highlight w:val="none"/>
                    </w:rPr>
                    <w:t>t/a</w:t>
                  </w:r>
                </w:p>
              </w:tc>
              <w:tc>
                <w:tcPr>
                  <w:tcW w:w="1658" w:type="pct"/>
                  <w:noWrap w:val="0"/>
                  <w:vAlign w:val="center"/>
                </w:tcPr>
                <w:p w14:paraId="10FFC571">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本项目生活污水依托</w:t>
                  </w:r>
                  <w:r>
                    <w:rPr>
                      <w:rFonts w:hint="default" w:ascii="Times New Roman" w:hAnsi="Times New Roman" w:eastAsia="仿宋" w:cs="Times New Roman"/>
                      <w:color w:val="auto"/>
                      <w:szCs w:val="21"/>
                      <w:highlight w:val="none"/>
                      <w:lang w:val="en-US" w:eastAsia="zh-CN"/>
                    </w:rPr>
                    <w:t>园区</w:t>
                  </w:r>
                  <w:r>
                    <w:rPr>
                      <w:rFonts w:hint="default" w:ascii="Times New Roman" w:hAnsi="Times New Roman" w:eastAsia="仿宋" w:cs="Times New Roman"/>
                      <w:color w:val="auto"/>
                      <w:szCs w:val="21"/>
                      <w:highlight w:val="none"/>
                    </w:rPr>
                    <w:t>现有污水管网接管排入常州金坛区第二污水处理厂集中处理</w:t>
                  </w:r>
                </w:p>
              </w:tc>
            </w:tr>
            <w:tr w14:paraId="653F2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continue"/>
                  <w:noWrap w:val="0"/>
                  <w:vAlign w:val="center"/>
                </w:tcPr>
                <w:p w14:paraId="08E25AC2">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2005" w:type="pct"/>
                  <w:gridSpan w:val="2"/>
                  <w:noWrap w:val="0"/>
                  <w:vAlign w:val="center"/>
                </w:tcPr>
                <w:p w14:paraId="1326DA16">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供电</w:t>
                  </w:r>
                </w:p>
              </w:tc>
              <w:tc>
                <w:tcPr>
                  <w:tcW w:w="947" w:type="pct"/>
                  <w:noWrap w:val="0"/>
                  <w:tcMar>
                    <w:left w:w="0" w:type="dxa"/>
                    <w:right w:w="0" w:type="dxa"/>
                  </w:tcMar>
                  <w:vAlign w:val="center"/>
                </w:tcPr>
                <w:p w14:paraId="374BD1F4">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96.12</w:t>
                  </w:r>
                  <w:r>
                    <w:rPr>
                      <w:rFonts w:hint="default" w:ascii="Times New Roman" w:hAnsi="Times New Roman" w:eastAsia="仿宋" w:cs="Times New Roman"/>
                      <w:color w:val="auto"/>
                      <w:szCs w:val="21"/>
                      <w:highlight w:val="none"/>
                    </w:rPr>
                    <w:t>万度/年</w:t>
                  </w:r>
                </w:p>
              </w:tc>
              <w:tc>
                <w:tcPr>
                  <w:tcW w:w="1658" w:type="pct"/>
                  <w:noWrap w:val="0"/>
                  <w:vAlign w:val="center"/>
                </w:tcPr>
                <w:p w14:paraId="5C02ADA8">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由当地市政电网提供</w:t>
                  </w:r>
                </w:p>
              </w:tc>
            </w:tr>
            <w:tr w14:paraId="4F904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continue"/>
                  <w:noWrap w:val="0"/>
                  <w:vAlign w:val="center"/>
                </w:tcPr>
                <w:p w14:paraId="0A2AE509">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2005" w:type="pct"/>
                  <w:gridSpan w:val="2"/>
                  <w:shd w:val="clear" w:color="auto" w:fill="auto"/>
                  <w:noWrap w:val="0"/>
                  <w:vAlign w:val="center"/>
                </w:tcPr>
                <w:p w14:paraId="19F5D750">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压缩空气</w:t>
                  </w:r>
                </w:p>
              </w:tc>
              <w:tc>
                <w:tcPr>
                  <w:tcW w:w="947" w:type="pct"/>
                  <w:shd w:val="clear" w:color="auto" w:fill="auto"/>
                  <w:noWrap w:val="0"/>
                  <w:tcMar>
                    <w:left w:w="0" w:type="dxa"/>
                    <w:right w:w="0" w:type="dxa"/>
                  </w:tcMar>
                  <w:vAlign w:val="center"/>
                </w:tcPr>
                <w:p w14:paraId="47C4A4B5">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lang w:val="en-US" w:eastAsia="zh-CN"/>
                    </w:rPr>
                    <w:t>单台制备能力19.6N</w:t>
                  </w:r>
                  <w:r>
                    <w:rPr>
                      <w:rFonts w:hint="default" w:ascii="Times New Roman" w:hAnsi="Times New Roman" w:eastAsia="仿宋" w:cs="Times New Roman"/>
                      <w:szCs w:val="21"/>
                    </w:rPr>
                    <w:t>m</w:t>
                  </w:r>
                  <w:r>
                    <w:rPr>
                      <w:rFonts w:hint="default" w:ascii="Times New Roman" w:hAnsi="Times New Roman" w:eastAsia="仿宋" w:cs="Times New Roman"/>
                      <w:szCs w:val="21"/>
                      <w:vertAlign w:val="superscript"/>
                    </w:rPr>
                    <w:t>3</w:t>
                  </w:r>
                  <w:r>
                    <w:rPr>
                      <w:rFonts w:hint="default" w:ascii="Times New Roman" w:hAnsi="Times New Roman" w:eastAsia="仿宋" w:cs="Times New Roman"/>
                      <w:szCs w:val="21"/>
                    </w:rPr>
                    <w:t>/min</w:t>
                  </w:r>
                </w:p>
              </w:tc>
              <w:tc>
                <w:tcPr>
                  <w:tcW w:w="1658" w:type="pct"/>
                  <w:shd w:val="clear" w:color="auto" w:fill="auto"/>
                  <w:noWrap w:val="0"/>
                  <w:vAlign w:val="center"/>
                </w:tcPr>
                <w:p w14:paraId="241C5195">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lang w:val="en-US" w:eastAsia="zh-CN"/>
                    </w:rPr>
                    <w:t>依托现有</w:t>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rPr>
                    <w:t>为生产设备提供动力</w:t>
                  </w:r>
                </w:p>
              </w:tc>
            </w:tr>
            <w:tr w14:paraId="63457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continue"/>
                  <w:noWrap w:val="0"/>
                  <w:vAlign w:val="center"/>
                </w:tcPr>
                <w:p w14:paraId="3587EEE3">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2005" w:type="pct"/>
                  <w:gridSpan w:val="2"/>
                  <w:shd w:val="clear" w:color="auto" w:fill="auto"/>
                  <w:noWrap w:val="0"/>
                  <w:vAlign w:val="center"/>
                </w:tcPr>
                <w:p w14:paraId="2F4D8822">
                  <w:pPr>
                    <w:adjustRightInd w:val="0"/>
                    <w:snapToGrid w:val="0"/>
                    <w:jc w:val="center"/>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Cs w:val="21"/>
                      <w:highlight w:val="none"/>
                      <w:lang w:val="en-US" w:eastAsia="zh-CN"/>
                    </w:rPr>
                    <w:t>冷却塔</w:t>
                  </w:r>
                </w:p>
              </w:tc>
              <w:tc>
                <w:tcPr>
                  <w:tcW w:w="947" w:type="pct"/>
                  <w:shd w:val="clear" w:color="auto" w:fill="auto"/>
                  <w:noWrap w:val="0"/>
                  <w:tcMar>
                    <w:left w:w="0" w:type="dxa"/>
                    <w:right w:w="0" w:type="dxa"/>
                  </w:tcMar>
                  <w:vAlign w:val="center"/>
                </w:tcPr>
                <w:p w14:paraId="73F62A29">
                  <w:pPr>
                    <w:adjustRightInd w:val="0"/>
                    <w:snapToGrid w:val="0"/>
                    <w:jc w:val="center"/>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Cs w:val="21"/>
                      <w:highlight w:val="none"/>
                      <w:lang w:val="en-US" w:eastAsia="zh-CN"/>
                    </w:rPr>
                    <w:t>单台循环量2m</w:t>
                  </w:r>
                  <w:r>
                    <w:rPr>
                      <w:rFonts w:hint="default" w:ascii="Times New Roman" w:hAnsi="Times New Roman" w:eastAsia="仿宋" w:cs="Times New Roman"/>
                      <w:szCs w:val="21"/>
                      <w:highlight w:val="none"/>
                      <w:vertAlign w:val="superscript"/>
                      <w:lang w:val="en-US" w:eastAsia="zh-CN"/>
                    </w:rPr>
                    <w:t>3</w:t>
                  </w:r>
                  <w:r>
                    <w:rPr>
                      <w:rFonts w:hint="default" w:ascii="Times New Roman" w:hAnsi="Times New Roman" w:eastAsia="仿宋" w:cs="Times New Roman"/>
                      <w:szCs w:val="21"/>
                      <w:highlight w:val="none"/>
                      <w:lang w:val="en-US" w:eastAsia="zh-CN"/>
                    </w:rPr>
                    <w:t>/h</w:t>
                  </w:r>
                </w:p>
              </w:tc>
              <w:tc>
                <w:tcPr>
                  <w:tcW w:w="1658" w:type="pct"/>
                  <w:shd w:val="clear" w:color="auto" w:fill="auto"/>
                  <w:noWrap w:val="0"/>
                  <w:vAlign w:val="center"/>
                </w:tcPr>
                <w:p w14:paraId="33690CF4">
                  <w:pPr>
                    <w:adjustRightInd w:val="0"/>
                    <w:snapToGrid w:val="0"/>
                    <w:jc w:val="center"/>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Cs w:val="21"/>
                      <w:highlight w:val="none"/>
                      <w:lang w:val="en-US" w:eastAsia="zh-CN"/>
                    </w:rPr>
                    <w:t>依托现有，为生产提供冷却水</w:t>
                  </w:r>
                </w:p>
              </w:tc>
            </w:tr>
            <w:tr w14:paraId="31B59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continue"/>
                  <w:noWrap w:val="0"/>
                  <w:vAlign w:val="center"/>
                </w:tcPr>
                <w:p w14:paraId="0084723A">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2005" w:type="pct"/>
                  <w:gridSpan w:val="2"/>
                  <w:shd w:val="clear" w:color="auto" w:fill="auto"/>
                  <w:noWrap w:val="0"/>
                  <w:vAlign w:val="center"/>
                </w:tcPr>
                <w:p w14:paraId="0A687798">
                  <w:pPr>
                    <w:adjustRightInd w:val="0"/>
                    <w:snapToGrid w:val="0"/>
                    <w:jc w:val="center"/>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Cs w:val="21"/>
                      <w:highlight w:val="none"/>
                    </w:rPr>
                    <w:t>绿化</w:t>
                  </w:r>
                </w:p>
              </w:tc>
              <w:tc>
                <w:tcPr>
                  <w:tcW w:w="947" w:type="pct"/>
                  <w:shd w:val="clear" w:color="auto" w:fill="auto"/>
                  <w:noWrap w:val="0"/>
                  <w:tcMar>
                    <w:left w:w="0" w:type="dxa"/>
                    <w:right w:w="0" w:type="dxa"/>
                  </w:tcMar>
                  <w:vAlign w:val="center"/>
                </w:tcPr>
                <w:p w14:paraId="5B935DDC">
                  <w:pPr>
                    <w:adjustRightInd w:val="0"/>
                    <w:snapToGrid w:val="0"/>
                    <w:jc w:val="center"/>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bCs/>
                      <w:sz w:val="21"/>
                      <w:szCs w:val="21"/>
                      <w:highlight w:val="none"/>
                      <w:lang w:val="en-US" w:eastAsia="zh-CN"/>
                    </w:rPr>
                    <w:t>/</w:t>
                  </w:r>
                </w:p>
              </w:tc>
              <w:tc>
                <w:tcPr>
                  <w:tcW w:w="1658" w:type="pct"/>
                  <w:shd w:val="clear" w:color="auto" w:fill="auto"/>
                  <w:noWrap w:val="0"/>
                  <w:vAlign w:val="center"/>
                </w:tcPr>
                <w:p w14:paraId="2C90E947">
                  <w:pPr>
                    <w:adjustRightInd w:val="0"/>
                    <w:snapToGrid w:val="0"/>
                    <w:jc w:val="center"/>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szCs w:val="21"/>
                      <w:highlight w:val="none"/>
                    </w:rPr>
                    <w:t>依托</w:t>
                  </w:r>
                  <w:r>
                    <w:rPr>
                      <w:rFonts w:hint="default" w:ascii="Times New Roman" w:hAnsi="Times New Roman" w:eastAsia="仿宋" w:cs="Times New Roman"/>
                      <w:szCs w:val="21"/>
                      <w:highlight w:val="none"/>
                      <w:lang w:val="en-US" w:eastAsia="zh-CN"/>
                    </w:rPr>
                    <w:t>园区</w:t>
                  </w:r>
                  <w:r>
                    <w:rPr>
                      <w:rFonts w:hint="default" w:ascii="Times New Roman" w:hAnsi="Times New Roman" w:eastAsia="仿宋" w:cs="Times New Roman"/>
                      <w:szCs w:val="21"/>
                      <w:highlight w:val="none"/>
                    </w:rPr>
                    <w:t>现有绿化</w:t>
                  </w:r>
                </w:p>
              </w:tc>
            </w:tr>
            <w:tr w14:paraId="6059F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389" w:type="pct"/>
                  <w:vMerge w:val="restart"/>
                  <w:noWrap w:val="0"/>
                  <w:vAlign w:val="center"/>
                </w:tcPr>
                <w:p w14:paraId="161E9918">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环保工程</w:t>
                  </w:r>
                </w:p>
              </w:tc>
              <w:tc>
                <w:tcPr>
                  <w:tcW w:w="500" w:type="pct"/>
                  <w:vMerge w:val="restart"/>
                  <w:noWrap w:val="0"/>
                  <w:vAlign w:val="center"/>
                </w:tcPr>
                <w:p w14:paraId="4C534027">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废气治理</w:t>
                  </w:r>
                </w:p>
              </w:tc>
              <w:tc>
                <w:tcPr>
                  <w:tcW w:w="1505" w:type="pct"/>
                  <w:noWrap w:val="0"/>
                  <w:vAlign w:val="center"/>
                </w:tcPr>
                <w:p w14:paraId="084D9336">
                  <w:pPr>
                    <w:ind w:left="-105" w:leftChars="-50" w:right="-105" w:rightChars="-50"/>
                    <w:jc w:val="cente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5#布袋除尘装置</w:t>
                  </w:r>
                  <w:r>
                    <w:rPr>
                      <w:rFonts w:hint="eastAsia" w:ascii="Times New Roman" w:hAnsi="Times New Roman" w:eastAsia="仿宋" w:cs="Times New Roman"/>
                      <w:bCs/>
                      <w:color w:val="auto"/>
                      <w:szCs w:val="21"/>
                      <w:highlight w:val="none"/>
                      <w:lang w:val="en-US" w:eastAsia="zh-CN"/>
                    </w:rPr>
                    <w:t>+</w:t>
                  </w:r>
                  <w:r>
                    <w:rPr>
                      <w:rFonts w:hint="default" w:ascii="Times New Roman" w:hAnsi="Times New Roman" w:eastAsia="仿宋" w:cs="Times New Roman"/>
                      <w:bCs/>
                      <w:color w:val="auto"/>
                      <w:szCs w:val="21"/>
                      <w:highlight w:val="none"/>
                      <w:lang w:val="en-US" w:eastAsia="zh-CN"/>
                    </w:rPr>
                    <w:t>15m高排气筒FQ-5</w:t>
                  </w:r>
                </w:p>
              </w:tc>
              <w:tc>
                <w:tcPr>
                  <w:tcW w:w="947" w:type="pct"/>
                  <w:noWrap w:val="0"/>
                  <w:tcMar>
                    <w:left w:w="0" w:type="dxa"/>
                    <w:right w:w="0" w:type="dxa"/>
                  </w:tcMar>
                  <w:vAlign w:val="center"/>
                </w:tcPr>
                <w:p w14:paraId="0424098C">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lang w:val="en-US" w:eastAsia="zh-CN"/>
                    </w:rPr>
                    <w:t>8000</w:t>
                  </w:r>
                  <w:r>
                    <w:rPr>
                      <w:rFonts w:hint="default" w:ascii="Times New Roman" w:hAnsi="Times New Roman" w:eastAsia="仿宋" w:cs="Times New Roman"/>
                      <w:bCs/>
                      <w:color w:val="auto"/>
                      <w:szCs w:val="21"/>
                      <w:highlight w:val="none"/>
                    </w:rPr>
                    <w:t>m</w:t>
                  </w:r>
                  <w:r>
                    <w:rPr>
                      <w:rFonts w:hint="default" w:ascii="Times New Roman" w:hAnsi="Times New Roman" w:eastAsia="仿宋" w:cs="Times New Roman"/>
                      <w:bCs/>
                      <w:color w:val="auto"/>
                      <w:szCs w:val="21"/>
                      <w:highlight w:val="none"/>
                      <w:vertAlign w:val="superscript"/>
                    </w:rPr>
                    <w:t>3</w:t>
                  </w:r>
                  <w:r>
                    <w:rPr>
                      <w:rFonts w:hint="default" w:ascii="Times New Roman" w:hAnsi="Times New Roman" w:eastAsia="仿宋" w:cs="Times New Roman"/>
                      <w:bCs/>
                      <w:color w:val="auto"/>
                      <w:szCs w:val="21"/>
                      <w:highlight w:val="none"/>
                    </w:rPr>
                    <w:t>/h</w:t>
                  </w:r>
                </w:p>
              </w:tc>
              <w:tc>
                <w:tcPr>
                  <w:tcW w:w="1658" w:type="pct"/>
                  <w:vMerge w:val="restart"/>
                  <w:noWrap w:val="0"/>
                  <w:vAlign w:val="center"/>
                </w:tcPr>
                <w:p w14:paraId="7B92A2C2">
                  <w:pPr>
                    <w:jc w:val="center"/>
                    <w:rPr>
                      <w:rFonts w:hint="default" w:ascii="Times New Roman" w:hAnsi="Times New Roman" w:eastAsia="仿宋" w:cs="Times New Roman"/>
                      <w:bCs/>
                      <w:color w:val="auto"/>
                      <w:szCs w:val="21"/>
                      <w:highlight w:val="none"/>
                    </w:rPr>
                  </w:pPr>
                  <w:r>
                    <w:rPr>
                      <w:rFonts w:hint="eastAsia" w:ascii="Times New Roman" w:hAnsi="Times New Roman" w:eastAsia="仿宋" w:cs="Times New Roman"/>
                      <w:bCs/>
                      <w:color w:val="auto"/>
                      <w:szCs w:val="21"/>
                      <w:highlight w:val="none"/>
                      <w:lang w:val="en-US" w:eastAsia="zh-CN"/>
                    </w:rPr>
                    <w:t>新增，</w:t>
                  </w:r>
                  <w:r>
                    <w:rPr>
                      <w:rFonts w:hint="default" w:ascii="Times New Roman" w:hAnsi="Times New Roman" w:eastAsia="仿宋" w:cs="Times New Roman"/>
                      <w:bCs/>
                      <w:color w:val="auto"/>
                      <w:szCs w:val="21"/>
                      <w:highlight w:val="none"/>
                    </w:rPr>
                    <w:t>废气有组织达标排放</w:t>
                  </w:r>
                </w:p>
              </w:tc>
            </w:tr>
            <w:tr w14:paraId="4BAB1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continue"/>
                  <w:noWrap w:val="0"/>
                  <w:vAlign w:val="center"/>
                </w:tcPr>
                <w:p w14:paraId="6168D4A3">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500" w:type="pct"/>
                  <w:vMerge w:val="continue"/>
                  <w:noWrap w:val="0"/>
                  <w:vAlign w:val="center"/>
                </w:tcPr>
                <w:p w14:paraId="7F615EED">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1505" w:type="pct"/>
                  <w:noWrap w:val="0"/>
                  <w:vAlign w:val="center"/>
                </w:tcPr>
                <w:p w14:paraId="1259AFB6">
                  <w:pPr>
                    <w:ind w:left="-105" w:leftChars="-50" w:right="-105" w:rightChars="-50"/>
                    <w:jc w:val="cente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6#两级活性炭吸附装置</w:t>
                  </w:r>
                  <w:r>
                    <w:rPr>
                      <w:rFonts w:hint="eastAsia" w:ascii="Times New Roman" w:hAnsi="Times New Roman" w:eastAsia="仿宋" w:cs="Times New Roman"/>
                      <w:bCs/>
                      <w:color w:val="auto"/>
                      <w:szCs w:val="21"/>
                      <w:highlight w:val="none"/>
                      <w:lang w:val="en-US" w:eastAsia="zh-CN"/>
                    </w:rPr>
                    <w:t>+</w:t>
                  </w:r>
                  <w:r>
                    <w:rPr>
                      <w:rFonts w:hint="default" w:ascii="Times New Roman" w:hAnsi="Times New Roman" w:eastAsia="仿宋" w:cs="Times New Roman"/>
                      <w:bCs/>
                      <w:color w:val="auto"/>
                      <w:szCs w:val="21"/>
                      <w:highlight w:val="none"/>
                      <w:lang w:val="en-US" w:eastAsia="zh-CN"/>
                    </w:rPr>
                    <w:t>15m高排气筒FQ-</w:t>
                  </w:r>
                  <w:r>
                    <w:rPr>
                      <w:rFonts w:hint="eastAsia" w:ascii="Times New Roman" w:hAnsi="Times New Roman" w:eastAsia="仿宋" w:cs="Times New Roman"/>
                      <w:bCs/>
                      <w:color w:val="auto"/>
                      <w:szCs w:val="21"/>
                      <w:highlight w:val="none"/>
                      <w:lang w:val="en-US" w:eastAsia="zh-CN"/>
                    </w:rPr>
                    <w:t>6</w:t>
                  </w:r>
                </w:p>
              </w:tc>
              <w:tc>
                <w:tcPr>
                  <w:tcW w:w="947" w:type="pct"/>
                  <w:noWrap w:val="0"/>
                  <w:tcMar>
                    <w:left w:w="0" w:type="dxa"/>
                    <w:right w:w="0" w:type="dxa"/>
                  </w:tcMar>
                  <w:vAlign w:val="center"/>
                </w:tcPr>
                <w:p w14:paraId="4ABDEBDA">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lang w:val="en-US" w:eastAsia="zh-CN"/>
                    </w:rPr>
                    <w:t>12000</w:t>
                  </w:r>
                  <w:r>
                    <w:rPr>
                      <w:rFonts w:hint="default" w:ascii="Times New Roman" w:hAnsi="Times New Roman" w:eastAsia="仿宋" w:cs="Times New Roman"/>
                      <w:bCs/>
                      <w:color w:val="auto"/>
                      <w:szCs w:val="21"/>
                      <w:highlight w:val="none"/>
                    </w:rPr>
                    <w:t>m</w:t>
                  </w:r>
                  <w:r>
                    <w:rPr>
                      <w:rFonts w:hint="default" w:ascii="Times New Roman" w:hAnsi="Times New Roman" w:eastAsia="仿宋" w:cs="Times New Roman"/>
                      <w:bCs/>
                      <w:color w:val="auto"/>
                      <w:szCs w:val="21"/>
                      <w:highlight w:val="none"/>
                      <w:vertAlign w:val="superscript"/>
                    </w:rPr>
                    <w:t>3</w:t>
                  </w:r>
                  <w:r>
                    <w:rPr>
                      <w:rFonts w:hint="default" w:ascii="Times New Roman" w:hAnsi="Times New Roman" w:eastAsia="仿宋" w:cs="Times New Roman"/>
                      <w:bCs/>
                      <w:color w:val="auto"/>
                      <w:szCs w:val="21"/>
                      <w:highlight w:val="none"/>
                    </w:rPr>
                    <w:t>/h</w:t>
                  </w:r>
                </w:p>
              </w:tc>
              <w:tc>
                <w:tcPr>
                  <w:tcW w:w="1658" w:type="pct"/>
                  <w:vMerge w:val="continue"/>
                  <w:noWrap w:val="0"/>
                  <w:vAlign w:val="center"/>
                </w:tcPr>
                <w:p w14:paraId="2D5A10A2">
                  <w:pPr>
                    <w:jc w:val="center"/>
                    <w:rPr>
                      <w:rFonts w:hint="default" w:ascii="Times New Roman" w:hAnsi="Times New Roman" w:eastAsia="仿宋" w:cs="Times New Roman"/>
                      <w:bCs/>
                      <w:color w:val="auto"/>
                      <w:szCs w:val="21"/>
                      <w:highlight w:val="none"/>
                    </w:rPr>
                  </w:pPr>
                </w:p>
              </w:tc>
            </w:tr>
            <w:tr w14:paraId="6081D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continue"/>
                  <w:noWrap w:val="0"/>
                  <w:vAlign w:val="center"/>
                </w:tcPr>
                <w:p w14:paraId="61E1BCE7">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500" w:type="pct"/>
                  <w:vMerge w:val="continue"/>
                  <w:noWrap w:val="0"/>
                  <w:vAlign w:val="center"/>
                </w:tcPr>
                <w:p w14:paraId="5F455F03">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1505" w:type="pct"/>
                  <w:shd w:val="clear" w:color="auto" w:fill="auto"/>
                  <w:noWrap w:val="0"/>
                  <w:vAlign w:val="center"/>
                </w:tcPr>
                <w:p w14:paraId="3AE0C9E3">
                  <w:pPr>
                    <w:ind w:left="-105" w:leftChars="-50" w:right="-105" w:rightChars="-50"/>
                    <w:jc w:val="center"/>
                    <w:rPr>
                      <w:rFonts w:hint="default" w:ascii="Times New Roman" w:hAnsi="Times New Roman" w:eastAsia="仿宋" w:cs="Times New Roman"/>
                      <w:bCs/>
                      <w:color w:val="0000FF"/>
                      <w:kern w:val="2"/>
                      <w:sz w:val="21"/>
                      <w:szCs w:val="21"/>
                      <w:highlight w:val="none"/>
                      <w:lang w:val="en-US" w:eastAsia="zh-CN" w:bidi="ar-SA"/>
                    </w:rPr>
                  </w:pPr>
                  <w:r>
                    <w:rPr>
                      <w:rFonts w:hint="eastAsia" w:eastAsia="仿宋" w:cs="Times New Roman"/>
                      <w:bCs/>
                      <w:color w:val="0000FF"/>
                      <w:szCs w:val="21"/>
                      <w:highlight w:val="none"/>
                      <w:lang w:val="en-US" w:eastAsia="zh-CN"/>
                    </w:rPr>
                    <w:t>7</w:t>
                  </w:r>
                  <w:r>
                    <w:rPr>
                      <w:rFonts w:hint="default" w:ascii="Times New Roman" w:hAnsi="Times New Roman" w:eastAsia="仿宋" w:cs="Times New Roman"/>
                      <w:bCs/>
                      <w:color w:val="0000FF"/>
                      <w:szCs w:val="21"/>
                      <w:highlight w:val="none"/>
                      <w:lang w:val="en-US" w:eastAsia="zh-CN"/>
                    </w:rPr>
                    <w:t>#</w:t>
                  </w:r>
                  <w:r>
                    <w:rPr>
                      <w:rFonts w:hint="eastAsia" w:eastAsia="仿宋" w:cs="Times New Roman"/>
                      <w:bCs/>
                      <w:color w:val="0000FF"/>
                      <w:szCs w:val="21"/>
                      <w:highlight w:val="none"/>
                      <w:lang w:val="en-US" w:eastAsia="zh-CN"/>
                    </w:rPr>
                    <w:t>水旋除尘器</w:t>
                  </w:r>
                  <w:r>
                    <w:rPr>
                      <w:rFonts w:hint="eastAsia" w:ascii="Times New Roman" w:hAnsi="Times New Roman" w:eastAsia="仿宋" w:cs="Times New Roman"/>
                      <w:bCs/>
                      <w:color w:val="0000FF"/>
                      <w:szCs w:val="21"/>
                      <w:highlight w:val="none"/>
                      <w:lang w:val="en-US" w:eastAsia="zh-CN"/>
                    </w:rPr>
                    <w:t>+</w:t>
                  </w:r>
                  <w:r>
                    <w:rPr>
                      <w:rFonts w:hint="default" w:ascii="Times New Roman" w:hAnsi="Times New Roman" w:eastAsia="仿宋" w:cs="Times New Roman"/>
                      <w:bCs/>
                      <w:color w:val="0000FF"/>
                      <w:szCs w:val="21"/>
                      <w:highlight w:val="none"/>
                      <w:lang w:val="en-US" w:eastAsia="zh-CN"/>
                    </w:rPr>
                    <w:t>15m高排气筒FQ-</w:t>
                  </w:r>
                  <w:r>
                    <w:rPr>
                      <w:rFonts w:hint="eastAsia" w:eastAsia="仿宋" w:cs="Times New Roman"/>
                      <w:bCs/>
                      <w:color w:val="0000FF"/>
                      <w:szCs w:val="21"/>
                      <w:highlight w:val="none"/>
                      <w:lang w:val="en-US" w:eastAsia="zh-CN"/>
                    </w:rPr>
                    <w:t>7</w:t>
                  </w:r>
                </w:p>
              </w:tc>
              <w:tc>
                <w:tcPr>
                  <w:tcW w:w="947" w:type="pct"/>
                  <w:shd w:val="clear" w:color="auto" w:fill="auto"/>
                  <w:noWrap w:val="0"/>
                  <w:tcMar>
                    <w:left w:w="0" w:type="dxa"/>
                    <w:right w:w="0" w:type="dxa"/>
                  </w:tcMar>
                  <w:vAlign w:val="center"/>
                </w:tcPr>
                <w:p w14:paraId="318D1892">
                  <w:pPr>
                    <w:jc w:val="center"/>
                    <w:rPr>
                      <w:rFonts w:hint="default" w:ascii="Times New Roman" w:hAnsi="Times New Roman" w:eastAsia="仿宋" w:cs="Times New Roman"/>
                      <w:bCs/>
                      <w:color w:val="0000FF"/>
                      <w:kern w:val="2"/>
                      <w:sz w:val="21"/>
                      <w:szCs w:val="21"/>
                      <w:highlight w:val="none"/>
                      <w:lang w:val="en-US" w:eastAsia="zh-CN" w:bidi="ar-SA"/>
                    </w:rPr>
                  </w:pPr>
                  <w:r>
                    <w:rPr>
                      <w:rFonts w:hint="eastAsia" w:eastAsia="仿宋" w:cs="Times New Roman"/>
                      <w:bCs/>
                      <w:color w:val="0000FF"/>
                      <w:szCs w:val="21"/>
                      <w:highlight w:val="none"/>
                      <w:lang w:val="en-US" w:eastAsia="zh-CN"/>
                    </w:rPr>
                    <w:t>单台3000</w:t>
                  </w:r>
                  <w:r>
                    <w:rPr>
                      <w:rFonts w:hint="default" w:ascii="Times New Roman" w:hAnsi="Times New Roman" w:eastAsia="仿宋" w:cs="Times New Roman"/>
                      <w:bCs/>
                      <w:color w:val="0000FF"/>
                      <w:szCs w:val="21"/>
                      <w:highlight w:val="none"/>
                    </w:rPr>
                    <w:t>m</w:t>
                  </w:r>
                  <w:r>
                    <w:rPr>
                      <w:rFonts w:hint="default" w:ascii="Times New Roman" w:hAnsi="Times New Roman" w:eastAsia="仿宋" w:cs="Times New Roman"/>
                      <w:bCs/>
                      <w:color w:val="0000FF"/>
                      <w:szCs w:val="21"/>
                      <w:highlight w:val="none"/>
                      <w:vertAlign w:val="superscript"/>
                    </w:rPr>
                    <w:t>3</w:t>
                  </w:r>
                  <w:r>
                    <w:rPr>
                      <w:rFonts w:hint="default" w:ascii="Times New Roman" w:hAnsi="Times New Roman" w:eastAsia="仿宋" w:cs="Times New Roman"/>
                      <w:bCs/>
                      <w:color w:val="0000FF"/>
                      <w:szCs w:val="21"/>
                      <w:highlight w:val="none"/>
                    </w:rPr>
                    <w:t>/h</w:t>
                  </w:r>
                </w:p>
              </w:tc>
              <w:tc>
                <w:tcPr>
                  <w:tcW w:w="1658" w:type="pct"/>
                  <w:vMerge w:val="continue"/>
                  <w:noWrap w:val="0"/>
                  <w:vAlign w:val="center"/>
                </w:tcPr>
                <w:p w14:paraId="2FB4A99A">
                  <w:pPr>
                    <w:jc w:val="center"/>
                    <w:rPr>
                      <w:rFonts w:hint="default" w:ascii="Times New Roman" w:hAnsi="Times New Roman" w:eastAsia="仿宋" w:cs="Times New Roman"/>
                      <w:bCs/>
                      <w:color w:val="auto"/>
                      <w:szCs w:val="21"/>
                      <w:highlight w:val="none"/>
                    </w:rPr>
                  </w:pPr>
                </w:p>
              </w:tc>
            </w:tr>
            <w:tr w14:paraId="62DC2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continue"/>
                  <w:noWrap w:val="0"/>
                  <w:vAlign w:val="center"/>
                </w:tcPr>
                <w:p w14:paraId="640B26E9">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500" w:type="pct"/>
                  <w:noWrap w:val="0"/>
                  <w:vAlign w:val="center"/>
                </w:tcPr>
                <w:p w14:paraId="14AEEF11">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废水治理</w:t>
                  </w:r>
                </w:p>
              </w:tc>
              <w:tc>
                <w:tcPr>
                  <w:tcW w:w="1505" w:type="pct"/>
                  <w:noWrap w:val="0"/>
                  <w:vAlign w:val="center"/>
                </w:tcPr>
                <w:p w14:paraId="6D54A180">
                  <w:pPr>
                    <w:ind w:left="-105" w:leftChars="-50" w:right="-105" w:rightChars="-50"/>
                    <w:jc w:val="center"/>
                    <w:rPr>
                      <w:rFonts w:hint="default" w:ascii="Times New Roman" w:hAnsi="Times New Roman" w:eastAsia="仿宋" w:cs="Times New Roman"/>
                      <w:bCs/>
                      <w:color w:val="auto"/>
                      <w:szCs w:val="21"/>
                      <w:highlight w:val="none"/>
                    </w:rPr>
                  </w:pPr>
                  <w:r>
                    <w:rPr>
                      <w:rFonts w:hint="eastAsia" w:eastAsia="仿宋" w:cs="Times New Roman"/>
                      <w:bCs/>
                      <w:color w:val="auto"/>
                      <w:szCs w:val="21"/>
                      <w:highlight w:val="none"/>
                      <w:lang w:val="en-US" w:eastAsia="zh-CN"/>
                    </w:rPr>
                    <w:t>化粪池</w:t>
                  </w:r>
                </w:p>
              </w:tc>
              <w:tc>
                <w:tcPr>
                  <w:tcW w:w="947" w:type="pct"/>
                  <w:noWrap w:val="0"/>
                  <w:tcMar>
                    <w:left w:w="0" w:type="dxa"/>
                    <w:right w:w="0" w:type="dxa"/>
                  </w:tcMar>
                  <w:vAlign w:val="center"/>
                </w:tcPr>
                <w:p w14:paraId="3BAC7009">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w:t>
                  </w:r>
                </w:p>
              </w:tc>
              <w:tc>
                <w:tcPr>
                  <w:tcW w:w="1658" w:type="pct"/>
                  <w:noWrap w:val="0"/>
                  <w:vAlign w:val="center"/>
                </w:tcPr>
                <w:p w14:paraId="069321CB">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依托</w:t>
                  </w:r>
                  <w:r>
                    <w:rPr>
                      <w:rFonts w:hint="default" w:ascii="Times New Roman" w:hAnsi="Times New Roman" w:eastAsia="仿宋" w:cs="Times New Roman"/>
                      <w:bCs/>
                      <w:color w:val="auto"/>
                      <w:szCs w:val="21"/>
                      <w:highlight w:val="none"/>
                      <w:lang w:val="en-US" w:eastAsia="zh-CN"/>
                    </w:rPr>
                    <w:t>园区</w:t>
                  </w:r>
                  <w:r>
                    <w:rPr>
                      <w:rFonts w:hint="eastAsia" w:eastAsia="仿宋" w:cs="Times New Roman"/>
                      <w:bCs/>
                      <w:color w:val="auto"/>
                      <w:szCs w:val="21"/>
                      <w:highlight w:val="none"/>
                      <w:lang w:val="en-US" w:eastAsia="zh-CN"/>
                    </w:rPr>
                    <w:t>，</w:t>
                  </w:r>
                  <w:r>
                    <w:rPr>
                      <w:rFonts w:hint="default" w:ascii="Times New Roman" w:hAnsi="Times New Roman" w:eastAsia="仿宋" w:cs="Times New Roman"/>
                      <w:bCs/>
                      <w:color w:val="auto"/>
                      <w:szCs w:val="21"/>
                      <w:highlight w:val="none"/>
                    </w:rPr>
                    <w:t>生活污水接管排放</w:t>
                  </w:r>
                </w:p>
              </w:tc>
            </w:tr>
            <w:tr w14:paraId="4DFA8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89" w:type="pct"/>
                  <w:vMerge w:val="continue"/>
                  <w:noWrap w:val="0"/>
                  <w:vAlign w:val="center"/>
                </w:tcPr>
                <w:p w14:paraId="36DD4143">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500" w:type="pct"/>
                  <w:vMerge w:val="restart"/>
                  <w:noWrap w:val="0"/>
                  <w:vAlign w:val="center"/>
                </w:tcPr>
                <w:p w14:paraId="07ACCBCE">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固废处置</w:t>
                  </w:r>
                </w:p>
              </w:tc>
              <w:tc>
                <w:tcPr>
                  <w:tcW w:w="1505" w:type="pct"/>
                  <w:noWrap w:val="0"/>
                  <w:vAlign w:val="center"/>
                </w:tcPr>
                <w:p w14:paraId="11951DAB">
                  <w:pPr>
                    <w:adjustRightInd w:val="0"/>
                    <w:snapToGrid w:val="0"/>
                    <w:spacing w:line="264" w:lineRule="auto"/>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危废仓库</w:t>
                  </w:r>
                </w:p>
              </w:tc>
              <w:tc>
                <w:tcPr>
                  <w:tcW w:w="947" w:type="pct"/>
                  <w:noWrap w:val="0"/>
                  <w:tcMar>
                    <w:left w:w="0" w:type="dxa"/>
                    <w:right w:w="0" w:type="dxa"/>
                  </w:tcMar>
                  <w:vAlign w:val="center"/>
                </w:tcPr>
                <w:p w14:paraId="5883CA30">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面积</w:t>
                  </w:r>
                  <w:r>
                    <w:rPr>
                      <w:rFonts w:hint="default" w:ascii="Times New Roman" w:hAnsi="Times New Roman" w:eastAsia="仿宋" w:cs="Times New Roman"/>
                      <w:color w:val="auto"/>
                      <w:szCs w:val="21"/>
                      <w:highlight w:val="none"/>
                      <w:lang w:val="en-US" w:eastAsia="zh-CN"/>
                    </w:rPr>
                    <w:t>20</w:t>
                  </w:r>
                  <w:r>
                    <w:rPr>
                      <w:rFonts w:hint="default" w:ascii="Times New Roman" w:hAnsi="Times New Roman" w:eastAsia="仿宋" w:cs="Times New Roman"/>
                      <w:color w:val="auto"/>
                      <w:highlight w:val="none"/>
                    </w:rPr>
                    <w:t>m</w:t>
                  </w:r>
                  <w:r>
                    <w:rPr>
                      <w:rFonts w:hint="default" w:ascii="Times New Roman" w:hAnsi="Times New Roman" w:eastAsia="仿宋" w:cs="Times New Roman"/>
                      <w:color w:val="auto"/>
                      <w:highlight w:val="none"/>
                      <w:vertAlign w:val="superscript"/>
                    </w:rPr>
                    <w:t>2</w:t>
                  </w:r>
                </w:p>
              </w:tc>
              <w:tc>
                <w:tcPr>
                  <w:tcW w:w="1658" w:type="pct"/>
                  <w:vMerge w:val="restart"/>
                  <w:noWrap w:val="0"/>
                  <w:vAlign w:val="center"/>
                </w:tcPr>
                <w:p w14:paraId="36B0C312">
                  <w:pPr>
                    <w:adjustRightInd w:val="0"/>
                    <w:snapToGrid w:val="0"/>
                    <w:spacing w:line="264" w:lineRule="auto"/>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依托现有，</w:t>
                  </w:r>
                  <w:r>
                    <w:rPr>
                      <w:rFonts w:hint="default" w:ascii="Times New Roman" w:hAnsi="Times New Roman" w:eastAsia="仿宋" w:cs="Times New Roman"/>
                      <w:color w:val="auto"/>
                      <w:szCs w:val="21"/>
                      <w:highlight w:val="none"/>
                    </w:rPr>
                    <w:t>满足环境管理要求</w:t>
                  </w:r>
                </w:p>
              </w:tc>
            </w:tr>
            <w:tr w14:paraId="0A3B2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89" w:type="pct"/>
                  <w:vMerge w:val="continue"/>
                  <w:noWrap w:val="0"/>
                  <w:vAlign w:val="center"/>
                </w:tcPr>
                <w:p w14:paraId="7489B623">
                  <w:pPr>
                    <w:adjustRightInd w:val="0"/>
                    <w:snapToGrid w:val="0"/>
                    <w:spacing w:line="264" w:lineRule="auto"/>
                    <w:jc w:val="center"/>
                    <w:rPr>
                      <w:rFonts w:hint="default" w:ascii="Times New Roman" w:hAnsi="Times New Roman" w:cs="Times New Roman"/>
                    </w:rPr>
                  </w:pPr>
                </w:p>
              </w:tc>
              <w:tc>
                <w:tcPr>
                  <w:tcW w:w="500" w:type="pct"/>
                  <w:vMerge w:val="continue"/>
                  <w:noWrap w:val="0"/>
                  <w:vAlign w:val="center"/>
                </w:tcPr>
                <w:p w14:paraId="3E64FF62">
                  <w:pPr>
                    <w:adjustRightInd w:val="0"/>
                    <w:snapToGrid w:val="0"/>
                    <w:spacing w:line="264" w:lineRule="auto"/>
                    <w:jc w:val="center"/>
                    <w:rPr>
                      <w:rFonts w:hint="default" w:ascii="Times New Roman" w:hAnsi="Times New Roman" w:cs="Times New Roman"/>
                    </w:rPr>
                  </w:pPr>
                </w:p>
              </w:tc>
              <w:tc>
                <w:tcPr>
                  <w:tcW w:w="1505" w:type="pct"/>
                  <w:noWrap w:val="0"/>
                  <w:vAlign w:val="center"/>
                </w:tcPr>
                <w:p w14:paraId="7C5BB673">
                  <w:pPr>
                    <w:adjustRightInd w:val="0"/>
                    <w:snapToGrid w:val="0"/>
                    <w:spacing w:line="264" w:lineRule="auto"/>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一般固废仓库</w:t>
                  </w:r>
                </w:p>
              </w:tc>
              <w:tc>
                <w:tcPr>
                  <w:tcW w:w="947" w:type="pct"/>
                  <w:noWrap w:val="0"/>
                  <w:tcMar>
                    <w:left w:w="0" w:type="dxa"/>
                    <w:right w:w="0" w:type="dxa"/>
                  </w:tcMar>
                  <w:vAlign w:val="center"/>
                </w:tcPr>
                <w:p w14:paraId="773978D0">
                  <w:pPr>
                    <w:adjustRightInd w:val="0"/>
                    <w:snapToGrid w:val="0"/>
                    <w:spacing w:line="264" w:lineRule="auto"/>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szCs w:val="21"/>
                      <w:highlight w:val="none"/>
                    </w:rPr>
                    <w:t>面积</w:t>
                  </w:r>
                  <w:r>
                    <w:rPr>
                      <w:rFonts w:hint="default" w:ascii="Times New Roman" w:hAnsi="Times New Roman" w:eastAsia="仿宋" w:cs="Times New Roman"/>
                      <w:color w:val="auto"/>
                      <w:szCs w:val="21"/>
                      <w:highlight w:val="none"/>
                      <w:lang w:val="en-US" w:eastAsia="zh-CN"/>
                    </w:rPr>
                    <w:t>20</w:t>
                  </w:r>
                  <w:r>
                    <w:rPr>
                      <w:rFonts w:hint="default" w:ascii="Times New Roman" w:hAnsi="Times New Roman" w:eastAsia="仿宋" w:cs="Times New Roman"/>
                      <w:color w:val="auto"/>
                      <w:highlight w:val="none"/>
                    </w:rPr>
                    <w:t>m</w:t>
                  </w:r>
                  <w:r>
                    <w:rPr>
                      <w:rFonts w:hint="default" w:ascii="Times New Roman" w:hAnsi="Times New Roman" w:eastAsia="仿宋" w:cs="Times New Roman"/>
                      <w:color w:val="auto"/>
                      <w:highlight w:val="none"/>
                      <w:vertAlign w:val="superscript"/>
                    </w:rPr>
                    <w:t>2</w:t>
                  </w:r>
                </w:p>
              </w:tc>
              <w:tc>
                <w:tcPr>
                  <w:tcW w:w="1658" w:type="pct"/>
                  <w:vMerge w:val="continue"/>
                  <w:noWrap w:val="0"/>
                  <w:vAlign w:val="center"/>
                </w:tcPr>
                <w:p w14:paraId="5F669D33">
                  <w:pPr>
                    <w:adjustRightInd w:val="0"/>
                    <w:snapToGrid w:val="0"/>
                    <w:spacing w:line="264" w:lineRule="auto"/>
                    <w:jc w:val="center"/>
                    <w:rPr>
                      <w:rFonts w:hint="default" w:ascii="Times New Roman" w:hAnsi="Times New Roman" w:eastAsia="仿宋" w:cs="Times New Roman"/>
                      <w:color w:val="auto"/>
                      <w:highlight w:val="none"/>
                    </w:rPr>
                  </w:pPr>
                </w:p>
              </w:tc>
            </w:tr>
            <w:tr w14:paraId="2B226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Merge w:val="continue"/>
                  <w:noWrap w:val="0"/>
                  <w:vAlign w:val="center"/>
                </w:tcPr>
                <w:p w14:paraId="4DECF2A1">
                  <w:pPr>
                    <w:adjustRightInd w:val="0"/>
                    <w:snapToGrid w:val="0"/>
                    <w:spacing w:line="264" w:lineRule="auto"/>
                    <w:jc w:val="center"/>
                    <w:rPr>
                      <w:rFonts w:hint="default" w:ascii="Times New Roman" w:hAnsi="Times New Roman" w:eastAsia="仿宋" w:cs="Times New Roman"/>
                      <w:color w:val="auto"/>
                      <w:szCs w:val="21"/>
                      <w:highlight w:val="none"/>
                    </w:rPr>
                  </w:pPr>
                </w:p>
              </w:tc>
              <w:tc>
                <w:tcPr>
                  <w:tcW w:w="500" w:type="pct"/>
                  <w:noWrap w:val="0"/>
                  <w:vAlign w:val="center"/>
                </w:tcPr>
                <w:p w14:paraId="7514B194">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噪声防治</w:t>
                  </w:r>
                </w:p>
              </w:tc>
              <w:tc>
                <w:tcPr>
                  <w:tcW w:w="1505" w:type="pct"/>
                  <w:noWrap w:val="0"/>
                  <w:vAlign w:val="center"/>
                </w:tcPr>
                <w:p w14:paraId="7636A190">
                  <w:pPr>
                    <w:ind w:left="-105" w:leftChars="-50" w:right="-105" w:rightChars="-5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安装减震垫、距离衰减</w:t>
                  </w:r>
                </w:p>
              </w:tc>
              <w:tc>
                <w:tcPr>
                  <w:tcW w:w="947" w:type="pct"/>
                  <w:noWrap w:val="0"/>
                  <w:tcMar>
                    <w:left w:w="0" w:type="dxa"/>
                    <w:right w:w="0" w:type="dxa"/>
                  </w:tcMar>
                  <w:vAlign w:val="center"/>
                </w:tcPr>
                <w:p w14:paraId="0E016F04">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降噪20</w:t>
                  </w:r>
                  <w:r>
                    <w:rPr>
                      <w:rFonts w:hint="eastAsia" w:eastAsia="仿宋" w:cs="Times New Roman"/>
                      <w:color w:val="auto"/>
                      <w:highlight w:val="none"/>
                      <w:lang w:val="en-US" w:eastAsia="zh-CN"/>
                    </w:rPr>
                    <w:t>~25</w:t>
                  </w:r>
                  <w:r>
                    <w:rPr>
                      <w:rFonts w:hint="default" w:ascii="Times New Roman" w:hAnsi="Times New Roman" w:eastAsia="仿宋" w:cs="Times New Roman"/>
                      <w:color w:val="auto"/>
                      <w:highlight w:val="none"/>
                    </w:rPr>
                    <w:t>dB(A)</w:t>
                  </w:r>
                </w:p>
              </w:tc>
              <w:tc>
                <w:tcPr>
                  <w:tcW w:w="1658" w:type="pct"/>
                  <w:noWrap w:val="0"/>
                  <w:vAlign w:val="center"/>
                </w:tcPr>
                <w:p w14:paraId="663925B7">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厂界噪声达标排放</w:t>
                  </w:r>
                </w:p>
              </w:tc>
            </w:tr>
          </w:tbl>
          <w:p w14:paraId="7386A4E9">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pPr>
            <w:r>
              <w:rPr>
                <w:rFonts w:hint="default" w:ascii="Times New Roman" w:hAnsi="Times New Roman" w:eastAsia="仿宋" w:cs="Times New Roman"/>
                <w:color w:val="auto"/>
                <w:sz w:val="24"/>
                <w:highlight w:val="none"/>
              </w:rPr>
              <w:t>本项目依托的公辅工程包括：</w:t>
            </w:r>
            <w:r>
              <w:rPr>
                <w:rFonts w:hint="default" w:ascii="Times New Roman" w:hAnsi="Times New Roman" w:eastAsia="仿宋" w:cs="Times New Roman"/>
                <w:color w:val="auto"/>
                <w:sz w:val="24"/>
                <w:highlight w:val="none"/>
                <w:lang w:val="en-US" w:eastAsia="zh-CN"/>
              </w:rPr>
              <w:t>1、</w:t>
            </w:r>
            <w:r>
              <w:rPr>
                <w:rFonts w:hint="default" w:ascii="Times New Roman" w:hAnsi="Times New Roman" w:eastAsia="仿宋" w:cs="Times New Roman"/>
                <w:color w:val="auto"/>
                <w:sz w:val="24"/>
                <w:highlight w:val="none"/>
              </w:rPr>
              <w:t>本项目供水、供电</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color w:val="auto"/>
                <w:sz w:val="24"/>
                <w:highlight w:val="none"/>
                <w:lang w:val="en-US" w:eastAsia="zh-CN"/>
              </w:rPr>
              <w:t>化粪池均</w:t>
            </w:r>
            <w:r>
              <w:rPr>
                <w:rFonts w:hint="default" w:ascii="Times New Roman" w:hAnsi="Times New Roman" w:eastAsia="仿宋" w:cs="Times New Roman"/>
                <w:color w:val="auto"/>
                <w:sz w:val="24"/>
                <w:highlight w:val="none"/>
              </w:rPr>
              <w:t>依托</w:t>
            </w:r>
            <w:r>
              <w:rPr>
                <w:rFonts w:hint="eastAsia" w:eastAsia="仿宋" w:cs="Times New Roman"/>
                <w:color w:val="auto"/>
                <w:sz w:val="24"/>
                <w:highlight w:val="none"/>
                <w:lang w:val="en-US" w:eastAsia="zh-CN"/>
              </w:rPr>
              <w:t>园区</w:t>
            </w:r>
            <w:r>
              <w:rPr>
                <w:rFonts w:hint="default" w:ascii="Times New Roman" w:hAnsi="Times New Roman" w:eastAsia="仿宋" w:cs="Times New Roman"/>
                <w:color w:val="auto"/>
                <w:sz w:val="24"/>
                <w:highlight w:val="none"/>
              </w:rPr>
              <w:t>现有，可满足本项目使用需求</w:t>
            </w:r>
            <w:r>
              <w:rPr>
                <w:rFonts w:hint="default" w:ascii="Times New Roman" w:hAnsi="Times New Roman" w:eastAsia="仿宋" w:cs="Times New Roman"/>
                <w:color w:val="auto"/>
                <w:sz w:val="24"/>
                <w:highlight w:val="none"/>
                <w:lang w:val="en-US" w:eastAsia="zh-CN"/>
              </w:rPr>
              <w:t>；2、</w:t>
            </w:r>
            <w:r>
              <w:rPr>
                <w:rFonts w:hint="eastAsia" w:eastAsia="仿宋" w:cs="Times New Roman"/>
                <w:color w:val="auto"/>
                <w:sz w:val="24"/>
                <w:highlight w:val="none"/>
                <w:lang w:val="en-US" w:eastAsia="zh-CN"/>
              </w:rPr>
              <w:t>园区</w:t>
            </w:r>
            <w:r>
              <w:rPr>
                <w:rFonts w:hint="default" w:ascii="Times New Roman" w:hAnsi="Times New Roman" w:eastAsia="仿宋" w:cs="Times New Roman"/>
                <w:color w:val="auto"/>
                <w:sz w:val="24"/>
                <w:highlight w:val="none"/>
              </w:rPr>
              <w:t>已实施“雨污分流”，本项目依托</w:t>
            </w:r>
            <w:r>
              <w:rPr>
                <w:rFonts w:hint="eastAsia" w:eastAsia="仿宋" w:cs="Times New Roman"/>
                <w:color w:val="auto"/>
                <w:sz w:val="24"/>
                <w:highlight w:val="none"/>
                <w:lang w:val="en-US" w:eastAsia="zh-CN"/>
              </w:rPr>
              <w:t>园区</w:t>
            </w:r>
            <w:r>
              <w:rPr>
                <w:rFonts w:hint="default" w:ascii="Times New Roman" w:hAnsi="Times New Roman" w:eastAsia="仿宋" w:cs="Times New Roman"/>
                <w:color w:val="auto"/>
                <w:sz w:val="24"/>
                <w:highlight w:val="none"/>
              </w:rPr>
              <w:t>现有1个雨水排放口、1个污水排放口，不新设排污口</w:t>
            </w:r>
            <w:r>
              <w:rPr>
                <w:rFonts w:hint="default" w:ascii="Times New Roman" w:hAnsi="Times New Roman" w:eastAsia="仿宋" w:cs="Times New Roman"/>
                <w:color w:val="auto"/>
                <w:sz w:val="24"/>
                <w:highlight w:val="none"/>
                <w:lang w:eastAsia="zh-CN"/>
              </w:rPr>
              <w:t>；</w:t>
            </w:r>
            <w:r>
              <w:rPr>
                <w:rFonts w:hint="eastAsia" w:eastAsia="仿宋" w:cs="Times New Roman"/>
                <w:color w:val="auto"/>
                <w:sz w:val="24"/>
                <w:highlight w:val="none"/>
                <w:lang w:val="en-US" w:eastAsia="zh-CN"/>
              </w:rPr>
              <w:t>3、空压机及冷却塔依托现有项目，可满足需求；4、本项目危废仓库及固废仓库依托现有；5</w:t>
            </w:r>
            <w:r>
              <w:rPr>
                <w:rFonts w:hint="default" w:ascii="Times New Roman" w:hAnsi="Times New Roman" w:eastAsia="仿宋" w:cs="Times New Roman"/>
                <w:color w:val="auto"/>
                <w:sz w:val="24"/>
                <w:highlight w:val="none"/>
                <w:lang w:val="en-US" w:eastAsia="zh-CN"/>
              </w:rPr>
              <w:t>、</w:t>
            </w:r>
            <w:r>
              <w:rPr>
                <w:rFonts w:hint="default" w:ascii="Times New Roman" w:hAnsi="Times New Roman" w:eastAsia="仿宋" w:cs="Times New Roman"/>
                <w:color w:val="auto"/>
                <w:sz w:val="24"/>
                <w:highlight w:val="none"/>
              </w:rPr>
              <w:t>本项目环境风险防范措施（事故应急池、截流阀、消防栓等）均依托</w:t>
            </w:r>
            <w:r>
              <w:rPr>
                <w:rFonts w:hint="eastAsia" w:eastAsia="仿宋" w:cs="Times New Roman"/>
                <w:color w:val="auto"/>
                <w:sz w:val="24"/>
                <w:highlight w:val="none"/>
                <w:lang w:val="en-US" w:eastAsia="zh-CN"/>
              </w:rPr>
              <w:t>园区</w:t>
            </w:r>
            <w:r>
              <w:rPr>
                <w:rFonts w:hint="default" w:ascii="Times New Roman" w:hAnsi="Times New Roman" w:eastAsia="仿宋" w:cs="Times New Roman"/>
                <w:color w:val="auto"/>
                <w:sz w:val="24"/>
                <w:highlight w:val="none"/>
              </w:rPr>
              <w:t>现有。</w:t>
            </w:r>
          </w:p>
          <w:p w14:paraId="11667C5B">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2、环保投资</w:t>
            </w:r>
          </w:p>
          <w:p w14:paraId="0500B04F">
            <w:pPr>
              <w:keepNext w:val="0"/>
              <w:keepLines w:val="0"/>
              <w:pageBreakBefore w:val="0"/>
              <w:tabs>
                <w:tab w:val="left" w:pos="177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本项目总投资</w:t>
            </w:r>
            <w:r>
              <w:rPr>
                <w:rFonts w:hint="default" w:ascii="Times New Roman" w:hAnsi="Times New Roman"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rPr>
              <w:t>000万元，环保投资</w:t>
            </w:r>
            <w:r>
              <w:rPr>
                <w:rFonts w:hint="eastAsia"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lang w:val="en-US" w:eastAsia="zh-CN"/>
              </w:rPr>
              <w:t>9</w:t>
            </w:r>
            <w:r>
              <w:rPr>
                <w:rFonts w:hint="default" w:ascii="Times New Roman" w:hAnsi="Times New Roman" w:eastAsia="仿宋" w:cs="Times New Roman"/>
                <w:color w:val="auto"/>
                <w:sz w:val="24"/>
                <w:highlight w:val="none"/>
              </w:rPr>
              <w:t>万元人民币，占总投资额的</w:t>
            </w:r>
            <w:r>
              <w:rPr>
                <w:rFonts w:hint="default" w:ascii="Times New Roman" w:hAnsi="Times New Roman" w:eastAsia="仿宋" w:cs="Times New Roman"/>
                <w:color w:val="auto"/>
                <w:sz w:val="24"/>
                <w:highlight w:val="none"/>
                <w:lang w:val="en-US" w:eastAsia="zh-CN"/>
              </w:rPr>
              <w:t>1.</w:t>
            </w:r>
            <w:r>
              <w:rPr>
                <w:rFonts w:hint="eastAsia" w:eastAsia="仿宋" w:cs="Times New Roman"/>
                <w:color w:val="auto"/>
                <w:sz w:val="24"/>
                <w:highlight w:val="none"/>
                <w:lang w:val="en-US" w:eastAsia="zh-CN"/>
              </w:rPr>
              <w:t>9</w:t>
            </w:r>
            <w:r>
              <w:rPr>
                <w:rFonts w:hint="default"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lang w:val="en-GB"/>
              </w:rPr>
              <w:t>％</w:t>
            </w:r>
            <w:r>
              <w:rPr>
                <w:rFonts w:hint="default" w:ascii="Times New Roman" w:hAnsi="Times New Roman" w:eastAsia="仿宋" w:cs="Times New Roman"/>
                <w:color w:val="auto"/>
                <w:sz w:val="24"/>
                <w:highlight w:val="none"/>
              </w:rPr>
              <w:t>，具体环保投资估算情况见表2-</w:t>
            </w:r>
            <w:r>
              <w:rPr>
                <w:rFonts w:hint="eastAsia" w:ascii="Times New Roman" w:hAnsi="Times New Roman" w:eastAsia="仿宋" w:cs="Times New Roman"/>
                <w:color w:val="auto"/>
                <w:sz w:val="24"/>
                <w:highlight w:val="none"/>
                <w:lang w:val="en-US" w:eastAsia="zh-CN"/>
              </w:rPr>
              <w:t>8</w:t>
            </w:r>
            <w:r>
              <w:rPr>
                <w:rFonts w:hint="default" w:ascii="Times New Roman" w:hAnsi="Times New Roman" w:eastAsia="仿宋" w:cs="Times New Roman"/>
                <w:color w:val="auto"/>
                <w:sz w:val="24"/>
                <w:highlight w:val="none"/>
              </w:rPr>
              <w:t>。</w:t>
            </w:r>
          </w:p>
          <w:p w14:paraId="01E15021">
            <w:pPr>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表2-</w:t>
            </w:r>
            <w:r>
              <w:rPr>
                <w:rFonts w:hint="eastAsia" w:ascii="Times New Roman" w:hAnsi="Times New Roman" w:eastAsia="仿宋" w:cs="Times New Roman"/>
                <w:b/>
                <w:bCs/>
                <w:color w:val="auto"/>
                <w:sz w:val="24"/>
                <w:highlight w:val="none"/>
                <w:lang w:val="en-US" w:eastAsia="zh-CN"/>
              </w:rPr>
              <w:t>8</w:t>
            </w:r>
            <w:r>
              <w:rPr>
                <w:rFonts w:hint="default" w:ascii="Times New Roman" w:hAnsi="Times New Roman" w:eastAsia="仿宋" w:cs="Times New Roman"/>
                <w:b/>
                <w:bCs/>
                <w:color w:val="auto"/>
                <w:sz w:val="24"/>
                <w:highlight w:val="none"/>
              </w:rPr>
              <w:t xml:space="preserve">  本项目环保投资估算一览表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15"/>
              <w:gridCol w:w="3014"/>
              <w:gridCol w:w="905"/>
              <w:gridCol w:w="674"/>
              <w:gridCol w:w="1083"/>
              <w:gridCol w:w="1788"/>
            </w:tblGrid>
            <w:tr w14:paraId="4BA059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546" w:type="pct"/>
                  <w:tcBorders>
                    <w:top w:val="single" w:color="auto" w:sz="12" w:space="0"/>
                    <w:left w:val="nil"/>
                    <w:bottom w:val="single" w:color="auto" w:sz="2" w:space="0"/>
                    <w:right w:val="single" w:color="auto" w:sz="2" w:space="0"/>
                  </w:tcBorders>
                  <w:noWrap w:val="0"/>
                  <w:vAlign w:val="center"/>
                </w:tcPr>
                <w:p w14:paraId="592D51E0">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污染源</w:t>
                  </w:r>
                </w:p>
              </w:tc>
              <w:tc>
                <w:tcPr>
                  <w:tcW w:w="1798" w:type="pct"/>
                  <w:tcBorders>
                    <w:top w:val="single" w:color="auto" w:sz="12" w:space="0"/>
                    <w:left w:val="single" w:color="auto" w:sz="2" w:space="0"/>
                    <w:bottom w:val="single" w:color="auto" w:sz="2" w:space="0"/>
                    <w:right w:val="single" w:color="auto" w:sz="2" w:space="0"/>
                  </w:tcBorders>
                  <w:noWrap w:val="0"/>
                  <w:vAlign w:val="center"/>
                </w:tcPr>
                <w:p w14:paraId="10B9DC9A">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环保设施名称</w:t>
                  </w:r>
                </w:p>
              </w:tc>
              <w:tc>
                <w:tcPr>
                  <w:tcW w:w="540" w:type="pct"/>
                  <w:tcBorders>
                    <w:top w:val="single" w:color="auto" w:sz="12" w:space="0"/>
                    <w:left w:val="single" w:color="auto" w:sz="2" w:space="0"/>
                    <w:bottom w:val="single" w:color="auto" w:sz="2" w:space="0"/>
                    <w:right w:val="single" w:color="auto" w:sz="2" w:space="0"/>
                  </w:tcBorders>
                  <w:noWrap w:val="0"/>
                  <w:vAlign w:val="center"/>
                </w:tcPr>
                <w:p w14:paraId="74BA8B10">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环保投资</w:t>
                  </w:r>
                </w:p>
                <w:p w14:paraId="1F6D96E2">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（万元）</w:t>
                  </w:r>
                </w:p>
              </w:tc>
              <w:tc>
                <w:tcPr>
                  <w:tcW w:w="402" w:type="pct"/>
                  <w:tcBorders>
                    <w:top w:val="single" w:color="auto" w:sz="12" w:space="0"/>
                    <w:left w:val="single" w:color="auto" w:sz="2" w:space="0"/>
                    <w:bottom w:val="single" w:color="auto" w:sz="2" w:space="0"/>
                    <w:right w:val="single" w:color="auto" w:sz="2" w:space="0"/>
                  </w:tcBorders>
                  <w:noWrap w:val="0"/>
                  <w:vAlign w:val="center"/>
                </w:tcPr>
                <w:p w14:paraId="075A11D6">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数量</w:t>
                  </w:r>
                </w:p>
              </w:tc>
              <w:tc>
                <w:tcPr>
                  <w:tcW w:w="646" w:type="pct"/>
                  <w:tcBorders>
                    <w:top w:val="single" w:color="auto" w:sz="12" w:space="0"/>
                    <w:left w:val="single" w:color="auto" w:sz="2" w:space="0"/>
                    <w:bottom w:val="single" w:color="auto" w:sz="2" w:space="0"/>
                    <w:right w:val="single" w:color="auto" w:sz="2" w:space="0"/>
                  </w:tcBorders>
                  <w:noWrap w:val="0"/>
                  <w:vAlign w:val="center"/>
                </w:tcPr>
                <w:p w14:paraId="29EF9ECF">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处理能力</w:t>
                  </w:r>
                </w:p>
              </w:tc>
              <w:tc>
                <w:tcPr>
                  <w:tcW w:w="1066" w:type="pct"/>
                  <w:tcBorders>
                    <w:top w:val="single" w:color="auto" w:sz="12" w:space="0"/>
                    <w:left w:val="single" w:color="auto" w:sz="2" w:space="0"/>
                    <w:bottom w:val="single" w:color="auto" w:sz="2" w:space="0"/>
                    <w:right w:val="nil"/>
                  </w:tcBorders>
                  <w:noWrap w:val="0"/>
                  <w:vAlign w:val="center"/>
                </w:tcPr>
                <w:p w14:paraId="22948FF3">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处理效果</w:t>
                  </w:r>
                </w:p>
              </w:tc>
            </w:tr>
            <w:tr w14:paraId="22F21C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546" w:type="pct"/>
                  <w:vMerge w:val="restart"/>
                  <w:tcBorders>
                    <w:top w:val="single" w:color="auto" w:sz="2" w:space="0"/>
                    <w:left w:val="nil"/>
                    <w:right w:val="single" w:color="auto" w:sz="2" w:space="0"/>
                  </w:tcBorders>
                  <w:noWrap w:val="0"/>
                  <w:vAlign w:val="center"/>
                </w:tcPr>
                <w:p w14:paraId="092E0B88">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废气</w:t>
                  </w:r>
                </w:p>
              </w:tc>
              <w:tc>
                <w:tcPr>
                  <w:tcW w:w="1798" w:type="pct"/>
                  <w:tcBorders>
                    <w:top w:val="single" w:color="auto" w:sz="2" w:space="0"/>
                    <w:left w:val="single" w:color="auto" w:sz="2" w:space="0"/>
                    <w:bottom w:val="single" w:color="auto" w:sz="2" w:space="0"/>
                    <w:right w:val="single" w:color="auto" w:sz="4" w:space="0"/>
                  </w:tcBorders>
                  <w:noWrap w:val="0"/>
                  <w:vAlign w:val="center"/>
                </w:tcPr>
                <w:p w14:paraId="51E50EC4">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5#布袋除尘装置+15m高排气筒FQ-5</w:t>
                  </w:r>
                </w:p>
              </w:tc>
              <w:tc>
                <w:tcPr>
                  <w:tcW w:w="540" w:type="pct"/>
                  <w:tcBorders>
                    <w:top w:val="single" w:color="auto" w:sz="2" w:space="0"/>
                    <w:left w:val="single" w:color="auto" w:sz="4" w:space="0"/>
                    <w:right w:val="single" w:color="auto" w:sz="2" w:space="0"/>
                  </w:tcBorders>
                  <w:noWrap w:val="0"/>
                  <w:vAlign w:val="center"/>
                </w:tcPr>
                <w:p w14:paraId="5E33C39F">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10</w:t>
                  </w:r>
                </w:p>
              </w:tc>
              <w:tc>
                <w:tcPr>
                  <w:tcW w:w="402" w:type="pct"/>
                  <w:tcBorders>
                    <w:top w:val="single" w:color="auto" w:sz="2" w:space="0"/>
                    <w:left w:val="single" w:color="auto" w:sz="2" w:space="0"/>
                    <w:right w:val="single" w:color="auto" w:sz="2" w:space="0"/>
                  </w:tcBorders>
                  <w:noWrap w:val="0"/>
                  <w:vAlign w:val="center"/>
                </w:tcPr>
                <w:p w14:paraId="35E8EE79">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1套</w:t>
                  </w:r>
                </w:p>
              </w:tc>
              <w:tc>
                <w:tcPr>
                  <w:tcW w:w="646" w:type="pct"/>
                  <w:tcBorders>
                    <w:top w:val="single" w:color="auto" w:sz="2" w:space="0"/>
                    <w:left w:val="single" w:color="auto" w:sz="2" w:space="0"/>
                    <w:right w:val="single" w:color="auto" w:sz="2" w:space="0"/>
                  </w:tcBorders>
                  <w:noWrap w:val="0"/>
                  <w:vAlign w:val="center"/>
                </w:tcPr>
                <w:p w14:paraId="21F84AAB">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lang w:val="en-US" w:eastAsia="zh-CN"/>
                    </w:rPr>
                    <w:t>8000</w:t>
                  </w:r>
                  <w:r>
                    <w:rPr>
                      <w:rFonts w:hint="default" w:ascii="Times New Roman" w:hAnsi="Times New Roman" w:eastAsia="仿宋" w:cs="Times New Roman"/>
                      <w:bCs/>
                      <w:color w:val="auto"/>
                      <w:szCs w:val="21"/>
                      <w:highlight w:val="none"/>
                    </w:rPr>
                    <w:t>m</w:t>
                  </w:r>
                  <w:r>
                    <w:rPr>
                      <w:rFonts w:hint="default" w:ascii="Times New Roman" w:hAnsi="Times New Roman" w:eastAsia="仿宋" w:cs="Times New Roman"/>
                      <w:bCs/>
                      <w:color w:val="auto"/>
                      <w:szCs w:val="21"/>
                      <w:highlight w:val="none"/>
                      <w:vertAlign w:val="superscript"/>
                    </w:rPr>
                    <w:t>3</w:t>
                  </w:r>
                  <w:r>
                    <w:rPr>
                      <w:rFonts w:hint="default" w:ascii="Times New Roman" w:hAnsi="Times New Roman" w:eastAsia="仿宋" w:cs="Times New Roman"/>
                      <w:bCs/>
                      <w:color w:val="auto"/>
                      <w:szCs w:val="21"/>
                      <w:highlight w:val="none"/>
                    </w:rPr>
                    <w:t>/h</w:t>
                  </w:r>
                </w:p>
              </w:tc>
              <w:tc>
                <w:tcPr>
                  <w:tcW w:w="1066" w:type="pct"/>
                  <w:vMerge w:val="restart"/>
                  <w:tcBorders>
                    <w:top w:val="single" w:color="auto" w:sz="2" w:space="0"/>
                    <w:left w:val="single" w:color="auto" w:sz="2" w:space="0"/>
                    <w:right w:val="nil"/>
                  </w:tcBorders>
                  <w:noWrap w:val="0"/>
                  <w:vAlign w:val="center"/>
                </w:tcPr>
                <w:p w14:paraId="20B1850F">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废气</w:t>
                  </w:r>
                  <w:r>
                    <w:rPr>
                      <w:rFonts w:hint="eastAsia" w:ascii="Times New Roman" w:hAnsi="Times New Roman" w:eastAsia="仿宋" w:cs="Times New Roman"/>
                      <w:color w:val="auto"/>
                      <w:szCs w:val="21"/>
                      <w:highlight w:val="none"/>
                      <w:lang w:val="en-US" w:eastAsia="zh-CN"/>
                    </w:rPr>
                    <w:t>有组织</w:t>
                  </w:r>
                  <w:r>
                    <w:rPr>
                      <w:rFonts w:hint="default" w:ascii="Times New Roman" w:hAnsi="Times New Roman" w:eastAsia="仿宋" w:cs="Times New Roman"/>
                      <w:color w:val="auto"/>
                      <w:szCs w:val="21"/>
                      <w:highlight w:val="none"/>
                    </w:rPr>
                    <w:t>达标排放</w:t>
                  </w:r>
                </w:p>
              </w:tc>
            </w:tr>
            <w:tr w14:paraId="0DA8B7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546" w:type="pct"/>
                  <w:vMerge w:val="continue"/>
                  <w:tcBorders>
                    <w:left w:val="nil"/>
                    <w:right w:val="single" w:color="auto" w:sz="2" w:space="0"/>
                  </w:tcBorders>
                  <w:noWrap w:val="0"/>
                  <w:vAlign w:val="center"/>
                </w:tcPr>
                <w:p w14:paraId="50E10801">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color w:val="auto"/>
                      <w:szCs w:val="21"/>
                      <w:highlight w:val="none"/>
                    </w:rPr>
                  </w:pPr>
                </w:p>
              </w:tc>
              <w:tc>
                <w:tcPr>
                  <w:tcW w:w="1798" w:type="pct"/>
                  <w:tcBorders>
                    <w:top w:val="single" w:color="auto" w:sz="2" w:space="0"/>
                    <w:left w:val="single" w:color="auto" w:sz="2" w:space="0"/>
                    <w:bottom w:val="single" w:color="auto" w:sz="2" w:space="0"/>
                    <w:right w:val="single" w:color="auto" w:sz="2" w:space="0"/>
                  </w:tcBorders>
                  <w:noWrap w:val="0"/>
                  <w:vAlign w:val="center"/>
                </w:tcPr>
                <w:p w14:paraId="60C0075C">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6#两级活性炭吸附装置+15m高排气筒FQ-6</w:t>
                  </w:r>
                </w:p>
              </w:tc>
              <w:tc>
                <w:tcPr>
                  <w:tcW w:w="540" w:type="pct"/>
                  <w:tcBorders>
                    <w:top w:val="single" w:color="auto" w:sz="2" w:space="0"/>
                    <w:left w:val="single" w:color="auto" w:sz="2" w:space="0"/>
                    <w:bottom w:val="single" w:color="auto" w:sz="2" w:space="0"/>
                    <w:right w:val="single" w:color="auto" w:sz="2" w:space="0"/>
                  </w:tcBorders>
                  <w:noWrap w:val="0"/>
                  <w:vAlign w:val="center"/>
                </w:tcPr>
                <w:p w14:paraId="4C5825D6">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10</w:t>
                  </w:r>
                </w:p>
              </w:tc>
              <w:tc>
                <w:tcPr>
                  <w:tcW w:w="402" w:type="pct"/>
                  <w:tcBorders>
                    <w:top w:val="single" w:color="auto" w:sz="2" w:space="0"/>
                    <w:left w:val="single" w:color="auto" w:sz="2" w:space="0"/>
                    <w:bottom w:val="single" w:color="auto" w:sz="2" w:space="0"/>
                    <w:right w:val="single" w:color="auto" w:sz="2" w:space="0"/>
                  </w:tcBorders>
                  <w:noWrap w:val="0"/>
                  <w:vAlign w:val="center"/>
                </w:tcPr>
                <w:p w14:paraId="3544F4E0">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1套</w:t>
                  </w:r>
                </w:p>
              </w:tc>
              <w:tc>
                <w:tcPr>
                  <w:tcW w:w="646" w:type="pct"/>
                  <w:tcBorders>
                    <w:top w:val="single" w:color="auto" w:sz="2" w:space="0"/>
                    <w:left w:val="single" w:color="auto" w:sz="2" w:space="0"/>
                    <w:bottom w:val="single" w:color="auto" w:sz="2" w:space="0"/>
                    <w:right w:val="single" w:color="auto" w:sz="2" w:space="0"/>
                  </w:tcBorders>
                  <w:noWrap w:val="0"/>
                  <w:vAlign w:val="center"/>
                </w:tcPr>
                <w:p w14:paraId="44AA0FDB">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lang w:val="en-US" w:eastAsia="zh-CN"/>
                    </w:rPr>
                    <w:t>12000</w:t>
                  </w:r>
                  <w:r>
                    <w:rPr>
                      <w:rFonts w:hint="default" w:ascii="Times New Roman" w:hAnsi="Times New Roman" w:eastAsia="仿宋" w:cs="Times New Roman"/>
                      <w:bCs/>
                      <w:color w:val="auto"/>
                      <w:szCs w:val="21"/>
                      <w:highlight w:val="none"/>
                    </w:rPr>
                    <w:t>m</w:t>
                  </w:r>
                  <w:r>
                    <w:rPr>
                      <w:rFonts w:hint="default" w:ascii="Times New Roman" w:hAnsi="Times New Roman" w:eastAsia="仿宋" w:cs="Times New Roman"/>
                      <w:bCs/>
                      <w:color w:val="auto"/>
                      <w:szCs w:val="21"/>
                      <w:highlight w:val="none"/>
                      <w:vertAlign w:val="superscript"/>
                    </w:rPr>
                    <w:t>3</w:t>
                  </w:r>
                  <w:r>
                    <w:rPr>
                      <w:rFonts w:hint="default" w:ascii="Times New Roman" w:hAnsi="Times New Roman" w:eastAsia="仿宋" w:cs="Times New Roman"/>
                      <w:bCs/>
                      <w:color w:val="auto"/>
                      <w:szCs w:val="21"/>
                      <w:highlight w:val="none"/>
                    </w:rPr>
                    <w:t>/h</w:t>
                  </w:r>
                </w:p>
              </w:tc>
              <w:tc>
                <w:tcPr>
                  <w:tcW w:w="1066" w:type="pct"/>
                  <w:vMerge w:val="continue"/>
                  <w:tcBorders>
                    <w:left w:val="single" w:color="auto" w:sz="2" w:space="0"/>
                    <w:right w:val="nil"/>
                  </w:tcBorders>
                  <w:noWrap w:val="0"/>
                  <w:vAlign w:val="center"/>
                </w:tcPr>
                <w:p w14:paraId="302478F0">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p>
              </w:tc>
            </w:tr>
            <w:tr w14:paraId="09A0F3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546" w:type="pct"/>
                  <w:vMerge w:val="continue"/>
                  <w:tcBorders>
                    <w:left w:val="nil"/>
                    <w:right w:val="single" w:color="auto" w:sz="2" w:space="0"/>
                  </w:tcBorders>
                  <w:noWrap w:val="0"/>
                  <w:vAlign w:val="center"/>
                </w:tcPr>
                <w:p w14:paraId="6BDFF0B9">
                  <w:pPr>
                    <w:keepNext w:val="0"/>
                    <w:keepLines w:val="0"/>
                    <w:pageBreakBefore w:val="0"/>
                    <w:widowControl/>
                    <w:kinsoku/>
                    <w:wordWrap/>
                    <w:overflowPunct/>
                    <w:topLinePunct w:val="0"/>
                    <w:autoSpaceDE/>
                    <w:autoSpaceDN/>
                    <w:bidi w:val="0"/>
                    <w:ind w:left="0" w:leftChars="0" w:right="0" w:rightChars="0"/>
                    <w:jc w:val="left"/>
                    <w:textAlignment w:val="auto"/>
                    <w:rPr>
                      <w:rFonts w:hint="default" w:ascii="Times New Roman" w:hAnsi="Times New Roman" w:eastAsia="仿宋" w:cs="Times New Roman"/>
                      <w:color w:val="auto"/>
                      <w:szCs w:val="21"/>
                      <w:highlight w:val="none"/>
                    </w:rPr>
                  </w:pPr>
                </w:p>
              </w:tc>
              <w:tc>
                <w:tcPr>
                  <w:tcW w:w="1798"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2613E283">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bCs/>
                      <w:color w:val="0000FF"/>
                      <w:kern w:val="2"/>
                      <w:sz w:val="21"/>
                      <w:szCs w:val="21"/>
                      <w:highlight w:val="none"/>
                      <w:lang w:val="en-US" w:eastAsia="zh-CN" w:bidi="ar-SA"/>
                    </w:rPr>
                  </w:pPr>
                  <w:r>
                    <w:rPr>
                      <w:rFonts w:hint="eastAsia" w:eastAsia="仿宋" w:cs="Times New Roman"/>
                      <w:bCs/>
                      <w:color w:val="0000FF"/>
                      <w:szCs w:val="21"/>
                      <w:highlight w:val="none"/>
                      <w:lang w:val="en-US" w:eastAsia="zh-CN"/>
                    </w:rPr>
                    <w:t>7</w:t>
                  </w:r>
                  <w:r>
                    <w:rPr>
                      <w:rFonts w:hint="default" w:ascii="Times New Roman" w:hAnsi="Times New Roman" w:eastAsia="仿宋" w:cs="Times New Roman"/>
                      <w:bCs/>
                      <w:color w:val="0000FF"/>
                      <w:szCs w:val="21"/>
                      <w:highlight w:val="none"/>
                      <w:lang w:val="en-US" w:eastAsia="zh-CN"/>
                    </w:rPr>
                    <w:t>#</w:t>
                  </w:r>
                  <w:r>
                    <w:rPr>
                      <w:rFonts w:hint="eastAsia" w:eastAsia="仿宋" w:cs="Times New Roman"/>
                      <w:bCs/>
                      <w:color w:val="0000FF"/>
                      <w:szCs w:val="21"/>
                      <w:highlight w:val="none"/>
                      <w:lang w:val="en-US" w:eastAsia="zh-CN"/>
                    </w:rPr>
                    <w:t>水旋除尘器</w:t>
                  </w:r>
                  <w:r>
                    <w:rPr>
                      <w:rFonts w:hint="eastAsia" w:ascii="Times New Roman" w:hAnsi="Times New Roman" w:eastAsia="仿宋" w:cs="Times New Roman"/>
                      <w:bCs/>
                      <w:color w:val="0000FF"/>
                      <w:szCs w:val="21"/>
                      <w:highlight w:val="none"/>
                      <w:lang w:val="en-US" w:eastAsia="zh-CN"/>
                    </w:rPr>
                    <w:t>+</w:t>
                  </w:r>
                  <w:r>
                    <w:rPr>
                      <w:rFonts w:hint="default" w:ascii="Times New Roman" w:hAnsi="Times New Roman" w:eastAsia="仿宋" w:cs="Times New Roman"/>
                      <w:bCs/>
                      <w:color w:val="0000FF"/>
                      <w:szCs w:val="21"/>
                      <w:highlight w:val="none"/>
                      <w:lang w:val="en-US" w:eastAsia="zh-CN"/>
                    </w:rPr>
                    <w:t>15m高排气筒FQ-</w:t>
                  </w:r>
                  <w:r>
                    <w:rPr>
                      <w:rFonts w:hint="eastAsia" w:eastAsia="仿宋" w:cs="Times New Roman"/>
                      <w:bCs/>
                      <w:color w:val="0000FF"/>
                      <w:szCs w:val="21"/>
                      <w:highlight w:val="none"/>
                      <w:lang w:val="en-US" w:eastAsia="zh-CN"/>
                    </w:rPr>
                    <w:t>7</w:t>
                  </w:r>
                </w:p>
              </w:tc>
              <w:tc>
                <w:tcPr>
                  <w:tcW w:w="540"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7BC30CBB">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bCs/>
                      <w:color w:val="0000FF"/>
                      <w:kern w:val="2"/>
                      <w:sz w:val="21"/>
                      <w:szCs w:val="21"/>
                      <w:highlight w:val="none"/>
                      <w:lang w:val="en-US" w:eastAsia="zh-CN" w:bidi="ar-SA"/>
                    </w:rPr>
                  </w:pPr>
                  <w:r>
                    <w:rPr>
                      <w:rFonts w:hint="eastAsia" w:eastAsia="仿宋" w:cs="Times New Roman"/>
                      <w:bCs/>
                      <w:color w:val="0000FF"/>
                      <w:kern w:val="2"/>
                      <w:sz w:val="21"/>
                      <w:szCs w:val="21"/>
                      <w:highlight w:val="none"/>
                      <w:lang w:val="en-US" w:eastAsia="zh-CN" w:bidi="ar-SA"/>
                    </w:rPr>
                    <w:t>10</w:t>
                  </w:r>
                </w:p>
              </w:tc>
              <w:tc>
                <w:tcPr>
                  <w:tcW w:w="402" w:type="pct"/>
                  <w:tcBorders>
                    <w:top w:val="single" w:color="auto" w:sz="2" w:space="0"/>
                    <w:left w:val="single" w:color="auto" w:sz="2" w:space="0"/>
                    <w:bottom w:val="single" w:color="auto" w:sz="2" w:space="0"/>
                    <w:right w:val="single" w:color="auto" w:sz="2" w:space="0"/>
                  </w:tcBorders>
                  <w:noWrap w:val="0"/>
                  <w:vAlign w:val="center"/>
                </w:tcPr>
                <w:p w14:paraId="10CD5C9E">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0000FF"/>
                      <w:szCs w:val="21"/>
                      <w:highlight w:val="none"/>
                      <w:lang w:val="en-US" w:eastAsia="zh-CN"/>
                    </w:rPr>
                  </w:pPr>
                  <w:r>
                    <w:rPr>
                      <w:rFonts w:hint="eastAsia" w:eastAsia="仿宋" w:cs="Times New Roman"/>
                      <w:color w:val="0000FF"/>
                      <w:szCs w:val="21"/>
                      <w:highlight w:val="none"/>
                      <w:lang w:val="en-US" w:eastAsia="zh-CN"/>
                    </w:rPr>
                    <w:t>2套</w:t>
                  </w:r>
                </w:p>
              </w:tc>
              <w:tc>
                <w:tcPr>
                  <w:tcW w:w="646" w:type="pct"/>
                  <w:tcBorders>
                    <w:top w:val="single" w:color="auto" w:sz="2" w:space="0"/>
                    <w:left w:val="single" w:color="auto" w:sz="2" w:space="0"/>
                    <w:bottom w:val="single" w:color="auto" w:sz="2" w:space="0"/>
                    <w:right w:val="single" w:color="auto" w:sz="2" w:space="0"/>
                  </w:tcBorders>
                  <w:noWrap w:val="0"/>
                  <w:vAlign w:val="center"/>
                </w:tcPr>
                <w:p w14:paraId="05CCDEF8">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bCs/>
                      <w:color w:val="0000FF"/>
                      <w:szCs w:val="21"/>
                      <w:highlight w:val="none"/>
                      <w:lang w:val="en-US" w:eastAsia="zh-CN"/>
                    </w:rPr>
                  </w:pPr>
                  <w:r>
                    <w:rPr>
                      <w:rFonts w:hint="eastAsia" w:eastAsia="仿宋" w:cs="Times New Roman"/>
                      <w:bCs/>
                      <w:color w:val="0000FF"/>
                      <w:szCs w:val="21"/>
                      <w:highlight w:val="none"/>
                      <w:lang w:val="en-US" w:eastAsia="zh-CN"/>
                    </w:rPr>
                    <w:t>单台30</w:t>
                  </w:r>
                  <w:r>
                    <w:rPr>
                      <w:rFonts w:hint="default" w:ascii="Times New Roman" w:hAnsi="Times New Roman" w:eastAsia="仿宋" w:cs="Times New Roman"/>
                      <w:bCs/>
                      <w:color w:val="0000FF"/>
                      <w:szCs w:val="21"/>
                      <w:highlight w:val="none"/>
                      <w:lang w:val="en-US" w:eastAsia="zh-CN"/>
                    </w:rPr>
                    <w:t>00</w:t>
                  </w:r>
                  <w:r>
                    <w:rPr>
                      <w:rFonts w:hint="default" w:ascii="Times New Roman" w:hAnsi="Times New Roman" w:eastAsia="仿宋" w:cs="Times New Roman"/>
                      <w:bCs/>
                      <w:color w:val="0000FF"/>
                      <w:szCs w:val="21"/>
                      <w:highlight w:val="none"/>
                    </w:rPr>
                    <w:t>m</w:t>
                  </w:r>
                  <w:r>
                    <w:rPr>
                      <w:rFonts w:hint="default" w:ascii="Times New Roman" w:hAnsi="Times New Roman" w:eastAsia="仿宋" w:cs="Times New Roman"/>
                      <w:bCs/>
                      <w:color w:val="0000FF"/>
                      <w:szCs w:val="21"/>
                      <w:highlight w:val="none"/>
                      <w:vertAlign w:val="superscript"/>
                    </w:rPr>
                    <w:t>3</w:t>
                  </w:r>
                  <w:r>
                    <w:rPr>
                      <w:rFonts w:hint="default" w:ascii="Times New Roman" w:hAnsi="Times New Roman" w:eastAsia="仿宋" w:cs="Times New Roman"/>
                      <w:bCs/>
                      <w:color w:val="0000FF"/>
                      <w:szCs w:val="21"/>
                      <w:highlight w:val="none"/>
                    </w:rPr>
                    <w:t>/h</w:t>
                  </w:r>
                </w:p>
              </w:tc>
              <w:tc>
                <w:tcPr>
                  <w:tcW w:w="1066" w:type="pct"/>
                  <w:vMerge w:val="continue"/>
                  <w:tcBorders>
                    <w:left w:val="single" w:color="auto" w:sz="2" w:space="0"/>
                    <w:bottom w:val="single" w:color="auto" w:sz="4" w:space="0"/>
                    <w:right w:val="nil"/>
                  </w:tcBorders>
                  <w:noWrap w:val="0"/>
                  <w:vAlign w:val="center"/>
                </w:tcPr>
                <w:p w14:paraId="7B2F0A2F">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p>
              </w:tc>
            </w:tr>
            <w:tr w14:paraId="2C0F92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546" w:type="pct"/>
                  <w:tcBorders>
                    <w:top w:val="single" w:color="auto" w:sz="2" w:space="0"/>
                    <w:left w:val="nil"/>
                    <w:bottom w:val="single" w:color="auto" w:sz="2" w:space="0"/>
                    <w:right w:val="single" w:color="auto" w:sz="2" w:space="0"/>
                  </w:tcBorders>
                  <w:noWrap w:val="0"/>
                  <w:vAlign w:val="center"/>
                </w:tcPr>
                <w:p w14:paraId="14D60CB4">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噪声</w:t>
                  </w:r>
                </w:p>
              </w:tc>
              <w:tc>
                <w:tcPr>
                  <w:tcW w:w="1798" w:type="pct"/>
                  <w:tcBorders>
                    <w:top w:val="single" w:color="auto" w:sz="2" w:space="0"/>
                    <w:left w:val="single" w:color="auto" w:sz="2" w:space="0"/>
                    <w:bottom w:val="single" w:color="auto" w:sz="2" w:space="0"/>
                    <w:right w:val="single" w:color="auto" w:sz="2" w:space="0"/>
                  </w:tcBorders>
                  <w:noWrap w:val="0"/>
                  <w:vAlign w:val="center"/>
                </w:tcPr>
                <w:p w14:paraId="6BAE209B">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安装减震垫、距离衰减</w:t>
                  </w:r>
                </w:p>
              </w:tc>
              <w:tc>
                <w:tcPr>
                  <w:tcW w:w="540" w:type="pct"/>
                  <w:tcBorders>
                    <w:top w:val="single" w:color="auto" w:sz="2" w:space="0"/>
                    <w:left w:val="single" w:color="auto" w:sz="2" w:space="0"/>
                    <w:bottom w:val="single" w:color="auto" w:sz="2" w:space="0"/>
                    <w:right w:val="single" w:color="auto" w:sz="2" w:space="0"/>
                  </w:tcBorders>
                  <w:noWrap w:val="0"/>
                  <w:vAlign w:val="center"/>
                </w:tcPr>
                <w:p w14:paraId="54F57582">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2</w:t>
                  </w:r>
                </w:p>
              </w:tc>
              <w:tc>
                <w:tcPr>
                  <w:tcW w:w="402" w:type="pct"/>
                  <w:tcBorders>
                    <w:top w:val="single" w:color="auto" w:sz="2" w:space="0"/>
                    <w:left w:val="single" w:color="auto" w:sz="2" w:space="0"/>
                    <w:bottom w:val="single" w:color="auto" w:sz="2" w:space="0"/>
                    <w:right w:val="single" w:color="auto" w:sz="2" w:space="0"/>
                  </w:tcBorders>
                  <w:noWrap w:val="0"/>
                  <w:vAlign w:val="center"/>
                </w:tcPr>
                <w:p w14:paraId="762DD896">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w:t>
                  </w:r>
                </w:p>
              </w:tc>
              <w:tc>
                <w:tcPr>
                  <w:tcW w:w="646" w:type="pct"/>
                  <w:tcBorders>
                    <w:top w:val="single" w:color="auto" w:sz="2" w:space="0"/>
                    <w:left w:val="single" w:color="auto" w:sz="2" w:space="0"/>
                    <w:bottom w:val="single" w:color="auto" w:sz="2" w:space="0"/>
                    <w:right w:val="single" w:color="auto" w:sz="2" w:space="0"/>
                  </w:tcBorders>
                  <w:noWrap w:val="0"/>
                  <w:vAlign w:val="center"/>
                </w:tcPr>
                <w:p w14:paraId="70BB8B25">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降噪20dB(A)</w:t>
                  </w:r>
                </w:p>
              </w:tc>
              <w:tc>
                <w:tcPr>
                  <w:tcW w:w="1066" w:type="pct"/>
                  <w:tcBorders>
                    <w:top w:val="single" w:color="auto" w:sz="2" w:space="0"/>
                    <w:left w:val="single" w:color="auto" w:sz="2" w:space="0"/>
                    <w:bottom w:val="single" w:color="auto" w:sz="2" w:space="0"/>
                    <w:right w:val="nil"/>
                  </w:tcBorders>
                  <w:noWrap w:val="0"/>
                  <w:vAlign w:val="center"/>
                </w:tcPr>
                <w:p w14:paraId="01B8A2E7">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噪声达标排放</w:t>
                  </w:r>
                </w:p>
              </w:tc>
            </w:tr>
            <w:tr w14:paraId="114350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546" w:type="pct"/>
                  <w:tcBorders>
                    <w:top w:val="single" w:color="auto" w:sz="2" w:space="0"/>
                    <w:left w:val="nil"/>
                    <w:bottom w:val="single" w:color="auto" w:sz="2" w:space="0"/>
                    <w:right w:val="single" w:color="auto" w:sz="2" w:space="0"/>
                  </w:tcBorders>
                  <w:noWrap w:val="0"/>
                  <w:vAlign w:val="center"/>
                </w:tcPr>
                <w:p w14:paraId="05826663">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排污口规范化</w:t>
                  </w:r>
                  <w:r>
                    <w:rPr>
                      <w:rFonts w:hint="default" w:ascii="Times New Roman" w:hAnsi="Times New Roman" w:eastAsia="仿宋" w:cs="Times New Roman"/>
                      <w:color w:val="auto"/>
                      <w:szCs w:val="21"/>
                      <w:highlight w:val="none"/>
                      <w:lang w:val="en-US" w:eastAsia="zh-CN"/>
                    </w:rPr>
                    <w:t>设置</w:t>
                  </w:r>
                </w:p>
              </w:tc>
              <w:tc>
                <w:tcPr>
                  <w:tcW w:w="1798" w:type="pct"/>
                  <w:tcBorders>
                    <w:top w:val="single" w:color="auto" w:sz="2" w:space="0"/>
                    <w:left w:val="single" w:color="auto" w:sz="2" w:space="0"/>
                    <w:bottom w:val="single" w:color="auto" w:sz="2" w:space="0"/>
                    <w:right w:val="single" w:color="auto" w:sz="2" w:space="0"/>
                  </w:tcBorders>
                  <w:noWrap w:val="0"/>
                  <w:vAlign w:val="center"/>
                </w:tcPr>
                <w:p w14:paraId="056A9A37">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设置与排污口（废气</w:t>
                  </w:r>
                  <w:r>
                    <w:rPr>
                      <w:rFonts w:hint="eastAsia" w:eastAsia="仿宋" w:cs="Times New Roman"/>
                      <w:color w:val="auto"/>
                      <w:szCs w:val="21"/>
                      <w:highlight w:val="none"/>
                      <w:lang w:eastAsia="zh-CN"/>
                    </w:rPr>
                    <w:t>、</w:t>
                  </w:r>
                  <w:r>
                    <w:rPr>
                      <w:rFonts w:hint="eastAsia" w:eastAsia="仿宋" w:cs="Times New Roman"/>
                      <w:color w:val="auto"/>
                      <w:szCs w:val="21"/>
                      <w:highlight w:val="none"/>
                      <w:lang w:val="en-US" w:eastAsia="zh-CN"/>
                    </w:rPr>
                    <w:t>固废、噪声</w:t>
                  </w:r>
                  <w:r>
                    <w:rPr>
                      <w:rFonts w:hint="default" w:ascii="Times New Roman" w:hAnsi="Times New Roman" w:eastAsia="仿宋" w:cs="Times New Roman"/>
                      <w:color w:val="auto"/>
                      <w:szCs w:val="21"/>
                      <w:highlight w:val="none"/>
                    </w:rPr>
                    <w:t>）相应的环境保护图形标志牌等</w:t>
                  </w:r>
                </w:p>
              </w:tc>
              <w:tc>
                <w:tcPr>
                  <w:tcW w:w="540" w:type="pct"/>
                  <w:tcBorders>
                    <w:top w:val="single" w:color="auto" w:sz="2" w:space="0"/>
                    <w:left w:val="single" w:color="auto" w:sz="2" w:space="0"/>
                    <w:bottom w:val="single" w:color="auto" w:sz="2" w:space="0"/>
                    <w:right w:val="single" w:color="auto" w:sz="2" w:space="0"/>
                  </w:tcBorders>
                  <w:noWrap w:val="0"/>
                  <w:vAlign w:val="center"/>
                </w:tcPr>
                <w:p w14:paraId="1AD6D27B">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w:t>
                  </w:r>
                </w:p>
              </w:tc>
              <w:tc>
                <w:tcPr>
                  <w:tcW w:w="402" w:type="pct"/>
                  <w:tcBorders>
                    <w:top w:val="single" w:color="auto" w:sz="2" w:space="0"/>
                    <w:left w:val="single" w:color="auto" w:sz="2" w:space="0"/>
                    <w:bottom w:val="single" w:color="auto" w:sz="2" w:space="0"/>
                    <w:right w:val="single" w:color="auto" w:sz="2" w:space="0"/>
                  </w:tcBorders>
                  <w:noWrap w:val="0"/>
                  <w:vAlign w:val="center"/>
                </w:tcPr>
                <w:p w14:paraId="429CD342">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646" w:type="pct"/>
                  <w:tcBorders>
                    <w:top w:val="single" w:color="auto" w:sz="2" w:space="0"/>
                    <w:left w:val="single" w:color="auto" w:sz="2" w:space="0"/>
                    <w:bottom w:val="single" w:color="auto" w:sz="2" w:space="0"/>
                    <w:right w:val="single" w:color="auto" w:sz="2" w:space="0"/>
                  </w:tcBorders>
                  <w:noWrap w:val="0"/>
                  <w:vAlign w:val="center"/>
                </w:tcPr>
                <w:p w14:paraId="14DC35CB">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1066" w:type="pct"/>
                  <w:tcBorders>
                    <w:top w:val="single" w:color="auto" w:sz="2" w:space="0"/>
                    <w:left w:val="single" w:color="auto" w:sz="2" w:space="0"/>
                    <w:bottom w:val="single" w:color="auto" w:sz="2" w:space="0"/>
                    <w:right w:val="nil"/>
                  </w:tcBorders>
                  <w:noWrap w:val="0"/>
                  <w:vAlign w:val="center"/>
                </w:tcPr>
                <w:p w14:paraId="374D6965">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符合排污口规范</w:t>
                  </w:r>
                </w:p>
              </w:tc>
            </w:tr>
            <w:tr w14:paraId="67593D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546" w:type="pct"/>
                  <w:tcBorders>
                    <w:top w:val="single" w:color="auto" w:sz="2" w:space="0"/>
                    <w:left w:val="nil"/>
                    <w:bottom w:val="single" w:color="auto" w:sz="2" w:space="0"/>
                    <w:right w:val="single" w:color="auto" w:sz="2" w:space="0"/>
                  </w:tcBorders>
                  <w:noWrap w:val="0"/>
                  <w:vAlign w:val="center"/>
                </w:tcPr>
                <w:p w14:paraId="3D54406B">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环境风险管控措施</w:t>
                  </w:r>
                </w:p>
              </w:tc>
              <w:tc>
                <w:tcPr>
                  <w:tcW w:w="1798" w:type="pct"/>
                  <w:tcBorders>
                    <w:top w:val="single" w:color="auto" w:sz="2" w:space="0"/>
                    <w:left w:val="single" w:color="auto" w:sz="2" w:space="0"/>
                    <w:bottom w:val="single" w:color="auto" w:sz="2" w:space="0"/>
                    <w:right w:val="single" w:color="auto" w:sz="2" w:space="0"/>
                  </w:tcBorders>
                  <w:noWrap w:val="0"/>
                  <w:vAlign w:val="center"/>
                </w:tcPr>
                <w:p w14:paraId="5ECC72A4">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突发环境事件应急预案编制，应急物资、应急设施的配备；制定隐患排查制度；分区防渗等</w:t>
                  </w:r>
                </w:p>
              </w:tc>
              <w:tc>
                <w:tcPr>
                  <w:tcW w:w="540" w:type="pct"/>
                  <w:tcBorders>
                    <w:top w:val="single" w:color="auto" w:sz="2" w:space="0"/>
                    <w:left w:val="single" w:color="auto" w:sz="2" w:space="0"/>
                    <w:bottom w:val="single" w:color="auto" w:sz="2" w:space="0"/>
                    <w:right w:val="single" w:color="auto" w:sz="2" w:space="0"/>
                  </w:tcBorders>
                  <w:noWrap w:val="0"/>
                  <w:vAlign w:val="center"/>
                </w:tcPr>
                <w:p w14:paraId="2356F6C1">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color w:val="auto"/>
                      <w:szCs w:val="21"/>
                      <w:highlight w:val="none"/>
                      <w:lang w:eastAsia="zh-CN"/>
                    </w:rPr>
                  </w:pPr>
                  <w:r>
                    <w:rPr>
                      <w:rFonts w:hint="default" w:ascii="Times New Roman" w:hAnsi="Times New Roman" w:eastAsia="仿宋" w:cs="Times New Roman"/>
                      <w:color w:val="auto"/>
                      <w:szCs w:val="21"/>
                      <w:highlight w:val="none"/>
                      <w:lang w:val="en-US" w:eastAsia="zh-CN"/>
                    </w:rPr>
                    <w:t>5</w:t>
                  </w:r>
                </w:p>
              </w:tc>
              <w:tc>
                <w:tcPr>
                  <w:tcW w:w="402" w:type="pct"/>
                  <w:tcBorders>
                    <w:top w:val="single" w:color="auto" w:sz="2" w:space="0"/>
                    <w:left w:val="single" w:color="auto" w:sz="2" w:space="0"/>
                    <w:bottom w:val="single" w:color="auto" w:sz="2" w:space="0"/>
                    <w:right w:val="single" w:color="auto" w:sz="2" w:space="0"/>
                  </w:tcBorders>
                  <w:noWrap w:val="0"/>
                  <w:vAlign w:val="center"/>
                </w:tcPr>
                <w:p w14:paraId="5FDD5A2E">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646" w:type="pct"/>
                  <w:tcBorders>
                    <w:top w:val="single" w:color="auto" w:sz="2" w:space="0"/>
                    <w:left w:val="single" w:color="auto" w:sz="2" w:space="0"/>
                    <w:bottom w:val="single" w:color="auto" w:sz="2" w:space="0"/>
                    <w:right w:val="single" w:color="auto" w:sz="2" w:space="0"/>
                  </w:tcBorders>
                  <w:noWrap w:val="0"/>
                  <w:vAlign w:val="center"/>
                </w:tcPr>
                <w:p w14:paraId="2DE31689">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1066" w:type="pct"/>
                  <w:tcBorders>
                    <w:top w:val="single" w:color="auto" w:sz="2" w:space="0"/>
                    <w:left w:val="single" w:color="auto" w:sz="2" w:space="0"/>
                    <w:bottom w:val="single" w:color="auto" w:sz="2" w:space="0"/>
                    <w:right w:val="nil"/>
                  </w:tcBorders>
                  <w:noWrap w:val="0"/>
                  <w:vAlign w:val="center"/>
                </w:tcPr>
                <w:p w14:paraId="524CB41E">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满足风险防范和应急要求</w:t>
                  </w:r>
                </w:p>
              </w:tc>
            </w:tr>
            <w:tr w14:paraId="46D12A8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2344" w:type="pct"/>
                  <w:gridSpan w:val="2"/>
                  <w:tcBorders>
                    <w:top w:val="single" w:color="auto" w:sz="2" w:space="0"/>
                    <w:left w:val="nil"/>
                    <w:bottom w:val="single" w:color="auto" w:sz="12" w:space="0"/>
                    <w:right w:val="single" w:color="auto" w:sz="2" w:space="0"/>
                  </w:tcBorders>
                  <w:noWrap w:val="0"/>
                  <w:vAlign w:val="center"/>
                </w:tcPr>
                <w:p w14:paraId="40451D48">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合计</w:t>
                  </w:r>
                </w:p>
              </w:tc>
              <w:tc>
                <w:tcPr>
                  <w:tcW w:w="540" w:type="pct"/>
                  <w:tcBorders>
                    <w:top w:val="single" w:color="auto" w:sz="2" w:space="0"/>
                    <w:left w:val="single" w:color="auto" w:sz="2" w:space="0"/>
                    <w:bottom w:val="single" w:color="auto" w:sz="12" w:space="0"/>
                    <w:right w:val="single" w:color="auto" w:sz="2" w:space="0"/>
                  </w:tcBorders>
                  <w:noWrap w:val="0"/>
                  <w:vAlign w:val="center"/>
                </w:tcPr>
                <w:p w14:paraId="34C029EB">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3</w:t>
                  </w:r>
                  <w:r>
                    <w:rPr>
                      <w:rFonts w:hint="default" w:ascii="Times New Roman" w:hAnsi="Times New Roman" w:eastAsia="仿宋" w:cs="Times New Roman"/>
                      <w:color w:val="auto"/>
                      <w:szCs w:val="21"/>
                      <w:highlight w:val="none"/>
                      <w:lang w:val="en-US" w:eastAsia="zh-CN"/>
                    </w:rPr>
                    <w:t>9</w:t>
                  </w:r>
                </w:p>
              </w:tc>
              <w:tc>
                <w:tcPr>
                  <w:tcW w:w="402" w:type="pct"/>
                  <w:tcBorders>
                    <w:top w:val="single" w:color="auto" w:sz="2" w:space="0"/>
                    <w:left w:val="single" w:color="auto" w:sz="2" w:space="0"/>
                    <w:bottom w:val="single" w:color="auto" w:sz="12" w:space="0"/>
                    <w:right w:val="single" w:color="auto" w:sz="2" w:space="0"/>
                  </w:tcBorders>
                  <w:noWrap w:val="0"/>
                  <w:vAlign w:val="center"/>
                </w:tcPr>
                <w:p w14:paraId="63619D24">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646" w:type="pct"/>
                  <w:tcBorders>
                    <w:top w:val="single" w:color="auto" w:sz="2" w:space="0"/>
                    <w:left w:val="single" w:color="auto" w:sz="2" w:space="0"/>
                    <w:bottom w:val="single" w:color="auto" w:sz="12" w:space="0"/>
                    <w:right w:val="single" w:color="auto" w:sz="2" w:space="0"/>
                  </w:tcBorders>
                  <w:noWrap w:val="0"/>
                  <w:vAlign w:val="center"/>
                </w:tcPr>
                <w:p w14:paraId="624872C6">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1066" w:type="pct"/>
                  <w:tcBorders>
                    <w:top w:val="single" w:color="auto" w:sz="2" w:space="0"/>
                    <w:left w:val="single" w:color="auto" w:sz="2" w:space="0"/>
                    <w:bottom w:val="single" w:color="auto" w:sz="12" w:space="0"/>
                    <w:right w:val="nil"/>
                  </w:tcBorders>
                  <w:noWrap w:val="0"/>
                  <w:vAlign w:val="center"/>
                </w:tcPr>
                <w:p w14:paraId="1CD4A074">
                  <w:pPr>
                    <w:keepNext w:val="0"/>
                    <w:keepLines w:val="0"/>
                    <w:pageBreakBefore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r>
          </w:tbl>
          <w:p w14:paraId="612747BE">
            <w:pP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注：雨污分流管网、规范化雨水排放口、规范化污水排放口、事故应急池及阀门、绿化等依托园区现有，危废仓库、一般固废仓库依托现有，不纳入本次环保投资范围内。</w:t>
            </w:r>
          </w:p>
          <w:p w14:paraId="1AB79707">
            <w:pPr>
              <w:adjustRightInd w:val="0"/>
              <w:snapToGrid w:val="0"/>
              <w:spacing w:before="120" w:beforeLines="50" w:line="360" w:lineRule="auto"/>
              <w:ind w:firstLine="480" w:firstLineChars="200"/>
              <w:jc w:val="left"/>
              <w:rPr>
                <w:rFonts w:hint="default" w:ascii="Times New Roman" w:hAnsi="Times New Roman" w:eastAsia="仿宋" w:cs="Times New Roman"/>
                <w:color w:val="auto"/>
                <w:spacing w:val="-2"/>
                <w:sz w:val="24"/>
                <w:highlight w:val="none"/>
              </w:rPr>
            </w:pPr>
            <w:r>
              <w:rPr>
                <w:rFonts w:hint="default" w:ascii="Times New Roman" w:hAnsi="Times New Roman" w:eastAsia="仿宋" w:cs="Times New Roman"/>
                <w:bCs/>
                <w:color w:val="auto"/>
                <w:sz w:val="24"/>
                <w:highlight w:val="none"/>
              </w:rPr>
              <w:t>3、</w:t>
            </w:r>
            <w:r>
              <w:rPr>
                <w:rFonts w:hint="default" w:ascii="Times New Roman" w:hAnsi="Times New Roman" w:eastAsia="仿宋" w:cs="Times New Roman"/>
                <w:color w:val="auto"/>
                <w:spacing w:val="-2"/>
                <w:sz w:val="24"/>
                <w:highlight w:val="none"/>
              </w:rPr>
              <w:t>水平衡</w:t>
            </w:r>
          </w:p>
          <w:p w14:paraId="11B78091">
            <w:pPr>
              <w:adjustRightInd w:val="0"/>
              <w:snapToGrid w:val="0"/>
              <w:spacing w:line="360" w:lineRule="auto"/>
              <w:ind w:firstLine="480" w:firstLineChars="200"/>
              <w:jc w:val="left"/>
              <w:rPr>
                <w:rFonts w:hint="eastAsia" w:eastAsia="仿宋"/>
                <w:bCs/>
                <w:color w:val="0000FF"/>
                <w:sz w:val="24"/>
                <w:highlight w:val="none"/>
                <w:lang w:val="en-US" w:eastAsia="zh-CN"/>
              </w:rPr>
            </w:pPr>
            <w:r>
              <w:rPr>
                <w:rFonts w:hint="eastAsia" w:eastAsia="仿宋"/>
                <w:bCs/>
                <w:color w:val="0000FF"/>
                <w:sz w:val="24"/>
                <w:highlight w:val="none"/>
                <w:lang w:val="en-US" w:eastAsia="zh-CN"/>
              </w:rPr>
              <w:t>①给水：本项目用水主要为冷却塔补充用水、员工生活用水、水旋除尘器用水。</w:t>
            </w:r>
          </w:p>
          <w:p w14:paraId="170A60C9">
            <w:pPr>
              <w:spacing w:line="360" w:lineRule="auto"/>
              <w:ind w:firstLine="480" w:firstLineChars="200"/>
              <w:rPr>
                <w:rFonts w:eastAsia="仿宋"/>
                <w:bCs/>
                <w:sz w:val="24"/>
                <w:highlight w:val="none"/>
              </w:rPr>
            </w:pPr>
            <w:r>
              <w:rPr>
                <w:rFonts w:hint="eastAsia" w:eastAsia="仿宋"/>
                <w:bCs/>
                <w:sz w:val="24"/>
                <w:highlight w:val="none"/>
              </w:rPr>
              <w:t>（</w:t>
            </w:r>
            <w:r>
              <w:rPr>
                <w:rFonts w:hint="eastAsia" w:eastAsia="仿宋"/>
                <w:bCs/>
                <w:sz w:val="24"/>
                <w:highlight w:val="none"/>
                <w:lang w:val="en-US" w:eastAsia="zh-CN"/>
              </w:rPr>
              <w:t>1</w:t>
            </w:r>
            <w:r>
              <w:rPr>
                <w:rFonts w:hint="eastAsia" w:eastAsia="仿宋"/>
                <w:bCs/>
                <w:sz w:val="24"/>
                <w:highlight w:val="none"/>
              </w:rPr>
              <w:t>）冷却塔补充用水</w:t>
            </w:r>
          </w:p>
          <w:p w14:paraId="7027AACE">
            <w:pPr>
              <w:adjustRightInd w:val="0"/>
              <w:snapToGrid w:val="0"/>
              <w:spacing w:line="360" w:lineRule="auto"/>
              <w:ind w:firstLine="480" w:firstLineChars="200"/>
              <w:jc w:val="both"/>
              <w:rPr>
                <w:rFonts w:hint="eastAsia" w:eastAsia="仿宋"/>
                <w:bCs/>
                <w:sz w:val="24"/>
                <w:highlight w:val="none"/>
              </w:rPr>
            </w:pPr>
            <w:r>
              <w:rPr>
                <w:rFonts w:eastAsia="仿宋"/>
                <w:bCs/>
                <w:sz w:val="24"/>
                <w:highlight w:val="none"/>
              </w:rPr>
              <w:t>塑料粒子注塑成型后需要循环冷却水对注塑模具进行</w:t>
            </w:r>
            <w:r>
              <w:rPr>
                <w:rFonts w:hint="eastAsia" w:eastAsia="仿宋"/>
                <w:bCs/>
                <w:sz w:val="24"/>
                <w:highlight w:val="none"/>
              </w:rPr>
              <w:t>间接</w:t>
            </w:r>
            <w:r>
              <w:rPr>
                <w:rFonts w:eastAsia="仿宋"/>
                <w:bCs/>
                <w:sz w:val="24"/>
                <w:highlight w:val="none"/>
              </w:rPr>
              <w:t>冷却，</w:t>
            </w:r>
            <w:r>
              <w:rPr>
                <w:rFonts w:hint="eastAsia" w:eastAsia="仿宋"/>
                <w:bCs/>
                <w:sz w:val="24"/>
                <w:highlight w:val="none"/>
                <w:lang w:val="en-US" w:eastAsia="zh-CN"/>
              </w:rPr>
              <w:t>冷却水循环使用定期补充不外排。</w:t>
            </w:r>
            <w:r>
              <w:rPr>
                <w:rFonts w:hint="eastAsia" w:eastAsia="仿宋"/>
                <w:bCs/>
                <w:sz w:val="24"/>
                <w:highlight w:val="none"/>
              </w:rPr>
              <w:t>本项目</w:t>
            </w:r>
            <w:r>
              <w:rPr>
                <w:rFonts w:hint="eastAsia" w:eastAsia="仿宋"/>
                <w:bCs/>
                <w:sz w:val="24"/>
                <w:highlight w:val="none"/>
                <w:lang w:val="en-US" w:eastAsia="zh-CN"/>
              </w:rPr>
              <w:t>使用的循环量约为</w:t>
            </w:r>
            <w:r>
              <w:rPr>
                <w:rFonts w:hint="default" w:ascii="Times New Roman" w:hAnsi="Times New Roman" w:eastAsia="仿宋" w:cs="Times New Roman"/>
                <w:bCs/>
                <w:sz w:val="24"/>
                <w:highlight w:val="none"/>
                <w:lang w:val="en-US" w:eastAsia="zh-CN"/>
              </w:rPr>
              <w:t>0.66m³/h</w:t>
            </w:r>
            <w:r>
              <w:rPr>
                <w:rFonts w:hint="eastAsia" w:eastAsia="仿宋"/>
                <w:bCs/>
                <w:sz w:val="24"/>
                <w:highlight w:val="none"/>
              </w:rPr>
              <w:t>，年工作时间</w:t>
            </w:r>
            <w:r>
              <w:rPr>
                <w:rFonts w:hint="eastAsia" w:eastAsia="仿宋"/>
                <w:bCs/>
                <w:sz w:val="24"/>
                <w:highlight w:val="none"/>
                <w:lang w:val="en-US" w:eastAsia="zh-CN"/>
              </w:rPr>
              <w:t>72</w:t>
            </w:r>
            <w:r>
              <w:rPr>
                <w:rFonts w:hint="eastAsia" w:eastAsia="仿宋"/>
                <w:bCs/>
                <w:sz w:val="24"/>
                <w:highlight w:val="none"/>
              </w:rPr>
              <w:t>00h，循环水量约</w:t>
            </w:r>
            <w:r>
              <w:rPr>
                <w:rFonts w:hint="eastAsia" w:eastAsia="仿宋"/>
                <w:bCs/>
                <w:sz w:val="24"/>
                <w:highlight w:val="none"/>
                <w:lang w:val="en-US" w:eastAsia="zh-CN"/>
              </w:rPr>
              <w:t>4750</w:t>
            </w:r>
            <w:r>
              <w:rPr>
                <w:rFonts w:hint="eastAsia" w:eastAsia="仿宋"/>
                <w:bCs/>
                <w:sz w:val="24"/>
                <w:highlight w:val="none"/>
              </w:rPr>
              <w:t>m</w:t>
            </w:r>
            <w:r>
              <w:rPr>
                <w:rFonts w:hint="eastAsia" w:eastAsia="仿宋"/>
                <w:bCs/>
                <w:sz w:val="24"/>
                <w:highlight w:val="none"/>
                <w:vertAlign w:val="superscript"/>
              </w:rPr>
              <w:t>3</w:t>
            </w:r>
            <w:r>
              <w:rPr>
                <w:rFonts w:hint="eastAsia" w:eastAsia="仿宋"/>
                <w:bCs/>
                <w:sz w:val="24"/>
                <w:highlight w:val="none"/>
              </w:rPr>
              <w:t>。</w:t>
            </w:r>
            <w:r>
              <w:rPr>
                <w:rFonts w:eastAsia="仿宋"/>
                <w:bCs/>
                <w:sz w:val="24"/>
                <w:highlight w:val="none"/>
              </w:rPr>
              <w:t>根据《工业循环冷却水处理设计规范》（GB/T50050-2017）“5.0.7闭式系统的补充水量不宜大于循环水量的1.0‰。”本次评价取1.0‰计算，则补水量约为</w:t>
            </w:r>
            <w:r>
              <w:rPr>
                <w:rFonts w:hint="eastAsia" w:eastAsia="仿宋"/>
                <w:bCs/>
                <w:sz w:val="24"/>
                <w:highlight w:val="none"/>
                <w:lang w:val="en-US" w:eastAsia="zh-CN"/>
              </w:rPr>
              <w:t>4.8</w:t>
            </w:r>
            <w:r>
              <w:rPr>
                <w:rFonts w:hint="eastAsia" w:eastAsia="仿宋"/>
                <w:bCs/>
                <w:sz w:val="24"/>
                <w:highlight w:val="none"/>
              </w:rPr>
              <w:t>t</w:t>
            </w:r>
            <w:r>
              <w:rPr>
                <w:rFonts w:eastAsia="仿宋"/>
                <w:bCs/>
                <w:sz w:val="24"/>
                <w:highlight w:val="none"/>
              </w:rPr>
              <w:t>/</w:t>
            </w:r>
            <w:r>
              <w:rPr>
                <w:rFonts w:hint="eastAsia" w:eastAsia="仿宋"/>
                <w:bCs/>
                <w:sz w:val="24"/>
                <w:highlight w:val="none"/>
              </w:rPr>
              <w:t>a。</w:t>
            </w:r>
          </w:p>
          <w:p w14:paraId="530467D0">
            <w:pPr>
              <w:spacing w:line="360" w:lineRule="auto"/>
              <w:ind w:firstLine="480" w:firstLineChars="200"/>
              <w:rPr>
                <w:rFonts w:eastAsia="仿宋"/>
                <w:bCs/>
                <w:color w:val="0000FF"/>
                <w:sz w:val="24"/>
                <w:highlight w:val="none"/>
              </w:rPr>
            </w:pPr>
            <w:r>
              <w:rPr>
                <w:rFonts w:hint="eastAsia" w:eastAsia="仿宋"/>
                <w:bCs/>
                <w:color w:val="0000FF"/>
                <w:sz w:val="24"/>
                <w:highlight w:val="none"/>
              </w:rPr>
              <w:t>（</w:t>
            </w:r>
            <w:r>
              <w:rPr>
                <w:rFonts w:hint="eastAsia" w:eastAsia="仿宋"/>
                <w:bCs/>
                <w:color w:val="0000FF"/>
                <w:sz w:val="24"/>
                <w:highlight w:val="none"/>
                <w:lang w:val="en-US" w:eastAsia="zh-CN"/>
              </w:rPr>
              <w:t>2</w:t>
            </w:r>
            <w:r>
              <w:rPr>
                <w:rFonts w:hint="eastAsia" w:eastAsia="仿宋"/>
                <w:bCs/>
                <w:color w:val="0000FF"/>
                <w:sz w:val="24"/>
                <w:highlight w:val="none"/>
              </w:rPr>
              <w:t>）</w:t>
            </w:r>
            <w:r>
              <w:rPr>
                <w:rFonts w:hint="eastAsia" w:eastAsia="仿宋"/>
                <w:bCs/>
                <w:color w:val="0000FF"/>
                <w:sz w:val="24"/>
                <w:highlight w:val="none"/>
                <w:lang w:val="en-US" w:eastAsia="zh-CN"/>
              </w:rPr>
              <w:t>水旋除尘器用</w:t>
            </w:r>
            <w:r>
              <w:rPr>
                <w:rFonts w:hint="eastAsia" w:eastAsia="仿宋"/>
                <w:bCs/>
                <w:color w:val="0000FF"/>
                <w:sz w:val="24"/>
                <w:highlight w:val="none"/>
              </w:rPr>
              <w:t>水</w:t>
            </w:r>
          </w:p>
          <w:p w14:paraId="2F861F57">
            <w:pPr>
              <w:adjustRightInd w:val="0"/>
              <w:snapToGrid w:val="0"/>
              <w:spacing w:line="360" w:lineRule="auto"/>
              <w:ind w:firstLine="480" w:firstLineChars="200"/>
              <w:jc w:val="both"/>
              <w:rPr>
                <w:rFonts w:hint="eastAsia" w:eastAsia="仿宋"/>
                <w:bCs/>
                <w:color w:val="0000FF"/>
                <w:sz w:val="24"/>
                <w:highlight w:val="none"/>
                <w:lang w:val="en-US" w:eastAsia="zh-CN"/>
              </w:rPr>
            </w:pPr>
            <w:r>
              <w:rPr>
                <w:rFonts w:hint="eastAsia" w:eastAsia="仿宋"/>
                <w:bCs/>
                <w:color w:val="0000FF"/>
                <w:sz w:val="24"/>
                <w:highlight w:val="none"/>
                <w:lang w:val="en-US" w:eastAsia="zh-CN"/>
              </w:rPr>
              <w:t>本项目使用水旋除尘器对筛毛废气进行处理，水旋使用的水一季度更换一次，单台水旋除尘器的水箱容积为0.315m</w:t>
            </w:r>
            <w:r>
              <w:rPr>
                <w:rFonts w:hint="eastAsia" w:eastAsia="仿宋"/>
                <w:bCs/>
                <w:color w:val="0000FF"/>
                <w:sz w:val="24"/>
                <w:highlight w:val="none"/>
                <w:vertAlign w:val="superscript"/>
                <w:lang w:val="en-US" w:eastAsia="zh-CN"/>
              </w:rPr>
              <w:t>3</w:t>
            </w:r>
            <w:r>
              <w:rPr>
                <w:rFonts w:hint="eastAsia" w:eastAsia="仿宋"/>
                <w:bCs/>
                <w:color w:val="0000FF"/>
                <w:sz w:val="24"/>
                <w:highlight w:val="none"/>
                <w:lang w:val="en-US" w:eastAsia="zh-CN"/>
              </w:rPr>
              <w:t>，其中单次填装水量约为水箱容积的80%约0.252t，故两套水旋除尘器用水约2.02t/a，考虑蒸发损耗按1%计，故损耗量为0.02t/a。</w:t>
            </w:r>
          </w:p>
          <w:p w14:paraId="499AF062">
            <w:pPr>
              <w:adjustRightInd w:val="0"/>
              <w:snapToGrid w:val="0"/>
              <w:spacing w:line="360" w:lineRule="auto"/>
              <w:ind w:firstLine="480" w:firstLineChars="200"/>
              <w:jc w:val="both"/>
              <w:rPr>
                <w:rFonts w:hint="eastAsia" w:eastAsia="仿宋"/>
                <w:bCs/>
                <w:color w:val="0000FF"/>
                <w:sz w:val="24"/>
                <w:highlight w:val="none"/>
                <w:lang w:val="en-US" w:eastAsia="zh-CN"/>
              </w:rPr>
            </w:pPr>
            <w:r>
              <w:rPr>
                <w:rFonts w:hint="eastAsia" w:eastAsia="仿宋"/>
                <w:bCs/>
                <w:color w:val="0000FF"/>
                <w:sz w:val="24"/>
                <w:highlight w:val="none"/>
                <w:lang w:val="en-US" w:eastAsia="zh-CN"/>
              </w:rPr>
              <w:t>（3）生活用水</w:t>
            </w:r>
          </w:p>
          <w:p w14:paraId="6DCE9B75">
            <w:pPr>
              <w:adjustRightInd w:val="0"/>
              <w:snapToGrid w:val="0"/>
              <w:spacing w:line="360" w:lineRule="auto"/>
              <w:ind w:firstLine="480" w:firstLineChars="200"/>
              <w:jc w:val="both"/>
              <w:rPr>
                <w:rFonts w:hint="eastAsia" w:ascii="Times New Roman" w:hAnsi="Times New Roman" w:eastAsia="仿宋" w:cs="Times New Roman"/>
                <w:bCs/>
                <w:color w:val="0000FF"/>
                <w:sz w:val="24"/>
                <w:highlight w:val="none"/>
                <w:lang w:eastAsia="zh-CN"/>
              </w:rPr>
            </w:pPr>
            <w:r>
              <w:rPr>
                <w:rFonts w:hint="default" w:ascii="Times New Roman" w:hAnsi="Times New Roman" w:eastAsia="仿宋" w:cs="Times New Roman"/>
                <w:bCs/>
                <w:color w:val="0000FF"/>
                <w:sz w:val="24"/>
                <w:highlight w:val="none"/>
                <w:lang w:val="en-US" w:eastAsia="zh-CN"/>
              </w:rPr>
              <w:t>本</w:t>
            </w:r>
            <w:r>
              <w:rPr>
                <w:rFonts w:hint="default" w:ascii="Times New Roman" w:hAnsi="Times New Roman" w:eastAsia="仿宋" w:cs="Times New Roman"/>
                <w:bCs/>
                <w:color w:val="0000FF"/>
                <w:sz w:val="24"/>
                <w:highlight w:val="none"/>
              </w:rPr>
              <w:t>项目</w:t>
            </w:r>
            <w:r>
              <w:rPr>
                <w:rFonts w:hint="default" w:ascii="Times New Roman" w:hAnsi="Times New Roman" w:eastAsia="仿宋" w:cs="Times New Roman"/>
                <w:bCs/>
                <w:color w:val="0000FF"/>
                <w:sz w:val="24"/>
                <w:highlight w:val="none"/>
                <w:lang w:val="en-US" w:eastAsia="zh-CN"/>
              </w:rPr>
              <w:t>新增</w:t>
            </w:r>
            <w:r>
              <w:rPr>
                <w:rFonts w:hint="default" w:ascii="Times New Roman" w:hAnsi="Times New Roman" w:eastAsia="仿宋" w:cs="Times New Roman"/>
                <w:bCs/>
                <w:color w:val="0000FF"/>
                <w:sz w:val="24"/>
                <w:highlight w:val="none"/>
              </w:rPr>
              <w:t>职工</w:t>
            </w:r>
            <w:r>
              <w:rPr>
                <w:rFonts w:hint="default" w:ascii="Times New Roman" w:hAnsi="Times New Roman" w:eastAsia="仿宋" w:cs="Times New Roman"/>
                <w:bCs/>
                <w:color w:val="0000FF"/>
                <w:sz w:val="24"/>
                <w:highlight w:val="none"/>
                <w:lang w:val="en-US" w:eastAsia="zh-CN"/>
              </w:rPr>
              <w:t>8</w:t>
            </w:r>
            <w:r>
              <w:rPr>
                <w:rFonts w:hint="default" w:ascii="Times New Roman" w:hAnsi="Times New Roman" w:eastAsia="仿宋" w:cs="Times New Roman"/>
                <w:bCs/>
                <w:color w:val="0000FF"/>
                <w:sz w:val="24"/>
                <w:highlight w:val="none"/>
              </w:rPr>
              <w:t>人，人均生活用水量以150L/d计，年工作</w:t>
            </w:r>
            <w:r>
              <w:rPr>
                <w:rFonts w:hint="default" w:ascii="Times New Roman" w:hAnsi="Times New Roman" w:eastAsia="仿宋" w:cs="Times New Roman"/>
                <w:bCs/>
                <w:color w:val="0000FF"/>
                <w:sz w:val="24"/>
                <w:highlight w:val="none"/>
                <w:lang w:val="en-US" w:eastAsia="zh-CN"/>
              </w:rPr>
              <w:t>300</w:t>
            </w:r>
            <w:r>
              <w:rPr>
                <w:rFonts w:hint="default" w:ascii="Times New Roman" w:hAnsi="Times New Roman" w:eastAsia="仿宋" w:cs="Times New Roman"/>
                <w:bCs/>
                <w:color w:val="0000FF"/>
                <w:sz w:val="24"/>
                <w:highlight w:val="none"/>
              </w:rPr>
              <w:t>天，则</w:t>
            </w:r>
            <w:r>
              <w:rPr>
                <w:rFonts w:hint="eastAsia" w:ascii="Times New Roman" w:hAnsi="Times New Roman" w:eastAsia="仿宋" w:cs="Times New Roman"/>
                <w:bCs/>
                <w:color w:val="0000FF"/>
                <w:sz w:val="24"/>
                <w:highlight w:val="none"/>
                <w:lang w:val="en-US" w:eastAsia="zh-CN"/>
              </w:rPr>
              <w:t>员工</w:t>
            </w:r>
            <w:r>
              <w:rPr>
                <w:rFonts w:hint="default" w:ascii="Times New Roman" w:hAnsi="Times New Roman" w:eastAsia="仿宋" w:cs="Times New Roman"/>
                <w:bCs/>
                <w:color w:val="0000FF"/>
                <w:sz w:val="24"/>
                <w:highlight w:val="none"/>
              </w:rPr>
              <w:t>生活用水量为</w:t>
            </w:r>
            <w:r>
              <w:rPr>
                <w:rFonts w:hint="default" w:ascii="Times New Roman" w:hAnsi="Times New Roman" w:eastAsia="仿宋" w:cs="Times New Roman"/>
                <w:bCs/>
                <w:color w:val="0000FF"/>
                <w:sz w:val="24"/>
                <w:highlight w:val="none"/>
                <w:lang w:val="en-US" w:eastAsia="zh-CN"/>
              </w:rPr>
              <w:t>360</w:t>
            </w:r>
            <w:r>
              <w:rPr>
                <w:rFonts w:hint="default" w:ascii="Times New Roman" w:hAnsi="Times New Roman" w:eastAsia="仿宋" w:cs="Times New Roman"/>
                <w:bCs/>
                <w:color w:val="0000FF"/>
                <w:sz w:val="24"/>
                <w:highlight w:val="none"/>
              </w:rPr>
              <w:t>t/a</w:t>
            </w:r>
            <w:r>
              <w:rPr>
                <w:rFonts w:hint="eastAsia" w:ascii="Times New Roman" w:hAnsi="Times New Roman" w:eastAsia="仿宋" w:cs="Times New Roman"/>
                <w:bCs/>
                <w:color w:val="0000FF"/>
                <w:sz w:val="24"/>
                <w:highlight w:val="none"/>
                <w:lang w:eastAsia="zh-CN"/>
              </w:rPr>
              <w:t>。</w:t>
            </w:r>
          </w:p>
          <w:p w14:paraId="4E4D37D6">
            <w:pPr>
              <w:adjustRightInd w:val="0"/>
              <w:snapToGrid w:val="0"/>
              <w:spacing w:line="360" w:lineRule="auto"/>
              <w:ind w:firstLine="480" w:firstLineChars="200"/>
              <w:jc w:val="both"/>
              <w:rPr>
                <w:rFonts w:hint="eastAsia" w:ascii="Times New Roman" w:hAnsi="Times New Roman" w:eastAsia="仿宋" w:cs="Times New Roman"/>
                <w:bCs/>
                <w:color w:val="0000FF"/>
                <w:sz w:val="24"/>
                <w:highlight w:val="none"/>
                <w:lang w:val="en-US" w:eastAsia="zh-CN"/>
              </w:rPr>
            </w:pPr>
            <w:r>
              <w:rPr>
                <w:rFonts w:hint="eastAsia" w:ascii="Times New Roman" w:hAnsi="Times New Roman" w:eastAsia="仿宋" w:cs="Times New Roman"/>
                <w:bCs/>
                <w:color w:val="0000FF"/>
                <w:sz w:val="24"/>
                <w:highlight w:val="none"/>
                <w:lang w:val="en-US" w:eastAsia="zh-CN"/>
              </w:rPr>
              <w:t>②排水：本项目排水主要为生活污水。</w:t>
            </w:r>
          </w:p>
          <w:p w14:paraId="06485772">
            <w:pPr>
              <w:adjustRightInd w:val="0"/>
              <w:snapToGrid w:val="0"/>
              <w:spacing w:line="360" w:lineRule="auto"/>
              <w:ind w:firstLine="480" w:firstLineChars="200"/>
              <w:jc w:val="both"/>
              <w:rPr>
                <w:rFonts w:hint="default" w:ascii="Times New Roman" w:hAnsi="Times New Roman" w:eastAsia="仿宋" w:cs="Times New Roman"/>
                <w:bCs/>
                <w:color w:val="0000FF"/>
                <w:sz w:val="24"/>
                <w:highlight w:val="none"/>
                <w:lang w:val="en-US" w:eastAsia="zh-CN"/>
              </w:rPr>
            </w:pPr>
            <w:r>
              <w:rPr>
                <w:rFonts w:hint="eastAsia" w:ascii="Times New Roman" w:hAnsi="Times New Roman" w:eastAsia="仿宋" w:cs="Times New Roman"/>
                <w:bCs/>
                <w:color w:val="0000FF"/>
                <w:sz w:val="24"/>
                <w:highlight w:val="none"/>
                <w:lang w:val="en-US" w:eastAsia="zh-CN"/>
              </w:rPr>
              <w:t>生活污水：生活用水产污系数取0.9，则生活污水产生量为324t/a，生活污水经厂区已建污水管网接入市政污水管网后排入常州金坛区第二污水处理有限公司，处理后尾水排入尧塘河。</w:t>
            </w:r>
          </w:p>
          <w:p w14:paraId="392036D5">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本项目用排水平衡图见图2-1</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全厂</w:t>
            </w:r>
            <w:r>
              <w:rPr>
                <w:rFonts w:hint="default" w:ascii="Times New Roman" w:hAnsi="Times New Roman" w:eastAsia="仿宋" w:cs="Times New Roman"/>
                <w:bCs/>
                <w:color w:val="auto"/>
                <w:sz w:val="24"/>
                <w:highlight w:val="none"/>
              </w:rPr>
              <w:t>用排水平衡图见图2-</w:t>
            </w:r>
            <w:r>
              <w:rPr>
                <w:rFonts w:hint="default" w:ascii="Times New Roman" w:hAnsi="Times New Roman" w:eastAsia="仿宋" w:cs="Times New Roman"/>
                <w:bCs/>
                <w:color w:val="auto"/>
                <w:sz w:val="24"/>
                <w:highlight w:val="none"/>
                <w:lang w:val="en-US" w:eastAsia="zh-CN"/>
              </w:rPr>
              <w:t>2</w:t>
            </w:r>
            <w:r>
              <w:rPr>
                <w:rFonts w:hint="default" w:ascii="Times New Roman" w:hAnsi="Times New Roman" w:eastAsia="仿宋" w:cs="Times New Roman"/>
                <w:bCs/>
                <w:color w:val="auto"/>
                <w:sz w:val="24"/>
                <w:highlight w:val="none"/>
              </w:rPr>
              <w:t>。</w:t>
            </w:r>
          </w:p>
          <w:p w14:paraId="57468DF3">
            <w:pPr>
              <w:adjustRightInd w:val="0"/>
              <w:snapToGrid w:val="0"/>
              <w:spacing w:before="120" w:beforeLines="50" w:line="36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5156835" cy="2493010"/>
                  <wp:effectExtent l="0" t="0" r="0" b="0"/>
                  <wp:docPr id="44" name="ECB019B1-382A-4266-B25C-5B523AA43C14-1" descr="C:/Users/Administrator/AppData/Local/Temp/wps.yfXpu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CB019B1-382A-4266-B25C-5B523AA43C14-1" descr="C:/Users/Administrator/AppData/Local/Temp/wps.yfXpuuwps"/>
                          <pic:cNvPicPr>
                            <a:picLocks noChangeAspect="1"/>
                          </pic:cNvPicPr>
                        </pic:nvPicPr>
                        <pic:blipFill>
                          <a:blip r:embed="rId12"/>
                          <a:srcRect b="56869"/>
                          <a:stretch>
                            <a:fillRect/>
                          </a:stretch>
                        </pic:blipFill>
                        <pic:spPr>
                          <a:xfrm>
                            <a:off x="0" y="0"/>
                            <a:ext cx="5156835" cy="2493010"/>
                          </a:xfrm>
                          <a:prstGeom prst="rect">
                            <a:avLst/>
                          </a:prstGeom>
                          <a:noFill/>
                          <a:ln>
                            <a:noFill/>
                          </a:ln>
                        </pic:spPr>
                      </pic:pic>
                    </a:graphicData>
                  </a:graphic>
                </wp:inline>
              </w:drawing>
            </w:r>
          </w:p>
          <w:p w14:paraId="7FE4AF17">
            <w:pPr>
              <w:adjustRightInd w:val="0"/>
              <w:snapToGrid w:val="0"/>
              <w:spacing w:line="360" w:lineRule="auto"/>
              <w:jc w:val="center"/>
              <w:rPr>
                <w:rFonts w:hint="default" w:ascii="Times New Roman" w:hAnsi="Times New Roman" w:eastAsia="仿宋" w:cs="Times New Roman"/>
                <w:b/>
                <w:bCs/>
                <w:color w:val="0000FF"/>
                <w:sz w:val="24"/>
                <w:highlight w:val="none"/>
              </w:rPr>
            </w:pPr>
            <w:r>
              <w:rPr>
                <w:rFonts w:hint="default" w:ascii="Times New Roman" w:hAnsi="Times New Roman" w:eastAsia="仿宋" w:cs="Times New Roman"/>
                <w:b/>
                <w:bCs/>
                <w:color w:val="0000FF"/>
                <w:sz w:val="24"/>
                <w:highlight w:val="none"/>
              </w:rPr>
              <w:t>图2-1  本项目用排水平衡图（单位：t/a）</w:t>
            </w:r>
          </w:p>
          <w:p w14:paraId="212E5F77">
            <w:pPr>
              <w:adjustRightInd w:val="0"/>
              <w:snapToGrid w:val="0"/>
              <w:spacing w:line="360" w:lineRule="auto"/>
              <w:jc w:val="center"/>
              <w:rPr>
                <w:rFonts w:hint="default" w:ascii="Times New Roman" w:hAnsi="Times New Roman" w:eastAsia="仿宋" w:cs="Times New Roman"/>
                <w:b/>
                <w:bCs/>
                <w:color w:val="auto"/>
                <w:sz w:val="24"/>
                <w:highlight w:val="none"/>
              </w:rPr>
            </w:pPr>
            <w:r>
              <w:rPr>
                <w:rFonts w:hint="default" w:ascii="Times New Roman" w:hAnsi="Times New Roman" w:eastAsia="宋体" w:cs="Times New Roman"/>
                <w:color w:val="auto"/>
                <w:highlight w:val="none"/>
                <w:lang w:eastAsia="zh-CN"/>
              </w:rPr>
              <w:drawing>
                <wp:inline distT="0" distB="0" distL="114300" distR="114300">
                  <wp:extent cx="4925060" cy="2790190"/>
                  <wp:effectExtent l="0" t="0" r="0" b="0"/>
                  <wp:docPr id="2" name="ECB019B1-382A-4266-B25C-5B523AA43C14-2" descr="C:/Users/Administrator/AppData/Local/Temp/wps.YWgdL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Administrator/AppData/Local/Temp/wps.YWgdLIwps"/>
                          <pic:cNvPicPr>
                            <a:picLocks noChangeAspect="1"/>
                          </pic:cNvPicPr>
                        </pic:nvPicPr>
                        <pic:blipFill>
                          <a:blip r:embed="rId12"/>
                          <a:srcRect t="49017" b="1682"/>
                          <a:stretch>
                            <a:fillRect/>
                          </a:stretch>
                        </pic:blipFill>
                        <pic:spPr>
                          <a:xfrm>
                            <a:off x="0" y="0"/>
                            <a:ext cx="4925060" cy="2790190"/>
                          </a:xfrm>
                          <a:prstGeom prst="rect">
                            <a:avLst/>
                          </a:prstGeom>
                          <a:noFill/>
                          <a:ln>
                            <a:noFill/>
                          </a:ln>
                        </pic:spPr>
                      </pic:pic>
                    </a:graphicData>
                  </a:graphic>
                </wp:inline>
              </w:drawing>
            </w:r>
          </w:p>
          <w:p w14:paraId="64CC2D37">
            <w:pPr>
              <w:adjustRightInd w:val="0"/>
              <w:snapToGrid w:val="0"/>
              <w:spacing w:line="360" w:lineRule="auto"/>
              <w:jc w:val="center"/>
              <w:rPr>
                <w:rFonts w:hint="default" w:ascii="Times New Roman" w:hAnsi="Times New Roman" w:eastAsia="仿宋" w:cs="Times New Roman"/>
                <w:b w:val="0"/>
                <w:bCs w:val="0"/>
                <w:color w:val="auto"/>
                <w:sz w:val="24"/>
                <w:highlight w:val="none"/>
                <w:lang w:val="en-US" w:eastAsia="zh-CN"/>
              </w:rPr>
            </w:pPr>
            <w:r>
              <w:rPr>
                <w:rFonts w:hint="default" w:ascii="Times New Roman" w:hAnsi="Times New Roman" w:eastAsia="仿宋" w:cs="Times New Roman"/>
                <w:b/>
                <w:bCs/>
                <w:color w:val="0000FF"/>
                <w:sz w:val="24"/>
                <w:highlight w:val="none"/>
              </w:rPr>
              <w:t>图2-</w:t>
            </w:r>
            <w:r>
              <w:rPr>
                <w:rFonts w:hint="default" w:ascii="Times New Roman" w:hAnsi="Times New Roman" w:eastAsia="仿宋" w:cs="Times New Roman"/>
                <w:b/>
                <w:bCs/>
                <w:color w:val="0000FF"/>
                <w:sz w:val="24"/>
                <w:highlight w:val="none"/>
                <w:lang w:val="en-US" w:eastAsia="zh-CN"/>
              </w:rPr>
              <w:t>2</w:t>
            </w:r>
            <w:r>
              <w:rPr>
                <w:rFonts w:hint="default" w:ascii="Times New Roman" w:hAnsi="Times New Roman" w:eastAsia="仿宋" w:cs="Times New Roman"/>
                <w:b/>
                <w:bCs/>
                <w:color w:val="0000FF"/>
                <w:sz w:val="24"/>
                <w:highlight w:val="none"/>
              </w:rPr>
              <w:t xml:space="preserve">  </w:t>
            </w:r>
            <w:r>
              <w:rPr>
                <w:rFonts w:hint="default" w:ascii="Times New Roman" w:hAnsi="Times New Roman" w:eastAsia="仿宋" w:cs="Times New Roman"/>
                <w:b/>
                <w:bCs/>
                <w:color w:val="0000FF"/>
                <w:sz w:val="24"/>
                <w:highlight w:val="none"/>
                <w:lang w:val="en-US" w:eastAsia="zh-CN"/>
              </w:rPr>
              <w:t>全厂</w:t>
            </w:r>
            <w:r>
              <w:rPr>
                <w:rFonts w:hint="default" w:ascii="Times New Roman" w:hAnsi="Times New Roman" w:eastAsia="仿宋" w:cs="Times New Roman"/>
                <w:b/>
                <w:bCs/>
                <w:color w:val="0000FF"/>
                <w:sz w:val="24"/>
                <w:highlight w:val="none"/>
              </w:rPr>
              <w:t>用排水平衡图（单位：t/a）</w:t>
            </w:r>
          </w:p>
        </w:tc>
      </w:tr>
      <w:tr w14:paraId="56266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096" w:hRule="atLeast"/>
          <w:jc w:val="center"/>
        </w:trPr>
        <w:tc>
          <w:tcPr>
            <w:tcW w:w="313" w:type="pct"/>
            <w:noWrap w:val="0"/>
            <w:vAlign w:val="center"/>
          </w:tcPr>
          <w:p w14:paraId="51826578">
            <w:pPr>
              <w:adjustRightInd w:val="0"/>
              <w:snapToGrid w:val="0"/>
              <w:spacing w:line="360" w:lineRule="auto"/>
              <w:ind w:left="-105" w:leftChars="-50" w:right="-105" w:rightChars="-5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sz w:val="24"/>
                <w:highlight w:val="none"/>
              </w:rPr>
              <w:t>工艺流程和产排污环节</w:t>
            </w:r>
          </w:p>
        </w:tc>
        <w:tc>
          <w:tcPr>
            <w:tcW w:w="4686" w:type="pct"/>
            <w:noWrap w:val="0"/>
            <w:vAlign w:val="top"/>
          </w:tcPr>
          <w:p w14:paraId="48AF9E5D">
            <w:pPr>
              <w:adjustRightInd w:val="0"/>
              <w:snapToGrid w:val="0"/>
              <w:spacing w:before="120" w:beforeLines="50" w:line="360" w:lineRule="auto"/>
              <w:ind w:firstLine="482" w:firstLineChars="200"/>
              <w:jc w:val="left"/>
              <w:rPr>
                <w:rFonts w:hint="default" w:ascii="Times New Roman" w:hAnsi="Times New Roman" w:eastAsia="仿宋" w:cs="Times New Roman"/>
                <w:b/>
                <w:bCs/>
                <w:color w:val="auto"/>
                <w:sz w:val="24"/>
                <w:highlight w:val="none"/>
                <w:lang w:val="en-US" w:eastAsia="zh-CN"/>
              </w:rPr>
            </w:pPr>
            <w:r>
              <w:rPr>
                <w:rFonts w:hint="default" w:ascii="Times New Roman" w:hAnsi="Times New Roman" w:eastAsia="仿宋" w:cs="Times New Roman"/>
                <w:b/>
                <w:bCs/>
                <w:color w:val="auto"/>
                <w:sz w:val="24"/>
                <w:highlight w:val="none"/>
              </w:rPr>
              <w:t>一、</w:t>
            </w:r>
            <w:r>
              <w:rPr>
                <w:rFonts w:hint="default" w:ascii="Times New Roman" w:hAnsi="Times New Roman" w:eastAsia="仿宋" w:cs="Times New Roman"/>
                <w:b/>
                <w:bCs/>
                <w:color w:val="auto"/>
                <w:sz w:val="24"/>
                <w:highlight w:val="none"/>
                <w:lang w:val="en-US" w:eastAsia="zh-CN"/>
              </w:rPr>
              <w:t>工艺流程及产污环节</w:t>
            </w:r>
          </w:p>
          <w:p w14:paraId="105CCB8E">
            <w:pPr>
              <w:spacing w:line="324" w:lineRule="auto"/>
              <w:ind w:firstLine="480" w:firstLineChars="200"/>
              <w:rPr>
                <w:rFonts w:hint="default" w:ascii="Times New Roman" w:hAnsi="Times New Roman" w:eastAsia="仿宋" w:cs="Times New Roman"/>
                <w:color w:val="auto"/>
                <w:spacing w:val="-2"/>
                <w:sz w:val="24"/>
                <w:highlight w:val="none"/>
              </w:rPr>
            </w:pPr>
            <w:r>
              <w:rPr>
                <w:rFonts w:hint="default" w:ascii="Times New Roman" w:hAnsi="Times New Roman" w:eastAsia="仿宋" w:cs="Times New Roman"/>
                <w:bCs/>
                <w:color w:val="auto"/>
                <w:sz w:val="24"/>
                <w:highlight w:val="none"/>
                <w:lang w:val="en-US" w:eastAsia="zh-CN"/>
              </w:rPr>
              <w:t>本项目从事唇刷的生产，主要生产工艺为投料、注塑、破碎、拌料、上胶、植绒、烘干、固化、筛毛、组装，生产工艺流程及产污环节如下</w:t>
            </w:r>
            <w:r>
              <w:rPr>
                <w:rFonts w:hint="default" w:ascii="Times New Roman" w:hAnsi="Times New Roman" w:eastAsia="仿宋" w:cs="Times New Roman"/>
                <w:bCs/>
                <w:color w:val="auto"/>
                <w:sz w:val="24"/>
                <w:highlight w:val="none"/>
              </w:rPr>
              <w:t>：</w:t>
            </w:r>
          </w:p>
          <w:p w14:paraId="3F7AB4C2">
            <w:pPr>
              <w:keepNext w:val="0"/>
              <w:keepLines w:val="0"/>
              <w:pageBreakBefore w:val="0"/>
              <w:widowControl w:val="0"/>
              <w:kinsoku/>
              <w:wordWrap/>
              <w:overflowPunct/>
              <w:topLinePunct w:val="0"/>
              <w:autoSpaceDE/>
              <w:autoSpaceDN/>
              <w:bidi w:val="0"/>
              <w:adjustRightInd/>
              <w:snapToGrid/>
              <w:spacing w:line="324" w:lineRule="auto"/>
              <w:jc w:val="center"/>
              <w:textAlignment w:val="auto"/>
              <w:rPr>
                <w:rFonts w:hint="default" w:ascii="Times New Roman" w:hAnsi="Times New Roman" w:eastAsia="仿宋" w:cs="Times New Roman"/>
                <w:color w:val="auto"/>
                <w:spacing w:val="-2"/>
                <w:sz w:val="24"/>
                <w:highlight w:val="none"/>
                <w:lang w:eastAsia="zh-CN"/>
              </w:rPr>
            </w:pPr>
            <w:r>
              <w:rPr>
                <w:rFonts w:hint="default" w:ascii="Times New Roman" w:hAnsi="Times New Roman" w:eastAsia="仿宋" w:cs="Times New Roman"/>
                <w:color w:val="auto"/>
                <w:spacing w:val="-2"/>
                <w:sz w:val="24"/>
                <w:highlight w:val="none"/>
                <w:lang w:eastAsia="zh-CN"/>
              </w:rPr>
              <w:drawing>
                <wp:inline distT="0" distB="0" distL="114300" distR="114300">
                  <wp:extent cx="3318510" cy="5457190"/>
                  <wp:effectExtent l="0" t="0" r="0" b="0"/>
                  <wp:docPr id="50" name="ECB019B1-382A-4266-B25C-5B523AA43C14-3" descr="C:/Users/Administrator/AppData/Local/Temp/wps.cNHVC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CB019B1-382A-4266-B25C-5B523AA43C14-3" descr="C:/Users/Administrator/AppData/Local/Temp/wps.cNHVCawps"/>
                          <pic:cNvPicPr>
                            <a:picLocks noChangeAspect="1"/>
                          </pic:cNvPicPr>
                        </pic:nvPicPr>
                        <pic:blipFill>
                          <a:blip r:embed="rId13"/>
                          <a:stretch>
                            <a:fillRect/>
                          </a:stretch>
                        </pic:blipFill>
                        <pic:spPr>
                          <a:xfrm>
                            <a:off x="0" y="0"/>
                            <a:ext cx="3318510" cy="5457190"/>
                          </a:xfrm>
                          <a:prstGeom prst="rect">
                            <a:avLst/>
                          </a:prstGeom>
                        </pic:spPr>
                      </pic:pic>
                    </a:graphicData>
                  </a:graphic>
                </wp:inline>
              </w:drawing>
            </w:r>
          </w:p>
          <w:p w14:paraId="5012B1F0">
            <w:pPr>
              <w:spacing w:line="324" w:lineRule="auto"/>
              <w:jc w:val="center"/>
              <w:rPr>
                <w:rFonts w:hint="default" w:ascii="Times New Roman" w:hAnsi="Times New Roman" w:eastAsia="仿宋" w:cs="Times New Roman"/>
                <w:b/>
                <w:bCs/>
                <w:color w:val="auto"/>
                <w:spacing w:val="-2"/>
                <w:sz w:val="24"/>
                <w:highlight w:val="none"/>
              </w:rPr>
            </w:pPr>
            <w:r>
              <w:rPr>
                <w:rFonts w:hint="default" w:ascii="Times New Roman" w:hAnsi="Times New Roman" w:eastAsia="仿宋" w:cs="Times New Roman"/>
                <w:b/>
                <w:bCs/>
                <w:color w:val="auto"/>
                <w:spacing w:val="-2"/>
                <w:sz w:val="24"/>
                <w:highlight w:val="none"/>
              </w:rPr>
              <w:t>图2-</w:t>
            </w:r>
            <w:r>
              <w:rPr>
                <w:rFonts w:hint="eastAsia" w:eastAsia="仿宋" w:cs="Times New Roman"/>
                <w:b/>
                <w:bCs/>
                <w:color w:val="auto"/>
                <w:spacing w:val="-2"/>
                <w:sz w:val="24"/>
                <w:highlight w:val="none"/>
                <w:lang w:val="en-US" w:eastAsia="zh-CN"/>
              </w:rPr>
              <w:t>3</w:t>
            </w:r>
            <w:r>
              <w:rPr>
                <w:rFonts w:hint="default" w:ascii="Times New Roman" w:hAnsi="Times New Roman" w:eastAsia="仿宋" w:cs="Times New Roman"/>
                <w:b/>
                <w:bCs/>
                <w:color w:val="auto"/>
                <w:spacing w:val="-2"/>
                <w:sz w:val="24"/>
                <w:highlight w:val="none"/>
              </w:rPr>
              <w:t xml:space="preserve">  </w:t>
            </w:r>
            <w:r>
              <w:rPr>
                <w:rFonts w:hint="default" w:ascii="Times New Roman" w:hAnsi="Times New Roman" w:eastAsia="仿宋" w:cs="Times New Roman"/>
                <w:b/>
                <w:bCs/>
                <w:color w:val="auto"/>
                <w:spacing w:val="-2"/>
                <w:sz w:val="24"/>
                <w:highlight w:val="none"/>
                <w:lang w:val="en-US" w:eastAsia="zh-CN"/>
              </w:rPr>
              <w:t>唇刷生产工艺流程及产污环节</w:t>
            </w:r>
            <w:r>
              <w:rPr>
                <w:rFonts w:hint="default" w:ascii="Times New Roman" w:hAnsi="Times New Roman" w:eastAsia="仿宋" w:cs="Times New Roman"/>
                <w:b/>
                <w:bCs/>
                <w:color w:val="auto"/>
                <w:spacing w:val="-2"/>
                <w:sz w:val="24"/>
                <w:highlight w:val="none"/>
              </w:rPr>
              <w:t>图</w:t>
            </w:r>
          </w:p>
          <w:p w14:paraId="5505E393">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工艺流程及产污环节简述：</w:t>
            </w:r>
          </w:p>
          <w:p w14:paraId="5842753A">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①投料</w:t>
            </w:r>
            <w:r>
              <w:rPr>
                <w:rFonts w:hint="eastAsia" w:eastAsia="仿宋" w:cs="Times New Roman"/>
                <w:color w:val="auto"/>
                <w:sz w:val="24"/>
                <w:highlight w:val="none"/>
                <w:lang w:val="en-US" w:eastAsia="zh-CN"/>
              </w:rPr>
              <w:t>/拌料</w:t>
            </w:r>
            <w:r>
              <w:rPr>
                <w:rFonts w:hint="default" w:ascii="Times New Roman" w:hAnsi="Times New Roman" w:eastAsia="仿宋" w:cs="Times New Roman"/>
                <w:color w:val="auto"/>
                <w:sz w:val="24"/>
                <w:highlight w:val="none"/>
                <w:lang w:val="en-US" w:eastAsia="zh-CN"/>
              </w:rPr>
              <w:t>：将外购PP粒子和破碎后的不合格品</w:t>
            </w:r>
            <w:r>
              <w:rPr>
                <w:rFonts w:hint="eastAsia" w:eastAsia="仿宋" w:cs="Times New Roman"/>
                <w:color w:val="auto"/>
                <w:sz w:val="24"/>
                <w:highlight w:val="none"/>
                <w:lang w:val="en-US" w:eastAsia="zh-CN"/>
              </w:rPr>
              <w:t>混合后</w:t>
            </w:r>
            <w:r>
              <w:rPr>
                <w:rFonts w:hint="default" w:ascii="Times New Roman" w:hAnsi="Times New Roman" w:eastAsia="仿宋" w:cs="Times New Roman"/>
                <w:color w:val="auto"/>
                <w:sz w:val="24"/>
                <w:highlight w:val="none"/>
                <w:lang w:val="en-US" w:eastAsia="zh-CN"/>
              </w:rPr>
              <w:t>输送到注塑机入口的投料系统，系统自动吸入到注塑机，本项目使用原料均为颗粒状且粒径较大</w:t>
            </w:r>
            <w:r>
              <w:rPr>
                <w:rFonts w:hint="eastAsia" w:eastAsia="仿宋" w:cs="Times New Roman"/>
                <w:color w:val="auto"/>
                <w:sz w:val="24"/>
                <w:highlight w:val="none"/>
                <w:lang w:val="en-US" w:eastAsia="zh-CN"/>
              </w:rPr>
              <w:t>约0.5cm</w:t>
            </w:r>
            <w:r>
              <w:rPr>
                <w:rFonts w:hint="default" w:ascii="Times New Roman" w:hAnsi="Times New Roman" w:eastAsia="仿宋" w:cs="Times New Roman"/>
                <w:color w:val="auto"/>
                <w:sz w:val="24"/>
                <w:highlight w:val="none"/>
                <w:lang w:val="en-US" w:eastAsia="zh-CN"/>
              </w:rPr>
              <w:t>，故投料/拌料过程无粉尘产生，此工序</w:t>
            </w:r>
            <w:r>
              <w:rPr>
                <w:rFonts w:hint="eastAsia" w:eastAsia="仿宋" w:cs="Times New Roman"/>
                <w:color w:val="auto"/>
                <w:sz w:val="24"/>
                <w:highlight w:val="none"/>
                <w:lang w:val="en-US" w:eastAsia="zh-CN"/>
              </w:rPr>
              <w:t>有噪声N产生</w:t>
            </w:r>
            <w:r>
              <w:rPr>
                <w:rFonts w:hint="default" w:ascii="Times New Roman" w:hAnsi="Times New Roman" w:eastAsia="仿宋" w:cs="Times New Roman"/>
                <w:color w:val="auto"/>
                <w:sz w:val="24"/>
                <w:highlight w:val="none"/>
                <w:lang w:val="en-US" w:eastAsia="zh-CN"/>
              </w:rPr>
              <w:t>。</w:t>
            </w:r>
          </w:p>
          <w:p w14:paraId="1D7D3779">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②注塑：注塑机采用电加热方式，温度控制在210℃左右，加热时间约20～40min，使塑料粒子软化、熔融，熔融料通过螺杆转动挤出，输送至客户对产品需求的配套模具中成型，成型后的注塑件经循环水隔套冷却后自动脱模</w:t>
            </w:r>
            <w:r>
              <w:rPr>
                <w:rFonts w:hint="eastAsia" w:ascii="Times New Roman" w:hAnsi="Times New Roman" w:eastAsia="仿宋" w:cs="Times New Roman"/>
                <w:color w:val="auto"/>
                <w:sz w:val="24"/>
                <w:highlight w:val="none"/>
                <w:lang w:val="en-US" w:eastAsia="zh-CN"/>
              </w:rPr>
              <w:t>即为刷头</w:t>
            </w:r>
            <w:r>
              <w:rPr>
                <w:rFonts w:hint="default" w:ascii="Times New Roman" w:hAnsi="Times New Roman" w:eastAsia="仿宋" w:cs="Times New Roman"/>
                <w:color w:val="auto"/>
                <w:sz w:val="24"/>
                <w:highlight w:val="none"/>
                <w:lang w:val="en-US" w:eastAsia="zh-CN"/>
              </w:rPr>
              <w:t>，冷却水依托现有冷却塔提供，循环使用，定期补充，不排放。此工序有注塑废气G1及噪声N产生。</w:t>
            </w:r>
          </w:p>
          <w:p w14:paraId="49DDA57C">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③破碎：对注塑好的</w:t>
            </w:r>
            <w:r>
              <w:rPr>
                <w:rFonts w:hint="eastAsia" w:eastAsia="仿宋" w:cs="Times New Roman"/>
                <w:color w:val="auto"/>
                <w:sz w:val="24"/>
                <w:highlight w:val="none"/>
                <w:lang w:val="en-US" w:eastAsia="zh-CN"/>
              </w:rPr>
              <w:t>刷头</w:t>
            </w:r>
            <w:r>
              <w:rPr>
                <w:rFonts w:hint="default" w:ascii="Times New Roman" w:hAnsi="Times New Roman" w:eastAsia="仿宋" w:cs="Times New Roman"/>
                <w:color w:val="auto"/>
                <w:sz w:val="24"/>
                <w:highlight w:val="none"/>
                <w:lang w:val="en-US" w:eastAsia="zh-CN"/>
              </w:rPr>
              <w:t>进行</w:t>
            </w:r>
            <w:r>
              <w:rPr>
                <w:rFonts w:hint="eastAsia" w:eastAsia="仿宋" w:cs="Times New Roman"/>
                <w:color w:val="auto"/>
                <w:sz w:val="24"/>
                <w:highlight w:val="none"/>
                <w:lang w:val="en-US" w:eastAsia="zh-CN"/>
              </w:rPr>
              <w:t>人工筛选</w:t>
            </w:r>
            <w:r>
              <w:rPr>
                <w:rFonts w:hint="default" w:ascii="Times New Roman" w:hAnsi="Times New Roman" w:eastAsia="仿宋" w:cs="Times New Roman"/>
                <w:color w:val="auto"/>
                <w:sz w:val="24"/>
                <w:highlight w:val="none"/>
                <w:lang w:val="en-US" w:eastAsia="zh-CN"/>
              </w:rPr>
              <w:t>，将不合格的</w:t>
            </w:r>
            <w:r>
              <w:rPr>
                <w:rFonts w:hint="eastAsia" w:eastAsia="仿宋" w:cs="Times New Roman"/>
                <w:color w:val="auto"/>
                <w:sz w:val="24"/>
                <w:highlight w:val="none"/>
                <w:lang w:val="en-US" w:eastAsia="zh-CN"/>
              </w:rPr>
              <w:t>刷头</w:t>
            </w:r>
            <w:r>
              <w:rPr>
                <w:rFonts w:hint="default" w:ascii="Times New Roman" w:hAnsi="Times New Roman" w:eastAsia="仿宋" w:cs="Times New Roman"/>
                <w:color w:val="auto"/>
                <w:sz w:val="24"/>
                <w:highlight w:val="none"/>
                <w:lang w:val="en-US" w:eastAsia="zh-CN"/>
              </w:rPr>
              <w:t>加入破碎机进行破碎，破碎后与新料搅拌回用于注塑，本项目不合格品</w:t>
            </w:r>
            <w:r>
              <w:rPr>
                <w:rFonts w:hint="eastAsia" w:eastAsia="仿宋" w:cs="Times New Roman"/>
                <w:color w:val="auto"/>
                <w:sz w:val="24"/>
                <w:highlight w:val="none"/>
                <w:lang w:val="en-US" w:eastAsia="zh-CN"/>
              </w:rPr>
              <w:t>破碎</w:t>
            </w:r>
            <w:r>
              <w:rPr>
                <w:rFonts w:hint="default" w:ascii="Times New Roman" w:hAnsi="Times New Roman" w:eastAsia="仿宋" w:cs="Times New Roman"/>
                <w:color w:val="auto"/>
                <w:sz w:val="24"/>
                <w:highlight w:val="none"/>
                <w:lang w:val="en-US" w:eastAsia="zh-CN"/>
              </w:rPr>
              <w:t>至新料粒径大小，故破碎过程无粉尘产生，此工序有噪声N产生。</w:t>
            </w:r>
          </w:p>
          <w:p w14:paraId="02A44A01">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④上胶：将合格</w:t>
            </w:r>
            <w:r>
              <w:rPr>
                <w:rFonts w:hint="eastAsia" w:eastAsia="仿宋" w:cs="Times New Roman"/>
                <w:color w:val="auto"/>
                <w:sz w:val="24"/>
                <w:highlight w:val="none"/>
                <w:lang w:val="en-US" w:eastAsia="zh-CN"/>
              </w:rPr>
              <w:t>刷头</w:t>
            </w:r>
            <w:r>
              <w:rPr>
                <w:rFonts w:hint="default" w:eastAsia="仿宋" w:cs="Times New Roman"/>
                <w:color w:val="auto"/>
                <w:sz w:val="24"/>
                <w:highlight w:val="none"/>
                <w:lang w:val="en-US" w:eastAsia="zh-CN"/>
              </w:rPr>
              <w:t>安</w:t>
            </w:r>
            <w:r>
              <w:rPr>
                <w:rFonts w:hint="default" w:ascii="Times New Roman" w:hAnsi="Times New Roman" w:eastAsia="仿宋" w:cs="Times New Roman"/>
                <w:color w:val="auto"/>
                <w:sz w:val="24"/>
                <w:highlight w:val="none"/>
                <w:lang w:val="en-US" w:eastAsia="zh-CN"/>
              </w:rPr>
              <w:t>装至</w:t>
            </w:r>
            <w:r>
              <w:rPr>
                <w:rFonts w:hint="eastAsia" w:ascii="Times New Roman" w:hAnsi="Times New Roman" w:eastAsia="仿宋" w:cs="Times New Roman"/>
                <w:color w:val="auto"/>
                <w:sz w:val="24"/>
                <w:highlight w:val="none"/>
                <w:lang w:val="en-US" w:eastAsia="zh-CN"/>
              </w:rPr>
              <w:t>植绒机</w:t>
            </w:r>
            <w:r>
              <w:rPr>
                <w:rFonts w:hint="default" w:ascii="Times New Roman" w:hAnsi="Times New Roman" w:eastAsia="仿宋" w:cs="Times New Roman"/>
                <w:color w:val="auto"/>
                <w:sz w:val="24"/>
                <w:highlight w:val="none"/>
                <w:lang w:val="en-US" w:eastAsia="zh-CN"/>
              </w:rPr>
              <w:t>挂具</w:t>
            </w:r>
            <w:r>
              <w:rPr>
                <w:rFonts w:hint="eastAsia" w:ascii="Times New Roman" w:hAnsi="Times New Roman" w:eastAsia="仿宋" w:cs="Times New Roman"/>
                <w:color w:val="auto"/>
                <w:sz w:val="24"/>
                <w:highlight w:val="none"/>
                <w:lang w:val="en-US" w:eastAsia="zh-CN"/>
              </w:rPr>
              <w:t>上</w:t>
            </w:r>
            <w:r>
              <w:rPr>
                <w:rFonts w:hint="default" w:ascii="Times New Roman" w:hAnsi="Times New Roman" w:eastAsia="仿宋" w:cs="Times New Roman"/>
                <w:color w:val="auto"/>
                <w:sz w:val="24"/>
                <w:highlight w:val="none"/>
                <w:lang w:val="en-US" w:eastAsia="zh-CN"/>
              </w:rPr>
              <w:t>，确保压板锁紧闭，保证</w:t>
            </w:r>
            <w:r>
              <w:rPr>
                <w:rFonts w:hint="eastAsia" w:eastAsia="仿宋" w:cs="Times New Roman"/>
                <w:color w:val="auto"/>
                <w:sz w:val="24"/>
                <w:highlight w:val="none"/>
                <w:lang w:val="en-US" w:eastAsia="zh-CN"/>
              </w:rPr>
              <w:t>刷</w:t>
            </w:r>
            <w:r>
              <w:rPr>
                <w:rFonts w:hint="default" w:ascii="Times New Roman" w:hAnsi="Times New Roman" w:eastAsia="仿宋" w:cs="Times New Roman"/>
                <w:color w:val="auto"/>
                <w:sz w:val="24"/>
                <w:highlight w:val="none"/>
                <w:lang w:val="en-US" w:eastAsia="zh-CN"/>
              </w:rPr>
              <w:t>头稳固。植绒机上胶单元为密闭隔间，将外购的胶粘剂置于胶水盘，通过系统控制胶水盘的上下移动完成上胶，使胶粘剂附着于</w:t>
            </w:r>
            <w:r>
              <w:rPr>
                <w:rFonts w:hint="eastAsia" w:eastAsia="仿宋" w:cs="Times New Roman"/>
                <w:color w:val="auto"/>
                <w:sz w:val="24"/>
                <w:highlight w:val="none"/>
                <w:lang w:val="en-US" w:eastAsia="zh-CN"/>
              </w:rPr>
              <w:t>刷</w:t>
            </w:r>
            <w:r>
              <w:rPr>
                <w:rFonts w:hint="default" w:ascii="Times New Roman" w:hAnsi="Times New Roman" w:eastAsia="仿宋" w:cs="Times New Roman"/>
                <w:color w:val="auto"/>
                <w:sz w:val="24"/>
                <w:highlight w:val="none"/>
                <w:lang w:val="en-US" w:eastAsia="zh-CN"/>
              </w:rPr>
              <w:t>头上。此工序有上胶废气G2产生。</w:t>
            </w:r>
          </w:p>
          <w:p w14:paraId="048D13B5">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⑤植绒：植绒机系统内部流水线将上胶好的</w:t>
            </w:r>
            <w:r>
              <w:rPr>
                <w:rFonts w:hint="eastAsia" w:eastAsia="仿宋" w:cs="Times New Roman"/>
                <w:color w:val="auto"/>
                <w:sz w:val="24"/>
                <w:highlight w:val="none"/>
                <w:lang w:val="en-US" w:eastAsia="zh-CN"/>
              </w:rPr>
              <w:t>刷头</w:t>
            </w:r>
            <w:r>
              <w:rPr>
                <w:rFonts w:hint="default" w:ascii="Times New Roman" w:hAnsi="Times New Roman" w:eastAsia="仿宋" w:cs="Times New Roman"/>
                <w:color w:val="auto"/>
                <w:sz w:val="24"/>
                <w:highlight w:val="none"/>
                <w:lang w:val="en-US" w:eastAsia="zh-CN"/>
              </w:rPr>
              <w:t>自动输送至</w:t>
            </w:r>
            <w:r>
              <w:rPr>
                <w:rFonts w:hint="eastAsia" w:eastAsia="仿宋" w:cs="Times New Roman"/>
                <w:color w:val="auto"/>
                <w:sz w:val="24"/>
                <w:highlight w:val="none"/>
                <w:lang w:val="en-US" w:eastAsia="zh-CN"/>
              </w:rPr>
              <w:t>密闭的</w:t>
            </w:r>
            <w:r>
              <w:rPr>
                <w:rFonts w:hint="default" w:ascii="Times New Roman" w:hAnsi="Times New Roman" w:eastAsia="仿宋" w:cs="Times New Roman"/>
                <w:color w:val="auto"/>
                <w:sz w:val="24"/>
                <w:highlight w:val="none"/>
                <w:lang w:val="en-US" w:eastAsia="zh-CN"/>
              </w:rPr>
              <w:t>植绒单元，植绒单元内部设置绒毛循环输送带</w:t>
            </w:r>
            <w:r>
              <w:rPr>
                <w:rFonts w:hint="eastAsia" w:eastAsia="仿宋" w:cs="Times New Roman"/>
                <w:color w:val="auto"/>
                <w:sz w:val="24"/>
                <w:highlight w:val="none"/>
                <w:lang w:val="en-US" w:eastAsia="zh-CN"/>
              </w:rPr>
              <w:t>，输送速度约15m/min</w:t>
            </w:r>
            <w:r>
              <w:rPr>
                <w:rFonts w:hint="default" w:ascii="Times New Roman" w:hAnsi="Times New Roman" w:eastAsia="仿宋" w:cs="Times New Roman"/>
                <w:color w:val="auto"/>
                <w:sz w:val="24"/>
                <w:highlight w:val="none"/>
                <w:lang w:val="en-US" w:eastAsia="zh-CN"/>
              </w:rPr>
              <w:t>，通过静电植绒技术将绒毛静电吸附至上胶的棉头上，绒毛定期</w:t>
            </w:r>
            <w:r>
              <w:rPr>
                <w:rFonts w:hint="eastAsia" w:eastAsia="仿宋" w:cs="Times New Roman"/>
                <w:color w:val="auto"/>
                <w:sz w:val="24"/>
                <w:highlight w:val="none"/>
                <w:lang w:val="en-US" w:eastAsia="zh-CN"/>
              </w:rPr>
              <w:t>自动</w:t>
            </w:r>
            <w:r>
              <w:rPr>
                <w:rFonts w:hint="default" w:ascii="Times New Roman" w:hAnsi="Times New Roman" w:eastAsia="仿宋" w:cs="Times New Roman"/>
                <w:color w:val="auto"/>
                <w:sz w:val="24"/>
                <w:highlight w:val="none"/>
                <w:lang w:val="en-US" w:eastAsia="zh-CN"/>
              </w:rPr>
              <w:t>添加。此工序有植绒废气G3产生。</w:t>
            </w:r>
          </w:p>
          <w:p w14:paraId="69EEF89A">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静电植绒工作原理：利用电荷同性相斥异性相吸的物理特性，使绒毛带上负电荷，把需要植绒的物体放在零电位或接地条件下，绒毛受到异电位被植物体的吸引，呈垂直状加速飞升到需要植绒的物体表面上，由于被植物体涂有胶粘剂，绒毛就被垂直粘在被植物体上，因此静电植绒是利用电荷的自然特性产生的一种生产工艺。</w:t>
            </w:r>
          </w:p>
          <w:p w14:paraId="377AA65C">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⑥烘干：植绒机系统内部将植绒好的</w:t>
            </w:r>
            <w:r>
              <w:rPr>
                <w:rFonts w:hint="eastAsia" w:eastAsia="仿宋" w:cs="Times New Roman"/>
                <w:color w:val="auto"/>
                <w:sz w:val="24"/>
                <w:highlight w:val="none"/>
                <w:lang w:val="en-US" w:eastAsia="zh-CN"/>
              </w:rPr>
              <w:t>刷头</w:t>
            </w:r>
            <w:r>
              <w:rPr>
                <w:rFonts w:hint="default" w:ascii="Times New Roman" w:hAnsi="Times New Roman" w:eastAsia="仿宋" w:cs="Times New Roman"/>
                <w:color w:val="auto"/>
                <w:sz w:val="24"/>
                <w:highlight w:val="none"/>
                <w:lang w:val="en-US" w:eastAsia="zh-CN"/>
              </w:rPr>
              <w:t>自动输送至内置</w:t>
            </w:r>
            <w:r>
              <w:rPr>
                <w:rFonts w:hint="eastAsia" w:eastAsia="仿宋" w:cs="Times New Roman"/>
                <w:color w:val="auto"/>
                <w:sz w:val="24"/>
                <w:highlight w:val="none"/>
                <w:lang w:val="en-US" w:eastAsia="zh-CN"/>
              </w:rPr>
              <w:t>密闭的</w:t>
            </w:r>
            <w:r>
              <w:rPr>
                <w:rFonts w:hint="default" w:ascii="Times New Roman" w:hAnsi="Times New Roman" w:eastAsia="仿宋" w:cs="Times New Roman"/>
                <w:color w:val="auto"/>
                <w:sz w:val="24"/>
                <w:highlight w:val="none"/>
                <w:lang w:val="en-US" w:eastAsia="zh-CN"/>
              </w:rPr>
              <w:t>烘干单元，烘干温度为40℃，时间为30min，采用电加热。此工序有烘干废气G4产生。</w:t>
            </w:r>
          </w:p>
          <w:p w14:paraId="51C72628">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⑦固化：烘干好的</w:t>
            </w:r>
            <w:r>
              <w:rPr>
                <w:rFonts w:hint="eastAsia" w:eastAsia="仿宋" w:cs="Times New Roman"/>
                <w:color w:val="auto"/>
                <w:sz w:val="24"/>
                <w:highlight w:val="none"/>
                <w:lang w:val="en-US" w:eastAsia="zh-CN"/>
              </w:rPr>
              <w:t>刷头</w:t>
            </w:r>
            <w:r>
              <w:rPr>
                <w:rFonts w:hint="default" w:ascii="Times New Roman" w:hAnsi="Times New Roman" w:eastAsia="仿宋" w:cs="Times New Roman"/>
                <w:color w:val="auto"/>
                <w:sz w:val="24"/>
                <w:highlight w:val="none"/>
                <w:lang w:val="en-US" w:eastAsia="zh-CN"/>
              </w:rPr>
              <w:t>需要进一步固化，将</w:t>
            </w:r>
            <w:r>
              <w:rPr>
                <w:rFonts w:hint="eastAsia" w:eastAsia="仿宋" w:cs="Times New Roman"/>
                <w:color w:val="auto"/>
                <w:sz w:val="24"/>
                <w:highlight w:val="none"/>
                <w:lang w:val="en-US" w:eastAsia="zh-CN"/>
              </w:rPr>
              <w:t>刷</w:t>
            </w:r>
            <w:r>
              <w:rPr>
                <w:rFonts w:hint="default" w:ascii="Times New Roman" w:hAnsi="Times New Roman" w:eastAsia="仿宋" w:cs="Times New Roman"/>
                <w:color w:val="auto"/>
                <w:sz w:val="24"/>
                <w:highlight w:val="none"/>
                <w:lang w:val="en-US" w:eastAsia="zh-CN"/>
              </w:rPr>
              <w:t>头从植绒机挂具上取下</w:t>
            </w:r>
            <w:r>
              <w:rPr>
                <w:rFonts w:hint="eastAsia" w:eastAsia="仿宋" w:cs="Times New Roman"/>
                <w:color w:val="auto"/>
                <w:sz w:val="24"/>
                <w:highlight w:val="none"/>
                <w:lang w:val="en-US" w:eastAsia="zh-CN"/>
              </w:rPr>
              <w:t>输送至</w:t>
            </w:r>
            <w:r>
              <w:rPr>
                <w:rFonts w:hint="default" w:ascii="Times New Roman" w:hAnsi="Times New Roman" w:eastAsia="仿宋" w:cs="Times New Roman"/>
                <w:color w:val="auto"/>
                <w:sz w:val="24"/>
                <w:highlight w:val="none"/>
                <w:lang w:val="en-US" w:eastAsia="zh-CN"/>
              </w:rPr>
              <w:t>烘箱，烘箱采用电加热，固化温度为70℃，时间为3小时，此过程有固化废气G5产生。</w:t>
            </w:r>
          </w:p>
          <w:p w14:paraId="1889023E">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⑧筛毛：将固化降温后的刷头取出烘箱，常温放置</w:t>
            </w:r>
            <w:r>
              <w:rPr>
                <w:rFonts w:hint="eastAsia" w:eastAsia="仿宋" w:cs="Times New Roman"/>
                <w:color w:val="auto"/>
                <w:sz w:val="24"/>
                <w:highlight w:val="none"/>
                <w:lang w:val="en-US" w:eastAsia="zh-CN"/>
              </w:rPr>
              <w:t>于</w:t>
            </w:r>
            <w:r>
              <w:rPr>
                <w:rFonts w:hint="default" w:ascii="Times New Roman" w:hAnsi="Times New Roman" w:eastAsia="仿宋" w:cs="Times New Roman"/>
                <w:color w:val="auto"/>
                <w:sz w:val="24"/>
                <w:highlight w:val="none"/>
                <w:lang w:val="en-US" w:eastAsia="zh-CN"/>
              </w:rPr>
              <w:t>产品架上，然后用筛毛机对棉头进行筛毛，通过滚筒震动使未粘牢的绒毛震动脱落。此过程有筛毛废气G6及噪声N产生。</w:t>
            </w:r>
          </w:p>
          <w:p w14:paraId="664952F0">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⑨组装：将筛毛过后的</w:t>
            </w:r>
            <w:r>
              <w:rPr>
                <w:rFonts w:hint="eastAsia" w:eastAsia="仿宋" w:cs="Times New Roman"/>
                <w:color w:val="auto"/>
                <w:sz w:val="24"/>
                <w:highlight w:val="none"/>
                <w:lang w:val="en-US" w:eastAsia="zh-CN"/>
              </w:rPr>
              <w:t>刷</w:t>
            </w:r>
            <w:r>
              <w:rPr>
                <w:rFonts w:hint="default" w:ascii="Times New Roman" w:hAnsi="Times New Roman" w:eastAsia="仿宋" w:cs="Times New Roman"/>
                <w:color w:val="auto"/>
                <w:sz w:val="24"/>
                <w:highlight w:val="none"/>
                <w:lang w:val="en-US" w:eastAsia="zh-CN"/>
              </w:rPr>
              <w:t>头与外购的手柄人工组装成唇刷，此工序无污染物产生及排放。</w:t>
            </w:r>
          </w:p>
          <w:p w14:paraId="3EC011CB">
            <w:pPr>
              <w:keepNext w:val="0"/>
              <w:keepLines w:val="0"/>
              <w:pageBreakBefore w:val="0"/>
              <w:widowControl w:val="0"/>
              <w:kinsoku/>
              <w:wordWrap/>
              <w:overflowPunct/>
              <w:topLinePunct w:val="0"/>
              <w:autoSpaceDE/>
              <w:autoSpaceDN/>
              <w:bidi w:val="0"/>
              <w:adjustRightInd w:val="0"/>
              <w:snapToGrid w:val="0"/>
              <w:spacing w:line="360" w:lineRule="auto"/>
              <w:ind w:firstLine="474" w:firstLineChars="200"/>
              <w:textAlignment w:val="auto"/>
              <w:rPr>
                <w:rFonts w:hint="default" w:ascii="Times New Roman" w:hAnsi="Times New Roman" w:eastAsia="仿宋" w:cs="Times New Roman"/>
                <w:b/>
                <w:color w:val="auto"/>
                <w:spacing w:val="-2"/>
                <w:sz w:val="24"/>
              </w:rPr>
            </w:pPr>
            <w:r>
              <w:rPr>
                <w:rFonts w:hint="default" w:ascii="Times New Roman" w:hAnsi="Times New Roman" w:eastAsia="仿宋" w:cs="Times New Roman"/>
                <w:b/>
                <w:color w:val="auto"/>
                <w:spacing w:val="-2"/>
                <w:sz w:val="24"/>
              </w:rPr>
              <w:t>二、其他污染物产生环节</w:t>
            </w:r>
          </w:p>
          <w:p w14:paraId="5A6DA921">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1.原辅料使用产污分析</w:t>
            </w:r>
          </w:p>
          <w:p w14:paraId="334486A2">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本项目外购的润滑油、液压油</w:t>
            </w:r>
            <w:r>
              <w:rPr>
                <w:rFonts w:hint="eastAsia" w:eastAsia="仿宋" w:cs="Times New Roman"/>
                <w:color w:val="auto"/>
                <w:sz w:val="24"/>
                <w:highlight w:val="none"/>
                <w:lang w:val="en-US" w:eastAsia="zh-CN"/>
              </w:rPr>
              <w:t>、胶粘剂</w:t>
            </w:r>
            <w:r>
              <w:rPr>
                <w:rFonts w:hint="default" w:ascii="Times New Roman" w:hAnsi="Times New Roman" w:eastAsia="仿宋" w:cs="Times New Roman"/>
                <w:color w:val="auto"/>
                <w:sz w:val="24"/>
                <w:highlight w:val="none"/>
                <w:lang w:val="en-US" w:eastAsia="zh-CN"/>
              </w:rPr>
              <w:t>在使用过程中有</w:t>
            </w:r>
            <w:r>
              <w:rPr>
                <w:rFonts w:hint="eastAsia" w:eastAsia="仿宋" w:cs="Times New Roman"/>
                <w:color w:val="auto"/>
                <w:sz w:val="24"/>
                <w:highlight w:val="none"/>
                <w:lang w:val="en-US" w:eastAsia="zh-CN"/>
              </w:rPr>
              <w:t>包装桶</w:t>
            </w:r>
            <w:r>
              <w:rPr>
                <w:rFonts w:hint="default" w:ascii="Times New Roman" w:hAnsi="Times New Roman" w:eastAsia="仿宋" w:cs="Times New Roman"/>
                <w:color w:val="auto"/>
                <w:sz w:val="24"/>
                <w:highlight w:val="none"/>
                <w:lang w:val="en-US" w:eastAsia="zh-CN"/>
              </w:rPr>
              <w:t>S1产生，PP粒子、绒毛、手柄在使用过程中有废包装材料S</w:t>
            </w:r>
            <w:r>
              <w:rPr>
                <w:rFonts w:hint="eastAsia"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lang w:val="en-US" w:eastAsia="zh-CN"/>
              </w:rPr>
              <w:t>产生。</w:t>
            </w:r>
          </w:p>
          <w:p w14:paraId="47F45A33">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2.环保设施产污分析</w:t>
            </w:r>
          </w:p>
          <w:p w14:paraId="2086B216">
            <w:pPr>
              <w:adjustRightInd w:val="0"/>
              <w:snapToGrid w:val="0"/>
              <w:spacing w:line="360" w:lineRule="auto"/>
              <w:ind w:firstLine="480" w:firstLineChars="200"/>
              <w:rPr>
                <w:rFonts w:hint="eastAsia" w:eastAsia="仿宋" w:cs="Times New Roman"/>
                <w:color w:val="auto"/>
                <w:sz w:val="24"/>
                <w:highlight w:val="none"/>
                <w:lang w:val="en-US" w:eastAsia="zh-CN"/>
              </w:rPr>
            </w:pPr>
            <w:r>
              <w:rPr>
                <w:rFonts w:hint="eastAsia" w:eastAsia="仿宋" w:cs="Times New Roman"/>
                <w:color w:val="auto"/>
                <w:sz w:val="24"/>
                <w:highlight w:val="none"/>
                <w:lang w:val="en-US" w:eastAsia="zh-CN"/>
              </w:rPr>
              <w:t>①废气处理装置</w:t>
            </w:r>
          </w:p>
          <w:p w14:paraId="1C100E6E">
            <w:pPr>
              <w:adjustRightInd w:val="0"/>
              <w:snapToGrid w:val="0"/>
              <w:spacing w:line="360" w:lineRule="auto"/>
              <w:ind w:firstLine="480" w:firstLineChars="200"/>
              <w:rPr>
                <w:rFonts w:hint="default" w:eastAsia="仿宋" w:cs="Times New Roman"/>
                <w:color w:val="0000FF"/>
                <w:sz w:val="24"/>
                <w:highlight w:val="none"/>
                <w:lang w:val="en-US" w:eastAsia="zh-CN"/>
              </w:rPr>
            </w:pPr>
            <w:r>
              <w:rPr>
                <w:rFonts w:hint="default" w:ascii="Times New Roman" w:hAnsi="Times New Roman" w:eastAsia="仿宋" w:cs="Times New Roman"/>
                <w:color w:val="0000FF"/>
                <w:sz w:val="24"/>
                <w:highlight w:val="none"/>
                <w:lang w:val="en-US" w:eastAsia="zh-CN"/>
              </w:rPr>
              <w:t>本项目设1套布袋除尘装置</w:t>
            </w:r>
            <w:r>
              <w:rPr>
                <w:rFonts w:hint="eastAsia" w:eastAsia="仿宋" w:cs="Times New Roman"/>
                <w:color w:val="0000FF"/>
                <w:sz w:val="24"/>
                <w:highlight w:val="none"/>
                <w:lang w:val="en-US" w:eastAsia="zh-CN"/>
              </w:rPr>
              <w:t>、</w:t>
            </w:r>
            <w:r>
              <w:rPr>
                <w:rFonts w:hint="default" w:ascii="Times New Roman" w:hAnsi="Times New Roman" w:eastAsia="仿宋" w:cs="Times New Roman"/>
                <w:color w:val="0000FF"/>
                <w:sz w:val="24"/>
                <w:highlight w:val="none"/>
                <w:lang w:val="en-US" w:eastAsia="zh-CN"/>
              </w:rPr>
              <w:t>1套二级活性炭吸附装</w:t>
            </w:r>
            <w:r>
              <w:rPr>
                <w:rFonts w:hint="default" w:eastAsia="仿宋" w:cs="Times New Roman"/>
                <w:color w:val="0000FF"/>
                <w:sz w:val="24"/>
                <w:highlight w:val="none"/>
                <w:lang w:val="en-US" w:eastAsia="zh-CN"/>
              </w:rPr>
              <w:t>置</w:t>
            </w:r>
            <w:r>
              <w:rPr>
                <w:rFonts w:hint="eastAsia" w:eastAsia="仿宋" w:cs="Times New Roman"/>
                <w:color w:val="0000FF"/>
                <w:sz w:val="24"/>
                <w:highlight w:val="none"/>
                <w:lang w:val="en-US" w:eastAsia="zh-CN"/>
              </w:rPr>
              <w:t>、2套水旋除尘器用于废</w:t>
            </w:r>
            <w:r>
              <w:rPr>
                <w:rFonts w:hint="eastAsia" w:ascii="Times New Roman" w:hAnsi="Times New Roman" w:eastAsia="仿宋" w:cs="Times New Roman"/>
                <w:color w:val="0000FF"/>
                <w:sz w:val="24"/>
                <w:highlight w:val="none"/>
                <w:lang w:val="en-US" w:eastAsia="zh-CN"/>
              </w:rPr>
              <w:t>气处理</w:t>
            </w:r>
            <w:r>
              <w:rPr>
                <w:rFonts w:hint="default" w:ascii="Times New Roman" w:hAnsi="Times New Roman" w:eastAsia="仿宋" w:cs="Times New Roman"/>
                <w:color w:val="0000FF"/>
                <w:sz w:val="24"/>
                <w:highlight w:val="none"/>
                <w:lang w:val="en-US" w:eastAsia="zh-CN"/>
              </w:rPr>
              <w:t>，</w:t>
            </w:r>
            <w:r>
              <w:rPr>
                <w:rFonts w:hint="eastAsia" w:ascii="Times New Roman" w:hAnsi="Times New Roman" w:eastAsia="仿宋" w:cs="Times New Roman"/>
                <w:color w:val="0000FF"/>
                <w:sz w:val="24"/>
                <w:highlight w:val="none"/>
                <w:lang w:val="en-US" w:eastAsia="zh-CN"/>
              </w:rPr>
              <w:t>布袋除尘器需</w:t>
            </w:r>
            <w:r>
              <w:rPr>
                <w:rFonts w:hint="default" w:ascii="Times New Roman" w:hAnsi="Times New Roman" w:eastAsia="仿宋" w:cs="Times New Roman"/>
                <w:color w:val="0000FF"/>
                <w:sz w:val="24"/>
                <w:highlight w:val="none"/>
                <w:lang w:val="en-US" w:eastAsia="zh-CN"/>
              </w:rPr>
              <w:t>定期</w:t>
            </w:r>
            <w:r>
              <w:rPr>
                <w:rFonts w:hint="eastAsia" w:ascii="Times New Roman" w:hAnsi="Times New Roman" w:eastAsia="仿宋" w:cs="Times New Roman"/>
                <w:color w:val="0000FF"/>
                <w:sz w:val="24"/>
                <w:highlight w:val="none"/>
                <w:lang w:val="en-US" w:eastAsia="zh-CN"/>
              </w:rPr>
              <w:t>清理，有废绒毛</w:t>
            </w:r>
            <w:r>
              <w:rPr>
                <w:rFonts w:hint="default" w:ascii="Times New Roman" w:hAnsi="Times New Roman" w:eastAsia="仿宋" w:cs="Times New Roman"/>
                <w:color w:val="0000FF"/>
                <w:sz w:val="24"/>
                <w:highlight w:val="none"/>
                <w:lang w:val="en-US" w:eastAsia="zh-CN"/>
              </w:rPr>
              <w:t>S</w:t>
            </w:r>
            <w:r>
              <w:rPr>
                <w:rFonts w:hint="eastAsia" w:eastAsia="仿宋" w:cs="Times New Roman"/>
                <w:color w:val="0000FF"/>
                <w:sz w:val="24"/>
                <w:highlight w:val="none"/>
                <w:lang w:val="en-US" w:eastAsia="zh-CN"/>
              </w:rPr>
              <w:t>3</w:t>
            </w:r>
            <w:r>
              <w:rPr>
                <w:rFonts w:hint="eastAsia" w:ascii="Times New Roman" w:hAnsi="Times New Roman" w:eastAsia="仿宋" w:cs="Times New Roman"/>
                <w:color w:val="0000FF"/>
                <w:sz w:val="24"/>
                <w:highlight w:val="none"/>
                <w:lang w:val="en-US" w:eastAsia="zh-CN"/>
              </w:rPr>
              <w:t>产生，布袋及活性炭需定期更换，有</w:t>
            </w:r>
            <w:r>
              <w:rPr>
                <w:rFonts w:hint="default" w:ascii="Times New Roman" w:hAnsi="Times New Roman" w:eastAsia="仿宋" w:cs="Times New Roman"/>
                <w:color w:val="0000FF"/>
                <w:sz w:val="24"/>
                <w:highlight w:val="none"/>
                <w:lang w:val="en-US" w:eastAsia="zh-CN"/>
              </w:rPr>
              <w:t>废布袋S</w:t>
            </w:r>
            <w:r>
              <w:rPr>
                <w:rFonts w:hint="eastAsia" w:eastAsia="仿宋" w:cs="Times New Roman"/>
                <w:color w:val="0000FF"/>
                <w:sz w:val="24"/>
                <w:highlight w:val="none"/>
                <w:lang w:val="en-US" w:eastAsia="zh-CN"/>
              </w:rPr>
              <w:t>4</w:t>
            </w:r>
            <w:r>
              <w:rPr>
                <w:rFonts w:hint="default" w:ascii="Times New Roman" w:hAnsi="Times New Roman" w:eastAsia="仿宋" w:cs="Times New Roman"/>
                <w:color w:val="0000FF"/>
                <w:sz w:val="24"/>
                <w:highlight w:val="none"/>
                <w:lang w:val="en-US" w:eastAsia="zh-CN"/>
              </w:rPr>
              <w:t>、废活性炭S5</w:t>
            </w:r>
            <w:r>
              <w:rPr>
                <w:rFonts w:hint="eastAsia" w:eastAsia="仿宋" w:cs="Times New Roman"/>
                <w:color w:val="0000FF"/>
                <w:sz w:val="24"/>
                <w:highlight w:val="none"/>
                <w:lang w:val="en-US" w:eastAsia="zh-CN"/>
              </w:rPr>
              <w:t>产生，每台水旋除尘器都配备废水过滤装置，采用过滤棉过滤，过滤棉及水旋的水需要定期更换，有废过滤棉和杂质S7、水旋废液S8产生</w:t>
            </w:r>
            <w:r>
              <w:rPr>
                <w:rFonts w:hint="default" w:eastAsia="仿宋" w:cs="Times New Roman"/>
                <w:color w:val="0000FF"/>
                <w:sz w:val="24"/>
                <w:highlight w:val="none"/>
                <w:lang w:val="en-US" w:eastAsia="zh-CN"/>
              </w:rPr>
              <w:t>。</w:t>
            </w:r>
          </w:p>
          <w:p w14:paraId="30CEBA80">
            <w:pPr>
              <w:adjustRightInd w:val="0"/>
              <w:snapToGrid w:val="0"/>
              <w:spacing w:line="360" w:lineRule="auto"/>
              <w:ind w:firstLine="480" w:firstLineChars="200"/>
              <w:rPr>
                <w:rFonts w:hint="eastAsia" w:eastAsia="仿宋" w:cs="Times New Roman"/>
                <w:color w:val="auto"/>
                <w:sz w:val="24"/>
                <w:highlight w:val="none"/>
                <w:lang w:val="en-US" w:eastAsia="zh-CN"/>
              </w:rPr>
            </w:pPr>
            <w:r>
              <w:rPr>
                <w:rFonts w:hint="eastAsia" w:eastAsia="仿宋" w:cs="Times New Roman"/>
                <w:color w:val="auto"/>
                <w:sz w:val="24"/>
                <w:highlight w:val="none"/>
                <w:lang w:val="en-US" w:eastAsia="zh-CN"/>
              </w:rPr>
              <w:t>②危废仓库</w:t>
            </w:r>
          </w:p>
          <w:p w14:paraId="56DE60FC">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eastAsia="仿宋" w:cs="Times New Roman"/>
                <w:color w:val="auto"/>
                <w:sz w:val="24"/>
                <w:highlight w:val="none"/>
                <w:lang w:val="en-US" w:eastAsia="zh-CN"/>
              </w:rPr>
              <w:t>危废仓库内暂存本项目产生的废活性炭和废包装桶，废活性炭采用密封吨袋包装贮存，废包装桶采用加盖密封贮存，故本项目废活性炭、废包装桶在危废仓库贮存期间不涉及污染物产生及排放。</w:t>
            </w:r>
          </w:p>
          <w:p w14:paraId="5FB99E17">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3.其他产污分析</w:t>
            </w:r>
          </w:p>
          <w:p w14:paraId="791ED347">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ascii="仿宋" w:hAnsi="仿宋" w:eastAsia="仿宋"/>
                <w:sz w:val="24"/>
              </w:rPr>
              <w:t>生产设备需使用液压油</w:t>
            </w:r>
            <w:r>
              <w:rPr>
                <w:rFonts w:hint="eastAsia" w:ascii="仿宋" w:hAnsi="仿宋" w:eastAsia="仿宋"/>
                <w:sz w:val="24"/>
                <w:lang w:eastAsia="zh-CN"/>
              </w:rPr>
              <w:t>、</w:t>
            </w:r>
            <w:r>
              <w:rPr>
                <w:rFonts w:hint="eastAsia" w:ascii="仿宋" w:hAnsi="仿宋" w:eastAsia="仿宋"/>
                <w:sz w:val="24"/>
                <w:lang w:val="en-US" w:eastAsia="zh-CN"/>
              </w:rPr>
              <w:t>润滑油</w:t>
            </w:r>
            <w:r>
              <w:rPr>
                <w:rFonts w:hint="eastAsia" w:ascii="仿宋" w:hAnsi="仿宋" w:eastAsia="仿宋"/>
                <w:sz w:val="24"/>
              </w:rPr>
              <w:t>进行维护保养</w:t>
            </w:r>
            <w:r>
              <w:rPr>
                <w:rFonts w:hint="eastAsia" w:ascii="仿宋" w:hAnsi="仿宋" w:eastAsia="仿宋"/>
                <w:sz w:val="24"/>
                <w:lang w:eastAsia="zh-CN"/>
              </w:rPr>
              <w:t>，</w:t>
            </w:r>
            <w:r>
              <w:rPr>
                <w:rFonts w:hint="eastAsia" w:ascii="仿宋" w:hAnsi="仿宋" w:eastAsia="仿宋"/>
                <w:sz w:val="24"/>
                <w:lang w:val="en-US" w:eastAsia="zh-CN"/>
              </w:rPr>
              <w:t>液压油、润滑油循环使用定期添加</w:t>
            </w:r>
            <w:r>
              <w:rPr>
                <w:rFonts w:hint="eastAsia" w:ascii="仿宋" w:hAnsi="仿宋" w:eastAsia="仿宋"/>
                <w:sz w:val="24"/>
              </w:rPr>
              <w:t>，</w:t>
            </w:r>
            <w:r>
              <w:rPr>
                <w:rFonts w:hint="default" w:ascii="Times New Roman" w:hAnsi="Times New Roman" w:eastAsia="仿宋" w:cs="Times New Roman"/>
                <w:color w:val="auto"/>
                <w:sz w:val="24"/>
                <w:highlight w:val="none"/>
                <w:lang w:val="en-US" w:eastAsia="zh-CN"/>
              </w:rPr>
              <w:t>员工在设备维护操作时，有含油废抹布手套S</w:t>
            </w:r>
            <w:r>
              <w:rPr>
                <w:rFonts w:hint="eastAsia" w:eastAsia="仿宋" w:cs="Times New Roman"/>
                <w:color w:val="auto"/>
                <w:sz w:val="24"/>
                <w:highlight w:val="none"/>
                <w:lang w:val="en-US" w:eastAsia="zh-CN"/>
              </w:rPr>
              <w:t>6</w:t>
            </w:r>
            <w:r>
              <w:rPr>
                <w:rFonts w:hint="default" w:ascii="Times New Roman" w:hAnsi="Times New Roman" w:eastAsia="仿宋" w:cs="Times New Roman"/>
                <w:color w:val="auto"/>
                <w:sz w:val="24"/>
                <w:highlight w:val="none"/>
                <w:lang w:val="en-US" w:eastAsia="zh-CN"/>
              </w:rPr>
              <w:t>产生。</w:t>
            </w:r>
          </w:p>
          <w:p w14:paraId="1BD67BD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color w:val="auto"/>
                <w:sz w:val="24"/>
                <w:highlight w:val="none"/>
                <w:lang w:val="en-US" w:eastAsia="zh-CN"/>
              </w:rPr>
              <w:t>本项目产污环节汇总情况见下表。</w:t>
            </w:r>
          </w:p>
          <w:p w14:paraId="054B7FC5">
            <w:pPr>
              <w:adjustRightInd w:val="0"/>
              <w:snapToGrid w:val="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表2-</w:t>
            </w:r>
            <w:r>
              <w:rPr>
                <w:rFonts w:hint="eastAsia" w:ascii="Times New Roman" w:hAnsi="Times New Roman" w:eastAsia="仿宋" w:cs="Times New Roman"/>
                <w:b/>
                <w:color w:val="auto"/>
                <w:sz w:val="24"/>
                <w:highlight w:val="none"/>
                <w:lang w:val="en-US" w:eastAsia="zh-CN"/>
              </w:rPr>
              <w:t>9</w:t>
            </w:r>
            <w:r>
              <w:rPr>
                <w:rFonts w:hint="default" w:ascii="Times New Roman" w:hAnsi="Times New Roman" w:eastAsia="仿宋" w:cs="Times New Roman"/>
                <w:b/>
                <w:color w:val="auto"/>
                <w:sz w:val="24"/>
                <w:highlight w:val="none"/>
              </w:rPr>
              <w:t xml:space="preserve">  本项目产污环节一览表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666"/>
              <w:gridCol w:w="1759"/>
              <w:gridCol w:w="4244"/>
            </w:tblGrid>
            <w:tr w14:paraId="7B368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66" w:type="pct"/>
                  <w:gridSpan w:val="3"/>
                  <w:noWrap w:val="0"/>
                  <w:vAlign w:val="center"/>
                </w:tcPr>
                <w:p w14:paraId="1799E1A0">
                  <w:pPr>
                    <w:adjustRightInd w:val="0"/>
                    <w:snapToGrid w:val="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产生环节</w:t>
                  </w:r>
                  <w:r>
                    <w:rPr>
                      <w:rFonts w:hint="default" w:ascii="Times New Roman" w:hAnsi="Times New Roman" w:eastAsia="仿宋" w:cs="Times New Roman"/>
                      <w:b/>
                      <w:bCs/>
                      <w:color w:val="auto"/>
                      <w:sz w:val="21"/>
                      <w:szCs w:val="21"/>
                      <w:highlight w:val="none"/>
                      <w:lang w:val="en-US" w:eastAsia="zh-CN"/>
                    </w:rPr>
                    <w:t>及编号</w:t>
                  </w:r>
                </w:p>
              </w:tc>
              <w:tc>
                <w:tcPr>
                  <w:tcW w:w="2533" w:type="pct"/>
                  <w:noWrap w:val="0"/>
                  <w:vAlign w:val="center"/>
                </w:tcPr>
                <w:p w14:paraId="7F91CD92">
                  <w:pPr>
                    <w:adjustRightInd w:val="0"/>
                    <w:snapToGrid w:val="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污染因子</w:t>
                  </w:r>
                </w:p>
              </w:tc>
            </w:tr>
            <w:tr w14:paraId="54952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restart"/>
                  <w:noWrap w:val="0"/>
                  <w:vAlign w:val="center"/>
                </w:tcPr>
                <w:p w14:paraId="0615E73E">
                  <w:pPr>
                    <w:adjustRightInd w:val="0"/>
                    <w:snapToGrid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废气</w:t>
                  </w:r>
                </w:p>
              </w:tc>
              <w:tc>
                <w:tcPr>
                  <w:tcW w:w="994" w:type="pct"/>
                  <w:noWrap w:val="0"/>
                  <w:vAlign w:val="center"/>
                </w:tcPr>
                <w:p w14:paraId="55624B4F">
                  <w:pPr>
                    <w:adjustRightInd w:val="0"/>
                    <w:snapToGrid w:val="0"/>
                    <w:jc w:val="center"/>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注塑</w:t>
                  </w:r>
                </w:p>
              </w:tc>
              <w:tc>
                <w:tcPr>
                  <w:tcW w:w="1050" w:type="pct"/>
                  <w:noWrap w:val="0"/>
                  <w:vAlign w:val="center"/>
                </w:tcPr>
                <w:p w14:paraId="7EB61EC1">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G1</w:t>
                  </w:r>
                </w:p>
              </w:tc>
              <w:tc>
                <w:tcPr>
                  <w:tcW w:w="2533" w:type="pct"/>
                  <w:vMerge w:val="restart"/>
                  <w:noWrap w:val="0"/>
                  <w:vAlign w:val="center"/>
                </w:tcPr>
                <w:p w14:paraId="75DF87A5">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非甲烷总烃</w:t>
                  </w:r>
                </w:p>
              </w:tc>
            </w:tr>
            <w:tr w14:paraId="054A8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1DFCCED7">
                  <w:pPr>
                    <w:adjustRightInd w:val="0"/>
                    <w:snapToGrid w:val="0"/>
                    <w:jc w:val="center"/>
                    <w:rPr>
                      <w:rFonts w:hint="default" w:ascii="Times New Roman" w:hAnsi="Times New Roman" w:eastAsia="仿宋" w:cs="Times New Roman"/>
                      <w:bCs/>
                      <w:color w:val="auto"/>
                      <w:sz w:val="21"/>
                      <w:szCs w:val="21"/>
                      <w:highlight w:val="none"/>
                    </w:rPr>
                  </w:pPr>
                </w:p>
              </w:tc>
              <w:tc>
                <w:tcPr>
                  <w:tcW w:w="994" w:type="pct"/>
                  <w:noWrap w:val="0"/>
                  <w:vAlign w:val="center"/>
                </w:tcPr>
                <w:p w14:paraId="2B78700E">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上胶</w:t>
                  </w:r>
                </w:p>
              </w:tc>
              <w:tc>
                <w:tcPr>
                  <w:tcW w:w="1050" w:type="pct"/>
                  <w:noWrap w:val="0"/>
                  <w:vAlign w:val="center"/>
                </w:tcPr>
                <w:p w14:paraId="11CB122F">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G2</w:t>
                  </w:r>
                </w:p>
              </w:tc>
              <w:tc>
                <w:tcPr>
                  <w:tcW w:w="2533" w:type="pct"/>
                  <w:vMerge w:val="continue"/>
                  <w:noWrap w:val="0"/>
                  <w:vAlign w:val="center"/>
                </w:tcPr>
                <w:p w14:paraId="74A61A3E">
                  <w:pPr>
                    <w:jc w:val="center"/>
                    <w:rPr>
                      <w:rFonts w:hint="default" w:ascii="Times New Roman" w:hAnsi="Times New Roman" w:eastAsia="仿宋" w:cs="Times New Roman"/>
                      <w:color w:val="auto"/>
                      <w:sz w:val="21"/>
                      <w:szCs w:val="21"/>
                      <w:highlight w:val="none"/>
                    </w:rPr>
                  </w:pPr>
                </w:p>
              </w:tc>
            </w:tr>
            <w:tr w14:paraId="34C09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706159DB">
                  <w:pPr>
                    <w:adjustRightInd w:val="0"/>
                    <w:snapToGrid w:val="0"/>
                    <w:jc w:val="center"/>
                    <w:rPr>
                      <w:rFonts w:hint="default" w:ascii="Times New Roman" w:hAnsi="Times New Roman" w:eastAsia="仿宋" w:cs="Times New Roman"/>
                      <w:bCs/>
                      <w:color w:val="auto"/>
                      <w:sz w:val="21"/>
                      <w:szCs w:val="21"/>
                      <w:highlight w:val="none"/>
                    </w:rPr>
                  </w:pPr>
                </w:p>
              </w:tc>
              <w:tc>
                <w:tcPr>
                  <w:tcW w:w="994" w:type="pct"/>
                  <w:noWrap w:val="0"/>
                  <w:vAlign w:val="center"/>
                </w:tcPr>
                <w:p w14:paraId="236D37C7">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烘干</w:t>
                  </w:r>
                </w:p>
              </w:tc>
              <w:tc>
                <w:tcPr>
                  <w:tcW w:w="1050" w:type="pct"/>
                  <w:noWrap w:val="0"/>
                  <w:vAlign w:val="center"/>
                </w:tcPr>
                <w:p w14:paraId="70714644">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G4</w:t>
                  </w:r>
                </w:p>
              </w:tc>
              <w:tc>
                <w:tcPr>
                  <w:tcW w:w="2533" w:type="pct"/>
                  <w:vMerge w:val="continue"/>
                  <w:noWrap w:val="0"/>
                  <w:vAlign w:val="center"/>
                </w:tcPr>
                <w:p w14:paraId="650C54AC">
                  <w:pPr>
                    <w:jc w:val="center"/>
                    <w:rPr>
                      <w:rFonts w:hint="default" w:ascii="Times New Roman" w:hAnsi="Times New Roman" w:eastAsia="仿宋" w:cs="Times New Roman"/>
                      <w:color w:val="auto"/>
                      <w:sz w:val="21"/>
                      <w:szCs w:val="21"/>
                      <w:highlight w:val="none"/>
                    </w:rPr>
                  </w:pPr>
                </w:p>
              </w:tc>
            </w:tr>
            <w:tr w14:paraId="78A76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476599F2">
                  <w:pPr>
                    <w:adjustRightInd w:val="0"/>
                    <w:snapToGrid w:val="0"/>
                    <w:jc w:val="center"/>
                    <w:rPr>
                      <w:rFonts w:hint="default" w:ascii="Times New Roman" w:hAnsi="Times New Roman" w:eastAsia="仿宋" w:cs="Times New Roman"/>
                      <w:bCs/>
                      <w:color w:val="auto"/>
                      <w:sz w:val="21"/>
                      <w:szCs w:val="21"/>
                      <w:highlight w:val="none"/>
                    </w:rPr>
                  </w:pPr>
                </w:p>
              </w:tc>
              <w:tc>
                <w:tcPr>
                  <w:tcW w:w="994" w:type="pct"/>
                  <w:noWrap w:val="0"/>
                  <w:vAlign w:val="center"/>
                </w:tcPr>
                <w:p w14:paraId="1B1E817B">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固化</w:t>
                  </w:r>
                </w:p>
              </w:tc>
              <w:tc>
                <w:tcPr>
                  <w:tcW w:w="1050" w:type="pct"/>
                  <w:noWrap w:val="0"/>
                  <w:vAlign w:val="center"/>
                </w:tcPr>
                <w:p w14:paraId="12C399CD">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G5</w:t>
                  </w:r>
                </w:p>
              </w:tc>
              <w:tc>
                <w:tcPr>
                  <w:tcW w:w="2533" w:type="pct"/>
                  <w:vMerge w:val="continue"/>
                  <w:noWrap w:val="0"/>
                  <w:vAlign w:val="center"/>
                </w:tcPr>
                <w:p w14:paraId="4EB39783">
                  <w:pPr>
                    <w:jc w:val="center"/>
                    <w:rPr>
                      <w:rFonts w:hint="default" w:ascii="Times New Roman" w:hAnsi="Times New Roman" w:eastAsia="仿宋" w:cs="Times New Roman"/>
                      <w:color w:val="auto"/>
                      <w:sz w:val="21"/>
                      <w:szCs w:val="21"/>
                      <w:highlight w:val="none"/>
                    </w:rPr>
                  </w:pPr>
                </w:p>
              </w:tc>
            </w:tr>
            <w:tr w14:paraId="77E38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0FB689BC">
                  <w:pPr>
                    <w:adjustRightInd w:val="0"/>
                    <w:snapToGrid w:val="0"/>
                    <w:jc w:val="center"/>
                    <w:rPr>
                      <w:rFonts w:hint="default" w:ascii="Times New Roman" w:hAnsi="Times New Roman" w:eastAsia="仿宋" w:cs="Times New Roman"/>
                      <w:bCs/>
                      <w:color w:val="auto"/>
                      <w:sz w:val="21"/>
                      <w:szCs w:val="21"/>
                      <w:highlight w:val="none"/>
                    </w:rPr>
                  </w:pPr>
                </w:p>
              </w:tc>
              <w:tc>
                <w:tcPr>
                  <w:tcW w:w="994" w:type="pct"/>
                  <w:noWrap w:val="0"/>
                  <w:vAlign w:val="center"/>
                </w:tcPr>
                <w:p w14:paraId="74F5A138">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植绒</w:t>
                  </w:r>
                </w:p>
              </w:tc>
              <w:tc>
                <w:tcPr>
                  <w:tcW w:w="1050" w:type="pct"/>
                  <w:noWrap w:val="0"/>
                  <w:vAlign w:val="center"/>
                </w:tcPr>
                <w:p w14:paraId="693B1FA6">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G3</w:t>
                  </w:r>
                </w:p>
              </w:tc>
              <w:tc>
                <w:tcPr>
                  <w:tcW w:w="2533" w:type="pct"/>
                  <w:vMerge w:val="restart"/>
                  <w:noWrap w:val="0"/>
                  <w:vAlign w:val="center"/>
                </w:tcPr>
                <w:p w14:paraId="6794D1C6">
                  <w:pPr>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颗粒物</w:t>
                  </w:r>
                </w:p>
              </w:tc>
            </w:tr>
            <w:tr w14:paraId="31152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1F729649">
                  <w:pPr>
                    <w:adjustRightInd w:val="0"/>
                    <w:snapToGrid w:val="0"/>
                    <w:jc w:val="center"/>
                    <w:rPr>
                      <w:rFonts w:hint="default" w:ascii="Times New Roman" w:hAnsi="Times New Roman" w:eastAsia="仿宋" w:cs="Times New Roman"/>
                      <w:bCs/>
                      <w:color w:val="auto"/>
                      <w:sz w:val="21"/>
                      <w:szCs w:val="21"/>
                      <w:highlight w:val="none"/>
                    </w:rPr>
                  </w:pPr>
                </w:p>
              </w:tc>
              <w:tc>
                <w:tcPr>
                  <w:tcW w:w="994" w:type="pct"/>
                  <w:noWrap w:val="0"/>
                  <w:vAlign w:val="center"/>
                </w:tcPr>
                <w:p w14:paraId="7D5A0B18">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筛毛</w:t>
                  </w:r>
                </w:p>
              </w:tc>
              <w:tc>
                <w:tcPr>
                  <w:tcW w:w="1050" w:type="pct"/>
                  <w:noWrap w:val="0"/>
                  <w:vAlign w:val="center"/>
                </w:tcPr>
                <w:p w14:paraId="3D33CF4D">
                  <w:pPr>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G6</w:t>
                  </w:r>
                </w:p>
              </w:tc>
              <w:tc>
                <w:tcPr>
                  <w:tcW w:w="2533" w:type="pct"/>
                  <w:vMerge w:val="continue"/>
                  <w:noWrap w:val="0"/>
                  <w:vAlign w:val="center"/>
                </w:tcPr>
                <w:p w14:paraId="2C5E72AC">
                  <w:pPr>
                    <w:jc w:val="center"/>
                    <w:rPr>
                      <w:rFonts w:hint="default" w:ascii="Times New Roman" w:hAnsi="Times New Roman" w:eastAsia="仿宋" w:cs="Times New Roman"/>
                      <w:color w:val="auto"/>
                      <w:sz w:val="21"/>
                      <w:szCs w:val="21"/>
                      <w:highlight w:val="none"/>
                    </w:rPr>
                  </w:pPr>
                </w:p>
              </w:tc>
            </w:tr>
            <w:tr w14:paraId="614D9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noWrap w:val="0"/>
                  <w:vAlign w:val="center"/>
                </w:tcPr>
                <w:p w14:paraId="46F4621A">
                  <w:pPr>
                    <w:adjustRightInd w:val="0"/>
                    <w:snapToGrid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废水</w:t>
                  </w:r>
                </w:p>
              </w:tc>
              <w:tc>
                <w:tcPr>
                  <w:tcW w:w="994" w:type="pct"/>
                  <w:shd w:val="clear" w:color="auto" w:fill="auto"/>
                  <w:noWrap w:val="0"/>
                  <w:vAlign w:val="center"/>
                </w:tcPr>
                <w:p w14:paraId="0BF2C8EE">
                  <w:pPr>
                    <w:adjustRightInd w:val="0"/>
                    <w:snapToGrid w:val="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rPr>
                    <w:t>生活污水</w:t>
                  </w:r>
                </w:p>
              </w:tc>
              <w:tc>
                <w:tcPr>
                  <w:tcW w:w="1050" w:type="pct"/>
                  <w:shd w:val="clear" w:color="auto" w:fill="auto"/>
                  <w:noWrap w:val="0"/>
                  <w:vAlign w:val="center"/>
                </w:tcPr>
                <w:p w14:paraId="1B7EE9AE">
                  <w:pPr>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w:t>
                  </w:r>
                </w:p>
              </w:tc>
              <w:tc>
                <w:tcPr>
                  <w:tcW w:w="2533" w:type="pct"/>
                  <w:shd w:val="clear" w:color="auto" w:fill="auto"/>
                  <w:noWrap w:val="0"/>
                  <w:vAlign w:val="center"/>
                </w:tcPr>
                <w:p w14:paraId="14FF567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pH、</w:t>
                  </w:r>
                  <w:r>
                    <w:rPr>
                      <w:rFonts w:hint="default" w:ascii="Times New Roman" w:hAnsi="Times New Roman" w:eastAsia="仿宋" w:cs="Times New Roman"/>
                      <w:bCs/>
                      <w:color w:val="auto"/>
                      <w:sz w:val="21"/>
                      <w:szCs w:val="21"/>
                      <w:highlight w:val="none"/>
                    </w:rPr>
                    <w:t>COD、SS、氨氮、总磷、总氮</w:t>
                  </w:r>
                </w:p>
              </w:tc>
            </w:tr>
            <w:tr w14:paraId="06F76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restart"/>
                  <w:noWrap w:val="0"/>
                  <w:vAlign w:val="center"/>
                </w:tcPr>
                <w:p w14:paraId="786FF131">
                  <w:pPr>
                    <w:adjustRightInd w:val="0"/>
                    <w:snapToGrid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固废</w:t>
                  </w:r>
                </w:p>
              </w:tc>
              <w:tc>
                <w:tcPr>
                  <w:tcW w:w="994" w:type="pct"/>
                  <w:vMerge w:val="restart"/>
                  <w:noWrap w:val="0"/>
                  <w:vAlign w:val="center"/>
                </w:tcPr>
                <w:p w14:paraId="199985FD">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原辅材料使用</w:t>
                  </w:r>
                </w:p>
              </w:tc>
              <w:tc>
                <w:tcPr>
                  <w:tcW w:w="1050" w:type="pct"/>
                  <w:noWrap w:val="0"/>
                  <w:vAlign w:val="center"/>
                </w:tcPr>
                <w:p w14:paraId="64073180">
                  <w:pPr>
                    <w:adjustRightInd w:val="0"/>
                    <w:snapToGrid w:val="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S1</w:t>
                  </w:r>
                </w:p>
              </w:tc>
              <w:tc>
                <w:tcPr>
                  <w:tcW w:w="2533" w:type="pct"/>
                  <w:noWrap w:val="0"/>
                  <w:vAlign w:val="center"/>
                </w:tcPr>
                <w:p w14:paraId="2FE0A7EA">
                  <w:pPr>
                    <w:adjustRightInd w:val="0"/>
                    <w:snapToGrid w:val="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rPr>
                    <w:t>废</w:t>
                  </w:r>
                  <w:r>
                    <w:rPr>
                      <w:rFonts w:hint="default" w:ascii="Times New Roman" w:hAnsi="Times New Roman" w:eastAsia="仿宋" w:cs="Times New Roman"/>
                      <w:bCs/>
                      <w:color w:val="auto"/>
                      <w:sz w:val="21"/>
                      <w:szCs w:val="21"/>
                      <w:highlight w:val="none"/>
                      <w:lang w:val="en-US" w:eastAsia="zh-CN"/>
                    </w:rPr>
                    <w:t>包装桶</w:t>
                  </w:r>
                </w:p>
              </w:tc>
            </w:tr>
            <w:tr w14:paraId="22E0D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68DAD906">
                  <w:pPr>
                    <w:adjustRightInd w:val="0"/>
                    <w:snapToGrid w:val="0"/>
                    <w:jc w:val="center"/>
                    <w:rPr>
                      <w:rFonts w:hint="default" w:ascii="Times New Roman" w:hAnsi="Times New Roman" w:eastAsia="仿宋" w:cs="Times New Roman"/>
                      <w:bCs/>
                      <w:color w:val="auto"/>
                      <w:sz w:val="21"/>
                      <w:szCs w:val="21"/>
                      <w:highlight w:val="none"/>
                    </w:rPr>
                  </w:pPr>
                </w:p>
              </w:tc>
              <w:tc>
                <w:tcPr>
                  <w:tcW w:w="994" w:type="pct"/>
                  <w:vMerge w:val="continue"/>
                  <w:noWrap w:val="0"/>
                  <w:vAlign w:val="center"/>
                </w:tcPr>
                <w:p w14:paraId="642DD230">
                  <w:pPr>
                    <w:adjustRightInd w:val="0"/>
                    <w:snapToGrid w:val="0"/>
                    <w:jc w:val="center"/>
                    <w:rPr>
                      <w:rFonts w:hint="default" w:ascii="Times New Roman" w:hAnsi="Times New Roman" w:eastAsia="仿宋" w:cs="Times New Roman"/>
                      <w:bCs/>
                      <w:color w:val="auto"/>
                      <w:sz w:val="21"/>
                      <w:szCs w:val="21"/>
                      <w:highlight w:val="none"/>
                    </w:rPr>
                  </w:pPr>
                </w:p>
              </w:tc>
              <w:tc>
                <w:tcPr>
                  <w:tcW w:w="1050" w:type="pct"/>
                  <w:noWrap w:val="0"/>
                  <w:vAlign w:val="center"/>
                </w:tcPr>
                <w:p w14:paraId="64633F88">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S2</w:t>
                  </w:r>
                </w:p>
              </w:tc>
              <w:tc>
                <w:tcPr>
                  <w:tcW w:w="2533" w:type="pct"/>
                  <w:noWrap w:val="0"/>
                  <w:vAlign w:val="center"/>
                </w:tcPr>
                <w:p w14:paraId="32163976">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废包装材料</w:t>
                  </w:r>
                </w:p>
              </w:tc>
            </w:tr>
            <w:tr w14:paraId="235F8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267D3C53">
                  <w:pPr>
                    <w:adjustRightInd w:val="0"/>
                    <w:snapToGrid w:val="0"/>
                    <w:jc w:val="center"/>
                    <w:rPr>
                      <w:rFonts w:hint="default" w:ascii="Times New Roman" w:hAnsi="Times New Roman" w:eastAsia="仿宋" w:cs="Times New Roman"/>
                      <w:bCs/>
                      <w:color w:val="auto"/>
                      <w:sz w:val="21"/>
                      <w:szCs w:val="21"/>
                      <w:highlight w:val="none"/>
                    </w:rPr>
                  </w:pPr>
                </w:p>
              </w:tc>
              <w:tc>
                <w:tcPr>
                  <w:tcW w:w="994" w:type="pct"/>
                  <w:vMerge w:val="restart"/>
                  <w:noWrap w:val="0"/>
                  <w:vAlign w:val="center"/>
                </w:tcPr>
                <w:p w14:paraId="6AEA5E2C">
                  <w:pPr>
                    <w:adjustRightInd w:val="0"/>
                    <w:snapToGrid w:val="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废气治理</w:t>
                  </w:r>
                </w:p>
              </w:tc>
              <w:tc>
                <w:tcPr>
                  <w:tcW w:w="1050" w:type="pct"/>
                  <w:noWrap w:val="0"/>
                  <w:vAlign w:val="center"/>
                </w:tcPr>
                <w:p w14:paraId="45887D81">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S3</w:t>
                  </w:r>
                </w:p>
              </w:tc>
              <w:tc>
                <w:tcPr>
                  <w:tcW w:w="2533" w:type="pct"/>
                  <w:noWrap w:val="0"/>
                  <w:vAlign w:val="center"/>
                </w:tcPr>
                <w:p w14:paraId="501B1B3A">
                  <w:pPr>
                    <w:adjustRightInd w:val="0"/>
                    <w:snapToGrid w:val="0"/>
                    <w:jc w:val="center"/>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rPr>
                    <w:t>废</w:t>
                  </w:r>
                  <w:r>
                    <w:rPr>
                      <w:rFonts w:hint="eastAsia" w:eastAsia="仿宋" w:cs="Times New Roman"/>
                      <w:bCs/>
                      <w:color w:val="auto"/>
                      <w:sz w:val="21"/>
                      <w:szCs w:val="21"/>
                      <w:highlight w:val="none"/>
                      <w:lang w:val="en-US" w:eastAsia="zh-CN"/>
                    </w:rPr>
                    <w:t>绒毛</w:t>
                  </w:r>
                </w:p>
              </w:tc>
            </w:tr>
            <w:tr w14:paraId="621E5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431AF4CC">
                  <w:pPr>
                    <w:widowControl/>
                    <w:jc w:val="center"/>
                    <w:rPr>
                      <w:rFonts w:hint="default" w:ascii="Times New Roman" w:hAnsi="Times New Roman" w:eastAsia="仿宋" w:cs="Times New Roman"/>
                      <w:bCs/>
                      <w:color w:val="auto"/>
                      <w:sz w:val="21"/>
                      <w:szCs w:val="21"/>
                      <w:highlight w:val="none"/>
                    </w:rPr>
                  </w:pPr>
                </w:p>
              </w:tc>
              <w:tc>
                <w:tcPr>
                  <w:tcW w:w="994" w:type="pct"/>
                  <w:vMerge w:val="continue"/>
                  <w:noWrap w:val="0"/>
                  <w:vAlign w:val="center"/>
                </w:tcPr>
                <w:p w14:paraId="6C204E4A">
                  <w:pPr>
                    <w:adjustRightInd w:val="0"/>
                    <w:snapToGrid w:val="0"/>
                    <w:jc w:val="center"/>
                    <w:rPr>
                      <w:rFonts w:hint="default" w:ascii="Times New Roman" w:hAnsi="Times New Roman" w:eastAsia="仿宋" w:cs="Times New Roman"/>
                      <w:bCs/>
                      <w:color w:val="auto"/>
                      <w:sz w:val="21"/>
                      <w:szCs w:val="21"/>
                      <w:highlight w:val="none"/>
                    </w:rPr>
                  </w:pPr>
                </w:p>
              </w:tc>
              <w:tc>
                <w:tcPr>
                  <w:tcW w:w="1050" w:type="pct"/>
                  <w:noWrap w:val="0"/>
                  <w:vAlign w:val="center"/>
                </w:tcPr>
                <w:p w14:paraId="1255494D">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S4</w:t>
                  </w:r>
                </w:p>
              </w:tc>
              <w:tc>
                <w:tcPr>
                  <w:tcW w:w="2533" w:type="pct"/>
                  <w:noWrap w:val="0"/>
                  <w:vAlign w:val="center"/>
                </w:tcPr>
                <w:p w14:paraId="592656DF">
                  <w:pPr>
                    <w:adjustRightInd w:val="0"/>
                    <w:snapToGrid w:val="0"/>
                    <w:jc w:val="center"/>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rPr>
                    <w:t>废</w:t>
                  </w:r>
                  <w:r>
                    <w:rPr>
                      <w:rFonts w:hint="default" w:ascii="Times New Roman" w:hAnsi="Times New Roman" w:eastAsia="仿宋" w:cs="Times New Roman"/>
                      <w:bCs/>
                      <w:color w:val="auto"/>
                      <w:sz w:val="21"/>
                      <w:szCs w:val="21"/>
                      <w:highlight w:val="none"/>
                      <w:lang w:val="en-US" w:eastAsia="zh-CN"/>
                    </w:rPr>
                    <w:t>布袋</w:t>
                  </w:r>
                </w:p>
              </w:tc>
            </w:tr>
            <w:tr w14:paraId="73A8D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47C26F50">
                  <w:pPr>
                    <w:widowControl/>
                    <w:jc w:val="center"/>
                    <w:rPr>
                      <w:rFonts w:hint="default" w:ascii="Times New Roman" w:hAnsi="Times New Roman" w:eastAsia="仿宋" w:cs="Times New Roman"/>
                      <w:bCs/>
                      <w:color w:val="auto"/>
                      <w:sz w:val="21"/>
                      <w:szCs w:val="21"/>
                      <w:highlight w:val="none"/>
                    </w:rPr>
                  </w:pPr>
                </w:p>
              </w:tc>
              <w:tc>
                <w:tcPr>
                  <w:tcW w:w="994" w:type="pct"/>
                  <w:vMerge w:val="continue"/>
                  <w:noWrap w:val="0"/>
                  <w:vAlign w:val="center"/>
                </w:tcPr>
                <w:p w14:paraId="0629565E">
                  <w:pPr>
                    <w:adjustRightInd w:val="0"/>
                    <w:snapToGrid w:val="0"/>
                    <w:jc w:val="center"/>
                    <w:rPr>
                      <w:rFonts w:hint="default" w:ascii="Times New Roman" w:hAnsi="Times New Roman" w:eastAsia="仿宋" w:cs="Times New Roman"/>
                      <w:bCs/>
                      <w:color w:val="auto"/>
                      <w:sz w:val="21"/>
                      <w:szCs w:val="21"/>
                      <w:highlight w:val="none"/>
                    </w:rPr>
                  </w:pPr>
                </w:p>
              </w:tc>
              <w:tc>
                <w:tcPr>
                  <w:tcW w:w="1050" w:type="pct"/>
                  <w:noWrap w:val="0"/>
                  <w:vAlign w:val="center"/>
                </w:tcPr>
                <w:p w14:paraId="20825419">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S5</w:t>
                  </w:r>
                </w:p>
              </w:tc>
              <w:tc>
                <w:tcPr>
                  <w:tcW w:w="2533" w:type="pct"/>
                  <w:noWrap w:val="0"/>
                  <w:vAlign w:val="center"/>
                </w:tcPr>
                <w:p w14:paraId="0103D7E1">
                  <w:pPr>
                    <w:adjustRightInd w:val="0"/>
                    <w:snapToGrid w:val="0"/>
                    <w:jc w:val="center"/>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废活性炭</w:t>
                  </w:r>
                </w:p>
              </w:tc>
            </w:tr>
            <w:tr w14:paraId="5392C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546F51C4">
                  <w:pPr>
                    <w:widowControl/>
                    <w:jc w:val="center"/>
                    <w:rPr>
                      <w:rFonts w:hint="default" w:ascii="Times New Roman" w:hAnsi="Times New Roman" w:eastAsia="仿宋" w:cs="Times New Roman"/>
                      <w:bCs/>
                      <w:color w:val="auto"/>
                      <w:sz w:val="21"/>
                      <w:szCs w:val="21"/>
                      <w:highlight w:val="none"/>
                    </w:rPr>
                  </w:pPr>
                </w:p>
              </w:tc>
              <w:tc>
                <w:tcPr>
                  <w:tcW w:w="994" w:type="pct"/>
                  <w:vMerge w:val="continue"/>
                  <w:noWrap w:val="0"/>
                  <w:vAlign w:val="center"/>
                </w:tcPr>
                <w:p w14:paraId="3101F68C">
                  <w:pPr>
                    <w:adjustRightInd w:val="0"/>
                    <w:snapToGrid w:val="0"/>
                    <w:jc w:val="center"/>
                    <w:rPr>
                      <w:rFonts w:hint="default" w:ascii="Times New Roman" w:hAnsi="Times New Roman" w:eastAsia="仿宋" w:cs="Times New Roman"/>
                      <w:bCs/>
                      <w:color w:val="auto"/>
                      <w:sz w:val="21"/>
                      <w:szCs w:val="21"/>
                      <w:highlight w:val="none"/>
                    </w:rPr>
                  </w:pPr>
                </w:p>
              </w:tc>
              <w:tc>
                <w:tcPr>
                  <w:tcW w:w="1050" w:type="pct"/>
                  <w:noWrap w:val="0"/>
                  <w:vAlign w:val="center"/>
                </w:tcPr>
                <w:p w14:paraId="6E0ADE1B">
                  <w:pPr>
                    <w:adjustRightInd w:val="0"/>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S7</w:t>
                  </w:r>
                </w:p>
              </w:tc>
              <w:tc>
                <w:tcPr>
                  <w:tcW w:w="2533" w:type="pct"/>
                  <w:noWrap w:val="0"/>
                  <w:vAlign w:val="center"/>
                </w:tcPr>
                <w:p w14:paraId="2C491DE7">
                  <w:pPr>
                    <w:adjustRightInd w:val="0"/>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废过滤棉和杂质</w:t>
                  </w:r>
                </w:p>
              </w:tc>
            </w:tr>
            <w:tr w14:paraId="40B2D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5A71FA02">
                  <w:pPr>
                    <w:widowControl/>
                    <w:jc w:val="center"/>
                    <w:rPr>
                      <w:rFonts w:hint="default" w:ascii="Times New Roman" w:hAnsi="Times New Roman" w:eastAsia="仿宋" w:cs="Times New Roman"/>
                      <w:bCs/>
                      <w:color w:val="auto"/>
                      <w:sz w:val="21"/>
                      <w:szCs w:val="21"/>
                      <w:highlight w:val="none"/>
                    </w:rPr>
                  </w:pPr>
                </w:p>
              </w:tc>
              <w:tc>
                <w:tcPr>
                  <w:tcW w:w="994" w:type="pct"/>
                  <w:vMerge w:val="continue"/>
                  <w:noWrap w:val="0"/>
                  <w:vAlign w:val="center"/>
                </w:tcPr>
                <w:p w14:paraId="600F6AD6">
                  <w:pPr>
                    <w:adjustRightInd w:val="0"/>
                    <w:snapToGrid w:val="0"/>
                    <w:jc w:val="center"/>
                    <w:rPr>
                      <w:rFonts w:hint="default" w:ascii="Times New Roman" w:hAnsi="Times New Roman" w:eastAsia="仿宋" w:cs="Times New Roman"/>
                      <w:bCs/>
                      <w:color w:val="auto"/>
                      <w:sz w:val="21"/>
                      <w:szCs w:val="21"/>
                      <w:highlight w:val="none"/>
                    </w:rPr>
                  </w:pPr>
                </w:p>
              </w:tc>
              <w:tc>
                <w:tcPr>
                  <w:tcW w:w="1050" w:type="pct"/>
                  <w:noWrap w:val="0"/>
                  <w:vAlign w:val="center"/>
                </w:tcPr>
                <w:p w14:paraId="60794E0F">
                  <w:pPr>
                    <w:adjustRightInd w:val="0"/>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S8</w:t>
                  </w:r>
                </w:p>
              </w:tc>
              <w:tc>
                <w:tcPr>
                  <w:tcW w:w="2533" w:type="pct"/>
                  <w:noWrap w:val="0"/>
                  <w:vAlign w:val="center"/>
                </w:tcPr>
                <w:p w14:paraId="2287BF6B">
                  <w:pPr>
                    <w:adjustRightInd w:val="0"/>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水旋废液</w:t>
                  </w:r>
                </w:p>
              </w:tc>
            </w:tr>
            <w:tr w14:paraId="37F42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noWrap w:val="0"/>
                  <w:vAlign w:val="center"/>
                </w:tcPr>
                <w:p w14:paraId="0FE29F28">
                  <w:pPr>
                    <w:widowControl/>
                    <w:jc w:val="center"/>
                    <w:rPr>
                      <w:rFonts w:hint="default" w:ascii="Times New Roman" w:hAnsi="Times New Roman" w:eastAsia="仿宋" w:cs="Times New Roman"/>
                      <w:bCs/>
                      <w:color w:val="auto"/>
                      <w:sz w:val="21"/>
                      <w:szCs w:val="21"/>
                      <w:highlight w:val="none"/>
                    </w:rPr>
                  </w:pPr>
                </w:p>
              </w:tc>
              <w:tc>
                <w:tcPr>
                  <w:tcW w:w="994" w:type="pct"/>
                  <w:noWrap w:val="0"/>
                  <w:vAlign w:val="center"/>
                </w:tcPr>
                <w:p w14:paraId="1255170E">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设备维护操作</w:t>
                  </w:r>
                </w:p>
              </w:tc>
              <w:tc>
                <w:tcPr>
                  <w:tcW w:w="1050" w:type="pct"/>
                  <w:noWrap w:val="0"/>
                  <w:vAlign w:val="center"/>
                </w:tcPr>
                <w:p w14:paraId="63BA1440">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w:t>
                  </w:r>
                  <w:r>
                    <w:rPr>
                      <w:rFonts w:hint="eastAsia" w:eastAsia="仿宋" w:cs="Times New Roman"/>
                      <w:bCs/>
                      <w:color w:val="auto"/>
                      <w:sz w:val="21"/>
                      <w:szCs w:val="21"/>
                      <w:highlight w:val="none"/>
                      <w:lang w:val="en-US" w:eastAsia="zh-CN"/>
                    </w:rPr>
                    <w:t>6</w:t>
                  </w:r>
                </w:p>
              </w:tc>
              <w:tc>
                <w:tcPr>
                  <w:tcW w:w="2533" w:type="pct"/>
                  <w:noWrap w:val="0"/>
                  <w:vAlign w:val="center"/>
                </w:tcPr>
                <w:p w14:paraId="5FCEFF46">
                  <w:pPr>
                    <w:adjustRightInd w:val="0"/>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含油废抹布及手套</w:t>
                  </w:r>
                </w:p>
              </w:tc>
            </w:tr>
            <w:tr w14:paraId="179F1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tcBorders>
                    <w:top w:val="single" w:color="auto" w:sz="4" w:space="0"/>
                    <w:left w:val="nil"/>
                    <w:bottom w:val="single" w:color="auto" w:sz="12" w:space="0"/>
                    <w:right w:val="single" w:color="auto" w:sz="4" w:space="0"/>
                  </w:tcBorders>
                  <w:shd w:val="clear" w:color="auto" w:fill="auto"/>
                  <w:noWrap w:val="0"/>
                  <w:vAlign w:val="center"/>
                </w:tcPr>
                <w:p w14:paraId="27CADA5B">
                  <w:pPr>
                    <w:adjustRightInd w:val="0"/>
                    <w:snapToGrid w:val="0"/>
                    <w:jc w:val="center"/>
                    <w:rPr>
                      <w:rFonts w:hint="default" w:ascii="Times New Roman" w:hAnsi="Times New Roman" w:eastAsia="仿宋" w:cs="Times New Roman"/>
                      <w:bCs/>
                      <w:kern w:val="2"/>
                      <w:sz w:val="21"/>
                      <w:szCs w:val="21"/>
                      <w:lang w:val="en-US" w:eastAsia="zh-CN" w:bidi="ar-SA"/>
                    </w:rPr>
                  </w:pPr>
                  <w:r>
                    <w:rPr>
                      <w:rFonts w:hint="default" w:ascii="Times New Roman" w:hAnsi="Times New Roman" w:eastAsia="仿宋" w:cs="Times New Roman"/>
                      <w:bCs/>
                      <w:szCs w:val="21"/>
                    </w:rPr>
                    <w:t>噪声</w:t>
                  </w:r>
                </w:p>
              </w:tc>
              <w:tc>
                <w:tcPr>
                  <w:tcW w:w="994"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70852ADB">
                  <w:pPr>
                    <w:adjustRightInd w:val="0"/>
                    <w:snapToGrid w:val="0"/>
                    <w:jc w:val="center"/>
                    <w:rPr>
                      <w:rFonts w:hint="default" w:ascii="Times New Roman" w:hAnsi="Times New Roman" w:eastAsia="仿宋" w:cs="Times New Roman"/>
                      <w:bCs/>
                      <w:kern w:val="2"/>
                      <w:sz w:val="21"/>
                      <w:szCs w:val="21"/>
                      <w:lang w:val="en-US" w:eastAsia="zh-CN" w:bidi="ar-SA"/>
                    </w:rPr>
                  </w:pPr>
                  <w:r>
                    <w:rPr>
                      <w:rFonts w:hint="default" w:ascii="Times New Roman" w:hAnsi="Times New Roman" w:eastAsia="仿宋" w:cs="Times New Roman"/>
                      <w:szCs w:val="21"/>
                    </w:rPr>
                    <w:t>生产、环保设备</w:t>
                  </w:r>
                </w:p>
              </w:tc>
              <w:tc>
                <w:tcPr>
                  <w:tcW w:w="1050" w:type="pct"/>
                  <w:tcBorders>
                    <w:top w:val="single" w:color="auto" w:sz="4" w:space="0"/>
                    <w:left w:val="single" w:color="auto" w:sz="4" w:space="0"/>
                    <w:bottom w:val="single" w:color="auto" w:sz="12" w:space="0"/>
                    <w:right w:val="nil"/>
                  </w:tcBorders>
                  <w:shd w:val="clear" w:color="auto" w:fill="auto"/>
                  <w:noWrap w:val="0"/>
                  <w:vAlign w:val="center"/>
                </w:tcPr>
                <w:p w14:paraId="52F7E717">
                  <w:pPr>
                    <w:adjustRightInd w:val="0"/>
                    <w:snapToGrid w:val="0"/>
                    <w:jc w:val="center"/>
                    <w:rPr>
                      <w:rFonts w:hint="default" w:ascii="Times New Roman" w:hAnsi="Times New Roman" w:eastAsia="仿宋" w:cs="Times New Roman"/>
                      <w:bCs/>
                      <w:kern w:val="2"/>
                      <w:sz w:val="21"/>
                      <w:szCs w:val="21"/>
                      <w:lang w:val="en-US" w:eastAsia="zh-CN" w:bidi="ar-SA"/>
                    </w:rPr>
                  </w:pPr>
                  <w:r>
                    <w:rPr>
                      <w:rFonts w:hint="default" w:ascii="Times New Roman" w:hAnsi="Times New Roman" w:eastAsia="仿宋" w:cs="Times New Roman"/>
                      <w:bCs/>
                      <w:szCs w:val="21"/>
                    </w:rPr>
                    <w:t>N</w:t>
                  </w:r>
                </w:p>
              </w:tc>
              <w:tc>
                <w:tcPr>
                  <w:tcW w:w="2533" w:type="pct"/>
                  <w:tcBorders>
                    <w:top w:val="single" w:color="auto" w:sz="4" w:space="0"/>
                    <w:left w:val="single" w:color="auto" w:sz="4" w:space="0"/>
                    <w:bottom w:val="single" w:color="auto" w:sz="12" w:space="0"/>
                    <w:right w:val="nil"/>
                  </w:tcBorders>
                  <w:shd w:val="clear" w:color="auto" w:fill="auto"/>
                  <w:noWrap w:val="0"/>
                  <w:vAlign w:val="center"/>
                </w:tcPr>
                <w:p w14:paraId="2BB358F9">
                  <w:pPr>
                    <w:adjustRightInd w:val="0"/>
                    <w:snapToGrid w:val="0"/>
                    <w:jc w:val="center"/>
                    <w:rPr>
                      <w:rFonts w:hint="default" w:ascii="Times New Roman" w:hAnsi="Times New Roman" w:eastAsia="仿宋" w:cs="Times New Roman"/>
                      <w:bCs/>
                      <w:kern w:val="2"/>
                      <w:sz w:val="21"/>
                      <w:szCs w:val="21"/>
                      <w:lang w:val="en-US" w:eastAsia="zh-CN" w:bidi="ar-SA"/>
                    </w:rPr>
                  </w:pPr>
                  <w:r>
                    <w:rPr>
                      <w:rFonts w:hint="default" w:ascii="Times New Roman" w:hAnsi="Times New Roman" w:eastAsia="仿宋" w:cs="Times New Roman"/>
                      <w:szCs w:val="21"/>
                    </w:rPr>
                    <w:t>噪声</w:t>
                  </w:r>
                </w:p>
              </w:tc>
            </w:tr>
          </w:tbl>
          <w:p w14:paraId="55509047">
            <w:pPr>
              <w:adjustRightInd w:val="0"/>
              <w:snapToGrid w:val="0"/>
              <w:spacing w:before="120" w:beforeLines="50" w:line="360" w:lineRule="auto"/>
              <w:ind w:firstLine="420" w:firstLineChars="200"/>
              <w:rPr>
                <w:rFonts w:hint="default" w:ascii="Times New Roman" w:hAnsi="Times New Roman" w:eastAsia="仿宋" w:cs="Times New Roman"/>
                <w:bCs/>
                <w:color w:val="auto"/>
                <w:szCs w:val="21"/>
                <w:highlight w:val="none"/>
              </w:rPr>
            </w:pPr>
          </w:p>
        </w:tc>
      </w:tr>
      <w:tr w14:paraId="118E9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45" w:hRule="atLeast"/>
          <w:jc w:val="center"/>
        </w:trPr>
        <w:tc>
          <w:tcPr>
            <w:tcW w:w="313" w:type="pct"/>
            <w:noWrap w:val="0"/>
            <w:vAlign w:val="center"/>
          </w:tcPr>
          <w:p w14:paraId="1DFA5B9A">
            <w:pPr>
              <w:adjustRightInd w:val="0"/>
              <w:snapToGrid w:val="0"/>
              <w:spacing w:line="360" w:lineRule="auto"/>
              <w:jc w:val="center"/>
              <w:rPr>
                <w:rFonts w:hint="default" w:ascii="Times New Roman" w:hAnsi="Times New Roman" w:eastAsia="仿宋" w:cs="Times New Roman"/>
                <w:color w:val="auto"/>
                <w:highlight w:val="none"/>
              </w:rPr>
            </w:pPr>
            <w:r>
              <w:rPr>
                <w:rFonts w:hint="default" w:ascii="Times New Roman" w:hAnsi="Times New Roman" w:eastAsia="仿宋" w:cs="Times New Roman"/>
                <w:bCs/>
                <w:color w:val="auto"/>
                <w:sz w:val="24"/>
                <w:highlight w:val="none"/>
              </w:rPr>
              <w:t>与项目有关的原有环境污染问题</w:t>
            </w:r>
          </w:p>
        </w:tc>
        <w:tc>
          <w:tcPr>
            <w:tcW w:w="4686" w:type="pct"/>
            <w:noWrap w:val="0"/>
            <w:vAlign w:val="top"/>
          </w:tcPr>
          <w:p w14:paraId="0F4B3A6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一、现有项目环保手续履行情况</w:t>
            </w:r>
          </w:p>
          <w:p w14:paraId="588A9587">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highlight w:val="none"/>
                <w:lang w:eastAsia="zh-CN"/>
              </w:rPr>
              <w:t>伊轩品牌管理（江苏）有限公司</w:t>
            </w:r>
            <w:r>
              <w:rPr>
                <w:rFonts w:hint="default" w:ascii="Times New Roman" w:hAnsi="Times New Roman" w:eastAsia="仿宋" w:cs="Times New Roman"/>
                <w:bCs/>
                <w:color w:val="auto"/>
                <w:sz w:val="24"/>
                <w:highlight w:val="none"/>
              </w:rPr>
              <w:t>成立于</w:t>
            </w:r>
            <w:r>
              <w:rPr>
                <w:rFonts w:hint="default" w:ascii="Times New Roman" w:hAnsi="Times New Roman" w:eastAsia="仿宋" w:cs="Times New Roman"/>
                <w:bCs/>
                <w:color w:val="auto"/>
                <w:sz w:val="24"/>
                <w:highlight w:val="none"/>
                <w:lang w:val="en-US" w:eastAsia="zh-CN"/>
              </w:rPr>
              <w:t>2018</w:t>
            </w:r>
            <w:r>
              <w:rPr>
                <w:rFonts w:hint="default" w:ascii="Times New Roman" w:hAnsi="Times New Roman" w:eastAsia="仿宋" w:cs="Times New Roman"/>
                <w:bCs/>
                <w:color w:val="auto"/>
                <w:sz w:val="24"/>
                <w:highlight w:val="none"/>
              </w:rPr>
              <w:t>年</w:t>
            </w:r>
            <w:r>
              <w:rPr>
                <w:rFonts w:hint="default" w:ascii="Times New Roman" w:hAnsi="Times New Roman" w:eastAsia="仿宋" w:cs="Times New Roman"/>
                <w:bCs/>
                <w:color w:val="auto"/>
                <w:sz w:val="24"/>
                <w:highlight w:val="none"/>
                <w:lang w:val="en-US" w:eastAsia="zh-CN"/>
              </w:rPr>
              <w:t>9</w:t>
            </w:r>
            <w:r>
              <w:rPr>
                <w:rFonts w:hint="default" w:ascii="Times New Roman" w:hAnsi="Times New Roman" w:eastAsia="仿宋" w:cs="Times New Roman"/>
                <w:bCs/>
                <w:color w:val="auto"/>
                <w:sz w:val="24"/>
                <w:highlight w:val="none"/>
              </w:rPr>
              <w:t>月</w:t>
            </w:r>
            <w:r>
              <w:rPr>
                <w:rFonts w:hint="default" w:ascii="Times New Roman" w:hAnsi="Times New Roman" w:eastAsia="仿宋" w:cs="Times New Roman"/>
                <w:bCs/>
                <w:color w:val="auto"/>
                <w:sz w:val="24"/>
                <w:highlight w:val="none"/>
                <w:lang w:val="en-US" w:eastAsia="zh-CN"/>
              </w:rPr>
              <w:t>17</w:t>
            </w:r>
            <w:r>
              <w:rPr>
                <w:rFonts w:hint="default" w:ascii="Times New Roman" w:hAnsi="Times New Roman" w:eastAsia="仿宋" w:cs="Times New Roman"/>
                <w:bCs/>
                <w:color w:val="auto"/>
                <w:sz w:val="24"/>
                <w:highlight w:val="none"/>
              </w:rPr>
              <w:t>日</w:t>
            </w:r>
            <w:r>
              <w:rPr>
                <w:rFonts w:hint="default" w:ascii="Times New Roman" w:hAnsi="Times New Roman"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rPr>
              <w:t>企业于2020年11月</w:t>
            </w:r>
            <w:r>
              <w:rPr>
                <w:rFonts w:hint="default" w:ascii="Times New Roman" w:hAnsi="Times New Roman" w:eastAsia="仿宋" w:cs="Times New Roman"/>
                <w:bCs/>
                <w:color w:val="auto"/>
                <w:sz w:val="24"/>
                <w:highlight w:val="none"/>
                <w:lang w:val="en-US" w:eastAsia="zh-CN"/>
              </w:rPr>
              <w:t>报批了</w:t>
            </w:r>
            <w:r>
              <w:rPr>
                <w:rFonts w:hint="default" w:ascii="Times New Roman" w:hAnsi="Times New Roman" w:eastAsia="仿宋" w:cs="Times New Roman"/>
                <w:bCs/>
                <w:color w:val="auto"/>
                <w:sz w:val="24"/>
                <w:highlight w:val="none"/>
              </w:rPr>
              <w:t>《化妆用具及医疗器械制造项目环境影响报告表》，该项目于2020年12月8日取得常州市生态环境局审批意见（常金环审</w:t>
            </w:r>
            <w:r>
              <w:rPr>
                <w:rFonts w:hint="default" w:ascii="Times New Roman" w:hAnsi="Times New Roman" w:eastAsia="仿宋" w:cs="Times New Roman"/>
                <w:bCs/>
                <w:color w:val="auto"/>
                <w:sz w:val="24"/>
                <w:highlight w:val="none"/>
                <w:lang w:eastAsia="zh-CN"/>
              </w:rPr>
              <w:t>〔2020〕176号</w:t>
            </w:r>
            <w:r>
              <w:rPr>
                <w:rFonts w:hint="default" w:ascii="Times New Roman" w:hAnsi="Times New Roman" w:eastAsia="仿宋" w:cs="Times New Roman"/>
                <w:bCs/>
                <w:color w:val="auto"/>
                <w:sz w:val="24"/>
                <w:highlight w:val="none"/>
              </w:rPr>
              <w:t>）</w:t>
            </w:r>
            <w:r>
              <w:rPr>
                <w:rFonts w:hint="eastAsia" w:eastAsia="仿宋" w:cs="Times New Roman"/>
                <w:bCs/>
                <w:color w:val="auto"/>
                <w:sz w:val="24"/>
                <w:highlight w:val="none"/>
                <w:lang w:eastAsia="zh-CN"/>
              </w:rPr>
              <w:t>，</w:t>
            </w:r>
            <w:r>
              <w:rPr>
                <w:rFonts w:hint="eastAsia" w:eastAsia="仿宋" w:cs="Times New Roman"/>
                <w:bCs/>
                <w:color w:val="auto"/>
                <w:sz w:val="24"/>
                <w:highlight w:val="none"/>
                <w:lang w:val="en-US" w:eastAsia="zh-CN"/>
              </w:rPr>
              <w:t>设计产能为：年产唇刷2亿只、睫毛刷2亿只、牙间刷5000万只、眼线刷5000万只、一次性取样器6000万只</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项目</w:t>
            </w:r>
            <w:r>
              <w:rPr>
                <w:rFonts w:hint="default" w:ascii="Times New Roman" w:hAnsi="Times New Roman" w:eastAsia="仿宋" w:cs="Times New Roman"/>
                <w:bCs/>
                <w:color w:val="auto"/>
                <w:sz w:val="24"/>
                <w:highlight w:val="none"/>
                <w:lang w:val="en-US" w:eastAsia="zh-CN"/>
              </w:rPr>
              <w:t>分别</w:t>
            </w:r>
            <w:r>
              <w:rPr>
                <w:rFonts w:hint="default" w:ascii="Times New Roman" w:hAnsi="Times New Roman" w:eastAsia="仿宋" w:cs="Times New Roman"/>
                <w:bCs/>
                <w:color w:val="auto"/>
                <w:sz w:val="24"/>
                <w:highlight w:val="none"/>
              </w:rPr>
              <w:t>于2022年4月</w:t>
            </w:r>
            <w:r>
              <w:rPr>
                <w:rFonts w:hint="default" w:ascii="Times New Roman" w:hAnsi="Times New Roman" w:eastAsia="仿宋" w:cs="Times New Roman"/>
                <w:bCs/>
                <w:color w:val="auto"/>
                <w:sz w:val="24"/>
                <w:highlight w:val="none"/>
                <w:lang w:val="en-US" w:eastAsia="zh-CN"/>
              </w:rPr>
              <w:t>和2024年3月</w:t>
            </w:r>
            <w:r>
              <w:rPr>
                <w:rFonts w:hint="default" w:ascii="Times New Roman" w:hAnsi="Times New Roman" w:eastAsia="仿宋" w:cs="Times New Roman"/>
                <w:bCs/>
                <w:color w:val="auto"/>
                <w:sz w:val="24"/>
                <w:highlight w:val="none"/>
              </w:rPr>
              <w:t>通过</w:t>
            </w:r>
            <w:r>
              <w:rPr>
                <w:rFonts w:hint="default" w:ascii="Times New Roman" w:hAnsi="Times New Roman" w:eastAsia="仿宋" w:cs="Times New Roman"/>
                <w:bCs/>
                <w:color w:val="auto"/>
                <w:sz w:val="24"/>
                <w:highlight w:val="none"/>
                <w:lang w:val="en-US" w:eastAsia="zh-CN"/>
              </w:rPr>
              <w:t>部分自主验收（具体内容见下表），现有项目目前运行正常，目前全厂实际产能为：年产唇刷1亿只、睫毛刷1亿只、眼线刷2500万只、一次性取样器3000万只、年产5000</w:t>
            </w:r>
            <w:r>
              <w:rPr>
                <w:rFonts w:hint="eastAsia" w:eastAsia="仿宋" w:cs="Times New Roman"/>
                <w:bCs/>
                <w:color w:val="auto"/>
                <w:sz w:val="24"/>
                <w:highlight w:val="none"/>
                <w:lang w:val="en-US" w:eastAsia="zh-CN"/>
              </w:rPr>
              <w:t>万</w:t>
            </w:r>
            <w:r>
              <w:rPr>
                <w:rFonts w:hint="default" w:ascii="Times New Roman" w:hAnsi="Times New Roman" w:eastAsia="仿宋" w:cs="Times New Roman"/>
                <w:bCs/>
                <w:color w:val="auto"/>
                <w:sz w:val="24"/>
                <w:highlight w:val="none"/>
                <w:lang w:val="en-US" w:eastAsia="zh-CN"/>
              </w:rPr>
              <w:t>只牙间刷，剩余产能</w:t>
            </w:r>
            <w:r>
              <w:rPr>
                <w:rFonts w:hint="eastAsia" w:eastAsia="仿宋" w:cs="Times New Roman"/>
                <w:bCs/>
                <w:color w:val="auto"/>
                <w:sz w:val="24"/>
                <w:highlight w:val="none"/>
                <w:lang w:val="en-US" w:eastAsia="zh-CN"/>
              </w:rPr>
              <w:t>年产唇刷1亿只、睫毛刷1亿只、</w:t>
            </w:r>
            <w:r>
              <w:rPr>
                <w:rFonts w:hint="default" w:ascii="Times New Roman" w:hAnsi="Times New Roman" w:eastAsia="仿宋" w:cs="Times New Roman"/>
                <w:bCs/>
                <w:color w:val="auto"/>
                <w:sz w:val="24"/>
                <w:highlight w:val="none"/>
                <w:lang w:val="en-US" w:eastAsia="zh-CN"/>
              </w:rPr>
              <w:t>眼线刷2500万只、</w:t>
            </w:r>
            <w:r>
              <w:rPr>
                <w:rFonts w:hint="eastAsia" w:eastAsia="仿宋" w:cs="Times New Roman"/>
                <w:bCs/>
                <w:color w:val="auto"/>
                <w:sz w:val="24"/>
                <w:highlight w:val="none"/>
                <w:lang w:val="en-US" w:eastAsia="zh-CN"/>
              </w:rPr>
              <w:t>一次性取样器3000万只</w:t>
            </w:r>
            <w:r>
              <w:rPr>
                <w:rFonts w:hint="default" w:ascii="Times New Roman" w:hAnsi="Times New Roman" w:eastAsia="仿宋" w:cs="Times New Roman"/>
                <w:bCs/>
                <w:color w:val="auto"/>
                <w:sz w:val="24"/>
                <w:highlight w:val="none"/>
                <w:lang w:val="en-US" w:eastAsia="zh-CN"/>
              </w:rPr>
              <w:t>暂未建设。</w:t>
            </w:r>
          </w:p>
          <w:p w14:paraId="51D5CF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lang w:eastAsia="zh-CN"/>
              </w:rPr>
            </w:pPr>
            <w:r>
              <w:rPr>
                <w:rFonts w:hint="default" w:ascii="Times New Roman" w:hAnsi="Times New Roman" w:eastAsia="仿宋" w:cs="Times New Roman"/>
                <w:bCs/>
                <w:color w:val="auto"/>
                <w:sz w:val="24"/>
                <w:highlight w:val="none"/>
                <w:lang w:eastAsia="zh-CN"/>
              </w:rPr>
              <w:t>伊轩品牌管理（江苏）有限公司于</w:t>
            </w:r>
            <w:r>
              <w:rPr>
                <w:rFonts w:hint="eastAsia" w:eastAsia="仿宋" w:cs="Times New Roman"/>
                <w:bCs/>
                <w:color w:val="auto"/>
                <w:sz w:val="24"/>
                <w:highlight w:val="none"/>
                <w:lang w:eastAsia="zh-CN"/>
              </w:rPr>
              <w:t>2024年6月11日</w:t>
            </w:r>
            <w:r>
              <w:rPr>
                <w:rFonts w:hint="default" w:ascii="Times New Roman" w:hAnsi="Times New Roman" w:eastAsia="仿宋" w:cs="Times New Roman"/>
                <w:bCs/>
                <w:color w:val="auto"/>
                <w:sz w:val="24"/>
                <w:highlight w:val="none"/>
                <w:lang w:val="en-US" w:eastAsia="zh-CN"/>
              </w:rPr>
              <w:t>申领了</w:t>
            </w:r>
            <w:r>
              <w:rPr>
                <w:rFonts w:hint="default" w:ascii="Times New Roman" w:hAnsi="Times New Roman" w:eastAsia="仿宋" w:cs="Times New Roman"/>
                <w:bCs/>
                <w:color w:val="auto"/>
                <w:sz w:val="24"/>
                <w:highlight w:val="none"/>
                <w:lang w:eastAsia="zh-CN"/>
              </w:rPr>
              <w:t>排污许可</w:t>
            </w:r>
            <w:r>
              <w:rPr>
                <w:rFonts w:hint="default" w:ascii="Times New Roman" w:hAnsi="Times New Roman" w:eastAsia="仿宋" w:cs="Times New Roman"/>
                <w:bCs/>
                <w:color w:val="auto"/>
                <w:sz w:val="24"/>
                <w:highlight w:val="none"/>
                <w:lang w:val="en-US" w:eastAsia="zh-CN"/>
              </w:rPr>
              <w:t>登记</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登记</w:t>
            </w:r>
            <w:r>
              <w:rPr>
                <w:rFonts w:hint="default" w:ascii="Times New Roman" w:hAnsi="Times New Roman" w:eastAsia="仿宋" w:cs="Times New Roman"/>
                <w:bCs/>
                <w:color w:val="auto"/>
                <w:sz w:val="24"/>
                <w:highlight w:val="none"/>
                <w:lang w:eastAsia="zh-CN"/>
              </w:rPr>
              <w:t>编号为91320413MA1X6WRB0M001Y。</w:t>
            </w:r>
          </w:p>
          <w:p w14:paraId="35346F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lang w:eastAsia="zh-CN"/>
              </w:rPr>
            </w:pPr>
            <w:r>
              <w:rPr>
                <w:rFonts w:hint="default" w:ascii="Times New Roman" w:hAnsi="Times New Roman" w:eastAsia="仿宋" w:cs="Times New Roman"/>
                <w:bCs/>
                <w:color w:val="auto"/>
                <w:sz w:val="24"/>
              </w:rPr>
              <w:t>企业于202</w:t>
            </w:r>
            <w:r>
              <w:rPr>
                <w:rFonts w:hint="default" w:ascii="Times New Roman" w:hAnsi="Times New Roman" w:eastAsia="仿宋" w:cs="Times New Roman"/>
                <w:bCs/>
                <w:color w:val="auto"/>
                <w:sz w:val="24"/>
                <w:lang w:val="en-US" w:eastAsia="zh-CN"/>
              </w:rPr>
              <w:t>4</w:t>
            </w:r>
            <w:r>
              <w:rPr>
                <w:rFonts w:hint="default" w:ascii="Times New Roman" w:hAnsi="Times New Roman" w:eastAsia="仿宋" w:cs="Times New Roman"/>
                <w:bCs/>
                <w:color w:val="auto"/>
                <w:sz w:val="24"/>
              </w:rPr>
              <w:t>年</w:t>
            </w:r>
            <w:r>
              <w:rPr>
                <w:rFonts w:hint="default" w:ascii="Times New Roman" w:hAnsi="Times New Roman" w:eastAsia="仿宋" w:cs="Times New Roman"/>
                <w:bCs/>
                <w:color w:val="auto"/>
                <w:sz w:val="24"/>
                <w:lang w:val="en-US" w:eastAsia="zh-CN"/>
              </w:rPr>
              <w:t>10</w:t>
            </w:r>
            <w:r>
              <w:rPr>
                <w:rFonts w:hint="default" w:ascii="Times New Roman" w:hAnsi="Times New Roman" w:eastAsia="仿宋" w:cs="Times New Roman"/>
                <w:bCs/>
                <w:color w:val="auto"/>
                <w:sz w:val="24"/>
              </w:rPr>
              <w:t>月</w:t>
            </w:r>
            <w:r>
              <w:rPr>
                <w:rFonts w:hint="default" w:ascii="Times New Roman" w:hAnsi="Times New Roman" w:eastAsia="仿宋" w:cs="Times New Roman"/>
                <w:bCs/>
                <w:color w:val="auto"/>
                <w:sz w:val="24"/>
                <w:lang w:val="en-US" w:eastAsia="zh-CN"/>
              </w:rPr>
              <w:t>15</w:t>
            </w:r>
            <w:r>
              <w:rPr>
                <w:rFonts w:hint="default" w:ascii="Times New Roman" w:hAnsi="Times New Roman" w:eastAsia="仿宋" w:cs="Times New Roman"/>
                <w:bCs/>
                <w:color w:val="auto"/>
                <w:sz w:val="24"/>
              </w:rPr>
              <w:t>日取得企业事业单位突发环境事件应急预案备案表（备案编号：</w:t>
            </w:r>
            <w:r>
              <w:rPr>
                <w:rFonts w:hint="default" w:ascii="Times New Roman" w:hAnsi="Times New Roman" w:eastAsia="仿宋" w:cs="Times New Roman"/>
                <w:bCs/>
                <w:color w:val="auto"/>
                <w:sz w:val="24"/>
                <w:lang w:val="en-US" w:eastAsia="zh-CN"/>
              </w:rPr>
              <w:t>320413</w:t>
            </w:r>
            <w:r>
              <w:rPr>
                <w:rFonts w:hint="default" w:ascii="Times New Roman" w:hAnsi="Times New Roman" w:eastAsia="仿宋" w:cs="Times New Roman"/>
                <w:bCs/>
                <w:color w:val="auto"/>
                <w:sz w:val="24"/>
              </w:rPr>
              <w:t>-202</w:t>
            </w:r>
            <w:r>
              <w:rPr>
                <w:rFonts w:hint="default" w:ascii="Times New Roman" w:hAnsi="Times New Roman" w:eastAsia="仿宋" w:cs="Times New Roman"/>
                <w:bCs/>
                <w:color w:val="auto"/>
                <w:sz w:val="24"/>
                <w:lang w:val="en-US" w:eastAsia="zh-CN"/>
              </w:rPr>
              <w:t>4</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val="en-US" w:eastAsia="zh-CN"/>
              </w:rPr>
              <w:t>158</w:t>
            </w:r>
            <w:r>
              <w:rPr>
                <w:rFonts w:hint="default" w:ascii="Times New Roman" w:hAnsi="Times New Roman" w:eastAsia="仿宋" w:cs="Times New Roman"/>
                <w:bCs/>
                <w:color w:val="auto"/>
                <w:sz w:val="24"/>
              </w:rPr>
              <w:t>-L）</w:t>
            </w:r>
            <w:r>
              <w:rPr>
                <w:rFonts w:hint="default" w:ascii="Times New Roman" w:hAnsi="Times New Roman" w:eastAsia="仿宋" w:cs="Times New Roman"/>
                <w:bCs/>
                <w:color w:val="auto"/>
                <w:sz w:val="24"/>
                <w:lang w:eastAsia="zh-CN"/>
              </w:rPr>
              <w:t>。</w:t>
            </w:r>
          </w:p>
          <w:p w14:paraId="254109E7">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现有项目环保手续履行情况见表2-</w:t>
            </w:r>
            <w:r>
              <w:rPr>
                <w:rFonts w:hint="eastAsia" w:ascii="Times New Roman" w:hAnsi="Times New Roman" w:eastAsia="仿宋" w:cs="Times New Roman"/>
                <w:bCs/>
                <w:color w:val="auto"/>
                <w:sz w:val="24"/>
                <w:lang w:val="en-US" w:eastAsia="zh-CN"/>
              </w:rPr>
              <w:t>10</w:t>
            </w:r>
            <w:r>
              <w:rPr>
                <w:rFonts w:hint="default" w:ascii="Times New Roman" w:hAnsi="Times New Roman" w:eastAsia="仿宋" w:cs="Times New Roman"/>
                <w:bCs/>
                <w:color w:val="auto"/>
                <w:sz w:val="24"/>
              </w:rPr>
              <w:t>。</w:t>
            </w:r>
          </w:p>
          <w:p w14:paraId="4EDAF01A">
            <w:pPr>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color w:val="auto"/>
                <w:sz w:val="24"/>
              </w:rPr>
              <w:t>表2-</w:t>
            </w:r>
            <w:r>
              <w:rPr>
                <w:rFonts w:hint="eastAsia" w:ascii="Times New Roman" w:hAnsi="Times New Roman" w:eastAsia="仿宋" w:cs="Times New Roman"/>
                <w:b/>
                <w:color w:val="auto"/>
                <w:sz w:val="24"/>
                <w:lang w:val="en-US" w:eastAsia="zh-CN"/>
              </w:rPr>
              <w:t>10</w:t>
            </w:r>
            <w:r>
              <w:rPr>
                <w:rFonts w:hint="default" w:ascii="Times New Roman" w:hAnsi="Times New Roman" w:eastAsia="仿宋" w:cs="Times New Roman"/>
                <w:b/>
                <w:color w:val="auto"/>
                <w:sz w:val="24"/>
              </w:rPr>
              <w:t xml:space="preserve">  </w:t>
            </w:r>
            <w:r>
              <w:rPr>
                <w:rFonts w:hint="default" w:ascii="Times New Roman" w:hAnsi="Times New Roman" w:eastAsia="仿宋" w:cs="Times New Roman"/>
                <w:b/>
                <w:bCs/>
                <w:color w:val="auto"/>
                <w:sz w:val="24"/>
              </w:rPr>
              <w:t>现有项目环保手续履行情况</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856"/>
              <w:gridCol w:w="1185"/>
              <w:gridCol w:w="992"/>
              <w:gridCol w:w="1026"/>
              <w:gridCol w:w="2817"/>
            </w:tblGrid>
            <w:tr w14:paraId="626A8D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95" w:type="pct"/>
                  <w:vMerge w:val="restart"/>
                  <w:tcBorders>
                    <w:tl2br w:val="nil"/>
                    <w:tr2bl w:val="nil"/>
                  </w:tcBorders>
                  <w:noWrap w:val="0"/>
                  <w:vAlign w:val="center"/>
                </w:tcPr>
                <w:p w14:paraId="6200E3D6">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b/>
                      <w:color w:val="auto"/>
                      <w:sz w:val="18"/>
                      <w:szCs w:val="18"/>
                    </w:rPr>
                  </w:pPr>
                  <w:bookmarkStart w:id="3" w:name="_Toc478223748"/>
                  <w:r>
                    <w:rPr>
                      <w:rFonts w:hint="default" w:ascii="Times New Roman" w:hAnsi="Times New Roman" w:eastAsia="仿宋" w:cs="Times New Roman"/>
                      <w:b/>
                      <w:color w:val="auto"/>
                      <w:sz w:val="18"/>
                      <w:szCs w:val="18"/>
                    </w:rPr>
                    <w:t>项目名称</w:t>
                  </w:r>
                </w:p>
              </w:tc>
              <w:tc>
                <w:tcPr>
                  <w:tcW w:w="511" w:type="pct"/>
                  <w:vMerge w:val="restart"/>
                  <w:tcBorders>
                    <w:tl2br w:val="nil"/>
                    <w:tr2bl w:val="nil"/>
                  </w:tcBorders>
                  <w:noWrap w:val="0"/>
                  <w:vAlign w:val="center"/>
                </w:tcPr>
                <w:p w14:paraId="18B0B6C8">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报告类型</w:t>
                  </w:r>
                </w:p>
              </w:tc>
              <w:tc>
                <w:tcPr>
                  <w:tcW w:w="1911" w:type="pct"/>
                  <w:gridSpan w:val="3"/>
                  <w:tcBorders>
                    <w:tl2br w:val="nil"/>
                    <w:tr2bl w:val="nil"/>
                  </w:tcBorders>
                  <w:noWrap w:val="0"/>
                  <w:vAlign w:val="center"/>
                </w:tcPr>
                <w:p w14:paraId="64560526">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环评手续情况</w:t>
                  </w:r>
                </w:p>
              </w:tc>
              <w:tc>
                <w:tcPr>
                  <w:tcW w:w="1681" w:type="pct"/>
                  <w:vMerge w:val="restart"/>
                  <w:tcBorders>
                    <w:tl2br w:val="nil"/>
                    <w:tr2bl w:val="nil"/>
                  </w:tcBorders>
                  <w:noWrap w:val="0"/>
                  <w:vAlign w:val="center"/>
                </w:tcPr>
                <w:p w14:paraId="6868922B">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b/>
                      <w:color w:val="auto"/>
                      <w:sz w:val="18"/>
                      <w:szCs w:val="18"/>
                      <w:lang w:val="en-US" w:eastAsia="zh-CN"/>
                    </w:rPr>
                  </w:pPr>
                  <w:r>
                    <w:rPr>
                      <w:rFonts w:hint="default" w:ascii="Times New Roman" w:hAnsi="Times New Roman" w:eastAsia="仿宋" w:cs="Times New Roman"/>
                      <w:b/>
                      <w:color w:val="auto"/>
                      <w:sz w:val="18"/>
                      <w:szCs w:val="18"/>
                    </w:rPr>
                    <w:t>竣工环保验收情况</w:t>
                  </w:r>
                </w:p>
              </w:tc>
            </w:tr>
            <w:tr w14:paraId="20A52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95" w:type="pct"/>
                  <w:vMerge w:val="continue"/>
                  <w:tcBorders>
                    <w:tl2br w:val="nil"/>
                    <w:tr2bl w:val="nil"/>
                  </w:tcBorders>
                  <w:noWrap w:val="0"/>
                  <w:vAlign w:val="center"/>
                </w:tcPr>
                <w:p w14:paraId="36BD19AD">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b/>
                      <w:color w:val="auto"/>
                      <w:sz w:val="18"/>
                      <w:szCs w:val="18"/>
                    </w:rPr>
                  </w:pPr>
                </w:p>
              </w:tc>
              <w:tc>
                <w:tcPr>
                  <w:tcW w:w="511" w:type="pct"/>
                  <w:vMerge w:val="continue"/>
                  <w:tcBorders>
                    <w:tl2br w:val="nil"/>
                    <w:tr2bl w:val="nil"/>
                  </w:tcBorders>
                  <w:noWrap w:val="0"/>
                  <w:vAlign w:val="center"/>
                </w:tcPr>
                <w:p w14:paraId="288481A6">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b/>
                      <w:color w:val="auto"/>
                      <w:sz w:val="18"/>
                      <w:szCs w:val="18"/>
                    </w:rPr>
                  </w:pPr>
                </w:p>
              </w:tc>
              <w:tc>
                <w:tcPr>
                  <w:tcW w:w="707" w:type="pct"/>
                  <w:tcBorders>
                    <w:tl2br w:val="nil"/>
                    <w:tr2bl w:val="nil"/>
                  </w:tcBorders>
                  <w:noWrap w:val="0"/>
                  <w:vAlign w:val="center"/>
                </w:tcPr>
                <w:p w14:paraId="7389F908">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审批部门</w:t>
                  </w:r>
                </w:p>
              </w:tc>
              <w:tc>
                <w:tcPr>
                  <w:tcW w:w="592" w:type="pct"/>
                  <w:tcBorders>
                    <w:tl2br w:val="nil"/>
                    <w:tr2bl w:val="nil"/>
                  </w:tcBorders>
                  <w:noWrap w:val="0"/>
                  <w:vAlign w:val="center"/>
                </w:tcPr>
                <w:p w14:paraId="7EFDB484">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批复文号</w:t>
                  </w:r>
                </w:p>
              </w:tc>
              <w:tc>
                <w:tcPr>
                  <w:tcW w:w="612" w:type="pct"/>
                  <w:tcBorders>
                    <w:tl2br w:val="nil"/>
                    <w:tr2bl w:val="nil"/>
                  </w:tcBorders>
                  <w:noWrap w:val="0"/>
                  <w:vAlign w:val="center"/>
                </w:tcPr>
                <w:p w14:paraId="3ADDCF31">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批复时间</w:t>
                  </w:r>
                </w:p>
              </w:tc>
              <w:tc>
                <w:tcPr>
                  <w:tcW w:w="1681" w:type="pct"/>
                  <w:vMerge w:val="continue"/>
                  <w:tcBorders>
                    <w:tl2br w:val="nil"/>
                    <w:tr2bl w:val="nil"/>
                  </w:tcBorders>
                  <w:noWrap w:val="0"/>
                  <w:vAlign w:val="center"/>
                </w:tcPr>
                <w:p w14:paraId="75DC0215">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b/>
                      <w:color w:val="auto"/>
                      <w:sz w:val="18"/>
                      <w:szCs w:val="18"/>
                      <w:lang w:val="en-US" w:eastAsia="zh-CN"/>
                    </w:rPr>
                  </w:pPr>
                </w:p>
              </w:tc>
            </w:tr>
            <w:tr w14:paraId="09B46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895" w:type="pct"/>
                  <w:vMerge w:val="restart"/>
                  <w:tcBorders>
                    <w:tl2br w:val="nil"/>
                    <w:tr2bl w:val="nil"/>
                  </w:tcBorders>
                  <w:noWrap w:val="0"/>
                  <w:vAlign w:val="center"/>
                </w:tcPr>
                <w:p w14:paraId="5632A761">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color w:val="auto"/>
                      <w:kern w:val="21"/>
                      <w:sz w:val="18"/>
                      <w:szCs w:val="18"/>
                    </w:rPr>
                  </w:pPr>
                  <w:r>
                    <w:rPr>
                      <w:rFonts w:hint="default" w:ascii="Times New Roman" w:hAnsi="Times New Roman" w:eastAsia="仿宋" w:cs="Times New Roman"/>
                      <w:color w:val="auto"/>
                      <w:kern w:val="21"/>
                      <w:sz w:val="18"/>
                      <w:szCs w:val="18"/>
                    </w:rPr>
                    <w:t>化妆用具及医疗器械制造项目环境影响报告表</w:t>
                  </w:r>
                </w:p>
              </w:tc>
              <w:tc>
                <w:tcPr>
                  <w:tcW w:w="511" w:type="pct"/>
                  <w:vMerge w:val="restart"/>
                  <w:tcBorders>
                    <w:tl2br w:val="nil"/>
                    <w:tr2bl w:val="nil"/>
                  </w:tcBorders>
                  <w:noWrap w:val="0"/>
                  <w:vAlign w:val="center"/>
                </w:tcPr>
                <w:p w14:paraId="18F7EDB8">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color w:val="auto"/>
                      <w:kern w:val="21"/>
                      <w:sz w:val="18"/>
                      <w:szCs w:val="18"/>
                    </w:rPr>
                  </w:pPr>
                  <w:r>
                    <w:rPr>
                      <w:rFonts w:hint="default" w:ascii="Times New Roman" w:hAnsi="Times New Roman" w:eastAsia="仿宋" w:cs="Times New Roman"/>
                      <w:color w:val="auto"/>
                      <w:kern w:val="21"/>
                      <w:sz w:val="18"/>
                      <w:szCs w:val="18"/>
                    </w:rPr>
                    <w:t>环境影响报告表</w:t>
                  </w:r>
                </w:p>
              </w:tc>
              <w:tc>
                <w:tcPr>
                  <w:tcW w:w="707" w:type="pct"/>
                  <w:vMerge w:val="restart"/>
                  <w:tcBorders>
                    <w:tl2br w:val="nil"/>
                    <w:tr2bl w:val="nil"/>
                  </w:tcBorders>
                  <w:noWrap w:val="0"/>
                  <w:vAlign w:val="center"/>
                </w:tcPr>
                <w:p w14:paraId="58294D61">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color w:val="auto"/>
                      <w:kern w:val="21"/>
                      <w:sz w:val="18"/>
                      <w:szCs w:val="18"/>
                      <w:lang w:val="en-US" w:eastAsia="zh-CN"/>
                    </w:rPr>
                  </w:pPr>
                  <w:r>
                    <w:rPr>
                      <w:rFonts w:hint="default" w:ascii="Times New Roman" w:hAnsi="Times New Roman" w:eastAsia="仿宋" w:cs="Times New Roman"/>
                      <w:color w:val="auto"/>
                      <w:kern w:val="21"/>
                      <w:sz w:val="18"/>
                      <w:szCs w:val="18"/>
                      <w:lang w:val="en-US" w:eastAsia="zh-CN"/>
                    </w:rPr>
                    <w:t>常州市生态环境局</w:t>
                  </w:r>
                </w:p>
              </w:tc>
              <w:tc>
                <w:tcPr>
                  <w:tcW w:w="592" w:type="pct"/>
                  <w:vMerge w:val="restart"/>
                  <w:tcBorders>
                    <w:tl2br w:val="nil"/>
                    <w:tr2bl w:val="nil"/>
                  </w:tcBorders>
                  <w:noWrap w:val="0"/>
                  <w:vAlign w:val="center"/>
                </w:tcPr>
                <w:p w14:paraId="0F653DAA">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color w:val="auto"/>
                      <w:kern w:val="21"/>
                      <w:sz w:val="18"/>
                      <w:szCs w:val="18"/>
                    </w:rPr>
                  </w:pPr>
                  <w:r>
                    <w:rPr>
                      <w:rFonts w:hint="default" w:ascii="Times New Roman" w:hAnsi="Times New Roman" w:eastAsia="仿宋" w:cs="Times New Roman"/>
                      <w:color w:val="auto"/>
                      <w:kern w:val="21"/>
                      <w:sz w:val="18"/>
                      <w:szCs w:val="18"/>
                    </w:rPr>
                    <w:t>常金环审</w:t>
                  </w:r>
                  <w:r>
                    <w:rPr>
                      <w:rFonts w:hint="default" w:ascii="Times New Roman" w:hAnsi="Times New Roman" w:eastAsia="仿宋" w:cs="Times New Roman"/>
                      <w:color w:val="auto"/>
                      <w:kern w:val="21"/>
                      <w:sz w:val="18"/>
                      <w:szCs w:val="18"/>
                      <w:lang w:eastAsia="zh-CN"/>
                    </w:rPr>
                    <w:t>〔2020〕176号</w:t>
                  </w:r>
                </w:p>
              </w:tc>
              <w:tc>
                <w:tcPr>
                  <w:tcW w:w="612" w:type="pct"/>
                  <w:vMerge w:val="restart"/>
                  <w:tcBorders>
                    <w:tl2br w:val="nil"/>
                    <w:tr2bl w:val="nil"/>
                  </w:tcBorders>
                  <w:noWrap w:val="0"/>
                  <w:vAlign w:val="center"/>
                </w:tcPr>
                <w:p w14:paraId="7B3CF147">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color w:val="auto"/>
                      <w:kern w:val="21"/>
                      <w:sz w:val="18"/>
                      <w:szCs w:val="18"/>
                      <w:lang w:val="en-US" w:eastAsia="zh-CN"/>
                    </w:rPr>
                  </w:pPr>
                  <w:r>
                    <w:rPr>
                      <w:rFonts w:hint="default" w:ascii="Times New Roman" w:hAnsi="Times New Roman" w:eastAsia="仿宋" w:cs="Times New Roman"/>
                      <w:color w:val="auto"/>
                      <w:kern w:val="21"/>
                      <w:sz w:val="18"/>
                      <w:szCs w:val="18"/>
                      <w:lang w:val="en-US" w:eastAsia="zh-CN"/>
                    </w:rPr>
                    <w:t>2020.12.8</w:t>
                  </w:r>
                </w:p>
              </w:tc>
              <w:tc>
                <w:tcPr>
                  <w:tcW w:w="1681" w:type="pct"/>
                  <w:tcBorders>
                    <w:tl2br w:val="nil"/>
                    <w:tr2bl w:val="nil"/>
                  </w:tcBorders>
                  <w:noWrap w:val="0"/>
                  <w:vAlign w:val="center"/>
                </w:tcPr>
                <w:p w14:paraId="4E9AF4AA">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color w:val="auto"/>
                      <w:kern w:val="21"/>
                      <w:sz w:val="18"/>
                      <w:szCs w:val="18"/>
                      <w:lang w:val="en-US" w:eastAsia="zh-CN"/>
                    </w:rPr>
                  </w:pPr>
                  <w:r>
                    <w:rPr>
                      <w:rFonts w:hint="default" w:ascii="Times New Roman" w:hAnsi="Times New Roman" w:eastAsia="仿宋" w:cs="Times New Roman"/>
                      <w:color w:val="auto"/>
                      <w:kern w:val="21"/>
                      <w:sz w:val="18"/>
                      <w:szCs w:val="18"/>
                      <w:lang w:val="en-US" w:eastAsia="zh-CN"/>
                    </w:rPr>
                    <w:t>2022年4月通过自主竣工环保验收（部分验收），验收产能为：年产唇刷1亿只、睫毛刷1亿只、眼线刷2500万只、一次性取样器3000万只</w:t>
                  </w:r>
                </w:p>
              </w:tc>
            </w:tr>
            <w:tr w14:paraId="24FF2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895" w:type="pct"/>
                  <w:vMerge w:val="continue"/>
                  <w:tcBorders>
                    <w:tl2br w:val="nil"/>
                    <w:tr2bl w:val="nil"/>
                  </w:tcBorders>
                  <w:noWrap w:val="0"/>
                  <w:vAlign w:val="center"/>
                </w:tcPr>
                <w:p w14:paraId="7AB35F53">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cs="Times New Roman"/>
                    </w:rPr>
                  </w:pPr>
                </w:p>
              </w:tc>
              <w:tc>
                <w:tcPr>
                  <w:tcW w:w="511" w:type="pct"/>
                  <w:vMerge w:val="continue"/>
                  <w:tcBorders>
                    <w:tl2br w:val="nil"/>
                    <w:tr2bl w:val="nil"/>
                  </w:tcBorders>
                  <w:noWrap w:val="0"/>
                  <w:vAlign w:val="center"/>
                </w:tcPr>
                <w:p w14:paraId="791C3307">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cs="Times New Roman"/>
                    </w:rPr>
                  </w:pPr>
                </w:p>
              </w:tc>
              <w:tc>
                <w:tcPr>
                  <w:tcW w:w="707" w:type="pct"/>
                  <w:vMerge w:val="continue"/>
                  <w:tcBorders>
                    <w:tl2br w:val="nil"/>
                    <w:tr2bl w:val="nil"/>
                  </w:tcBorders>
                  <w:noWrap w:val="0"/>
                  <w:vAlign w:val="center"/>
                </w:tcPr>
                <w:p w14:paraId="1B46F3EA">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cs="Times New Roman"/>
                    </w:rPr>
                  </w:pPr>
                </w:p>
              </w:tc>
              <w:tc>
                <w:tcPr>
                  <w:tcW w:w="592" w:type="pct"/>
                  <w:vMerge w:val="continue"/>
                  <w:tcBorders>
                    <w:tl2br w:val="nil"/>
                    <w:tr2bl w:val="nil"/>
                  </w:tcBorders>
                  <w:noWrap w:val="0"/>
                  <w:vAlign w:val="center"/>
                </w:tcPr>
                <w:p w14:paraId="26E986B9">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cs="Times New Roman"/>
                    </w:rPr>
                  </w:pPr>
                </w:p>
              </w:tc>
              <w:tc>
                <w:tcPr>
                  <w:tcW w:w="612" w:type="pct"/>
                  <w:vMerge w:val="continue"/>
                  <w:tcBorders>
                    <w:tl2br w:val="nil"/>
                    <w:tr2bl w:val="nil"/>
                  </w:tcBorders>
                  <w:noWrap w:val="0"/>
                  <w:vAlign w:val="center"/>
                </w:tcPr>
                <w:p w14:paraId="45788A18">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cs="Times New Roman"/>
                    </w:rPr>
                  </w:pPr>
                </w:p>
              </w:tc>
              <w:tc>
                <w:tcPr>
                  <w:tcW w:w="1681" w:type="pct"/>
                  <w:tcBorders>
                    <w:tl2br w:val="nil"/>
                    <w:tr2bl w:val="nil"/>
                  </w:tcBorders>
                  <w:noWrap w:val="0"/>
                  <w:vAlign w:val="center"/>
                </w:tcPr>
                <w:p w14:paraId="0104E996">
                  <w:pPr>
                    <w:keepNext w:val="0"/>
                    <w:keepLines w:val="0"/>
                    <w:pageBreakBefore w:val="0"/>
                    <w:widowControl w:val="0"/>
                    <w:kinsoku/>
                    <w:wordWrap/>
                    <w:overflowPunct/>
                    <w:topLinePunct w:val="0"/>
                    <w:autoSpaceDE/>
                    <w:autoSpaceDN/>
                    <w:bidi w:val="0"/>
                    <w:adjustRightInd w:val="0"/>
                    <w:snapToGrid w:val="0"/>
                    <w:spacing w:line="276" w:lineRule="auto"/>
                    <w:ind w:left="-105" w:leftChars="-50" w:right="-105" w:rightChars="-50" w:firstLine="0" w:firstLineChars="0"/>
                    <w:jc w:val="center"/>
                    <w:textAlignment w:val="auto"/>
                    <w:rPr>
                      <w:rFonts w:hint="default" w:ascii="Times New Roman" w:hAnsi="Times New Roman" w:eastAsia="仿宋" w:cs="Times New Roman"/>
                      <w:color w:val="auto"/>
                      <w:kern w:val="21"/>
                      <w:sz w:val="18"/>
                      <w:szCs w:val="18"/>
                      <w:lang w:val="en-US" w:eastAsia="zh-CN"/>
                    </w:rPr>
                  </w:pPr>
                  <w:r>
                    <w:rPr>
                      <w:rFonts w:hint="default" w:ascii="Times New Roman" w:hAnsi="Times New Roman" w:eastAsia="仿宋" w:cs="Times New Roman"/>
                      <w:color w:val="auto"/>
                      <w:kern w:val="21"/>
                      <w:sz w:val="18"/>
                      <w:szCs w:val="18"/>
                      <w:lang w:val="en-US" w:eastAsia="zh-CN"/>
                    </w:rPr>
                    <w:t>2024年8月通过自主竣工环保验收（部分验收），验收产能为：年产牙间刷5000万只</w:t>
                  </w:r>
                </w:p>
              </w:tc>
            </w:tr>
            <w:bookmarkEnd w:id="3"/>
          </w:tbl>
          <w:p w14:paraId="244E96FD">
            <w:pPr>
              <w:jc w:val="center"/>
              <w:rPr>
                <w:rFonts w:hint="default" w:ascii="Times New Roman" w:hAnsi="Times New Roman" w:eastAsia="仿宋" w:cs="Times New Roman"/>
                <w:b/>
                <w:bCs/>
                <w:color w:val="auto"/>
                <w:sz w:val="24"/>
                <w:lang w:val="en-US" w:eastAsia="zh-CN"/>
              </w:rPr>
            </w:pPr>
            <w:r>
              <w:rPr>
                <w:rFonts w:hint="default" w:ascii="Times New Roman" w:hAnsi="Times New Roman" w:eastAsia="仿宋" w:cs="Times New Roman"/>
                <w:b/>
                <w:bCs/>
                <w:color w:val="auto"/>
                <w:sz w:val="24"/>
              </w:rPr>
              <w:t>表2-</w:t>
            </w: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1</w:t>
            </w:r>
            <w:r>
              <w:rPr>
                <w:rFonts w:hint="default" w:ascii="Times New Roman" w:hAnsi="Times New Roman" w:eastAsia="仿宋" w:cs="Times New Roman"/>
                <w:b/>
                <w:bCs/>
                <w:color w:val="auto"/>
                <w:sz w:val="24"/>
              </w:rPr>
              <w:t xml:space="preserve">  </w:t>
            </w:r>
            <w:r>
              <w:rPr>
                <w:rFonts w:hint="eastAsia" w:eastAsia="仿宋" w:cs="Times New Roman"/>
                <w:b/>
                <w:bCs/>
                <w:color w:val="auto"/>
                <w:sz w:val="24"/>
                <w:lang w:val="en-US" w:eastAsia="zh-CN"/>
              </w:rPr>
              <w:t>现有</w:t>
            </w:r>
            <w:r>
              <w:rPr>
                <w:rFonts w:hint="default" w:ascii="Times New Roman" w:hAnsi="Times New Roman" w:eastAsia="仿宋" w:cs="Times New Roman"/>
                <w:b/>
                <w:bCs/>
                <w:color w:val="auto"/>
                <w:sz w:val="24"/>
                <w:lang w:val="en-US" w:eastAsia="zh-CN"/>
              </w:rPr>
              <w:t>项目</w:t>
            </w:r>
            <w:r>
              <w:rPr>
                <w:rFonts w:hint="default" w:ascii="Times New Roman" w:hAnsi="Times New Roman" w:eastAsia="仿宋" w:cs="Times New Roman"/>
                <w:b/>
                <w:bCs/>
                <w:color w:val="auto"/>
                <w:sz w:val="24"/>
                <w:szCs w:val="20"/>
              </w:rPr>
              <w:t>主体工程及产品方案</w:t>
            </w:r>
            <w:r>
              <w:rPr>
                <w:rFonts w:hint="default" w:ascii="Times New Roman" w:hAnsi="Times New Roman" w:eastAsia="仿宋" w:cs="Times New Roman"/>
                <w:b/>
                <w:bCs/>
                <w:color w:val="auto"/>
                <w:sz w:val="24"/>
                <w:szCs w:val="20"/>
                <w:lang w:val="en-US" w:eastAsia="zh-CN"/>
              </w:rPr>
              <w:t>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556"/>
              <w:gridCol w:w="2021"/>
              <w:gridCol w:w="1257"/>
              <w:gridCol w:w="1257"/>
              <w:gridCol w:w="1285"/>
            </w:tblGrid>
            <w:tr w14:paraId="08B10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525" w:type="pct"/>
                  <w:vMerge w:val="restart"/>
                  <w:noWrap w:val="0"/>
                  <w:vAlign w:val="center"/>
                </w:tcPr>
                <w:p w14:paraId="68E55774">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主体工程名称</w:t>
                  </w:r>
                  <w:r>
                    <w:rPr>
                      <w:rFonts w:hint="default" w:ascii="Times New Roman" w:hAnsi="Times New Roman" w:eastAsia="仿宋" w:cs="Times New Roman"/>
                      <w:b/>
                      <w:bCs/>
                      <w:color w:val="auto"/>
                      <w:szCs w:val="21"/>
                      <w:lang w:eastAsia="zh-CN"/>
                    </w:rPr>
                    <w:t>（</w:t>
                  </w:r>
                  <w:r>
                    <w:rPr>
                      <w:rFonts w:hint="default" w:ascii="Times New Roman" w:hAnsi="Times New Roman" w:eastAsia="仿宋" w:cs="Times New Roman"/>
                      <w:b/>
                      <w:bCs/>
                      <w:color w:val="auto"/>
                      <w:szCs w:val="21"/>
                    </w:rPr>
                    <w:t>车间、生产装置或生产线</w:t>
                  </w:r>
                  <w:r>
                    <w:rPr>
                      <w:rFonts w:hint="default" w:ascii="Times New Roman" w:hAnsi="Times New Roman" w:eastAsia="仿宋" w:cs="Times New Roman"/>
                      <w:b/>
                      <w:bCs/>
                      <w:color w:val="auto"/>
                      <w:szCs w:val="21"/>
                      <w:lang w:eastAsia="zh-CN"/>
                    </w:rPr>
                    <w:t>）</w:t>
                  </w:r>
                </w:p>
              </w:tc>
              <w:tc>
                <w:tcPr>
                  <w:tcW w:w="1206" w:type="pct"/>
                  <w:vMerge w:val="restart"/>
                  <w:noWrap w:val="0"/>
                  <w:vAlign w:val="center"/>
                </w:tcPr>
                <w:p w14:paraId="104448F0">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产品名称</w:t>
                  </w:r>
                </w:p>
              </w:tc>
              <w:tc>
                <w:tcPr>
                  <w:tcW w:w="2267" w:type="pct"/>
                  <w:gridSpan w:val="3"/>
                  <w:noWrap w:val="0"/>
                  <w:vAlign w:val="center"/>
                </w:tcPr>
                <w:p w14:paraId="7C87C70B">
                  <w:pPr>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产能</w:t>
                  </w:r>
                </w:p>
              </w:tc>
            </w:tr>
            <w:tr w14:paraId="3CD39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525" w:type="pct"/>
                  <w:vMerge w:val="continue"/>
                  <w:noWrap w:val="0"/>
                  <w:vAlign w:val="center"/>
                </w:tcPr>
                <w:p w14:paraId="26B689C1">
                  <w:pPr>
                    <w:jc w:val="center"/>
                    <w:rPr>
                      <w:rFonts w:hint="default" w:ascii="Times New Roman" w:hAnsi="Times New Roman" w:eastAsia="仿宋" w:cs="Times New Roman"/>
                      <w:b/>
                      <w:bCs/>
                      <w:color w:val="auto"/>
                      <w:szCs w:val="21"/>
                    </w:rPr>
                  </w:pPr>
                </w:p>
              </w:tc>
              <w:tc>
                <w:tcPr>
                  <w:tcW w:w="1206" w:type="pct"/>
                  <w:vMerge w:val="continue"/>
                  <w:noWrap w:val="0"/>
                  <w:vAlign w:val="center"/>
                </w:tcPr>
                <w:p w14:paraId="5D46C5C1">
                  <w:pPr>
                    <w:jc w:val="center"/>
                    <w:rPr>
                      <w:rFonts w:hint="default" w:ascii="Times New Roman" w:hAnsi="Times New Roman" w:eastAsia="仿宋" w:cs="Times New Roman"/>
                      <w:b/>
                      <w:bCs/>
                      <w:color w:val="auto"/>
                      <w:szCs w:val="21"/>
                    </w:rPr>
                  </w:pPr>
                </w:p>
              </w:tc>
              <w:tc>
                <w:tcPr>
                  <w:tcW w:w="750" w:type="pct"/>
                  <w:noWrap w:val="0"/>
                  <w:vAlign w:val="center"/>
                </w:tcPr>
                <w:p w14:paraId="7EBD3A45">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lang w:val="en-US" w:eastAsia="zh-CN"/>
                    </w:rPr>
                    <w:t>设计</w:t>
                  </w:r>
                </w:p>
              </w:tc>
              <w:tc>
                <w:tcPr>
                  <w:tcW w:w="750" w:type="pct"/>
                  <w:noWrap w:val="0"/>
                  <w:vAlign w:val="center"/>
                </w:tcPr>
                <w:p w14:paraId="1DA9E022">
                  <w:pPr>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val="en-US" w:eastAsia="zh-CN"/>
                    </w:rPr>
                    <w:t>实际</w:t>
                  </w:r>
                </w:p>
              </w:tc>
              <w:tc>
                <w:tcPr>
                  <w:tcW w:w="767" w:type="pct"/>
                  <w:noWrap w:val="0"/>
                  <w:vAlign w:val="center"/>
                </w:tcPr>
                <w:p w14:paraId="1E088DFD">
                  <w:pPr>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val="en-US" w:eastAsia="zh-CN"/>
                    </w:rPr>
                    <w:t>未建设</w:t>
                  </w:r>
                </w:p>
              </w:tc>
            </w:tr>
            <w:tr w14:paraId="1998C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525" w:type="pct"/>
                  <w:vMerge w:val="restart"/>
                  <w:noWrap w:val="0"/>
                  <w:vAlign w:val="center"/>
                </w:tcPr>
                <w:p w14:paraId="5575B478">
                  <w:pPr>
                    <w:jc w:val="center"/>
                    <w:rPr>
                      <w:rFonts w:hint="default" w:ascii="Times New Roman" w:hAnsi="Times New Roman" w:eastAsia="宋体" w:cs="Times New Roman"/>
                      <w:color w:val="auto"/>
                      <w:szCs w:val="21"/>
                      <w:highlight w:val="none"/>
                      <w:vertAlign w:val="superscript"/>
                      <w:lang w:val="en-US" w:eastAsia="zh-CN"/>
                    </w:rPr>
                  </w:pPr>
                  <w:r>
                    <w:rPr>
                      <w:rFonts w:hint="default" w:ascii="Times New Roman" w:hAnsi="Times New Roman" w:eastAsia="仿宋" w:cs="Times New Roman"/>
                      <w:color w:val="auto"/>
                      <w:szCs w:val="21"/>
                      <w:lang w:val="en-US" w:eastAsia="zh-CN"/>
                    </w:rPr>
                    <w:t>D7车间</w:t>
                  </w:r>
                </w:p>
              </w:tc>
              <w:tc>
                <w:tcPr>
                  <w:tcW w:w="1206" w:type="pct"/>
                  <w:shd w:val="clear" w:color="auto" w:fill="auto"/>
                  <w:noWrap w:val="0"/>
                  <w:vAlign w:val="center"/>
                </w:tcPr>
                <w:p w14:paraId="6AE7AA88">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唇刷</w:t>
                  </w:r>
                </w:p>
              </w:tc>
              <w:tc>
                <w:tcPr>
                  <w:tcW w:w="750" w:type="pct"/>
                  <w:shd w:val="clear" w:color="auto" w:fill="auto"/>
                  <w:noWrap w:val="0"/>
                  <w:vAlign w:val="center"/>
                </w:tcPr>
                <w:p w14:paraId="1293704C">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2亿只/年</w:t>
                  </w:r>
                </w:p>
              </w:tc>
              <w:tc>
                <w:tcPr>
                  <w:tcW w:w="750" w:type="pct"/>
                  <w:shd w:val="clear" w:color="auto" w:fill="auto"/>
                  <w:noWrap w:val="0"/>
                  <w:vAlign w:val="center"/>
                </w:tcPr>
                <w:p w14:paraId="395BF554">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1亿只/年</w:t>
                  </w:r>
                </w:p>
              </w:tc>
              <w:tc>
                <w:tcPr>
                  <w:tcW w:w="767" w:type="pct"/>
                  <w:noWrap w:val="0"/>
                  <w:vAlign w:val="center"/>
                </w:tcPr>
                <w:p w14:paraId="60B4440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lang w:val="en-US" w:eastAsia="zh-CN"/>
                    </w:rPr>
                    <w:t>1亿只</w:t>
                  </w:r>
                  <w:r>
                    <w:rPr>
                      <w:rFonts w:hint="default" w:ascii="Times New Roman" w:hAnsi="Times New Roman" w:eastAsia="仿宋" w:cs="Times New Roman"/>
                      <w:color w:val="auto"/>
                      <w:szCs w:val="21"/>
                      <w:highlight w:val="none"/>
                      <w:lang w:val="en-US" w:eastAsia="zh-CN"/>
                    </w:rPr>
                    <w:t>/年</w:t>
                  </w:r>
                </w:p>
              </w:tc>
            </w:tr>
            <w:tr w14:paraId="0CFF7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525" w:type="pct"/>
                  <w:vMerge w:val="continue"/>
                  <w:noWrap w:val="0"/>
                  <w:vAlign w:val="center"/>
                </w:tcPr>
                <w:p w14:paraId="02E763E8">
                  <w:pPr>
                    <w:jc w:val="center"/>
                    <w:rPr>
                      <w:rFonts w:hint="default" w:ascii="Times New Roman" w:hAnsi="Times New Roman" w:eastAsia="仿宋" w:cs="Times New Roman"/>
                      <w:color w:val="auto"/>
                      <w:szCs w:val="21"/>
                      <w:lang w:val="en-US" w:eastAsia="zh-CN"/>
                    </w:rPr>
                  </w:pPr>
                </w:p>
              </w:tc>
              <w:tc>
                <w:tcPr>
                  <w:tcW w:w="1206" w:type="pct"/>
                  <w:shd w:val="clear" w:color="auto" w:fill="auto"/>
                  <w:noWrap w:val="0"/>
                  <w:vAlign w:val="center"/>
                </w:tcPr>
                <w:p w14:paraId="22495865">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睫毛刷</w:t>
                  </w:r>
                </w:p>
              </w:tc>
              <w:tc>
                <w:tcPr>
                  <w:tcW w:w="750" w:type="pct"/>
                  <w:shd w:val="clear" w:color="auto" w:fill="auto"/>
                  <w:noWrap w:val="0"/>
                  <w:vAlign w:val="center"/>
                </w:tcPr>
                <w:p w14:paraId="13512AFC">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2亿只/年</w:t>
                  </w:r>
                </w:p>
              </w:tc>
              <w:tc>
                <w:tcPr>
                  <w:tcW w:w="750" w:type="pct"/>
                  <w:shd w:val="clear" w:color="auto" w:fill="auto"/>
                  <w:noWrap w:val="0"/>
                  <w:vAlign w:val="center"/>
                </w:tcPr>
                <w:p w14:paraId="6873337A">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1亿只/年</w:t>
                  </w:r>
                </w:p>
              </w:tc>
              <w:tc>
                <w:tcPr>
                  <w:tcW w:w="767" w:type="pct"/>
                  <w:noWrap w:val="0"/>
                  <w:vAlign w:val="center"/>
                </w:tcPr>
                <w:p w14:paraId="60114A45">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1亿只</w:t>
                  </w:r>
                  <w:r>
                    <w:rPr>
                      <w:rFonts w:hint="default" w:ascii="Times New Roman" w:hAnsi="Times New Roman" w:eastAsia="仿宋" w:cs="Times New Roman"/>
                      <w:color w:val="auto"/>
                      <w:szCs w:val="21"/>
                      <w:highlight w:val="none"/>
                      <w:lang w:val="en-US" w:eastAsia="zh-CN"/>
                    </w:rPr>
                    <w:t>/年</w:t>
                  </w:r>
                </w:p>
              </w:tc>
            </w:tr>
            <w:tr w14:paraId="37FD5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525" w:type="pct"/>
                  <w:vMerge w:val="continue"/>
                  <w:noWrap w:val="0"/>
                  <w:vAlign w:val="center"/>
                </w:tcPr>
                <w:p w14:paraId="30FE17A5">
                  <w:pPr>
                    <w:jc w:val="center"/>
                    <w:rPr>
                      <w:rFonts w:hint="default" w:ascii="Times New Roman" w:hAnsi="Times New Roman" w:eastAsia="仿宋" w:cs="Times New Roman"/>
                      <w:color w:val="auto"/>
                      <w:szCs w:val="21"/>
                      <w:lang w:val="en-US" w:eastAsia="zh-CN"/>
                    </w:rPr>
                  </w:pPr>
                </w:p>
              </w:tc>
              <w:tc>
                <w:tcPr>
                  <w:tcW w:w="1206" w:type="pct"/>
                  <w:shd w:val="clear" w:color="auto" w:fill="auto"/>
                  <w:noWrap w:val="0"/>
                  <w:vAlign w:val="center"/>
                </w:tcPr>
                <w:p w14:paraId="28BCDDE1">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眼线刷</w:t>
                  </w:r>
                </w:p>
              </w:tc>
              <w:tc>
                <w:tcPr>
                  <w:tcW w:w="750" w:type="pct"/>
                  <w:shd w:val="clear" w:color="auto" w:fill="auto"/>
                  <w:noWrap w:val="0"/>
                  <w:vAlign w:val="center"/>
                </w:tcPr>
                <w:p w14:paraId="20103392">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5000万只/年</w:t>
                  </w:r>
                </w:p>
              </w:tc>
              <w:tc>
                <w:tcPr>
                  <w:tcW w:w="750" w:type="pct"/>
                  <w:shd w:val="clear" w:color="auto" w:fill="auto"/>
                  <w:noWrap w:val="0"/>
                  <w:vAlign w:val="center"/>
                </w:tcPr>
                <w:p w14:paraId="6D958554">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2500万只/年</w:t>
                  </w:r>
                </w:p>
              </w:tc>
              <w:tc>
                <w:tcPr>
                  <w:tcW w:w="767" w:type="pct"/>
                  <w:noWrap w:val="0"/>
                  <w:vAlign w:val="center"/>
                </w:tcPr>
                <w:p w14:paraId="578502AA">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kern w:val="2"/>
                      <w:sz w:val="21"/>
                      <w:szCs w:val="21"/>
                      <w:lang w:eastAsia="zh-CN"/>
                    </w:rPr>
                    <w:t>2500万只/年</w:t>
                  </w:r>
                </w:p>
              </w:tc>
            </w:tr>
            <w:tr w14:paraId="79E26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525" w:type="pct"/>
                  <w:vMerge w:val="continue"/>
                  <w:noWrap w:val="0"/>
                  <w:vAlign w:val="center"/>
                </w:tcPr>
                <w:p w14:paraId="0B8DBACA">
                  <w:pPr>
                    <w:jc w:val="center"/>
                    <w:rPr>
                      <w:rFonts w:hint="default" w:ascii="Times New Roman" w:hAnsi="Times New Roman" w:eastAsia="仿宋" w:cs="Times New Roman"/>
                      <w:color w:val="auto"/>
                      <w:szCs w:val="21"/>
                      <w:lang w:val="en-US" w:eastAsia="zh-CN"/>
                    </w:rPr>
                  </w:pPr>
                </w:p>
              </w:tc>
              <w:tc>
                <w:tcPr>
                  <w:tcW w:w="1206" w:type="pct"/>
                  <w:shd w:val="clear" w:color="auto" w:fill="auto"/>
                  <w:noWrap w:val="0"/>
                  <w:vAlign w:val="center"/>
                </w:tcPr>
                <w:p w14:paraId="6E2606B0">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牙间刷</w:t>
                  </w:r>
                </w:p>
              </w:tc>
              <w:tc>
                <w:tcPr>
                  <w:tcW w:w="750" w:type="pct"/>
                  <w:tcBorders>
                    <w:bottom w:val="single" w:color="000000" w:sz="4" w:space="0"/>
                  </w:tcBorders>
                  <w:shd w:val="clear" w:color="auto" w:fill="auto"/>
                  <w:noWrap w:val="0"/>
                  <w:vAlign w:val="center"/>
                </w:tcPr>
                <w:p w14:paraId="0DA1AA43">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0万只/年</w:t>
                  </w:r>
                </w:p>
              </w:tc>
              <w:tc>
                <w:tcPr>
                  <w:tcW w:w="750" w:type="pct"/>
                  <w:tcBorders>
                    <w:bottom w:val="single" w:color="000000" w:sz="4" w:space="0"/>
                  </w:tcBorders>
                  <w:shd w:val="clear" w:color="auto" w:fill="auto"/>
                  <w:noWrap w:val="0"/>
                  <w:vAlign w:val="center"/>
                </w:tcPr>
                <w:p w14:paraId="2959FD31">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5000万只/年</w:t>
                  </w:r>
                </w:p>
              </w:tc>
              <w:tc>
                <w:tcPr>
                  <w:tcW w:w="767" w:type="pct"/>
                  <w:vMerge w:val="restart"/>
                  <w:noWrap w:val="0"/>
                  <w:vAlign w:val="center"/>
                </w:tcPr>
                <w:p w14:paraId="484B55A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w:t>
                  </w:r>
                </w:p>
              </w:tc>
            </w:tr>
            <w:tr w14:paraId="68636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525" w:type="pct"/>
                  <w:vMerge w:val="restart"/>
                </w:tcPr>
                <w:p w14:paraId="1D37C6F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F16车间</w:t>
                  </w:r>
                </w:p>
              </w:tc>
              <w:tc>
                <w:tcPr>
                  <w:tcW w:w="0" w:type="auto"/>
                  <w:shd w:val="clear" w:color="auto" w:fill="auto"/>
                  <w:vAlign w:val="center"/>
                </w:tcPr>
                <w:p w14:paraId="063FCA43">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牙间刷</w:t>
                  </w:r>
                </w:p>
              </w:tc>
              <w:tc>
                <w:tcPr>
                  <w:tcW w:w="0" w:type="auto"/>
                  <w:shd w:val="clear" w:color="auto" w:fill="auto"/>
                  <w:vAlign w:val="center"/>
                </w:tcPr>
                <w:p w14:paraId="7C537882">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5000万只/年</w:t>
                  </w:r>
                </w:p>
              </w:tc>
              <w:tc>
                <w:tcPr>
                  <w:tcW w:w="0" w:type="auto"/>
                  <w:shd w:val="clear" w:color="auto" w:fill="auto"/>
                  <w:vAlign w:val="center"/>
                </w:tcPr>
                <w:p w14:paraId="4D23AA37">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5000万只/年</w:t>
                  </w:r>
                </w:p>
              </w:tc>
              <w:tc>
                <w:tcPr>
                  <w:tcW w:w="767" w:type="pct"/>
                  <w:vMerge w:val="continue"/>
                </w:tcPr>
                <w:p w14:paraId="6400FAD9">
                  <w:pPr>
                    <w:jc w:val="center"/>
                    <w:rPr>
                      <w:rFonts w:hint="default" w:ascii="Times New Roman" w:hAnsi="Times New Roman" w:eastAsia="仿宋" w:cs="Times New Roman"/>
                      <w:color w:val="auto"/>
                      <w:szCs w:val="21"/>
                      <w:lang w:val="en-US" w:eastAsia="zh-CN"/>
                    </w:rPr>
                  </w:pPr>
                </w:p>
              </w:tc>
            </w:tr>
            <w:tr w14:paraId="61244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525" w:type="pct"/>
                  <w:vMerge w:val="continue"/>
                </w:tcPr>
                <w:p w14:paraId="0A127BE1">
                  <w:pPr>
                    <w:jc w:val="center"/>
                    <w:rPr>
                      <w:rFonts w:hint="default" w:ascii="Times New Roman" w:hAnsi="Times New Roman" w:eastAsia="仿宋" w:cs="Times New Roman"/>
                      <w:color w:val="auto"/>
                      <w:szCs w:val="21"/>
                      <w:lang w:val="en-US" w:eastAsia="zh-CN"/>
                    </w:rPr>
                  </w:pPr>
                </w:p>
              </w:tc>
              <w:tc>
                <w:tcPr>
                  <w:tcW w:w="0" w:type="auto"/>
                  <w:shd w:val="clear" w:color="auto" w:fill="auto"/>
                  <w:vAlign w:val="center"/>
                </w:tcPr>
                <w:p w14:paraId="722683F4">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一次性取样器</w:t>
                  </w:r>
                </w:p>
              </w:tc>
              <w:tc>
                <w:tcPr>
                  <w:tcW w:w="0" w:type="auto"/>
                  <w:shd w:val="clear" w:color="auto" w:fill="auto"/>
                  <w:vAlign w:val="center"/>
                </w:tcPr>
                <w:p w14:paraId="38B4C6B0">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6000万只/年</w:t>
                  </w:r>
                </w:p>
              </w:tc>
              <w:tc>
                <w:tcPr>
                  <w:tcW w:w="0" w:type="auto"/>
                  <w:shd w:val="clear" w:color="auto" w:fill="auto"/>
                  <w:vAlign w:val="center"/>
                </w:tcPr>
                <w:p w14:paraId="33A2879C">
                  <w:pPr>
                    <w:widowControl w:val="0"/>
                    <w:adjustRightInd/>
                    <w:snapToGrid/>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eastAsia="zh-CN"/>
                    </w:rPr>
                    <w:t>3000万只/年</w:t>
                  </w:r>
                </w:p>
              </w:tc>
              <w:tc>
                <w:tcPr>
                  <w:tcW w:w="0" w:type="auto"/>
                  <w:shd w:val="clear" w:color="auto" w:fill="auto"/>
                  <w:vAlign w:val="center"/>
                </w:tcPr>
                <w:p w14:paraId="16C6FEB4">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kern w:val="2"/>
                      <w:sz w:val="21"/>
                      <w:szCs w:val="21"/>
                      <w:lang w:eastAsia="zh-CN"/>
                    </w:rPr>
                    <w:t>3000万只/年</w:t>
                  </w:r>
                </w:p>
              </w:tc>
            </w:tr>
          </w:tbl>
          <w:p w14:paraId="4AE814C1">
            <w:pPr>
              <w:spacing w:before="120" w:beforeLines="50" w:line="360" w:lineRule="auto"/>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二、现有项目生产工艺及产排污情况</w:t>
            </w:r>
          </w:p>
          <w:p w14:paraId="5DFDE6B3">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根据现有项目环保手续</w:t>
            </w:r>
            <w:r>
              <w:rPr>
                <w:rFonts w:hint="default" w:ascii="Times New Roman" w:hAnsi="Times New Roman" w:eastAsia="仿宋" w:cs="Times New Roman"/>
                <w:color w:val="auto"/>
                <w:sz w:val="24"/>
                <w:lang w:val="en-US" w:eastAsia="zh-CN"/>
              </w:rPr>
              <w:t>及企业实际生产情况</w:t>
            </w:r>
            <w:r>
              <w:rPr>
                <w:rFonts w:hint="default" w:ascii="Times New Roman" w:hAnsi="Times New Roman" w:eastAsia="仿宋" w:cs="Times New Roman"/>
                <w:color w:val="auto"/>
                <w:sz w:val="24"/>
              </w:rPr>
              <w:t>，企业现有生产工艺流程如下：</w:t>
            </w:r>
          </w:p>
          <w:p w14:paraId="04115798">
            <w:pPr>
              <w:widowControl w:val="0"/>
              <w:numPr>
                <w:ilvl w:val="0"/>
                <w:numId w:val="0"/>
              </w:numPr>
              <w:spacing w:line="360" w:lineRule="auto"/>
              <w:jc w:val="center"/>
              <w:rPr>
                <w:rFonts w:hint="default" w:ascii="Times New Roman" w:hAnsi="Times New Roman" w:cs="Times New Roman"/>
                <w:color w:val="auto"/>
              </w:rPr>
            </w:pPr>
            <w:r>
              <w:rPr>
                <w:rFonts w:hint="eastAsia" w:eastAsia="仿宋" w:cs="Times New Roman"/>
                <w:b/>
                <w:bCs/>
                <w:sz w:val="28"/>
                <w:szCs w:val="28"/>
              </w:rPr>
              <w:drawing>
                <wp:inline distT="0" distB="0" distL="0" distR="0">
                  <wp:extent cx="5039995" cy="4512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39995" cy="4512945"/>
                          </a:xfrm>
                          <a:prstGeom prst="rect">
                            <a:avLst/>
                          </a:prstGeom>
                          <a:noFill/>
                          <a:ln>
                            <a:noFill/>
                          </a:ln>
                        </pic:spPr>
                      </pic:pic>
                    </a:graphicData>
                  </a:graphic>
                </wp:inline>
              </w:drawing>
            </w:r>
          </w:p>
          <w:p w14:paraId="4816AF35">
            <w:pPr>
              <w:widowControl w:val="0"/>
              <w:numPr>
                <w:ilvl w:val="0"/>
                <w:numId w:val="0"/>
              </w:numPr>
              <w:spacing w:line="360" w:lineRule="auto"/>
              <w:jc w:val="center"/>
              <w:rPr>
                <w:rFonts w:hint="default" w:ascii="Times New Roman" w:hAnsi="Times New Roman" w:cs="Times New Roman"/>
                <w:color w:val="auto"/>
              </w:rPr>
            </w:pPr>
            <w:r>
              <w:rPr>
                <w:rFonts w:hint="default" w:ascii="Times New Roman" w:hAnsi="Times New Roman" w:eastAsia="仿宋" w:cs="Times New Roman"/>
                <w:b/>
                <w:color w:val="auto"/>
                <w:sz w:val="24"/>
                <w:lang w:val="en-US" w:eastAsia="zh-CN"/>
              </w:rPr>
              <w:t>图2-4  唇刷</w:t>
            </w:r>
            <w:r>
              <w:rPr>
                <w:rFonts w:hint="default" w:ascii="Times New Roman" w:hAnsi="Times New Roman" w:eastAsia="仿宋" w:cs="Times New Roman"/>
                <w:b/>
                <w:bCs/>
                <w:color w:val="auto"/>
                <w:sz w:val="24"/>
                <w:lang w:val="en-US" w:eastAsia="zh-CN"/>
              </w:rPr>
              <w:t>生产工艺流程及产污环节图</w:t>
            </w:r>
          </w:p>
          <w:p w14:paraId="6B0197F0">
            <w:pPr>
              <w:widowControl w:val="0"/>
              <w:numPr>
                <w:ilvl w:val="0"/>
                <w:numId w:val="0"/>
              </w:numPr>
              <w:spacing w:line="360" w:lineRule="auto"/>
              <w:jc w:val="center"/>
              <w:rPr>
                <w:rFonts w:hint="default" w:ascii="Times New Roman" w:hAnsi="Times New Roman" w:cs="Times New Roman"/>
                <w:color w:val="auto"/>
                <w:lang w:val="en-US" w:eastAsia="zh-CN"/>
              </w:rPr>
            </w:pPr>
            <w:r>
              <w:rPr>
                <w:rFonts w:eastAsia="仿宋" w:cs="Times New Roman"/>
                <w:b/>
                <w:bCs/>
                <w:sz w:val="28"/>
                <w:szCs w:val="28"/>
              </w:rPr>
              <w:drawing>
                <wp:inline distT="0" distB="0" distL="114300" distR="114300">
                  <wp:extent cx="4387215" cy="20142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87215" cy="2014220"/>
                          </a:xfrm>
                          <a:prstGeom prst="rect">
                            <a:avLst/>
                          </a:prstGeom>
                          <a:noFill/>
                          <a:ln>
                            <a:noFill/>
                          </a:ln>
                        </pic:spPr>
                      </pic:pic>
                    </a:graphicData>
                  </a:graphic>
                </wp:inline>
              </w:drawing>
            </w:r>
          </w:p>
          <w:p w14:paraId="791ACB32">
            <w:pPr>
              <w:widowControl w:val="0"/>
              <w:numPr>
                <w:ilvl w:val="0"/>
                <w:numId w:val="0"/>
              </w:numPr>
              <w:spacing w:line="360" w:lineRule="auto"/>
              <w:jc w:val="center"/>
              <w:rPr>
                <w:rFonts w:hint="default" w:ascii="Times New Roman" w:hAnsi="Times New Roman" w:eastAsia="仿宋" w:cs="Times New Roman"/>
                <w:b/>
                <w:color w:val="auto"/>
                <w:sz w:val="24"/>
                <w:lang w:val="en-US" w:eastAsia="zh-CN"/>
              </w:rPr>
            </w:pPr>
            <w:r>
              <w:rPr>
                <w:rFonts w:hint="default" w:ascii="Times New Roman" w:hAnsi="Times New Roman" w:eastAsia="仿宋" w:cs="Times New Roman"/>
                <w:b/>
                <w:color w:val="auto"/>
                <w:sz w:val="24"/>
                <w:lang w:val="en-US" w:eastAsia="zh-CN"/>
              </w:rPr>
              <w:t xml:space="preserve">图2-5  </w:t>
            </w:r>
            <w:r>
              <w:rPr>
                <w:rFonts w:hint="eastAsia" w:eastAsia="仿宋" w:cs="Times New Roman"/>
                <w:b/>
                <w:color w:val="auto"/>
                <w:sz w:val="24"/>
                <w:lang w:val="en-US" w:eastAsia="zh-CN"/>
              </w:rPr>
              <w:t>睫毛刷</w:t>
            </w:r>
            <w:r>
              <w:rPr>
                <w:rFonts w:hint="default" w:ascii="Times New Roman" w:hAnsi="Times New Roman" w:eastAsia="仿宋" w:cs="Times New Roman"/>
                <w:b/>
                <w:bCs/>
                <w:color w:val="auto"/>
                <w:sz w:val="24"/>
                <w:lang w:val="en-US" w:eastAsia="zh-CN"/>
              </w:rPr>
              <w:t>生产工艺流程及产污环节图</w:t>
            </w:r>
          </w:p>
          <w:p w14:paraId="59DB2A56">
            <w:pPr>
              <w:widowControl w:val="0"/>
              <w:numPr>
                <w:ilvl w:val="0"/>
                <w:numId w:val="0"/>
              </w:numPr>
              <w:spacing w:line="360" w:lineRule="auto"/>
              <w:jc w:val="center"/>
              <w:rPr>
                <w:rFonts w:hint="default" w:ascii="Times New Roman" w:hAnsi="Times New Roman" w:eastAsia="仿宋" w:cs="Times New Roman"/>
                <w:b/>
                <w:color w:val="auto"/>
                <w:sz w:val="24"/>
                <w:lang w:val="en-US" w:eastAsia="zh-CN"/>
              </w:rPr>
            </w:pPr>
          </w:p>
          <w:p w14:paraId="2FD3F06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仿宋" w:cs="Times New Roman"/>
                <w:b/>
                <w:bCs/>
                <w:color w:val="auto"/>
                <w:sz w:val="24"/>
                <w:lang w:val="en-US" w:eastAsia="zh-CN"/>
              </w:rPr>
            </w:pPr>
            <w:r>
              <w:rPr>
                <w:rFonts w:hint="default" w:ascii="Times New Roman" w:hAnsi="Times New Roman" w:cs="Times New Roman"/>
              </w:rPr>
              <w:drawing>
                <wp:inline distT="0" distB="0" distL="0" distR="0">
                  <wp:extent cx="4572000" cy="2129155"/>
                  <wp:effectExtent l="0" t="0" r="0" b="0"/>
                  <wp:docPr id="4306" name="图片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 name="图片 43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72168" cy="2129567"/>
                          </a:xfrm>
                          <a:prstGeom prst="rect">
                            <a:avLst/>
                          </a:prstGeom>
                          <a:noFill/>
                          <a:ln>
                            <a:noFill/>
                          </a:ln>
                        </pic:spPr>
                      </pic:pic>
                    </a:graphicData>
                  </a:graphic>
                </wp:inline>
              </w:drawing>
            </w:r>
          </w:p>
          <w:p w14:paraId="3C7FD1C5">
            <w:pPr>
              <w:widowControl w:val="0"/>
              <w:numPr>
                <w:ilvl w:val="0"/>
                <w:numId w:val="0"/>
              </w:numPr>
              <w:spacing w:line="360" w:lineRule="auto"/>
              <w:jc w:val="center"/>
              <w:rPr>
                <w:rFonts w:hint="default" w:ascii="Times New Roman" w:hAnsi="Times New Roman" w:eastAsia="仿宋" w:cs="Times New Roman"/>
                <w:b/>
                <w:bCs/>
                <w:color w:val="auto"/>
                <w:sz w:val="24"/>
                <w:lang w:val="en-US" w:eastAsia="zh-CN"/>
              </w:rPr>
            </w:pPr>
            <w:r>
              <w:rPr>
                <w:rFonts w:hint="default" w:ascii="Times New Roman" w:hAnsi="Times New Roman" w:eastAsia="仿宋" w:cs="Times New Roman"/>
                <w:b/>
                <w:color w:val="auto"/>
                <w:sz w:val="24"/>
                <w:lang w:val="en-US" w:eastAsia="zh-CN"/>
              </w:rPr>
              <w:t>图2-6  牙间刷</w:t>
            </w:r>
            <w:r>
              <w:rPr>
                <w:rFonts w:hint="default" w:ascii="Times New Roman" w:hAnsi="Times New Roman" w:eastAsia="仿宋" w:cs="Times New Roman"/>
                <w:b/>
                <w:bCs/>
                <w:color w:val="auto"/>
                <w:sz w:val="24"/>
                <w:lang w:val="en-US" w:eastAsia="zh-CN"/>
              </w:rPr>
              <w:t>工艺流程及产污环节图</w:t>
            </w:r>
          </w:p>
          <w:p w14:paraId="643A600B">
            <w:pPr>
              <w:widowControl w:val="0"/>
              <w:numPr>
                <w:ilvl w:val="0"/>
                <w:numId w:val="0"/>
              </w:numPr>
              <w:spacing w:line="360" w:lineRule="auto"/>
              <w:jc w:val="center"/>
              <w:rPr>
                <w:rFonts w:hint="default" w:ascii="Times New Roman" w:hAnsi="Times New Roman" w:cs="Times New Roman"/>
              </w:rPr>
            </w:pPr>
            <w:r>
              <w:rPr>
                <w:rFonts w:hint="eastAsia" w:eastAsia="仿宋" w:cs="Times New Roman"/>
                <w:b/>
                <w:kern w:val="0"/>
                <w:sz w:val="28"/>
                <w:szCs w:val="28"/>
              </w:rPr>
              <w:drawing>
                <wp:inline distT="0" distB="0" distL="114300" distR="114300">
                  <wp:extent cx="3769995" cy="22942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l="-6383"/>
                          <a:stretch>
                            <a:fillRect/>
                          </a:stretch>
                        </pic:blipFill>
                        <pic:spPr>
                          <a:xfrm>
                            <a:off x="0" y="0"/>
                            <a:ext cx="3769995" cy="2294255"/>
                          </a:xfrm>
                          <a:prstGeom prst="rect">
                            <a:avLst/>
                          </a:prstGeom>
                          <a:noFill/>
                          <a:ln>
                            <a:noFill/>
                          </a:ln>
                        </pic:spPr>
                      </pic:pic>
                    </a:graphicData>
                  </a:graphic>
                </wp:inline>
              </w:drawing>
            </w:r>
          </w:p>
          <w:p w14:paraId="0CF72629">
            <w:pPr>
              <w:widowControl w:val="0"/>
              <w:numPr>
                <w:ilvl w:val="0"/>
                <w:numId w:val="0"/>
              </w:numPr>
              <w:spacing w:line="360" w:lineRule="auto"/>
              <w:jc w:val="center"/>
              <w:rPr>
                <w:rFonts w:hint="default" w:ascii="Times New Roman" w:hAnsi="Times New Roman" w:eastAsia="仿宋" w:cs="Times New Roman"/>
                <w:b/>
                <w:bCs/>
                <w:color w:val="auto"/>
                <w:sz w:val="24"/>
                <w:lang w:val="en-US" w:eastAsia="zh-CN"/>
              </w:rPr>
            </w:pPr>
            <w:r>
              <w:rPr>
                <w:rFonts w:hint="default" w:ascii="Times New Roman" w:hAnsi="Times New Roman" w:eastAsia="仿宋" w:cs="Times New Roman"/>
                <w:b/>
                <w:color w:val="auto"/>
                <w:sz w:val="24"/>
                <w:lang w:val="en-US" w:eastAsia="zh-CN"/>
              </w:rPr>
              <w:t>图2-7  眼线刷</w:t>
            </w:r>
            <w:r>
              <w:rPr>
                <w:rFonts w:hint="default" w:ascii="Times New Roman" w:hAnsi="Times New Roman" w:eastAsia="仿宋" w:cs="Times New Roman"/>
                <w:b/>
                <w:bCs/>
                <w:color w:val="auto"/>
                <w:sz w:val="24"/>
                <w:lang w:val="en-US" w:eastAsia="zh-CN"/>
              </w:rPr>
              <w:t>工艺流程及产污环节图</w:t>
            </w:r>
          </w:p>
          <w:p w14:paraId="30918391">
            <w:pPr>
              <w:widowControl w:val="0"/>
              <w:numPr>
                <w:ilvl w:val="0"/>
                <w:numId w:val="0"/>
              </w:numPr>
              <w:spacing w:line="360" w:lineRule="auto"/>
              <w:jc w:val="center"/>
              <w:rPr>
                <w:rFonts w:hint="default" w:ascii="Times New Roman" w:hAnsi="Times New Roman" w:cs="Times New Roman"/>
              </w:rPr>
            </w:pPr>
            <w:r>
              <w:rPr>
                <w:rFonts w:hint="eastAsia" w:eastAsia="仿宋" w:cs="Times New Roman"/>
                <w:b/>
                <w:kern w:val="0"/>
                <w:sz w:val="28"/>
                <w:szCs w:val="28"/>
              </w:rPr>
              <w:drawing>
                <wp:inline distT="0" distB="0" distL="114300" distR="114300">
                  <wp:extent cx="4149725" cy="52939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149725" cy="5293995"/>
                          </a:xfrm>
                          <a:prstGeom prst="rect">
                            <a:avLst/>
                          </a:prstGeom>
                          <a:noFill/>
                          <a:ln>
                            <a:noFill/>
                          </a:ln>
                        </pic:spPr>
                      </pic:pic>
                    </a:graphicData>
                  </a:graphic>
                </wp:inline>
              </w:drawing>
            </w:r>
          </w:p>
          <w:p w14:paraId="47F675B4">
            <w:pPr>
              <w:widowControl w:val="0"/>
              <w:numPr>
                <w:ilvl w:val="0"/>
                <w:numId w:val="0"/>
              </w:numPr>
              <w:spacing w:line="360" w:lineRule="auto"/>
              <w:jc w:val="center"/>
              <w:rPr>
                <w:rFonts w:hint="default" w:ascii="Times New Roman" w:hAnsi="Times New Roman" w:cs="Times New Roman"/>
                <w:lang w:val="en-US" w:eastAsia="zh-CN"/>
              </w:rPr>
            </w:pPr>
            <w:r>
              <w:rPr>
                <w:rFonts w:hint="default" w:ascii="Times New Roman" w:hAnsi="Times New Roman" w:eastAsia="仿宋" w:cs="Times New Roman"/>
                <w:b/>
                <w:color w:val="auto"/>
                <w:sz w:val="24"/>
                <w:lang w:val="en-US" w:eastAsia="zh-CN"/>
              </w:rPr>
              <w:t>图2-8  一次性取样器</w:t>
            </w:r>
            <w:r>
              <w:rPr>
                <w:rFonts w:hint="default" w:ascii="Times New Roman" w:hAnsi="Times New Roman" w:eastAsia="仿宋" w:cs="Times New Roman"/>
                <w:b/>
                <w:bCs/>
                <w:color w:val="auto"/>
                <w:sz w:val="24"/>
                <w:lang w:val="en-US" w:eastAsia="zh-CN"/>
              </w:rPr>
              <w:t>工艺流程及产污环节图</w:t>
            </w:r>
          </w:p>
          <w:p w14:paraId="349B16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仿宋" w:cs="Times New Roman"/>
                <w:b/>
                <w:color w:val="auto"/>
                <w:sz w:val="24"/>
              </w:rPr>
            </w:pPr>
            <w:r>
              <w:rPr>
                <w:rFonts w:hint="default" w:ascii="Times New Roman" w:hAnsi="Times New Roman" w:cs="Times New Roman"/>
                <w:color w:val="auto"/>
              </w:rPr>
              <w:t xml:space="preserve"> </w:t>
            </w:r>
            <w:r>
              <w:rPr>
                <w:rFonts w:hint="default" w:ascii="Times New Roman" w:hAnsi="Times New Roman" w:eastAsia="仿宋" w:cs="Times New Roman"/>
                <w:b/>
                <w:color w:val="auto"/>
                <w:sz w:val="24"/>
              </w:rPr>
              <w:t>三、现有项目污染防治措施及达标排放情况</w:t>
            </w:r>
          </w:p>
          <w:p w14:paraId="615BDC93">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1.</w:t>
            </w:r>
            <w:r>
              <w:rPr>
                <w:rFonts w:hint="default" w:ascii="Times New Roman" w:hAnsi="Times New Roman" w:eastAsia="仿宋" w:cs="Times New Roman"/>
                <w:color w:val="auto"/>
                <w:sz w:val="24"/>
              </w:rPr>
              <w:t>废水</w:t>
            </w:r>
          </w:p>
          <w:p w14:paraId="4EA321F1">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园区</w:t>
            </w:r>
            <w:r>
              <w:rPr>
                <w:rFonts w:hint="default" w:ascii="Times New Roman" w:hAnsi="Times New Roman" w:eastAsia="仿宋" w:cs="Times New Roman"/>
                <w:color w:val="auto"/>
                <w:sz w:val="24"/>
              </w:rPr>
              <w:t>排水实施“雨污分流”，雨水</w:t>
            </w:r>
            <w:r>
              <w:rPr>
                <w:rFonts w:hint="default" w:ascii="Times New Roman" w:hAnsi="Times New Roman" w:eastAsia="仿宋" w:cs="Times New Roman"/>
                <w:color w:val="auto"/>
                <w:sz w:val="24"/>
                <w:lang w:val="en-US" w:eastAsia="zh-CN"/>
              </w:rPr>
              <w:t>经园区</w:t>
            </w:r>
            <w:r>
              <w:rPr>
                <w:rFonts w:hint="default" w:ascii="Times New Roman" w:hAnsi="Times New Roman" w:eastAsia="仿宋" w:cs="Times New Roman"/>
                <w:color w:val="auto"/>
                <w:sz w:val="24"/>
              </w:rPr>
              <w:t>现有雨水管网收集后排入市政雨水管网，最终汇入附近河流。</w:t>
            </w:r>
          </w:p>
          <w:p w14:paraId="252FCBB5">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en-US" w:eastAsia="zh-CN"/>
              </w:rPr>
              <w:t>现有项</w:t>
            </w:r>
            <w:r>
              <w:rPr>
                <w:rFonts w:hint="default" w:ascii="Times New Roman" w:hAnsi="Times New Roman" w:eastAsia="仿宋" w:cs="Times New Roman"/>
                <w:bCs/>
                <w:color w:val="auto"/>
                <w:sz w:val="24"/>
                <w:lang w:val="en-US" w:eastAsia="zh-CN"/>
              </w:rPr>
              <w:t>目</w:t>
            </w:r>
            <w:r>
              <w:rPr>
                <w:rFonts w:hint="eastAsia" w:ascii="Times New Roman" w:hAnsi="Times New Roman" w:eastAsia="仿宋" w:cs="Times New Roman"/>
                <w:bCs/>
                <w:color w:val="auto"/>
                <w:sz w:val="24"/>
                <w:lang w:val="en-US" w:eastAsia="zh-CN"/>
              </w:rPr>
              <w:t>冷却水循环使用不外排，</w:t>
            </w:r>
            <w:r>
              <w:rPr>
                <w:rFonts w:hint="default" w:ascii="Times New Roman" w:hAnsi="Times New Roman" w:eastAsia="仿宋" w:cs="Times New Roman"/>
                <w:bCs/>
                <w:color w:val="auto"/>
                <w:sz w:val="24"/>
                <w:highlight w:val="none"/>
                <w:lang w:val="en-US" w:eastAsia="zh-CN"/>
              </w:rPr>
              <w:t>仅</w:t>
            </w:r>
            <w:r>
              <w:rPr>
                <w:rFonts w:hint="default" w:ascii="Times New Roman" w:hAnsi="Times New Roman" w:eastAsia="仿宋" w:cs="Times New Roman"/>
                <w:bCs/>
                <w:color w:val="auto"/>
                <w:sz w:val="24"/>
              </w:rPr>
              <w:t>员工生活污水</w:t>
            </w:r>
            <w:r>
              <w:rPr>
                <w:rFonts w:hint="default" w:ascii="Times New Roman" w:hAnsi="Times New Roman" w:eastAsia="仿宋" w:cs="Times New Roman"/>
                <w:bCs/>
                <w:color w:val="auto"/>
                <w:sz w:val="24"/>
                <w:lang w:val="en-US" w:eastAsia="zh-CN"/>
              </w:rPr>
              <w:t>经厂区内现有化粪池预处理后，</w:t>
            </w:r>
            <w:r>
              <w:rPr>
                <w:rFonts w:hint="default" w:ascii="Times New Roman" w:hAnsi="Times New Roman" w:eastAsia="仿宋" w:cs="Times New Roman"/>
                <w:bCs/>
                <w:color w:val="auto"/>
                <w:sz w:val="24"/>
              </w:rPr>
              <w:t>接管排入当地市政污水管网，最终排入常州金坛区第二污水处理</w:t>
            </w:r>
            <w:r>
              <w:rPr>
                <w:rFonts w:hint="default" w:ascii="Times New Roman" w:hAnsi="Times New Roman" w:eastAsia="仿宋" w:cs="Times New Roman"/>
                <w:bCs/>
                <w:color w:val="auto"/>
                <w:sz w:val="24"/>
                <w:lang w:val="en-US" w:eastAsia="zh-CN"/>
              </w:rPr>
              <w:t>厂集中处理</w:t>
            </w:r>
            <w:r>
              <w:rPr>
                <w:rFonts w:hint="default" w:ascii="Times New Roman" w:hAnsi="Times New Roman" w:eastAsia="仿宋" w:cs="Times New Roman"/>
                <w:color w:val="auto"/>
                <w:sz w:val="24"/>
              </w:rPr>
              <w:t>。</w:t>
            </w:r>
          </w:p>
          <w:p w14:paraId="44155C6E">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rPr>
              <w:t>根据</w:t>
            </w:r>
            <w:r>
              <w:rPr>
                <w:rFonts w:hint="default" w:ascii="Times New Roman" w:hAnsi="Times New Roman" w:eastAsia="仿宋" w:cs="Times New Roman"/>
                <w:color w:val="auto"/>
                <w:sz w:val="24"/>
                <w:lang w:val="en-US" w:eastAsia="zh-CN"/>
              </w:rPr>
              <w:t>南京万全检测技术</w:t>
            </w:r>
            <w:r>
              <w:rPr>
                <w:rFonts w:hint="default" w:ascii="Times New Roman" w:hAnsi="Times New Roman" w:eastAsia="仿宋" w:cs="Times New Roman"/>
                <w:color w:val="auto"/>
                <w:sz w:val="24"/>
              </w:rPr>
              <w:t>有限公司</w:t>
            </w:r>
            <w:r>
              <w:rPr>
                <w:rFonts w:hint="default" w:ascii="Times New Roman" w:hAnsi="Times New Roman" w:eastAsia="仿宋" w:cs="Times New Roman"/>
                <w:color w:val="auto"/>
                <w:sz w:val="24"/>
                <w:lang w:val="en-US" w:eastAsia="zh-CN"/>
              </w:rPr>
              <w:t>出具的监测报告（</w:t>
            </w:r>
            <w:r>
              <w:rPr>
                <w:rFonts w:hint="default" w:ascii="Times New Roman" w:hAnsi="Times New Roman" w:eastAsia="仿宋" w:cs="Times New Roman"/>
                <w:color w:val="auto"/>
                <w:sz w:val="24"/>
              </w:rPr>
              <w:t>报告编号：</w:t>
            </w:r>
            <w:r>
              <w:rPr>
                <w:rFonts w:hint="default" w:ascii="Times New Roman" w:hAnsi="Times New Roman" w:eastAsia="仿宋" w:cs="Times New Roman"/>
                <w:color w:val="auto"/>
                <w:sz w:val="24"/>
                <w:lang w:val="en-US" w:eastAsia="zh-CN"/>
              </w:rPr>
              <w:t>NVTT-2024-Y0177），污水接管口</w:t>
            </w:r>
            <w:r>
              <w:rPr>
                <w:rFonts w:hint="default" w:ascii="Times New Roman" w:hAnsi="Times New Roman" w:eastAsia="仿宋" w:cs="Times New Roman"/>
                <w:color w:val="auto"/>
                <w:sz w:val="24"/>
              </w:rPr>
              <w:t>排放水具体检测结果见表2-</w:t>
            </w:r>
            <w:r>
              <w:rPr>
                <w:rFonts w:hint="default" w:ascii="Times New Roman" w:hAnsi="Times New Roman" w:eastAsia="仿宋" w:cs="Times New Roman"/>
                <w:color w:val="auto"/>
                <w:sz w:val="24"/>
                <w:lang w:val="en-US" w:eastAsia="zh-CN"/>
              </w:rPr>
              <w:t>1</w:t>
            </w:r>
            <w:r>
              <w:rPr>
                <w:rFonts w:hint="eastAsia" w:eastAsia="仿宋" w:cs="Times New Roman"/>
                <w:color w:val="auto"/>
                <w:sz w:val="24"/>
                <w:lang w:val="en-US" w:eastAsia="zh-CN"/>
              </w:rPr>
              <w:t>2</w:t>
            </w:r>
            <w:r>
              <w:rPr>
                <w:rFonts w:hint="default" w:ascii="Times New Roman" w:hAnsi="Times New Roman" w:eastAsia="仿宋" w:cs="Times New Roman"/>
                <w:color w:val="auto"/>
                <w:sz w:val="24"/>
              </w:rPr>
              <w:t>。</w:t>
            </w:r>
          </w:p>
          <w:p w14:paraId="0B3C6B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color w:val="auto"/>
                <w:sz w:val="24"/>
              </w:rPr>
              <w:t>表2-</w:t>
            </w:r>
            <w:r>
              <w:rPr>
                <w:rFonts w:hint="default" w:ascii="Times New Roman" w:hAnsi="Times New Roman" w:eastAsia="仿宋" w:cs="Times New Roman"/>
                <w:b/>
                <w:color w:val="auto"/>
                <w:sz w:val="24"/>
                <w:lang w:val="en-US" w:eastAsia="zh-CN"/>
              </w:rPr>
              <w:t>1</w:t>
            </w:r>
            <w:r>
              <w:rPr>
                <w:rFonts w:hint="eastAsia" w:eastAsia="仿宋" w:cs="Times New Roman"/>
                <w:b/>
                <w:color w:val="auto"/>
                <w:sz w:val="24"/>
                <w:lang w:val="en-US" w:eastAsia="zh-CN"/>
              </w:rPr>
              <w:t>2</w:t>
            </w:r>
            <w:r>
              <w:rPr>
                <w:rFonts w:hint="default" w:ascii="Times New Roman" w:hAnsi="Times New Roman" w:eastAsia="仿宋" w:cs="Times New Roman"/>
                <w:b/>
                <w:color w:val="auto"/>
                <w:sz w:val="24"/>
              </w:rPr>
              <w:t xml:space="preserve">  </w:t>
            </w:r>
            <w:r>
              <w:rPr>
                <w:rFonts w:hint="default" w:ascii="Times New Roman" w:hAnsi="Times New Roman" w:eastAsia="仿宋" w:cs="Times New Roman"/>
                <w:b/>
                <w:color w:val="auto"/>
                <w:sz w:val="24"/>
                <w:lang w:val="en-US" w:eastAsia="zh-CN"/>
              </w:rPr>
              <w:t>污水排放口</w:t>
            </w:r>
            <w:r>
              <w:rPr>
                <w:rFonts w:hint="default" w:ascii="Times New Roman" w:hAnsi="Times New Roman" w:eastAsia="仿宋" w:cs="Times New Roman"/>
                <w:b/>
                <w:bCs/>
                <w:color w:val="auto"/>
                <w:sz w:val="24"/>
              </w:rPr>
              <w:t>排放水检测结果一览表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243"/>
              <w:gridCol w:w="950"/>
              <w:gridCol w:w="1213"/>
              <w:gridCol w:w="881"/>
              <w:gridCol w:w="888"/>
              <w:gridCol w:w="826"/>
              <w:gridCol w:w="724"/>
              <w:gridCol w:w="842"/>
            </w:tblGrid>
            <w:tr w14:paraId="32E06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83" w:type="pct"/>
                  <w:vMerge w:val="restart"/>
                  <w:tcBorders>
                    <w:tl2br w:val="nil"/>
                    <w:tr2bl w:val="nil"/>
                  </w:tcBorders>
                  <w:vAlign w:val="center"/>
                </w:tcPr>
                <w:p w14:paraId="304EF8A1">
                  <w:pPr>
                    <w:spacing w:after="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监测</w:t>
                  </w:r>
                </w:p>
                <w:p w14:paraId="0B76FE85">
                  <w:pPr>
                    <w:spacing w:after="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点位</w:t>
                  </w:r>
                </w:p>
              </w:tc>
              <w:tc>
                <w:tcPr>
                  <w:tcW w:w="1308" w:type="pct"/>
                  <w:gridSpan w:val="2"/>
                  <w:vMerge w:val="restart"/>
                  <w:tcBorders>
                    <w:tl2br w:val="nil"/>
                    <w:tr2bl w:val="nil"/>
                  </w:tcBorders>
                  <w:vAlign w:val="center"/>
                </w:tcPr>
                <w:p w14:paraId="3A1D1FE5">
                  <w:pPr>
                    <w:spacing w:after="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监测日期</w:t>
                  </w:r>
                </w:p>
              </w:tc>
              <w:tc>
                <w:tcPr>
                  <w:tcW w:w="3207" w:type="pct"/>
                  <w:gridSpan w:val="6"/>
                  <w:tcBorders>
                    <w:tl2br w:val="nil"/>
                    <w:tr2bl w:val="nil"/>
                  </w:tcBorders>
                  <w:vAlign w:val="center"/>
                </w:tcPr>
                <w:p w14:paraId="057D66FA">
                  <w:pPr>
                    <w:spacing w:after="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检 测 结 果    单位：mg/L</w:t>
                  </w:r>
                </w:p>
              </w:tc>
            </w:tr>
            <w:tr w14:paraId="2C643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83" w:type="pct"/>
                  <w:vMerge w:val="continue"/>
                  <w:tcBorders>
                    <w:tl2br w:val="nil"/>
                    <w:tr2bl w:val="nil"/>
                  </w:tcBorders>
                  <w:vAlign w:val="center"/>
                </w:tcPr>
                <w:p w14:paraId="6261D2CF">
                  <w:pPr>
                    <w:adjustRightInd/>
                    <w:snapToGrid/>
                    <w:spacing w:after="0"/>
                    <w:jc w:val="center"/>
                    <w:rPr>
                      <w:rFonts w:hint="default" w:ascii="Times New Roman" w:hAnsi="Times New Roman" w:eastAsia="仿宋" w:cs="Times New Roman"/>
                      <w:b/>
                      <w:bCs/>
                      <w:sz w:val="21"/>
                      <w:szCs w:val="21"/>
                    </w:rPr>
                  </w:pPr>
                </w:p>
              </w:tc>
              <w:tc>
                <w:tcPr>
                  <w:tcW w:w="1308" w:type="pct"/>
                  <w:gridSpan w:val="2"/>
                  <w:vMerge w:val="continue"/>
                  <w:tcBorders>
                    <w:tl2br w:val="nil"/>
                    <w:tr2bl w:val="nil"/>
                  </w:tcBorders>
                  <w:vAlign w:val="center"/>
                </w:tcPr>
                <w:p w14:paraId="602C50A7">
                  <w:pPr>
                    <w:adjustRightInd/>
                    <w:snapToGrid/>
                    <w:spacing w:after="0"/>
                    <w:jc w:val="center"/>
                    <w:rPr>
                      <w:rFonts w:hint="default" w:ascii="Times New Roman" w:hAnsi="Times New Roman" w:eastAsia="仿宋" w:cs="Times New Roman"/>
                      <w:b/>
                      <w:bCs/>
                      <w:sz w:val="21"/>
                      <w:szCs w:val="21"/>
                    </w:rPr>
                  </w:pPr>
                </w:p>
              </w:tc>
              <w:tc>
                <w:tcPr>
                  <w:tcW w:w="724" w:type="pct"/>
                  <w:tcBorders>
                    <w:tl2br w:val="nil"/>
                    <w:tr2bl w:val="nil"/>
                  </w:tcBorders>
                  <w:vAlign w:val="center"/>
                </w:tcPr>
                <w:p w14:paraId="6017C911">
                  <w:pPr>
                    <w:spacing w:after="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pH值</w:t>
                  </w:r>
                </w:p>
                <w:p w14:paraId="1B5C0082">
                  <w:pPr>
                    <w:spacing w:after="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（无量纲）</w:t>
                  </w:r>
                </w:p>
              </w:tc>
              <w:tc>
                <w:tcPr>
                  <w:tcW w:w="526" w:type="pct"/>
                  <w:tcBorders>
                    <w:tl2br w:val="nil"/>
                    <w:tr2bl w:val="nil"/>
                  </w:tcBorders>
                  <w:vAlign w:val="center"/>
                </w:tcPr>
                <w:p w14:paraId="72A40FFB">
                  <w:pPr>
                    <w:spacing w:after="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化学需氧量</w:t>
                  </w:r>
                </w:p>
              </w:tc>
              <w:tc>
                <w:tcPr>
                  <w:tcW w:w="530" w:type="pct"/>
                  <w:tcBorders>
                    <w:tl2br w:val="nil"/>
                    <w:tr2bl w:val="nil"/>
                  </w:tcBorders>
                  <w:vAlign w:val="center"/>
                </w:tcPr>
                <w:p w14:paraId="6A079A2C">
                  <w:pPr>
                    <w:spacing w:after="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悬浮物</w:t>
                  </w:r>
                </w:p>
              </w:tc>
              <w:tc>
                <w:tcPr>
                  <w:tcW w:w="493" w:type="pct"/>
                  <w:tcBorders>
                    <w:tl2br w:val="nil"/>
                    <w:tr2bl w:val="nil"/>
                  </w:tcBorders>
                  <w:vAlign w:val="center"/>
                </w:tcPr>
                <w:p w14:paraId="248D94EA">
                  <w:pPr>
                    <w:spacing w:after="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氨氮</w:t>
                  </w:r>
                </w:p>
              </w:tc>
              <w:tc>
                <w:tcPr>
                  <w:tcW w:w="432" w:type="pct"/>
                  <w:tcBorders>
                    <w:tl2br w:val="nil"/>
                    <w:tr2bl w:val="nil"/>
                  </w:tcBorders>
                  <w:vAlign w:val="center"/>
                </w:tcPr>
                <w:p w14:paraId="0074CF9A">
                  <w:pPr>
                    <w:spacing w:after="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总磷</w:t>
                  </w:r>
                </w:p>
              </w:tc>
              <w:tc>
                <w:tcPr>
                  <w:tcW w:w="501" w:type="pct"/>
                  <w:tcBorders>
                    <w:tl2br w:val="nil"/>
                    <w:tr2bl w:val="nil"/>
                  </w:tcBorders>
                  <w:vAlign w:val="center"/>
                </w:tcPr>
                <w:p w14:paraId="6F650A6C">
                  <w:pPr>
                    <w:spacing w:after="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总氮</w:t>
                  </w:r>
                </w:p>
              </w:tc>
            </w:tr>
            <w:tr w14:paraId="5D2D8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483" w:type="pct"/>
                  <w:vMerge w:val="restart"/>
                  <w:tcBorders>
                    <w:tl2br w:val="nil"/>
                    <w:tr2bl w:val="nil"/>
                  </w:tcBorders>
                  <w:vAlign w:val="center"/>
                </w:tcPr>
                <w:p w14:paraId="22FF8FCF">
                  <w:pPr>
                    <w:widowControl w:val="0"/>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污水接管口</w:t>
                  </w:r>
                </w:p>
              </w:tc>
              <w:tc>
                <w:tcPr>
                  <w:tcW w:w="742" w:type="pct"/>
                  <w:vMerge w:val="restart"/>
                  <w:tcBorders>
                    <w:tl2br w:val="nil"/>
                    <w:tr2bl w:val="nil"/>
                  </w:tcBorders>
                  <w:vAlign w:val="center"/>
                </w:tcPr>
                <w:p w14:paraId="13AA2159">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2024.</w:t>
                  </w:r>
                  <w:r>
                    <w:rPr>
                      <w:rFonts w:hint="default" w:ascii="Times New Roman" w:hAnsi="Times New Roman" w:eastAsia="仿宋" w:cs="Times New Roman"/>
                      <w:sz w:val="21"/>
                      <w:szCs w:val="21"/>
                      <w:lang w:val="en-US" w:eastAsia="zh-CN"/>
                    </w:rPr>
                    <w:t>6</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w:t>
                  </w:r>
                  <w:r>
                    <w:rPr>
                      <w:rFonts w:hint="default" w:ascii="Times New Roman" w:hAnsi="Times New Roman" w:eastAsia="仿宋" w:cs="Times New Roman"/>
                      <w:sz w:val="21"/>
                      <w:szCs w:val="21"/>
                    </w:rPr>
                    <w:t>4</w:t>
                  </w:r>
                </w:p>
              </w:tc>
              <w:tc>
                <w:tcPr>
                  <w:tcW w:w="566" w:type="pct"/>
                  <w:tcBorders>
                    <w:tl2br w:val="nil"/>
                    <w:tr2bl w:val="nil"/>
                  </w:tcBorders>
                  <w:vAlign w:val="center"/>
                </w:tcPr>
                <w:p w14:paraId="10131FBA">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724" w:type="pct"/>
                  <w:tcBorders>
                    <w:tl2br w:val="nil"/>
                    <w:tr2bl w:val="nil"/>
                  </w:tcBorders>
                  <w:vAlign w:val="center"/>
                </w:tcPr>
                <w:p w14:paraId="4280B621">
                  <w:pPr>
                    <w:spacing w:after="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7.</w:t>
                  </w:r>
                  <w:r>
                    <w:rPr>
                      <w:rFonts w:hint="default" w:ascii="Times New Roman" w:hAnsi="Times New Roman" w:eastAsia="仿宋" w:cs="Times New Roman"/>
                      <w:sz w:val="21"/>
                      <w:szCs w:val="21"/>
                      <w:lang w:val="en-US" w:eastAsia="zh-CN"/>
                    </w:rPr>
                    <w:t>3</w:t>
                  </w:r>
                </w:p>
              </w:tc>
              <w:tc>
                <w:tcPr>
                  <w:tcW w:w="526" w:type="pct"/>
                  <w:tcBorders>
                    <w:tl2br w:val="nil"/>
                    <w:tr2bl w:val="nil"/>
                  </w:tcBorders>
                  <w:vAlign w:val="center"/>
                </w:tcPr>
                <w:p w14:paraId="2DFE3FA9">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185</w:t>
                  </w:r>
                </w:p>
              </w:tc>
              <w:tc>
                <w:tcPr>
                  <w:tcW w:w="530" w:type="pct"/>
                  <w:tcBorders>
                    <w:tl2br w:val="nil"/>
                    <w:tr2bl w:val="nil"/>
                  </w:tcBorders>
                  <w:vAlign w:val="center"/>
                </w:tcPr>
                <w:p w14:paraId="01C6C373">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94</w:t>
                  </w:r>
                </w:p>
              </w:tc>
              <w:tc>
                <w:tcPr>
                  <w:tcW w:w="493" w:type="pct"/>
                  <w:tcBorders>
                    <w:tl2br w:val="nil"/>
                    <w:tr2bl w:val="nil"/>
                  </w:tcBorders>
                  <w:vAlign w:val="center"/>
                </w:tcPr>
                <w:p w14:paraId="312BB35C">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11.9</w:t>
                  </w:r>
                </w:p>
              </w:tc>
              <w:tc>
                <w:tcPr>
                  <w:tcW w:w="432" w:type="pct"/>
                  <w:tcBorders>
                    <w:tl2br w:val="nil"/>
                    <w:tr2bl w:val="nil"/>
                  </w:tcBorders>
                  <w:vAlign w:val="center"/>
                </w:tcPr>
                <w:p w14:paraId="1309A3A4">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1.45</w:t>
                  </w:r>
                </w:p>
              </w:tc>
              <w:tc>
                <w:tcPr>
                  <w:tcW w:w="501" w:type="pct"/>
                  <w:tcBorders>
                    <w:tl2br w:val="nil"/>
                    <w:tr2bl w:val="nil"/>
                  </w:tcBorders>
                  <w:vAlign w:val="center"/>
                </w:tcPr>
                <w:p w14:paraId="01FD953B">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17.9</w:t>
                  </w:r>
                </w:p>
              </w:tc>
            </w:tr>
            <w:tr w14:paraId="24051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3" w:type="pct"/>
                  <w:vMerge w:val="continue"/>
                  <w:tcBorders>
                    <w:tl2br w:val="nil"/>
                    <w:tr2bl w:val="nil"/>
                  </w:tcBorders>
                  <w:vAlign w:val="center"/>
                </w:tcPr>
                <w:p w14:paraId="49819482">
                  <w:pPr>
                    <w:adjustRightInd/>
                    <w:snapToGrid/>
                    <w:spacing w:after="0"/>
                    <w:jc w:val="center"/>
                    <w:rPr>
                      <w:rFonts w:hint="default" w:ascii="Times New Roman" w:hAnsi="Times New Roman" w:eastAsia="仿宋" w:cs="Times New Roman"/>
                      <w:sz w:val="21"/>
                      <w:szCs w:val="21"/>
                    </w:rPr>
                  </w:pPr>
                </w:p>
              </w:tc>
              <w:tc>
                <w:tcPr>
                  <w:tcW w:w="742" w:type="pct"/>
                  <w:vMerge w:val="continue"/>
                  <w:tcBorders>
                    <w:tl2br w:val="nil"/>
                    <w:tr2bl w:val="nil"/>
                  </w:tcBorders>
                  <w:vAlign w:val="center"/>
                </w:tcPr>
                <w:p w14:paraId="6BB4F2F4">
                  <w:pPr>
                    <w:adjustRightInd/>
                    <w:snapToGrid/>
                    <w:spacing w:after="0"/>
                    <w:jc w:val="center"/>
                    <w:rPr>
                      <w:rFonts w:hint="default" w:ascii="Times New Roman" w:hAnsi="Times New Roman" w:eastAsia="仿宋" w:cs="Times New Roman"/>
                      <w:sz w:val="21"/>
                      <w:szCs w:val="21"/>
                    </w:rPr>
                  </w:pPr>
                </w:p>
              </w:tc>
              <w:tc>
                <w:tcPr>
                  <w:tcW w:w="566" w:type="pct"/>
                  <w:tcBorders>
                    <w:tl2br w:val="nil"/>
                    <w:tr2bl w:val="nil"/>
                  </w:tcBorders>
                  <w:vAlign w:val="center"/>
                </w:tcPr>
                <w:p w14:paraId="6EDD993B">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724" w:type="pct"/>
                  <w:tcBorders>
                    <w:tl2br w:val="nil"/>
                    <w:tr2bl w:val="nil"/>
                  </w:tcBorders>
                  <w:vAlign w:val="center"/>
                </w:tcPr>
                <w:p w14:paraId="7DC70DC3">
                  <w:pPr>
                    <w:spacing w:after="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7.</w:t>
                  </w:r>
                  <w:r>
                    <w:rPr>
                      <w:rFonts w:hint="default" w:ascii="Times New Roman" w:hAnsi="Times New Roman" w:eastAsia="仿宋" w:cs="Times New Roman"/>
                      <w:sz w:val="21"/>
                      <w:szCs w:val="21"/>
                      <w:lang w:val="en-US" w:eastAsia="zh-CN"/>
                    </w:rPr>
                    <w:t>2</w:t>
                  </w:r>
                </w:p>
              </w:tc>
              <w:tc>
                <w:tcPr>
                  <w:tcW w:w="526" w:type="pct"/>
                  <w:tcBorders>
                    <w:tl2br w:val="nil"/>
                    <w:tr2bl w:val="nil"/>
                  </w:tcBorders>
                  <w:vAlign w:val="center"/>
                </w:tcPr>
                <w:p w14:paraId="7A441EF3">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179</w:t>
                  </w:r>
                </w:p>
              </w:tc>
              <w:tc>
                <w:tcPr>
                  <w:tcW w:w="530" w:type="pct"/>
                  <w:tcBorders>
                    <w:tl2br w:val="nil"/>
                    <w:tr2bl w:val="nil"/>
                  </w:tcBorders>
                  <w:vAlign w:val="center"/>
                </w:tcPr>
                <w:p w14:paraId="7B17DDBA">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103</w:t>
                  </w:r>
                </w:p>
              </w:tc>
              <w:tc>
                <w:tcPr>
                  <w:tcW w:w="493" w:type="pct"/>
                  <w:tcBorders>
                    <w:tl2br w:val="nil"/>
                    <w:tr2bl w:val="nil"/>
                  </w:tcBorders>
                  <w:vAlign w:val="center"/>
                </w:tcPr>
                <w:p w14:paraId="6ED906CB">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13.3</w:t>
                  </w:r>
                </w:p>
              </w:tc>
              <w:tc>
                <w:tcPr>
                  <w:tcW w:w="432" w:type="pct"/>
                  <w:tcBorders>
                    <w:tl2br w:val="nil"/>
                    <w:tr2bl w:val="nil"/>
                  </w:tcBorders>
                  <w:vAlign w:val="center"/>
                </w:tcPr>
                <w:p w14:paraId="62D3C506">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1.64</w:t>
                  </w:r>
                </w:p>
              </w:tc>
              <w:tc>
                <w:tcPr>
                  <w:tcW w:w="501" w:type="pct"/>
                  <w:tcBorders>
                    <w:tl2br w:val="nil"/>
                    <w:tr2bl w:val="nil"/>
                  </w:tcBorders>
                  <w:vAlign w:val="center"/>
                </w:tcPr>
                <w:p w14:paraId="035ECBD3">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20.8</w:t>
                  </w:r>
                </w:p>
              </w:tc>
            </w:tr>
            <w:tr w14:paraId="7820B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3" w:type="pct"/>
                  <w:vMerge w:val="continue"/>
                  <w:tcBorders>
                    <w:tl2br w:val="nil"/>
                    <w:tr2bl w:val="nil"/>
                  </w:tcBorders>
                  <w:vAlign w:val="center"/>
                </w:tcPr>
                <w:p w14:paraId="5769F518">
                  <w:pPr>
                    <w:adjustRightInd/>
                    <w:snapToGrid/>
                    <w:spacing w:after="0"/>
                    <w:jc w:val="center"/>
                    <w:rPr>
                      <w:rFonts w:hint="default" w:ascii="Times New Roman" w:hAnsi="Times New Roman" w:eastAsia="仿宋" w:cs="Times New Roman"/>
                      <w:sz w:val="21"/>
                      <w:szCs w:val="21"/>
                    </w:rPr>
                  </w:pPr>
                </w:p>
              </w:tc>
              <w:tc>
                <w:tcPr>
                  <w:tcW w:w="742" w:type="pct"/>
                  <w:vMerge w:val="continue"/>
                  <w:tcBorders>
                    <w:tl2br w:val="nil"/>
                    <w:tr2bl w:val="nil"/>
                  </w:tcBorders>
                  <w:vAlign w:val="center"/>
                </w:tcPr>
                <w:p w14:paraId="3B946A33">
                  <w:pPr>
                    <w:adjustRightInd/>
                    <w:snapToGrid/>
                    <w:spacing w:after="0"/>
                    <w:jc w:val="center"/>
                    <w:rPr>
                      <w:rFonts w:hint="default" w:ascii="Times New Roman" w:hAnsi="Times New Roman" w:eastAsia="仿宋" w:cs="Times New Roman"/>
                      <w:sz w:val="21"/>
                      <w:szCs w:val="21"/>
                    </w:rPr>
                  </w:pPr>
                </w:p>
              </w:tc>
              <w:tc>
                <w:tcPr>
                  <w:tcW w:w="566" w:type="pct"/>
                  <w:tcBorders>
                    <w:tl2br w:val="nil"/>
                    <w:tr2bl w:val="nil"/>
                  </w:tcBorders>
                  <w:vAlign w:val="center"/>
                </w:tcPr>
                <w:p w14:paraId="51808DCC">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724" w:type="pct"/>
                  <w:tcBorders>
                    <w:tl2br w:val="nil"/>
                    <w:tr2bl w:val="nil"/>
                  </w:tcBorders>
                  <w:vAlign w:val="center"/>
                </w:tcPr>
                <w:p w14:paraId="6043BBB9">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7.3</w:t>
                  </w:r>
                </w:p>
              </w:tc>
              <w:tc>
                <w:tcPr>
                  <w:tcW w:w="526" w:type="pct"/>
                  <w:tcBorders>
                    <w:tl2br w:val="nil"/>
                    <w:tr2bl w:val="nil"/>
                  </w:tcBorders>
                  <w:vAlign w:val="center"/>
                </w:tcPr>
                <w:p w14:paraId="1F8A24C3">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176</w:t>
                  </w:r>
                </w:p>
              </w:tc>
              <w:tc>
                <w:tcPr>
                  <w:tcW w:w="530" w:type="pct"/>
                  <w:tcBorders>
                    <w:tl2br w:val="nil"/>
                    <w:tr2bl w:val="nil"/>
                  </w:tcBorders>
                  <w:vAlign w:val="center"/>
                </w:tcPr>
                <w:p w14:paraId="04AC3B20">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95</w:t>
                  </w:r>
                </w:p>
              </w:tc>
              <w:tc>
                <w:tcPr>
                  <w:tcW w:w="493" w:type="pct"/>
                  <w:tcBorders>
                    <w:tl2br w:val="nil"/>
                    <w:tr2bl w:val="nil"/>
                  </w:tcBorders>
                  <w:vAlign w:val="center"/>
                </w:tcPr>
                <w:p w14:paraId="47908F29">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12.6</w:t>
                  </w:r>
                </w:p>
              </w:tc>
              <w:tc>
                <w:tcPr>
                  <w:tcW w:w="432" w:type="pct"/>
                  <w:tcBorders>
                    <w:tl2br w:val="nil"/>
                    <w:tr2bl w:val="nil"/>
                  </w:tcBorders>
                  <w:vAlign w:val="center"/>
                </w:tcPr>
                <w:p w14:paraId="75205DF5">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1.25</w:t>
                  </w:r>
                </w:p>
              </w:tc>
              <w:tc>
                <w:tcPr>
                  <w:tcW w:w="501" w:type="pct"/>
                  <w:tcBorders>
                    <w:tl2br w:val="nil"/>
                    <w:tr2bl w:val="nil"/>
                  </w:tcBorders>
                  <w:vAlign w:val="center"/>
                </w:tcPr>
                <w:p w14:paraId="7D71AEDA">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19.0</w:t>
                  </w:r>
                </w:p>
              </w:tc>
            </w:tr>
            <w:tr w14:paraId="0961A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3" w:type="pct"/>
                  <w:vMerge w:val="continue"/>
                  <w:tcBorders>
                    <w:tl2br w:val="nil"/>
                    <w:tr2bl w:val="nil"/>
                  </w:tcBorders>
                  <w:vAlign w:val="center"/>
                </w:tcPr>
                <w:p w14:paraId="103F157C">
                  <w:pPr>
                    <w:adjustRightInd/>
                    <w:snapToGrid/>
                    <w:spacing w:after="0"/>
                    <w:jc w:val="center"/>
                    <w:rPr>
                      <w:rFonts w:hint="default" w:ascii="Times New Roman" w:hAnsi="Times New Roman" w:eastAsia="仿宋" w:cs="Times New Roman"/>
                      <w:sz w:val="21"/>
                      <w:szCs w:val="21"/>
                    </w:rPr>
                  </w:pPr>
                </w:p>
              </w:tc>
              <w:tc>
                <w:tcPr>
                  <w:tcW w:w="742" w:type="pct"/>
                  <w:vMerge w:val="continue"/>
                  <w:tcBorders>
                    <w:tl2br w:val="nil"/>
                    <w:tr2bl w:val="nil"/>
                  </w:tcBorders>
                  <w:vAlign w:val="center"/>
                </w:tcPr>
                <w:p w14:paraId="3AB863F4">
                  <w:pPr>
                    <w:adjustRightInd/>
                    <w:snapToGrid/>
                    <w:spacing w:after="0"/>
                    <w:jc w:val="center"/>
                    <w:rPr>
                      <w:rFonts w:hint="default" w:ascii="Times New Roman" w:hAnsi="Times New Roman" w:eastAsia="仿宋" w:cs="Times New Roman"/>
                      <w:sz w:val="21"/>
                      <w:szCs w:val="21"/>
                    </w:rPr>
                  </w:pPr>
                </w:p>
              </w:tc>
              <w:tc>
                <w:tcPr>
                  <w:tcW w:w="566" w:type="pct"/>
                  <w:tcBorders>
                    <w:tl2br w:val="nil"/>
                    <w:tr2bl w:val="nil"/>
                  </w:tcBorders>
                  <w:vAlign w:val="center"/>
                </w:tcPr>
                <w:p w14:paraId="470A75C8">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第四次</w:t>
                  </w:r>
                </w:p>
              </w:tc>
              <w:tc>
                <w:tcPr>
                  <w:tcW w:w="724" w:type="pct"/>
                  <w:tcBorders>
                    <w:tl2br w:val="nil"/>
                    <w:tr2bl w:val="nil"/>
                  </w:tcBorders>
                  <w:vAlign w:val="center"/>
                </w:tcPr>
                <w:p w14:paraId="2CC009B7">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7.</w:t>
                  </w:r>
                  <w:r>
                    <w:rPr>
                      <w:rFonts w:hint="default" w:ascii="Times New Roman" w:hAnsi="Times New Roman" w:eastAsia="仿宋" w:cs="Times New Roman"/>
                      <w:sz w:val="21"/>
                      <w:szCs w:val="21"/>
                      <w:lang w:val="en-US" w:eastAsia="zh-CN"/>
                    </w:rPr>
                    <w:t>3</w:t>
                  </w:r>
                </w:p>
              </w:tc>
              <w:tc>
                <w:tcPr>
                  <w:tcW w:w="526" w:type="pct"/>
                  <w:tcBorders>
                    <w:tl2br w:val="nil"/>
                    <w:tr2bl w:val="nil"/>
                  </w:tcBorders>
                  <w:vAlign w:val="center"/>
                </w:tcPr>
                <w:p w14:paraId="0CF58A05">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187</w:t>
                  </w:r>
                </w:p>
              </w:tc>
              <w:tc>
                <w:tcPr>
                  <w:tcW w:w="530" w:type="pct"/>
                  <w:tcBorders>
                    <w:tl2br w:val="nil"/>
                    <w:tr2bl w:val="nil"/>
                  </w:tcBorders>
                  <w:vAlign w:val="center"/>
                </w:tcPr>
                <w:p w14:paraId="4C30302D">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98</w:t>
                  </w:r>
                </w:p>
              </w:tc>
              <w:tc>
                <w:tcPr>
                  <w:tcW w:w="493" w:type="pct"/>
                  <w:tcBorders>
                    <w:tl2br w:val="nil"/>
                    <w:tr2bl w:val="nil"/>
                  </w:tcBorders>
                  <w:vAlign w:val="center"/>
                </w:tcPr>
                <w:p w14:paraId="41BFCB5C">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10.2</w:t>
                  </w:r>
                </w:p>
              </w:tc>
              <w:tc>
                <w:tcPr>
                  <w:tcW w:w="432" w:type="pct"/>
                  <w:tcBorders>
                    <w:tl2br w:val="nil"/>
                    <w:tr2bl w:val="nil"/>
                  </w:tcBorders>
                  <w:vAlign w:val="center"/>
                </w:tcPr>
                <w:p w14:paraId="7DDA18A9">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1.52</w:t>
                  </w:r>
                </w:p>
              </w:tc>
              <w:tc>
                <w:tcPr>
                  <w:tcW w:w="501" w:type="pct"/>
                  <w:tcBorders>
                    <w:tl2br w:val="nil"/>
                    <w:tr2bl w:val="nil"/>
                  </w:tcBorders>
                  <w:vAlign w:val="center"/>
                </w:tcPr>
                <w:p w14:paraId="03BB97E5">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16.4</w:t>
                  </w:r>
                </w:p>
              </w:tc>
            </w:tr>
            <w:tr w14:paraId="54A5E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83" w:type="pct"/>
                  <w:vMerge w:val="continue"/>
                  <w:tcBorders>
                    <w:tl2br w:val="nil"/>
                    <w:tr2bl w:val="nil"/>
                  </w:tcBorders>
                  <w:vAlign w:val="center"/>
                </w:tcPr>
                <w:p w14:paraId="06A77625">
                  <w:pPr>
                    <w:adjustRightInd/>
                    <w:snapToGrid/>
                    <w:spacing w:after="0"/>
                    <w:jc w:val="center"/>
                    <w:rPr>
                      <w:rFonts w:hint="default" w:ascii="Times New Roman" w:hAnsi="Times New Roman" w:eastAsia="仿宋" w:cs="Times New Roman"/>
                      <w:sz w:val="21"/>
                      <w:szCs w:val="21"/>
                    </w:rPr>
                  </w:pPr>
                </w:p>
              </w:tc>
              <w:tc>
                <w:tcPr>
                  <w:tcW w:w="742" w:type="pct"/>
                  <w:vMerge w:val="continue"/>
                  <w:tcBorders>
                    <w:tl2br w:val="nil"/>
                    <w:tr2bl w:val="nil"/>
                  </w:tcBorders>
                  <w:vAlign w:val="center"/>
                </w:tcPr>
                <w:p w14:paraId="40B53865">
                  <w:pPr>
                    <w:adjustRightInd/>
                    <w:snapToGrid/>
                    <w:spacing w:after="0"/>
                    <w:jc w:val="center"/>
                    <w:rPr>
                      <w:rFonts w:hint="default" w:ascii="Times New Roman" w:hAnsi="Times New Roman" w:eastAsia="仿宋" w:cs="Times New Roman"/>
                      <w:sz w:val="21"/>
                      <w:szCs w:val="21"/>
                    </w:rPr>
                  </w:pPr>
                </w:p>
              </w:tc>
              <w:tc>
                <w:tcPr>
                  <w:tcW w:w="566" w:type="pct"/>
                  <w:tcBorders>
                    <w:tl2br w:val="nil"/>
                    <w:tr2bl w:val="nil"/>
                  </w:tcBorders>
                  <w:vAlign w:val="center"/>
                </w:tcPr>
                <w:p w14:paraId="3A2C3904">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日均值</w:t>
                  </w:r>
                </w:p>
              </w:tc>
              <w:tc>
                <w:tcPr>
                  <w:tcW w:w="724" w:type="pct"/>
                  <w:tcBorders>
                    <w:tl2br w:val="nil"/>
                    <w:tr2bl w:val="nil"/>
                  </w:tcBorders>
                  <w:vAlign w:val="center"/>
                </w:tcPr>
                <w:p w14:paraId="062CB68C">
                  <w:pPr>
                    <w:spacing w:after="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7.</w:t>
                  </w:r>
                  <w:r>
                    <w:rPr>
                      <w:rFonts w:hint="default" w:ascii="Times New Roman" w:hAnsi="Times New Roman" w:eastAsia="仿宋" w:cs="Times New Roman"/>
                      <w:sz w:val="21"/>
                      <w:szCs w:val="21"/>
                      <w:lang w:val="en-US" w:eastAsia="zh-CN"/>
                    </w:rPr>
                    <w:t>3</w:t>
                  </w:r>
                </w:p>
              </w:tc>
              <w:tc>
                <w:tcPr>
                  <w:tcW w:w="526" w:type="pct"/>
                  <w:tcBorders>
                    <w:tl2br w:val="nil"/>
                    <w:tr2bl w:val="nil"/>
                  </w:tcBorders>
                  <w:vAlign w:val="center"/>
                </w:tcPr>
                <w:p w14:paraId="1A02C768">
                  <w:pPr>
                    <w:spacing w:after="0"/>
                    <w:jc w:val="center"/>
                    <w:rPr>
                      <w:rFonts w:hint="default" w:ascii="Times New Roman" w:hAnsi="Times New Roman" w:eastAsia="仿宋" w:cs="Times New Roman"/>
                      <w:sz w:val="21"/>
                      <w:szCs w:val="21"/>
                      <w:lang w:val="en-US"/>
                    </w:rPr>
                  </w:pPr>
                  <w:r>
                    <w:rPr>
                      <w:rFonts w:hint="default" w:ascii="Times New Roman" w:hAnsi="Times New Roman" w:eastAsia="仿宋" w:cs="Times New Roman"/>
                      <w:sz w:val="21"/>
                      <w:szCs w:val="21"/>
                      <w:lang w:val="en-US" w:eastAsia="zh-CN"/>
                    </w:rPr>
                    <w:t>182</w:t>
                  </w:r>
                </w:p>
              </w:tc>
              <w:tc>
                <w:tcPr>
                  <w:tcW w:w="530" w:type="pct"/>
                  <w:tcBorders>
                    <w:tl2br w:val="nil"/>
                    <w:tr2bl w:val="nil"/>
                  </w:tcBorders>
                  <w:vAlign w:val="center"/>
                </w:tcPr>
                <w:p w14:paraId="397DC565">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98</w:t>
                  </w:r>
                </w:p>
              </w:tc>
              <w:tc>
                <w:tcPr>
                  <w:tcW w:w="493" w:type="pct"/>
                  <w:tcBorders>
                    <w:tl2br w:val="nil"/>
                    <w:tr2bl w:val="nil"/>
                  </w:tcBorders>
                  <w:vAlign w:val="center"/>
                </w:tcPr>
                <w:p w14:paraId="4ABF1BFA">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12</w:t>
                  </w:r>
                </w:p>
              </w:tc>
              <w:tc>
                <w:tcPr>
                  <w:tcW w:w="432" w:type="pct"/>
                  <w:tcBorders>
                    <w:tl2br w:val="nil"/>
                    <w:tr2bl w:val="nil"/>
                  </w:tcBorders>
                  <w:vAlign w:val="center"/>
                </w:tcPr>
                <w:p w14:paraId="57BD603E">
                  <w:pPr>
                    <w:spacing w:after="0"/>
                    <w:jc w:val="center"/>
                    <w:rPr>
                      <w:rFonts w:hint="default" w:ascii="Times New Roman" w:hAnsi="Times New Roman" w:eastAsia="仿宋" w:cs="Times New Roman"/>
                      <w:sz w:val="21"/>
                      <w:szCs w:val="21"/>
                      <w:lang w:val="en-US"/>
                    </w:rPr>
                  </w:pPr>
                  <w:r>
                    <w:rPr>
                      <w:rFonts w:hint="eastAsia" w:eastAsia="仿宋" w:cs="Times New Roman"/>
                      <w:sz w:val="21"/>
                      <w:szCs w:val="21"/>
                      <w:lang w:val="en-US" w:eastAsia="zh-CN"/>
                    </w:rPr>
                    <w:t>1.47</w:t>
                  </w:r>
                </w:p>
              </w:tc>
              <w:tc>
                <w:tcPr>
                  <w:tcW w:w="501" w:type="pct"/>
                  <w:tcBorders>
                    <w:tl2br w:val="nil"/>
                    <w:tr2bl w:val="nil"/>
                  </w:tcBorders>
                  <w:vAlign w:val="center"/>
                </w:tcPr>
                <w:p w14:paraId="4FB19B0F">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18.5</w:t>
                  </w:r>
                </w:p>
              </w:tc>
            </w:tr>
            <w:tr w14:paraId="742D6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3" w:type="pct"/>
                  <w:vMerge w:val="continue"/>
                  <w:tcBorders>
                    <w:tl2br w:val="nil"/>
                    <w:tr2bl w:val="nil"/>
                  </w:tcBorders>
                  <w:vAlign w:val="center"/>
                </w:tcPr>
                <w:p w14:paraId="1ECF578E">
                  <w:pPr>
                    <w:adjustRightInd/>
                    <w:snapToGrid/>
                    <w:spacing w:after="0"/>
                    <w:jc w:val="center"/>
                    <w:rPr>
                      <w:rFonts w:hint="default" w:ascii="Times New Roman" w:hAnsi="Times New Roman" w:eastAsia="仿宋" w:cs="Times New Roman"/>
                      <w:sz w:val="21"/>
                      <w:szCs w:val="21"/>
                    </w:rPr>
                  </w:pPr>
                </w:p>
              </w:tc>
              <w:tc>
                <w:tcPr>
                  <w:tcW w:w="742" w:type="pct"/>
                  <w:vMerge w:val="restart"/>
                  <w:tcBorders>
                    <w:tl2br w:val="nil"/>
                    <w:tr2bl w:val="nil"/>
                  </w:tcBorders>
                  <w:vAlign w:val="center"/>
                </w:tcPr>
                <w:p w14:paraId="1A29DA75">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2024.</w:t>
                  </w:r>
                  <w:r>
                    <w:rPr>
                      <w:rFonts w:hint="default" w:ascii="Times New Roman" w:hAnsi="Times New Roman" w:eastAsia="仿宋" w:cs="Times New Roman"/>
                      <w:sz w:val="21"/>
                      <w:szCs w:val="21"/>
                      <w:lang w:val="en-US" w:eastAsia="zh-CN"/>
                    </w:rPr>
                    <w:t>6</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w:t>
                  </w:r>
                  <w:r>
                    <w:rPr>
                      <w:rFonts w:hint="default" w:ascii="Times New Roman" w:hAnsi="Times New Roman" w:eastAsia="仿宋" w:cs="Times New Roman"/>
                      <w:sz w:val="21"/>
                      <w:szCs w:val="21"/>
                    </w:rPr>
                    <w:t>5</w:t>
                  </w:r>
                </w:p>
              </w:tc>
              <w:tc>
                <w:tcPr>
                  <w:tcW w:w="566" w:type="pct"/>
                  <w:tcBorders>
                    <w:tl2br w:val="nil"/>
                    <w:tr2bl w:val="nil"/>
                  </w:tcBorders>
                  <w:vAlign w:val="center"/>
                </w:tcPr>
                <w:p w14:paraId="61625C8D">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724" w:type="pct"/>
                  <w:tcBorders>
                    <w:tl2br w:val="nil"/>
                    <w:tr2bl w:val="nil"/>
                  </w:tcBorders>
                  <w:vAlign w:val="center"/>
                </w:tcPr>
                <w:p w14:paraId="4AFA0BA3">
                  <w:pPr>
                    <w:spacing w:after="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7.</w:t>
                  </w:r>
                  <w:r>
                    <w:rPr>
                      <w:rFonts w:hint="default" w:ascii="Times New Roman" w:hAnsi="Times New Roman" w:eastAsia="仿宋" w:cs="Times New Roman"/>
                      <w:sz w:val="21"/>
                      <w:szCs w:val="21"/>
                      <w:lang w:val="en-US" w:eastAsia="zh-CN"/>
                    </w:rPr>
                    <w:t>3</w:t>
                  </w:r>
                </w:p>
              </w:tc>
              <w:tc>
                <w:tcPr>
                  <w:tcW w:w="526" w:type="pct"/>
                  <w:tcBorders>
                    <w:tl2br w:val="nil"/>
                    <w:tr2bl w:val="nil"/>
                  </w:tcBorders>
                  <w:vAlign w:val="center"/>
                </w:tcPr>
                <w:p w14:paraId="71373793">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182</w:t>
                  </w:r>
                </w:p>
              </w:tc>
              <w:tc>
                <w:tcPr>
                  <w:tcW w:w="530" w:type="pct"/>
                  <w:tcBorders>
                    <w:tl2br w:val="nil"/>
                    <w:tr2bl w:val="nil"/>
                  </w:tcBorders>
                  <w:vAlign w:val="center"/>
                </w:tcPr>
                <w:p w14:paraId="168D5D68">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95</w:t>
                  </w:r>
                </w:p>
              </w:tc>
              <w:tc>
                <w:tcPr>
                  <w:tcW w:w="493" w:type="pct"/>
                  <w:tcBorders>
                    <w:tl2br w:val="nil"/>
                    <w:tr2bl w:val="nil"/>
                  </w:tcBorders>
                  <w:vAlign w:val="center"/>
                </w:tcPr>
                <w:p w14:paraId="120AF82D">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11.2</w:t>
                  </w:r>
                </w:p>
              </w:tc>
              <w:tc>
                <w:tcPr>
                  <w:tcW w:w="432" w:type="pct"/>
                  <w:tcBorders>
                    <w:tl2br w:val="nil"/>
                    <w:tr2bl w:val="nil"/>
                  </w:tcBorders>
                  <w:vAlign w:val="center"/>
                </w:tcPr>
                <w:p w14:paraId="0F0198B8">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1.37</w:t>
                  </w:r>
                </w:p>
              </w:tc>
              <w:tc>
                <w:tcPr>
                  <w:tcW w:w="501" w:type="pct"/>
                  <w:tcBorders>
                    <w:tl2br w:val="nil"/>
                    <w:tr2bl w:val="nil"/>
                  </w:tcBorders>
                  <w:vAlign w:val="center"/>
                </w:tcPr>
                <w:p w14:paraId="02392620">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16.9</w:t>
                  </w:r>
                </w:p>
              </w:tc>
            </w:tr>
            <w:tr w14:paraId="3840F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pct"/>
                  <w:vMerge w:val="continue"/>
                  <w:tcBorders>
                    <w:tl2br w:val="nil"/>
                    <w:tr2bl w:val="nil"/>
                  </w:tcBorders>
                  <w:vAlign w:val="center"/>
                </w:tcPr>
                <w:p w14:paraId="10474A8D">
                  <w:pPr>
                    <w:adjustRightInd/>
                    <w:snapToGrid/>
                    <w:spacing w:after="0"/>
                    <w:jc w:val="center"/>
                    <w:rPr>
                      <w:rFonts w:hint="default" w:ascii="Times New Roman" w:hAnsi="Times New Roman" w:eastAsia="仿宋" w:cs="Times New Roman"/>
                      <w:sz w:val="21"/>
                      <w:szCs w:val="21"/>
                    </w:rPr>
                  </w:pPr>
                </w:p>
              </w:tc>
              <w:tc>
                <w:tcPr>
                  <w:tcW w:w="742" w:type="pct"/>
                  <w:vMerge w:val="continue"/>
                  <w:tcBorders>
                    <w:tl2br w:val="nil"/>
                    <w:tr2bl w:val="nil"/>
                  </w:tcBorders>
                  <w:vAlign w:val="center"/>
                </w:tcPr>
                <w:p w14:paraId="0AF2C896">
                  <w:pPr>
                    <w:adjustRightInd/>
                    <w:snapToGrid/>
                    <w:spacing w:after="0"/>
                    <w:jc w:val="center"/>
                    <w:rPr>
                      <w:rFonts w:hint="default" w:ascii="Times New Roman" w:hAnsi="Times New Roman" w:eastAsia="仿宋" w:cs="Times New Roman"/>
                      <w:sz w:val="21"/>
                      <w:szCs w:val="21"/>
                    </w:rPr>
                  </w:pPr>
                </w:p>
              </w:tc>
              <w:tc>
                <w:tcPr>
                  <w:tcW w:w="566" w:type="pct"/>
                  <w:tcBorders>
                    <w:tl2br w:val="nil"/>
                    <w:tr2bl w:val="nil"/>
                  </w:tcBorders>
                  <w:vAlign w:val="center"/>
                </w:tcPr>
                <w:p w14:paraId="4BA71D9C">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724" w:type="pct"/>
                  <w:tcBorders>
                    <w:tl2br w:val="nil"/>
                    <w:tr2bl w:val="nil"/>
                  </w:tcBorders>
                  <w:vAlign w:val="center"/>
                </w:tcPr>
                <w:p w14:paraId="65593562">
                  <w:pPr>
                    <w:spacing w:after="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7.</w:t>
                  </w:r>
                  <w:r>
                    <w:rPr>
                      <w:rFonts w:hint="default" w:ascii="Times New Roman" w:hAnsi="Times New Roman" w:eastAsia="仿宋" w:cs="Times New Roman"/>
                      <w:sz w:val="21"/>
                      <w:szCs w:val="21"/>
                      <w:lang w:val="en-US" w:eastAsia="zh-CN"/>
                    </w:rPr>
                    <w:t>2</w:t>
                  </w:r>
                </w:p>
              </w:tc>
              <w:tc>
                <w:tcPr>
                  <w:tcW w:w="526" w:type="pct"/>
                  <w:tcBorders>
                    <w:tl2br w:val="nil"/>
                    <w:tr2bl w:val="nil"/>
                  </w:tcBorders>
                  <w:vAlign w:val="center"/>
                </w:tcPr>
                <w:p w14:paraId="096B85C9">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186</w:t>
                  </w:r>
                </w:p>
              </w:tc>
              <w:tc>
                <w:tcPr>
                  <w:tcW w:w="530" w:type="pct"/>
                  <w:tcBorders>
                    <w:tl2br w:val="nil"/>
                    <w:tr2bl w:val="nil"/>
                  </w:tcBorders>
                  <w:vAlign w:val="center"/>
                </w:tcPr>
                <w:p w14:paraId="6FE2847F">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101</w:t>
                  </w:r>
                </w:p>
              </w:tc>
              <w:tc>
                <w:tcPr>
                  <w:tcW w:w="493" w:type="pct"/>
                  <w:tcBorders>
                    <w:tl2br w:val="nil"/>
                    <w:tr2bl w:val="nil"/>
                  </w:tcBorders>
                  <w:vAlign w:val="center"/>
                </w:tcPr>
                <w:p w14:paraId="2E2FBC4B">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12.5</w:t>
                  </w:r>
                </w:p>
              </w:tc>
              <w:tc>
                <w:tcPr>
                  <w:tcW w:w="432" w:type="pct"/>
                  <w:tcBorders>
                    <w:tl2br w:val="nil"/>
                    <w:tr2bl w:val="nil"/>
                  </w:tcBorders>
                  <w:vAlign w:val="center"/>
                </w:tcPr>
                <w:p w14:paraId="1F2004CE">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1.55</w:t>
                  </w:r>
                </w:p>
              </w:tc>
              <w:tc>
                <w:tcPr>
                  <w:tcW w:w="501" w:type="pct"/>
                  <w:tcBorders>
                    <w:tl2br w:val="nil"/>
                    <w:tr2bl w:val="nil"/>
                  </w:tcBorders>
                  <w:vAlign w:val="center"/>
                </w:tcPr>
                <w:p w14:paraId="64F42239">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20.3</w:t>
                  </w:r>
                </w:p>
              </w:tc>
            </w:tr>
            <w:tr w14:paraId="3F2B1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3" w:type="pct"/>
                  <w:vMerge w:val="continue"/>
                  <w:tcBorders>
                    <w:tl2br w:val="nil"/>
                    <w:tr2bl w:val="nil"/>
                  </w:tcBorders>
                  <w:vAlign w:val="center"/>
                </w:tcPr>
                <w:p w14:paraId="6BBE480D">
                  <w:pPr>
                    <w:adjustRightInd/>
                    <w:snapToGrid/>
                    <w:spacing w:after="0"/>
                    <w:jc w:val="center"/>
                    <w:rPr>
                      <w:rFonts w:hint="default" w:ascii="Times New Roman" w:hAnsi="Times New Roman" w:eastAsia="仿宋" w:cs="Times New Roman"/>
                      <w:sz w:val="21"/>
                      <w:szCs w:val="21"/>
                    </w:rPr>
                  </w:pPr>
                </w:p>
              </w:tc>
              <w:tc>
                <w:tcPr>
                  <w:tcW w:w="742" w:type="pct"/>
                  <w:vMerge w:val="continue"/>
                  <w:tcBorders>
                    <w:tl2br w:val="nil"/>
                    <w:tr2bl w:val="nil"/>
                  </w:tcBorders>
                  <w:vAlign w:val="center"/>
                </w:tcPr>
                <w:p w14:paraId="52F518B3">
                  <w:pPr>
                    <w:adjustRightInd/>
                    <w:snapToGrid/>
                    <w:spacing w:after="0"/>
                    <w:jc w:val="center"/>
                    <w:rPr>
                      <w:rFonts w:hint="default" w:ascii="Times New Roman" w:hAnsi="Times New Roman" w:eastAsia="仿宋" w:cs="Times New Roman"/>
                      <w:sz w:val="21"/>
                      <w:szCs w:val="21"/>
                    </w:rPr>
                  </w:pPr>
                </w:p>
              </w:tc>
              <w:tc>
                <w:tcPr>
                  <w:tcW w:w="566" w:type="pct"/>
                  <w:tcBorders>
                    <w:tl2br w:val="nil"/>
                    <w:tr2bl w:val="nil"/>
                  </w:tcBorders>
                  <w:vAlign w:val="center"/>
                </w:tcPr>
                <w:p w14:paraId="445EE8A9">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724" w:type="pct"/>
                  <w:tcBorders>
                    <w:tl2br w:val="nil"/>
                    <w:tr2bl w:val="nil"/>
                  </w:tcBorders>
                  <w:vAlign w:val="center"/>
                </w:tcPr>
                <w:p w14:paraId="44FAB53F">
                  <w:pPr>
                    <w:spacing w:after="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7.</w:t>
                  </w:r>
                  <w:r>
                    <w:rPr>
                      <w:rFonts w:hint="default" w:ascii="Times New Roman" w:hAnsi="Times New Roman" w:eastAsia="仿宋" w:cs="Times New Roman"/>
                      <w:sz w:val="21"/>
                      <w:szCs w:val="21"/>
                      <w:lang w:val="en-US" w:eastAsia="zh-CN"/>
                    </w:rPr>
                    <w:t>2</w:t>
                  </w:r>
                </w:p>
              </w:tc>
              <w:tc>
                <w:tcPr>
                  <w:tcW w:w="526" w:type="pct"/>
                  <w:tcBorders>
                    <w:tl2br w:val="nil"/>
                    <w:tr2bl w:val="nil"/>
                  </w:tcBorders>
                  <w:vAlign w:val="center"/>
                </w:tcPr>
                <w:p w14:paraId="426C7ABD">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186</w:t>
                  </w:r>
                </w:p>
              </w:tc>
              <w:tc>
                <w:tcPr>
                  <w:tcW w:w="530" w:type="pct"/>
                  <w:tcBorders>
                    <w:tl2br w:val="nil"/>
                    <w:tr2bl w:val="nil"/>
                  </w:tcBorders>
                  <w:vAlign w:val="center"/>
                </w:tcPr>
                <w:p w14:paraId="01ABD074">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96</w:t>
                  </w:r>
                </w:p>
              </w:tc>
              <w:tc>
                <w:tcPr>
                  <w:tcW w:w="493" w:type="pct"/>
                  <w:tcBorders>
                    <w:tl2br w:val="nil"/>
                    <w:tr2bl w:val="nil"/>
                  </w:tcBorders>
                  <w:vAlign w:val="center"/>
                </w:tcPr>
                <w:p w14:paraId="59CAD2C6">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11.9</w:t>
                  </w:r>
                </w:p>
              </w:tc>
              <w:tc>
                <w:tcPr>
                  <w:tcW w:w="432" w:type="pct"/>
                  <w:tcBorders>
                    <w:tl2br w:val="nil"/>
                    <w:tr2bl w:val="nil"/>
                  </w:tcBorders>
                  <w:vAlign w:val="center"/>
                </w:tcPr>
                <w:p w14:paraId="0C070056">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1.18</w:t>
                  </w:r>
                </w:p>
              </w:tc>
              <w:tc>
                <w:tcPr>
                  <w:tcW w:w="501" w:type="pct"/>
                  <w:tcBorders>
                    <w:tl2br w:val="nil"/>
                    <w:tr2bl w:val="nil"/>
                  </w:tcBorders>
                  <w:vAlign w:val="center"/>
                </w:tcPr>
                <w:p w14:paraId="4F4333B0">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18.2</w:t>
                  </w:r>
                </w:p>
              </w:tc>
            </w:tr>
            <w:tr w14:paraId="162BF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83" w:type="pct"/>
                  <w:vMerge w:val="continue"/>
                  <w:tcBorders>
                    <w:tl2br w:val="nil"/>
                    <w:tr2bl w:val="nil"/>
                  </w:tcBorders>
                  <w:vAlign w:val="center"/>
                </w:tcPr>
                <w:p w14:paraId="38BE7E38">
                  <w:pPr>
                    <w:adjustRightInd/>
                    <w:snapToGrid/>
                    <w:spacing w:after="0"/>
                    <w:jc w:val="center"/>
                    <w:rPr>
                      <w:rFonts w:hint="default" w:ascii="Times New Roman" w:hAnsi="Times New Roman" w:eastAsia="仿宋" w:cs="Times New Roman"/>
                      <w:sz w:val="21"/>
                      <w:szCs w:val="21"/>
                    </w:rPr>
                  </w:pPr>
                </w:p>
              </w:tc>
              <w:tc>
                <w:tcPr>
                  <w:tcW w:w="742" w:type="pct"/>
                  <w:vMerge w:val="continue"/>
                  <w:tcBorders>
                    <w:tl2br w:val="nil"/>
                    <w:tr2bl w:val="nil"/>
                  </w:tcBorders>
                  <w:vAlign w:val="center"/>
                </w:tcPr>
                <w:p w14:paraId="5D709D2D">
                  <w:pPr>
                    <w:adjustRightInd/>
                    <w:snapToGrid/>
                    <w:spacing w:after="0"/>
                    <w:jc w:val="center"/>
                    <w:rPr>
                      <w:rFonts w:hint="default" w:ascii="Times New Roman" w:hAnsi="Times New Roman" w:eastAsia="仿宋" w:cs="Times New Roman"/>
                      <w:sz w:val="21"/>
                      <w:szCs w:val="21"/>
                    </w:rPr>
                  </w:pPr>
                </w:p>
              </w:tc>
              <w:tc>
                <w:tcPr>
                  <w:tcW w:w="566" w:type="pct"/>
                  <w:tcBorders>
                    <w:tl2br w:val="nil"/>
                    <w:tr2bl w:val="nil"/>
                  </w:tcBorders>
                  <w:vAlign w:val="center"/>
                </w:tcPr>
                <w:p w14:paraId="2821B22F">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第四次</w:t>
                  </w:r>
                </w:p>
              </w:tc>
              <w:tc>
                <w:tcPr>
                  <w:tcW w:w="724" w:type="pct"/>
                  <w:tcBorders>
                    <w:tl2br w:val="nil"/>
                    <w:tr2bl w:val="nil"/>
                  </w:tcBorders>
                  <w:vAlign w:val="center"/>
                </w:tcPr>
                <w:p w14:paraId="4C39C1CE">
                  <w:pPr>
                    <w:spacing w:after="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7.</w:t>
                  </w:r>
                  <w:r>
                    <w:rPr>
                      <w:rFonts w:hint="default" w:ascii="Times New Roman" w:hAnsi="Times New Roman" w:eastAsia="仿宋" w:cs="Times New Roman"/>
                      <w:sz w:val="21"/>
                      <w:szCs w:val="21"/>
                      <w:lang w:val="en-US" w:eastAsia="zh-CN"/>
                    </w:rPr>
                    <w:t>1</w:t>
                  </w:r>
                </w:p>
              </w:tc>
              <w:tc>
                <w:tcPr>
                  <w:tcW w:w="526" w:type="pct"/>
                  <w:tcBorders>
                    <w:tl2br w:val="nil"/>
                    <w:tr2bl w:val="nil"/>
                  </w:tcBorders>
                  <w:vAlign w:val="center"/>
                </w:tcPr>
                <w:p w14:paraId="7F2C566A">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180</w:t>
                  </w:r>
                </w:p>
              </w:tc>
              <w:tc>
                <w:tcPr>
                  <w:tcW w:w="530" w:type="pct"/>
                  <w:tcBorders>
                    <w:tl2br w:val="nil"/>
                    <w:tr2bl w:val="nil"/>
                  </w:tcBorders>
                  <w:vAlign w:val="center"/>
                </w:tcPr>
                <w:p w14:paraId="6E5C24B5">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103</w:t>
                  </w:r>
                </w:p>
              </w:tc>
              <w:tc>
                <w:tcPr>
                  <w:tcW w:w="493" w:type="pct"/>
                  <w:tcBorders>
                    <w:tl2br w:val="nil"/>
                    <w:tr2bl w:val="nil"/>
                  </w:tcBorders>
                  <w:vAlign w:val="center"/>
                </w:tcPr>
                <w:p w14:paraId="3824EDD8">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12.7</w:t>
                  </w:r>
                </w:p>
              </w:tc>
              <w:tc>
                <w:tcPr>
                  <w:tcW w:w="432" w:type="pct"/>
                  <w:tcBorders>
                    <w:tl2br w:val="nil"/>
                    <w:tr2bl w:val="nil"/>
                  </w:tcBorders>
                  <w:vAlign w:val="center"/>
                </w:tcPr>
                <w:p w14:paraId="72ED2D0B">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1.7</w:t>
                  </w:r>
                </w:p>
              </w:tc>
              <w:tc>
                <w:tcPr>
                  <w:tcW w:w="501" w:type="pct"/>
                  <w:tcBorders>
                    <w:tl2br w:val="nil"/>
                    <w:tr2bl w:val="nil"/>
                  </w:tcBorders>
                  <w:vAlign w:val="center"/>
                </w:tcPr>
                <w:p w14:paraId="2BB73FB6">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19.8</w:t>
                  </w:r>
                </w:p>
              </w:tc>
            </w:tr>
            <w:tr w14:paraId="2FC8A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483" w:type="pct"/>
                  <w:vMerge w:val="continue"/>
                  <w:tcBorders>
                    <w:tl2br w:val="nil"/>
                    <w:tr2bl w:val="nil"/>
                  </w:tcBorders>
                  <w:vAlign w:val="center"/>
                </w:tcPr>
                <w:p w14:paraId="60B1F29F">
                  <w:pPr>
                    <w:adjustRightInd/>
                    <w:snapToGrid/>
                    <w:spacing w:after="0"/>
                    <w:jc w:val="center"/>
                    <w:rPr>
                      <w:rFonts w:hint="default" w:ascii="Times New Roman" w:hAnsi="Times New Roman" w:eastAsia="仿宋" w:cs="Times New Roman"/>
                      <w:sz w:val="21"/>
                      <w:szCs w:val="21"/>
                    </w:rPr>
                  </w:pPr>
                </w:p>
              </w:tc>
              <w:tc>
                <w:tcPr>
                  <w:tcW w:w="742" w:type="pct"/>
                  <w:vMerge w:val="continue"/>
                  <w:tcBorders>
                    <w:tl2br w:val="nil"/>
                    <w:tr2bl w:val="nil"/>
                  </w:tcBorders>
                  <w:vAlign w:val="center"/>
                </w:tcPr>
                <w:p w14:paraId="7404B87C">
                  <w:pPr>
                    <w:adjustRightInd/>
                    <w:snapToGrid/>
                    <w:spacing w:after="0"/>
                    <w:jc w:val="center"/>
                    <w:rPr>
                      <w:rFonts w:hint="default" w:ascii="Times New Roman" w:hAnsi="Times New Roman" w:eastAsia="仿宋" w:cs="Times New Roman"/>
                      <w:sz w:val="21"/>
                      <w:szCs w:val="21"/>
                    </w:rPr>
                  </w:pPr>
                </w:p>
              </w:tc>
              <w:tc>
                <w:tcPr>
                  <w:tcW w:w="566" w:type="pct"/>
                  <w:tcBorders>
                    <w:tl2br w:val="nil"/>
                    <w:tr2bl w:val="nil"/>
                  </w:tcBorders>
                  <w:vAlign w:val="center"/>
                </w:tcPr>
                <w:p w14:paraId="50DDF2BC">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日均值</w:t>
                  </w:r>
                </w:p>
              </w:tc>
              <w:tc>
                <w:tcPr>
                  <w:tcW w:w="724" w:type="pct"/>
                  <w:tcBorders>
                    <w:tl2br w:val="nil"/>
                    <w:tr2bl w:val="nil"/>
                  </w:tcBorders>
                  <w:vAlign w:val="center"/>
                </w:tcPr>
                <w:p w14:paraId="71E507F6">
                  <w:pPr>
                    <w:spacing w:after="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val="en-US" w:eastAsia="zh-CN"/>
                    </w:rPr>
                    <w:t>7.2</w:t>
                  </w:r>
                </w:p>
              </w:tc>
              <w:tc>
                <w:tcPr>
                  <w:tcW w:w="526" w:type="pct"/>
                  <w:tcBorders>
                    <w:tl2br w:val="nil"/>
                    <w:tr2bl w:val="nil"/>
                  </w:tcBorders>
                  <w:vAlign w:val="center"/>
                </w:tcPr>
                <w:p w14:paraId="623EEF96">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183</w:t>
                  </w:r>
                </w:p>
              </w:tc>
              <w:tc>
                <w:tcPr>
                  <w:tcW w:w="530" w:type="pct"/>
                  <w:tcBorders>
                    <w:tl2br w:val="nil"/>
                    <w:tr2bl w:val="nil"/>
                  </w:tcBorders>
                  <w:vAlign w:val="center"/>
                </w:tcPr>
                <w:p w14:paraId="5B634B31">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99</w:t>
                  </w:r>
                </w:p>
              </w:tc>
              <w:tc>
                <w:tcPr>
                  <w:tcW w:w="493" w:type="pct"/>
                  <w:tcBorders>
                    <w:tl2br w:val="nil"/>
                    <w:tr2bl w:val="nil"/>
                  </w:tcBorders>
                  <w:vAlign w:val="center"/>
                </w:tcPr>
                <w:p w14:paraId="38D128C2">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12.07</w:t>
                  </w:r>
                </w:p>
              </w:tc>
              <w:tc>
                <w:tcPr>
                  <w:tcW w:w="432" w:type="pct"/>
                  <w:tcBorders>
                    <w:tl2br w:val="nil"/>
                    <w:tr2bl w:val="nil"/>
                  </w:tcBorders>
                  <w:vAlign w:val="center"/>
                </w:tcPr>
                <w:p w14:paraId="302C23DD">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1.45</w:t>
                  </w:r>
                </w:p>
              </w:tc>
              <w:tc>
                <w:tcPr>
                  <w:tcW w:w="501" w:type="pct"/>
                  <w:tcBorders>
                    <w:tl2br w:val="nil"/>
                    <w:tr2bl w:val="nil"/>
                  </w:tcBorders>
                  <w:vAlign w:val="center"/>
                </w:tcPr>
                <w:p w14:paraId="789E1751">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18.8</w:t>
                  </w:r>
                </w:p>
              </w:tc>
            </w:tr>
            <w:tr w14:paraId="55164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2" w:type="pct"/>
                  <w:gridSpan w:val="3"/>
                  <w:tcBorders>
                    <w:tl2br w:val="nil"/>
                    <w:tr2bl w:val="nil"/>
                  </w:tcBorders>
                  <w:vAlign w:val="center"/>
                </w:tcPr>
                <w:p w14:paraId="3F4A68F2">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标准</w:t>
                  </w:r>
                  <w:r>
                    <w:rPr>
                      <w:rFonts w:hint="default" w:ascii="Times New Roman" w:hAnsi="Times New Roman" w:eastAsia="仿宋" w:cs="Times New Roman"/>
                      <w:sz w:val="21"/>
                      <w:szCs w:val="21"/>
                      <w:lang w:val="en-US" w:eastAsia="zh-CN"/>
                    </w:rPr>
                    <w:t>限值</w:t>
                  </w:r>
                </w:p>
              </w:tc>
              <w:tc>
                <w:tcPr>
                  <w:tcW w:w="724" w:type="pct"/>
                  <w:tcBorders>
                    <w:tl2br w:val="nil"/>
                    <w:tr2bl w:val="nil"/>
                  </w:tcBorders>
                  <w:vAlign w:val="center"/>
                </w:tcPr>
                <w:p w14:paraId="1696E205">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6～9</w:t>
                  </w:r>
                </w:p>
              </w:tc>
              <w:tc>
                <w:tcPr>
                  <w:tcW w:w="526" w:type="pct"/>
                  <w:tcBorders>
                    <w:tl2br w:val="nil"/>
                    <w:tr2bl w:val="nil"/>
                  </w:tcBorders>
                  <w:vAlign w:val="center"/>
                </w:tcPr>
                <w:p w14:paraId="580BE687">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500</w:t>
                  </w:r>
                </w:p>
              </w:tc>
              <w:tc>
                <w:tcPr>
                  <w:tcW w:w="530" w:type="pct"/>
                  <w:tcBorders>
                    <w:tl2br w:val="nil"/>
                    <w:tr2bl w:val="nil"/>
                  </w:tcBorders>
                  <w:vAlign w:val="center"/>
                </w:tcPr>
                <w:p w14:paraId="42D75D6E">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250</w:t>
                  </w:r>
                </w:p>
              </w:tc>
              <w:tc>
                <w:tcPr>
                  <w:tcW w:w="493" w:type="pct"/>
                  <w:tcBorders>
                    <w:tl2br w:val="nil"/>
                    <w:tr2bl w:val="nil"/>
                  </w:tcBorders>
                  <w:vAlign w:val="center"/>
                </w:tcPr>
                <w:p w14:paraId="3BF24921">
                  <w:pPr>
                    <w:spacing w:after="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3</w:t>
                  </w:r>
                  <w:r>
                    <w:rPr>
                      <w:rFonts w:hint="default" w:ascii="Times New Roman" w:hAnsi="Times New Roman" w:eastAsia="仿宋" w:cs="Times New Roman"/>
                      <w:sz w:val="21"/>
                      <w:szCs w:val="21"/>
                    </w:rPr>
                    <w:t>5</w:t>
                  </w:r>
                </w:p>
              </w:tc>
              <w:tc>
                <w:tcPr>
                  <w:tcW w:w="432" w:type="pct"/>
                  <w:tcBorders>
                    <w:tl2br w:val="nil"/>
                    <w:tr2bl w:val="nil"/>
                  </w:tcBorders>
                  <w:vAlign w:val="center"/>
                </w:tcPr>
                <w:p w14:paraId="6E8027EE">
                  <w:pPr>
                    <w:spacing w:after="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val="en-US" w:eastAsia="zh-CN"/>
                    </w:rPr>
                    <w:t>3</w:t>
                  </w:r>
                </w:p>
              </w:tc>
              <w:tc>
                <w:tcPr>
                  <w:tcW w:w="501" w:type="pct"/>
                  <w:tcBorders>
                    <w:tl2br w:val="nil"/>
                    <w:tr2bl w:val="nil"/>
                  </w:tcBorders>
                  <w:vAlign w:val="center"/>
                </w:tcPr>
                <w:p w14:paraId="6E5BC759">
                  <w:pPr>
                    <w:spacing w:after="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w:t>
                  </w:r>
                </w:p>
              </w:tc>
            </w:tr>
          </w:tbl>
          <w:p w14:paraId="479D4AD4">
            <w:pPr>
              <w:spacing w:before="120" w:beforeLines="50" w:line="360" w:lineRule="auto"/>
              <w:ind w:firstLine="480" w:firstLineChars="200"/>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color w:val="auto"/>
                <w:sz w:val="24"/>
              </w:rPr>
              <w:t>由上表可知，</w:t>
            </w:r>
            <w:r>
              <w:rPr>
                <w:rFonts w:hint="default" w:ascii="Times New Roman" w:hAnsi="Times New Roman" w:eastAsia="仿宋" w:cs="Times New Roman"/>
                <w:color w:val="auto"/>
                <w:sz w:val="24"/>
                <w:lang w:val="en-US" w:eastAsia="zh-CN"/>
              </w:rPr>
              <w:t>污水排放口</w:t>
            </w:r>
            <w:r>
              <w:rPr>
                <w:rFonts w:hint="default" w:ascii="Times New Roman" w:hAnsi="Times New Roman" w:eastAsia="仿宋" w:cs="Times New Roman"/>
                <w:color w:val="auto"/>
                <w:sz w:val="24"/>
              </w:rPr>
              <w:t>所排污水中化学需氧量、悬浮物、总磷、氨氮、总氮</w:t>
            </w:r>
            <w:r>
              <w:rPr>
                <w:rFonts w:hint="default" w:ascii="Times New Roman" w:hAnsi="Times New Roman" w:eastAsia="仿宋" w:cs="Times New Roman"/>
                <w:color w:val="auto"/>
                <w:sz w:val="24"/>
                <w:lang w:val="en-US" w:eastAsia="zh-CN"/>
              </w:rPr>
              <w:t>及</w:t>
            </w:r>
            <w:r>
              <w:rPr>
                <w:rFonts w:hint="default" w:ascii="Times New Roman" w:hAnsi="Times New Roman" w:eastAsia="仿宋" w:cs="Times New Roman"/>
                <w:color w:val="auto"/>
                <w:sz w:val="24"/>
              </w:rPr>
              <w:t>pH值浓度均符合常州金坛</w:t>
            </w:r>
            <w:r>
              <w:rPr>
                <w:rFonts w:hint="default" w:ascii="Times New Roman" w:hAnsi="Times New Roman" w:eastAsia="仿宋" w:cs="Times New Roman"/>
                <w:color w:val="auto"/>
                <w:sz w:val="24"/>
                <w:lang w:val="en-US" w:eastAsia="zh-CN"/>
              </w:rPr>
              <w:t>区</w:t>
            </w:r>
            <w:r>
              <w:rPr>
                <w:rFonts w:hint="default" w:ascii="Times New Roman" w:hAnsi="Times New Roman" w:eastAsia="仿宋" w:cs="Times New Roman"/>
                <w:color w:val="auto"/>
                <w:sz w:val="24"/>
              </w:rPr>
              <w:t>第二污水处理厂接管标准。</w:t>
            </w:r>
          </w:p>
          <w:p w14:paraId="5271B1DA">
            <w:pPr>
              <w:numPr>
                <w:ilvl w:val="0"/>
                <w:numId w:val="8"/>
              </w:num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废气</w:t>
            </w:r>
          </w:p>
          <w:p w14:paraId="3370BD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pacing w:val="4"/>
                <w:sz w:val="24"/>
                <w:lang w:val="en-US" w:eastAsia="zh-CN"/>
              </w:rPr>
            </w:pPr>
            <w:r>
              <w:rPr>
                <w:rFonts w:hint="default" w:ascii="Times New Roman" w:hAnsi="Times New Roman" w:eastAsia="仿宋" w:cs="Times New Roman"/>
                <w:color w:val="auto"/>
                <w:sz w:val="24"/>
                <w:lang w:val="en-US" w:eastAsia="zh-CN"/>
              </w:rPr>
              <w:t>现有项目D7车间注塑、上胶、烘干、固化废气收集后送入1套两级活性炭吸附装置处理后，最终通过1根15米高排气筒FQ-1排放；D7车间植绒废气收集后送入1套布袋除尘装置处理后，最终通过1根15米高排气筒FQ-2排放；F16车间注塑</w:t>
            </w:r>
            <w:r>
              <w:rPr>
                <w:rFonts w:hint="eastAsia" w:eastAsia="仿宋" w:cs="Times New Roman"/>
                <w:color w:val="auto"/>
                <w:sz w:val="24"/>
                <w:lang w:val="en-US" w:eastAsia="zh-CN"/>
              </w:rPr>
              <w:t>、装配废气</w:t>
            </w:r>
            <w:r>
              <w:rPr>
                <w:rFonts w:hint="default" w:ascii="Times New Roman" w:hAnsi="Times New Roman" w:eastAsia="仿宋" w:cs="Times New Roman"/>
                <w:color w:val="auto"/>
                <w:sz w:val="24"/>
                <w:lang w:val="en-US" w:eastAsia="zh-CN"/>
              </w:rPr>
              <w:t>经收集后送入1套两级活性炭吸附装置处理后，最终通过1根15米高排气筒FQ-3排放。</w:t>
            </w:r>
            <w:r>
              <w:rPr>
                <w:rFonts w:hint="default" w:ascii="Times New Roman" w:hAnsi="Times New Roman" w:eastAsia="仿宋" w:cs="Times New Roman"/>
                <w:color w:val="auto"/>
                <w:spacing w:val="4"/>
                <w:sz w:val="24"/>
              </w:rPr>
              <w:t>现有项目</w:t>
            </w:r>
            <w:r>
              <w:rPr>
                <w:rFonts w:hint="default" w:ascii="Times New Roman" w:hAnsi="Times New Roman" w:eastAsia="仿宋" w:cs="Times New Roman"/>
                <w:color w:val="auto"/>
                <w:spacing w:val="4"/>
                <w:sz w:val="24"/>
                <w:lang w:val="en-US" w:eastAsia="zh-CN"/>
              </w:rPr>
              <w:t>废气污染防治措施见下表。</w:t>
            </w:r>
          </w:p>
          <w:p w14:paraId="102CA85C">
            <w:pPr>
              <w:spacing w:line="240" w:lineRule="auto"/>
              <w:ind w:left="0" w:leftChars="0" w:right="0" w:rightChars="0" w:firstLine="0" w:firstLineChars="0"/>
              <w:jc w:val="center"/>
              <w:rPr>
                <w:rFonts w:hint="default" w:ascii="Times New Roman" w:hAnsi="Times New Roman" w:eastAsia="仿宋" w:cs="Times New Roman"/>
                <w:b/>
                <w:bCs/>
                <w:color w:val="auto"/>
                <w:spacing w:val="4"/>
                <w:sz w:val="24"/>
                <w:lang w:val="en-US" w:eastAsia="zh-CN"/>
              </w:rPr>
            </w:pPr>
            <w:r>
              <w:rPr>
                <w:rFonts w:hint="default" w:ascii="Times New Roman" w:hAnsi="Times New Roman" w:eastAsia="仿宋" w:cs="Times New Roman"/>
                <w:b/>
                <w:bCs/>
                <w:color w:val="auto"/>
                <w:spacing w:val="4"/>
                <w:sz w:val="24"/>
                <w:lang w:val="en-US" w:eastAsia="zh-CN"/>
              </w:rPr>
              <w:t>表2-1</w:t>
            </w:r>
            <w:r>
              <w:rPr>
                <w:rFonts w:hint="eastAsia" w:eastAsia="仿宋" w:cs="Times New Roman"/>
                <w:b/>
                <w:bCs/>
                <w:color w:val="auto"/>
                <w:spacing w:val="4"/>
                <w:sz w:val="24"/>
                <w:lang w:val="en-US" w:eastAsia="zh-CN"/>
              </w:rPr>
              <w:t>3</w:t>
            </w:r>
            <w:r>
              <w:rPr>
                <w:rFonts w:hint="default" w:ascii="Times New Roman" w:hAnsi="Times New Roman" w:eastAsia="仿宋" w:cs="Times New Roman"/>
                <w:b/>
                <w:bCs/>
                <w:color w:val="auto"/>
                <w:spacing w:val="4"/>
                <w:sz w:val="24"/>
                <w:lang w:val="en-US" w:eastAsia="zh-CN"/>
              </w:rPr>
              <w:t xml:space="preserve">  现有项目废气污染防治措施一览表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299"/>
              <w:gridCol w:w="1514"/>
              <w:gridCol w:w="2125"/>
              <w:gridCol w:w="1255"/>
              <w:gridCol w:w="1269"/>
            </w:tblGrid>
            <w:tr w14:paraId="5C749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pct"/>
                  <w:vMerge w:val="restart"/>
                  <w:tcBorders>
                    <w:tl2br w:val="nil"/>
                    <w:tr2bl w:val="nil"/>
                  </w:tcBorders>
                  <w:noWrap w:val="0"/>
                  <w:vAlign w:val="center"/>
                </w:tcPr>
                <w:p w14:paraId="5D56102F">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排放口</w:t>
                  </w:r>
                </w:p>
                <w:p w14:paraId="69232CD3">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编号</w:t>
                  </w:r>
                </w:p>
              </w:tc>
              <w:tc>
                <w:tcPr>
                  <w:tcW w:w="775" w:type="pct"/>
                  <w:vMerge w:val="restart"/>
                  <w:tcBorders>
                    <w:tl2br w:val="nil"/>
                    <w:tr2bl w:val="nil"/>
                  </w:tcBorders>
                  <w:noWrap w:val="0"/>
                  <w:vAlign w:val="center"/>
                </w:tcPr>
                <w:p w14:paraId="068048E8">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bCs/>
                      <w:color w:val="auto"/>
                      <w:sz w:val="18"/>
                      <w:szCs w:val="18"/>
                      <w:lang w:val="en-US" w:eastAsia="zh-CN"/>
                    </w:rPr>
                  </w:pPr>
                  <w:r>
                    <w:rPr>
                      <w:rFonts w:hint="eastAsia" w:ascii="Times New Roman" w:hAnsi="Times New Roman" w:eastAsia="仿宋" w:cs="Times New Roman"/>
                      <w:b/>
                      <w:bCs/>
                      <w:color w:val="auto"/>
                      <w:sz w:val="18"/>
                      <w:szCs w:val="18"/>
                      <w:lang w:val="en-US" w:eastAsia="zh-CN"/>
                    </w:rPr>
                    <w:t>污染物产生环节</w:t>
                  </w:r>
                </w:p>
              </w:tc>
              <w:tc>
                <w:tcPr>
                  <w:tcW w:w="903" w:type="pct"/>
                  <w:vMerge w:val="restart"/>
                  <w:tcBorders>
                    <w:tl2br w:val="nil"/>
                    <w:tr2bl w:val="nil"/>
                  </w:tcBorders>
                  <w:noWrap w:val="0"/>
                  <w:vAlign w:val="center"/>
                </w:tcPr>
                <w:p w14:paraId="07F45412">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bCs/>
                      <w:color w:val="auto"/>
                      <w:sz w:val="18"/>
                      <w:szCs w:val="18"/>
                    </w:rPr>
                  </w:pPr>
                  <w:r>
                    <w:rPr>
                      <w:rFonts w:hint="default" w:ascii="Times New Roman" w:hAnsi="Times New Roman" w:eastAsia="仿宋" w:cs="Times New Roman"/>
                      <w:b/>
                      <w:bCs/>
                      <w:color w:val="auto"/>
                      <w:sz w:val="18"/>
                      <w:szCs w:val="18"/>
                    </w:rPr>
                    <w:t>污染物</w:t>
                  </w:r>
                </w:p>
              </w:tc>
              <w:tc>
                <w:tcPr>
                  <w:tcW w:w="1268" w:type="pct"/>
                  <w:vMerge w:val="restart"/>
                  <w:tcBorders>
                    <w:tl2br w:val="nil"/>
                    <w:tr2bl w:val="nil"/>
                  </w:tcBorders>
                  <w:noWrap w:val="0"/>
                  <w:vAlign w:val="center"/>
                </w:tcPr>
                <w:p w14:paraId="4E64FD1E">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color w:val="auto"/>
                      <w:kern w:val="0"/>
                      <w:sz w:val="18"/>
                      <w:szCs w:val="18"/>
                    </w:rPr>
                  </w:pPr>
                  <w:r>
                    <w:rPr>
                      <w:rFonts w:hint="default" w:ascii="Times New Roman" w:hAnsi="Times New Roman" w:eastAsia="仿宋" w:cs="Times New Roman"/>
                      <w:b/>
                      <w:color w:val="auto"/>
                      <w:kern w:val="0"/>
                      <w:sz w:val="18"/>
                      <w:szCs w:val="18"/>
                    </w:rPr>
                    <w:t>治理措施</w:t>
                  </w:r>
                </w:p>
              </w:tc>
              <w:tc>
                <w:tcPr>
                  <w:tcW w:w="1506" w:type="pct"/>
                  <w:gridSpan w:val="2"/>
                  <w:tcBorders>
                    <w:tl2br w:val="nil"/>
                    <w:tr2bl w:val="nil"/>
                  </w:tcBorders>
                  <w:noWrap w:val="0"/>
                  <w:vAlign w:val="center"/>
                </w:tcPr>
                <w:p w14:paraId="55DB5801">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color w:val="auto"/>
                      <w:kern w:val="0"/>
                      <w:sz w:val="18"/>
                      <w:szCs w:val="18"/>
                    </w:rPr>
                  </w:pPr>
                  <w:r>
                    <w:rPr>
                      <w:rFonts w:hint="default" w:ascii="Times New Roman" w:hAnsi="Times New Roman" w:eastAsia="仿宋" w:cs="Times New Roman"/>
                      <w:b/>
                      <w:color w:val="auto"/>
                      <w:kern w:val="0"/>
                      <w:sz w:val="18"/>
                      <w:szCs w:val="18"/>
                    </w:rPr>
                    <w:t>排放方式</w:t>
                  </w:r>
                </w:p>
              </w:tc>
            </w:tr>
            <w:tr w14:paraId="50F0D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pct"/>
                  <w:vMerge w:val="continue"/>
                  <w:tcBorders>
                    <w:tl2br w:val="nil"/>
                    <w:tr2bl w:val="nil"/>
                  </w:tcBorders>
                  <w:noWrap w:val="0"/>
                  <w:vAlign w:val="center"/>
                </w:tcPr>
                <w:p w14:paraId="1AA2BB04">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color w:val="auto"/>
                      <w:kern w:val="0"/>
                      <w:sz w:val="18"/>
                      <w:szCs w:val="18"/>
                    </w:rPr>
                  </w:pPr>
                </w:p>
              </w:tc>
              <w:tc>
                <w:tcPr>
                  <w:tcW w:w="775" w:type="pct"/>
                  <w:vMerge w:val="continue"/>
                  <w:tcBorders>
                    <w:tl2br w:val="nil"/>
                    <w:tr2bl w:val="nil"/>
                  </w:tcBorders>
                  <w:noWrap w:val="0"/>
                  <w:vAlign w:val="center"/>
                </w:tcPr>
                <w:p w14:paraId="5414925B">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bCs/>
                      <w:color w:val="auto"/>
                      <w:sz w:val="18"/>
                      <w:szCs w:val="18"/>
                    </w:rPr>
                  </w:pPr>
                </w:p>
              </w:tc>
              <w:tc>
                <w:tcPr>
                  <w:tcW w:w="903" w:type="pct"/>
                  <w:vMerge w:val="continue"/>
                  <w:tcBorders>
                    <w:tl2br w:val="nil"/>
                    <w:tr2bl w:val="nil"/>
                  </w:tcBorders>
                  <w:noWrap w:val="0"/>
                  <w:vAlign w:val="center"/>
                </w:tcPr>
                <w:p w14:paraId="7680E66C">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bCs/>
                      <w:color w:val="auto"/>
                      <w:sz w:val="18"/>
                      <w:szCs w:val="18"/>
                    </w:rPr>
                  </w:pPr>
                </w:p>
              </w:tc>
              <w:tc>
                <w:tcPr>
                  <w:tcW w:w="1268" w:type="pct"/>
                  <w:vMerge w:val="continue"/>
                  <w:tcBorders>
                    <w:tl2br w:val="nil"/>
                    <w:tr2bl w:val="nil"/>
                  </w:tcBorders>
                  <w:noWrap w:val="0"/>
                  <w:vAlign w:val="center"/>
                </w:tcPr>
                <w:p w14:paraId="3F9F7568">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color w:val="auto"/>
                      <w:kern w:val="0"/>
                      <w:sz w:val="18"/>
                      <w:szCs w:val="18"/>
                    </w:rPr>
                  </w:pPr>
                </w:p>
              </w:tc>
              <w:tc>
                <w:tcPr>
                  <w:tcW w:w="749" w:type="pct"/>
                  <w:tcBorders>
                    <w:tl2br w:val="nil"/>
                    <w:tr2bl w:val="nil"/>
                  </w:tcBorders>
                  <w:noWrap w:val="0"/>
                  <w:vAlign w:val="center"/>
                </w:tcPr>
                <w:p w14:paraId="1A77D0C0">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color w:val="auto"/>
                      <w:kern w:val="0"/>
                      <w:sz w:val="18"/>
                      <w:szCs w:val="18"/>
                    </w:rPr>
                  </w:pPr>
                  <w:r>
                    <w:rPr>
                      <w:rFonts w:hint="default" w:ascii="Times New Roman" w:hAnsi="Times New Roman" w:eastAsia="仿宋" w:cs="Times New Roman"/>
                      <w:b/>
                      <w:color w:val="auto"/>
                      <w:kern w:val="0"/>
                      <w:sz w:val="18"/>
                      <w:szCs w:val="18"/>
                    </w:rPr>
                    <w:t>排气筒高度（m）</w:t>
                  </w:r>
                </w:p>
              </w:tc>
              <w:tc>
                <w:tcPr>
                  <w:tcW w:w="757" w:type="pct"/>
                  <w:tcBorders>
                    <w:tl2br w:val="nil"/>
                    <w:tr2bl w:val="nil"/>
                  </w:tcBorders>
                  <w:noWrap w:val="0"/>
                  <w:vAlign w:val="center"/>
                </w:tcPr>
                <w:p w14:paraId="5793BF76">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color w:val="auto"/>
                      <w:kern w:val="0"/>
                      <w:sz w:val="18"/>
                      <w:szCs w:val="18"/>
                    </w:rPr>
                  </w:pPr>
                  <w:r>
                    <w:rPr>
                      <w:rFonts w:hint="default" w:ascii="Times New Roman" w:hAnsi="Times New Roman" w:eastAsia="仿宋" w:cs="Times New Roman"/>
                      <w:b/>
                      <w:color w:val="auto"/>
                      <w:kern w:val="0"/>
                      <w:sz w:val="18"/>
                      <w:szCs w:val="18"/>
                    </w:rPr>
                    <w:t>排气筒出口内径（m）</w:t>
                  </w:r>
                </w:p>
              </w:tc>
            </w:tr>
            <w:tr w14:paraId="6332A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pct"/>
                  <w:tcBorders>
                    <w:tl2br w:val="nil"/>
                    <w:tr2bl w:val="nil"/>
                  </w:tcBorders>
                  <w:noWrap w:val="0"/>
                  <w:vAlign w:val="center"/>
                </w:tcPr>
                <w:p w14:paraId="36639437">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FQ-1</w:t>
                  </w:r>
                </w:p>
              </w:tc>
              <w:tc>
                <w:tcPr>
                  <w:tcW w:w="775" w:type="pct"/>
                  <w:tcBorders>
                    <w:tl2br w:val="nil"/>
                    <w:tr2bl w:val="nil"/>
                  </w:tcBorders>
                  <w:noWrap w:val="0"/>
                  <w:vAlign w:val="center"/>
                </w:tcPr>
                <w:p w14:paraId="0CFCC82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注塑、上胶、烘干、固化</w:t>
                  </w:r>
                </w:p>
              </w:tc>
              <w:tc>
                <w:tcPr>
                  <w:tcW w:w="903" w:type="pct"/>
                  <w:tcBorders>
                    <w:tl2br w:val="nil"/>
                    <w:tr2bl w:val="nil"/>
                  </w:tcBorders>
                  <w:noWrap w:val="0"/>
                  <w:vAlign w:val="center"/>
                </w:tcPr>
                <w:p w14:paraId="252B1A35">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rPr>
                    <w:t>非甲烷总烃</w:t>
                  </w:r>
                  <w:r>
                    <w:rPr>
                      <w:rFonts w:hint="default" w:ascii="Times New Roman" w:hAnsi="Times New Roman" w:eastAsia="仿宋" w:cs="Times New Roman"/>
                      <w:color w:val="auto"/>
                      <w:sz w:val="18"/>
                      <w:szCs w:val="18"/>
                      <w:lang w:eastAsia="zh-CN"/>
                    </w:rPr>
                    <w:t>、</w:t>
                  </w:r>
                  <w:r>
                    <w:rPr>
                      <w:rFonts w:hint="default" w:ascii="Times New Roman" w:hAnsi="Times New Roman" w:eastAsia="仿宋" w:cs="Times New Roman"/>
                      <w:color w:val="auto"/>
                      <w:sz w:val="18"/>
                      <w:szCs w:val="18"/>
                      <w:lang w:val="en-US" w:eastAsia="zh-CN"/>
                    </w:rPr>
                    <w:t>二甲苯</w:t>
                  </w:r>
                </w:p>
              </w:tc>
              <w:tc>
                <w:tcPr>
                  <w:tcW w:w="1268" w:type="pct"/>
                  <w:tcBorders>
                    <w:tl2br w:val="nil"/>
                    <w:tr2bl w:val="nil"/>
                  </w:tcBorders>
                  <w:noWrap w:val="0"/>
                  <w:vAlign w:val="center"/>
                </w:tcPr>
                <w:p w14:paraId="7CB8929D">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Cs/>
                      <w:color w:val="auto"/>
                      <w:sz w:val="18"/>
                      <w:szCs w:val="18"/>
                    </w:rPr>
                  </w:pPr>
                  <w:r>
                    <w:rPr>
                      <w:rFonts w:hint="eastAsia" w:eastAsia="仿宋" w:cs="Times New Roman"/>
                      <w:color w:val="auto"/>
                      <w:sz w:val="18"/>
                      <w:szCs w:val="18"/>
                      <w:lang w:val="en-US" w:eastAsia="zh-CN"/>
                    </w:rPr>
                    <w:t>1#</w:t>
                  </w:r>
                  <w:r>
                    <w:rPr>
                      <w:rFonts w:hint="default" w:ascii="Times New Roman" w:hAnsi="Times New Roman" w:eastAsia="仿宋" w:cs="Times New Roman"/>
                      <w:color w:val="auto"/>
                      <w:sz w:val="18"/>
                      <w:szCs w:val="18"/>
                    </w:rPr>
                    <w:t>两级活性炭吸附装置</w:t>
                  </w:r>
                </w:p>
              </w:tc>
              <w:tc>
                <w:tcPr>
                  <w:tcW w:w="749" w:type="pct"/>
                  <w:tcBorders>
                    <w:tl2br w:val="nil"/>
                    <w:tr2bl w:val="nil"/>
                  </w:tcBorders>
                  <w:noWrap w:val="0"/>
                  <w:vAlign w:val="center"/>
                </w:tcPr>
                <w:p w14:paraId="1C20F1E6">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kern w:val="0"/>
                      <w:sz w:val="18"/>
                      <w:szCs w:val="18"/>
                    </w:rPr>
                  </w:pPr>
                  <w:r>
                    <w:rPr>
                      <w:rFonts w:hint="default" w:ascii="Times New Roman" w:hAnsi="Times New Roman" w:eastAsia="仿宋" w:cs="Times New Roman"/>
                      <w:color w:val="auto"/>
                      <w:kern w:val="0"/>
                      <w:sz w:val="18"/>
                      <w:szCs w:val="18"/>
                    </w:rPr>
                    <w:t>15</w:t>
                  </w:r>
                </w:p>
              </w:tc>
              <w:tc>
                <w:tcPr>
                  <w:tcW w:w="757" w:type="pct"/>
                  <w:tcBorders>
                    <w:tl2br w:val="nil"/>
                    <w:tr2bl w:val="nil"/>
                  </w:tcBorders>
                  <w:noWrap w:val="0"/>
                  <w:vAlign w:val="center"/>
                </w:tcPr>
                <w:p w14:paraId="2801D1F4">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sz w:val="18"/>
                      <w:szCs w:val="18"/>
                      <w:lang w:eastAsia="zh-CN"/>
                    </w:rPr>
                  </w:pPr>
                  <w:r>
                    <w:rPr>
                      <w:rFonts w:hint="default" w:ascii="Times New Roman" w:hAnsi="Times New Roman" w:eastAsia="仿宋" w:cs="Times New Roman"/>
                      <w:color w:val="auto"/>
                      <w:sz w:val="18"/>
                      <w:szCs w:val="18"/>
                    </w:rPr>
                    <w:t>0.</w:t>
                  </w:r>
                  <w:r>
                    <w:rPr>
                      <w:rFonts w:hint="default" w:ascii="Times New Roman" w:hAnsi="Times New Roman" w:eastAsia="仿宋" w:cs="Times New Roman"/>
                      <w:color w:val="auto"/>
                      <w:sz w:val="18"/>
                      <w:szCs w:val="18"/>
                      <w:lang w:val="en-US" w:eastAsia="zh-CN"/>
                    </w:rPr>
                    <w:t>8</w:t>
                  </w:r>
                </w:p>
              </w:tc>
            </w:tr>
            <w:tr w14:paraId="70832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pct"/>
                  <w:tcBorders>
                    <w:tl2br w:val="nil"/>
                    <w:tr2bl w:val="nil"/>
                  </w:tcBorders>
                  <w:noWrap w:val="0"/>
                  <w:vAlign w:val="center"/>
                </w:tcPr>
                <w:p w14:paraId="33EFDAD7">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FQ-</w:t>
                  </w:r>
                  <w:r>
                    <w:rPr>
                      <w:rFonts w:hint="eastAsia" w:ascii="Times New Roman" w:hAnsi="Times New Roman" w:eastAsia="仿宋" w:cs="Times New Roman"/>
                      <w:color w:val="auto"/>
                      <w:sz w:val="18"/>
                      <w:szCs w:val="18"/>
                      <w:lang w:val="en-US" w:eastAsia="zh-CN"/>
                    </w:rPr>
                    <w:t>2</w:t>
                  </w:r>
                </w:p>
              </w:tc>
              <w:tc>
                <w:tcPr>
                  <w:tcW w:w="775" w:type="pct"/>
                  <w:tcBorders>
                    <w:tl2br w:val="nil"/>
                    <w:tr2bl w:val="nil"/>
                  </w:tcBorders>
                  <w:noWrap w:val="0"/>
                  <w:vAlign w:val="center"/>
                </w:tcPr>
                <w:p w14:paraId="179770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植绒</w:t>
                  </w:r>
                </w:p>
              </w:tc>
              <w:tc>
                <w:tcPr>
                  <w:tcW w:w="903" w:type="pct"/>
                  <w:tcBorders>
                    <w:tl2br w:val="nil"/>
                    <w:tr2bl w:val="nil"/>
                  </w:tcBorders>
                  <w:noWrap w:val="0"/>
                  <w:vAlign w:val="center"/>
                </w:tcPr>
                <w:p w14:paraId="426618D2">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颗粒物</w:t>
                  </w:r>
                </w:p>
              </w:tc>
              <w:tc>
                <w:tcPr>
                  <w:tcW w:w="1268" w:type="pct"/>
                  <w:tcBorders>
                    <w:tl2br w:val="nil"/>
                    <w:tr2bl w:val="nil"/>
                  </w:tcBorders>
                  <w:noWrap w:val="0"/>
                  <w:vAlign w:val="center"/>
                </w:tcPr>
                <w:p w14:paraId="1A1819B3">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sz w:val="18"/>
                      <w:szCs w:val="18"/>
                      <w:lang w:val="en-US" w:eastAsia="zh-CN"/>
                    </w:rPr>
                  </w:pPr>
                  <w:r>
                    <w:rPr>
                      <w:rFonts w:hint="eastAsia" w:eastAsia="仿宋" w:cs="Times New Roman"/>
                      <w:color w:val="auto"/>
                      <w:sz w:val="18"/>
                      <w:szCs w:val="18"/>
                      <w:lang w:val="en-US" w:eastAsia="zh-CN"/>
                    </w:rPr>
                    <w:t>2#</w:t>
                  </w:r>
                  <w:r>
                    <w:rPr>
                      <w:rFonts w:hint="default" w:ascii="Times New Roman" w:hAnsi="Times New Roman" w:eastAsia="仿宋" w:cs="Times New Roman"/>
                      <w:color w:val="auto"/>
                      <w:sz w:val="18"/>
                      <w:szCs w:val="18"/>
                      <w:lang w:val="en-US" w:eastAsia="zh-CN"/>
                    </w:rPr>
                    <w:t>布袋除尘装置</w:t>
                  </w:r>
                </w:p>
              </w:tc>
              <w:tc>
                <w:tcPr>
                  <w:tcW w:w="749" w:type="pct"/>
                  <w:tcBorders>
                    <w:tl2br w:val="nil"/>
                    <w:tr2bl w:val="nil"/>
                  </w:tcBorders>
                  <w:shd w:val="clear" w:color="auto" w:fill="auto"/>
                  <w:noWrap w:val="0"/>
                  <w:vAlign w:val="center"/>
                </w:tcPr>
                <w:p w14:paraId="11FBDAE5">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kern w:val="0"/>
                      <w:sz w:val="18"/>
                      <w:szCs w:val="18"/>
                      <w:lang w:val="en-US" w:eastAsia="zh-CN" w:bidi="ar-SA"/>
                    </w:rPr>
                  </w:pPr>
                  <w:r>
                    <w:rPr>
                      <w:rFonts w:hint="default" w:ascii="Times New Roman" w:hAnsi="Times New Roman" w:eastAsia="仿宋" w:cs="Times New Roman"/>
                      <w:color w:val="auto"/>
                      <w:kern w:val="0"/>
                      <w:sz w:val="18"/>
                      <w:szCs w:val="18"/>
                    </w:rPr>
                    <w:t>15</w:t>
                  </w:r>
                </w:p>
              </w:tc>
              <w:tc>
                <w:tcPr>
                  <w:tcW w:w="757" w:type="pct"/>
                  <w:tcBorders>
                    <w:tl2br w:val="nil"/>
                    <w:tr2bl w:val="nil"/>
                  </w:tcBorders>
                  <w:shd w:val="clear" w:color="auto" w:fill="auto"/>
                  <w:noWrap w:val="0"/>
                  <w:vAlign w:val="center"/>
                </w:tcPr>
                <w:p w14:paraId="296C8B4B">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0.</w:t>
                  </w:r>
                  <w:r>
                    <w:rPr>
                      <w:rFonts w:hint="default" w:ascii="Times New Roman" w:hAnsi="Times New Roman" w:eastAsia="仿宋" w:cs="Times New Roman"/>
                      <w:color w:val="auto"/>
                      <w:sz w:val="18"/>
                      <w:szCs w:val="18"/>
                      <w:lang w:val="en-US" w:eastAsia="zh-CN"/>
                    </w:rPr>
                    <w:t>8</w:t>
                  </w:r>
                </w:p>
              </w:tc>
            </w:tr>
            <w:tr w14:paraId="2DBA3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pct"/>
                  <w:tcBorders>
                    <w:tl2br w:val="nil"/>
                    <w:tr2bl w:val="nil"/>
                  </w:tcBorders>
                  <w:noWrap w:val="0"/>
                  <w:vAlign w:val="center"/>
                </w:tcPr>
                <w:p w14:paraId="780F1744">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FQ-</w:t>
                  </w:r>
                  <w:r>
                    <w:rPr>
                      <w:rFonts w:hint="eastAsia" w:ascii="Times New Roman" w:hAnsi="Times New Roman" w:eastAsia="仿宋" w:cs="Times New Roman"/>
                      <w:color w:val="auto"/>
                      <w:sz w:val="18"/>
                      <w:szCs w:val="18"/>
                      <w:lang w:val="en-US" w:eastAsia="zh-CN"/>
                    </w:rPr>
                    <w:t>3</w:t>
                  </w:r>
                </w:p>
              </w:tc>
              <w:tc>
                <w:tcPr>
                  <w:tcW w:w="775" w:type="pct"/>
                  <w:tcBorders>
                    <w:tl2br w:val="nil"/>
                    <w:tr2bl w:val="nil"/>
                  </w:tcBorders>
                  <w:noWrap w:val="0"/>
                  <w:vAlign w:val="center"/>
                </w:tcPr>
                <w:p w14:paraId="7298A30A">
                  <w:pPr>
                    <w:keepNext w:val="0"/>
                    <w:keepLines w:val="0"/>
                    <w:pageBreakBefore w:val="0"/>
                    <w:widowControl w:val="0"/>
                    <w:tabs>
                      <w:tab w:val="left" w:pos="289"/>
                    </w:tabs>
                    <w:kinsoku/>
                    <w:wordWrap/>
                    <w:overflowPunct/>
                    <w:topLinePunct w:val="0"/>
                    <w:autoSpaceDE/>
                    <w:autoSpaceDN/>
                    <w:bidi w:val="0"/>
                    <w:adjustRightInd w:val="0"/>
                    <w:snapToGrid w:val="0"/>
                    <w:spacing w:line="240" w:lineRule="auto"/>
                    <w:ind w:left="0" w:leftChars="0" w:right="0" w:rightChars="0"/>
                    <w:jc w:val="left"/>
                    <w:textAlignment w:val="auto"/>
                    <w:rPr>
                      <w:rFonts w:hint="default" w:ascii="Times New Roman" w:hAnsi="Times New Roman" w:eastAsia="仿宋" w:cs="Times New Roman"/>
                      <w:color w:val="auto"/>
                      <w:sz w:val="18"/>
                      <w:szCs w:val="18"/>
                      <w:lang w:val="en-US" w:eastAsia="zh-CN"/>
                    </w:rPr>
                  </w:pPr>
                  <w:r>
                    <w:rPr>
                      <w:rFonts w:hint="eastAsia" w:eastAsia="仿宋" w:cs="Times New Roman"/>
                      <w:color w:val="auto"/>
                      <w:sz w:val="18"/>
                      <w:szCs w:val="18"/>
                      <w:lang w:val="en-US" w:eastAsia="zh-CN"/>
                    </w:rPr>
                    <w:t>注塑、装配</w:t>
                  </w:r>
                </w:p>
              </w:tc>
              <w:tc>
                <w:tcPr>
                  <w:tcW w:w="903" w:type="pct"/>
                  <w:tcBorders>
                    <w:tl2br w:val="nil"/>
                    <w:tr2bl w:val="nil"/>
                  </w:tcBorders>
                  <w:shd w:val="clear" w:color="auto" w:fill="auto"/>
                  <w:noWrap w:val="0"/>
                  <w:vAlign w:val="center"/>
                </w:tcPr>
                <w:p w14:paraId="5A44776C">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非甲烷总烃</w:t>
                  </w:r>
                </w:p>
              </w:tc>
              <w:tc>
                <w:tcPr>
                  <w:tcW w:w="1268" w:type="pct"/>
                  <w:tcBorders>
                    <w:tl2br w:val="nil"/>
                    <w:tr2bl w:val="nil"/>
                  </w:tcBorders>
                  <w:shd w:val="clear" w:color="auto" w:fill="auto"/>
                  <w:noWrap w:val="0"/>
                  <w:vAlign w:val="center"/>
                </w:tcPr>
                <w:p w14:paraId="5A2317F0">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Cs/>
                      <w:color w:val="auto"/>
                      <w:kern w:val="2"/>
                      <w:sz w:val="18"/>
                      <w:szCs w:val="18"/>
                      <w:lang w:val="en-US" w:eastAsia="zh-CN" w:bidi="ar-SA"/>
                    </w:rPr>
                  </w:pPr>
                  <w:r>
                    <w:rPr>
                      <w:rFonts w:hint="eastAsia" w:eastAsia="仿宋" w:cs="Times New Roman"/>
                      <w:color w:val="auto"/>
                      <w:sz w:val="18"/>
                      <w:szCs w:val="18"/>
                      <w:lang w:val="en-US" w:eastAsia="zh-CN"/>
                    </w:rPr>
                    <w:t>3#</w:t>
                  </w:r>
                  <w:r>
                    <w:rPr>
                      <w:rFonts w:hint="default" w:ascii="Times New Roman" w:hAnsi="Times New Roman" w:eastAsia="仿宋" w:cs="Times New Roman"/>
                      <w:color w:val="auto"/>
                      <w:sz w:val="18"/>
                      <w:szCs w:val="18"/>
                    </w:rPr>
                    <w:t>两级活性炭吸附装置</w:t>
                  </w:r>
                </w:p>
              </w:tc>
              <w:tc>
                <w:tcPr>
                  <w:tcW w:w="749" w:type="pct"/>
                  <w:tcBorders>
                    <w:tl2br w:val="nil"/>
                    <w:tr2bl w:val="nil"/>
                  </w:tcBorders>
                  <w:shd w:val="clear" w:color="auto" w:fill="auto"/>
                  <w:noWrap w:val="0"/>
                  <w:vAlign w:val="center"/>
                </w:tcPr>
                <w:p w14:paraId="1815B012">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kern w:val="0"/>
                      <w:sz w:val="18"/>
                      <w:szCs w:val="18"/>
                      <w:lang w:val="en-US" w:eastAsia="zh-CN" w:bidi="ar-SA"/>
                    </w:rPr>
                  </w:pPr>
                  <w:r>
                    <w:rPr>
                      <w:rFonts w:hint="default" w:ascii="Times New Roman" w:hAnsi="Times New Roman" w:eastAsia="仿宋" w:cs="Times New Roman"/>
                      <w:color w:val="auto"/>
                      <w:kern w:val="0"/>
                      <w:sz w:val="18"/>
                      <w:szCs w:val="18"/>
                    </w:rPr>
                    <w:t>15</w:t>
                  </w:r>
                </w:p>
              </w:tc>
              <w:tc>
                <w:tcPr>
                  <w:tcW w:w="757" w:type="pct"/>
                  <w:tcBorders>
                    <w:tl2br w:val="nil"/>
                    <w:tr2bl w:val="nil"/>
                  </w:tcBorders>
                  <w:shd w:val="clear" w:color="auto" w:fill="auto"/>
                  <w:noWrap w:val="0"/>
                  <w:vAlign w:val="center"/>
                </w:tcPr>
                <w:p w14:paraId="1144F444">
                  <w:pPr>
                    <w:keepNext w:val="0"/>
                    <w:keepLines w:val="0"/>
                    <w:pageBreakBefore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color w:val="auto"/>
                      <w:sz w:val="18"/>
                      <w:szCs w:val="18"/>
                    </w:rPr>
                    <w:t>0.</w:t>
                  </w:r>
                  <w:r>
                    <w:rPr>
                      <w:rFonts w:hint="default" w:ascii="Times New Roman" w:hAnsi="Times New Roman" w:eastAsia="仿宋" w:cs="Times New Roman"/>
                      <w:color w:val="auto"/>
                      <w:sz w:val="18"/>
                      <w:szCs w:val="18"/>
                      <w:lang w:val="en-US" w:eastAsia="zh-CN"/>
                    </w:rPr>
                    <w:t>5</w:t>
                  </w:r>
                </w:p>
              </w:tc>
            </w:tr>
          </w:tbl>
          <w:p w14:paraId="3EFCED0D">
            <w:pPr>
              <w:spacing w:before="120" w:beforeLines="50"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highlight w:val="none"/>
                <w:lang w:val="en-US" w:eastAsia="zh-CN"/>
              </w:rPr>
              <w:t>厂区现有未捕集的</w:t>
            </w:r>
            <w:r>
              <w:rPr>
                <w:rFonts w:hint="default" w:ascii="Times New Roman" w:hAnsi="Times New Roman" w:eastAsia="仿宋" w:cs="Times New Roman"/>
                <w:color w:val="auto"/>
                <w:sz w:val="24"/>
                <w:lang w:val="en-US" w:eastAsia="zh-CN"/>
              </w:rPr>
              <w:t>废气</w:t>
            </w:r>
            <w:r>
              <w:rPr>
                <w:rFonts w:hint="default" w:ascii="Times New Roman" w:hAnsi="Times New Roman" w:eastAsia="仿宋" w:cs="Times New Roman"/>
                <w:color w:val="auto"/>
                <w:sz w:val="24"/>
              </w:rPr>
              <w:t>在车间内无组织排放。根据</w:t>
            </w:r>
            <w:r>
              <w:rPr>
                <w:rFonts w:hint="default" w:ascii="Times New Roman" w:hAnsi="Times New Roman" w:eastAsia="仿宋" w:cs="Times New Roman"/>
                <w:color w:val="auto"/>
                <w:sz w:val="24"/>
                <w:lang w:val="en-US" w:eastAsia="zh-CN"/>
              </w:rPr>
              <w:t>南京万全检测技术</w:t>
            </w:r>
            <w:r>
              <w:rPr>
                <w:rFonts w:hint="default" w:ascii="Times New Roman" w:hAnsi="Times New Roman" w:eastAsia="仿宋" w:cs="Times New Roman"/>
                <w:color w:val="auto"/>
                <w:sz w:val="24"/>
              </w:rPr>
              <w:t>有限公司</w:t>
            </w:r>
            <w:r>
              <w:rPr>
                <w:rFonts w:hint="default" w:ascii="Times New Roman" w:hAnsi="Times New Roman" w:eastAsia="仿宋" w:cs="Times New Roman"/>
                <w:color w:val="auto"/>
                <w:sz w:val="24"/>
                <w:lang w:val="en-US" w:eastAsia="zh-CN"/>
              </w:rPr>
              <w:t>出具的监测报告（</w:t>
            </w:r>
            <w:r>
              <w:rPr>
                <w:rFonts w:hint="default" w:ascii="Times New Roman" w:hAnsi="Times New Roman" w:eastAsia="仿宋" w:cs="Times New Roman"/>
                <w:color w:val="auto"/>
                <w:sz w:val="24"/>
              </w:rPr>
              <w:t>报告编号：</w:t>
            </w:r>
            <w:r>
              <w:rPr>
                <w:rFonts w:hint="default" w:ascii="Times New Roman" w:hAnsi="Times New Roman" w:eastAsia="仿宋" w:cs="Times New Roman"/>
                <w:color w:val="auto"/>
                <w:sz w:val="24"/>
                <w:lang w:val="en-US" w:eastAsia="zh-CN"/>
              </w:rPr>
              <w:t>NVTT-2024-Y0177、NVTT-2022-Y0143），</w:t>
            </w:r>
            <w:r>
              <w:rPr>
                <w:rFonts w:hint="default" w:ascii="Times New Roman" w:hAnsi="Times New Roman" w:eastAsia="仿宋" w:cs="Times New Roman"/>
                <w:color w:val="auto"/>
                <w:sz w:val="24"/>
              </w:rPr>
              <w:t>现有项目有组织废气、无组织废气具体检测结果分别见表2-</w:t>
            </w:r>
            <w:r>
              <w:rPr>
                <w:rFonts w:hint="default" w:ascii="Times New Roman" w:hAnsi="Times New Roman" w:eastAsia="仿宋" w:cs="Times New Roman"/>
                <w:color w:val="auto"/>
                <w:sz w:val="24"/>
                <w:lang w:val="en-US" w:eastAsia="zh-CN"/>
              </w:rPr>
              <w:t>1</w:t>
            </w:r>
            <w:r>
              <w:rPr>
                <w:rFonts w:hint="eastAsia" w:eastAsia="仿宋" w:cs="Times New Roman"/>
                <w:color w:val="auto"/>
                <w:sz w:val="24"/>
                <w:lang w:val="en-US" w:eastAsia="zh-CN"/>
              </w:rPr>
              <w:t>4</w:t>
            </w:r>
            <w:r>
              <w:rPr>
                <w:rFonts w:hint="default" w:ascii="Times New Roman" w:hAnsi="Times New Roman" w:eastAsia="仿宋" w:cs="Times New Roman"/>
                <w:color w:val="auto"/>
                <w:sz w:val="24"/>
              </w:rPr>
              <w:t>及表2-</w:t>
            </w:r>
            <w:r>
              <w:rPr>
                <w:rFonts w:hint="default" w:ascii="Times New Roman" w:hAnsi="Times New Roman" w:eastAsia="仿宋" w:cs="Times New Roman"/>
                <w:color w:val="auto"/>
                <w:sz w:val="24"/>
                <w:lang w:val="en-US" w:eastAsia="zh-CN"/>
              </w:rPr>
              <w:t>1</w:t>
            </w:r>
            <w:r>
              <w:rPr>
                <w:rFonts w:hint="eastAsia" w:eastAsia="仿宋" w:cs="Times New Roman"/>
                <w:color w:val="auto"/>
                <w:sz w:val="24"/>
                <w:lang w:val="en-US" w:eastAsia="zh-CN"/>
              </w:rPr>
              <w:t>5</w:t>
            </w:r>
            <w:r>
              <w:rPr>
                <w:rFonts w:hint="default" w:ascii="Times New Roman" w:hAnsi="Times New Roman" w:eastAsia="仿宋" w:cs="Times New Roman"/>
                <w:color w:val="auto"/>
                <w:sz w:val="24"/>
              </w:rPr>
              <w:t>。</w:t>
            </w:r>
          </w:p>
          <w:p w14:paraId="11149851">
            <w:pPr>
              <w:jc w:val="center"/>
              <w:rPr>
                <w:rFonts w:hint="default" w:ascii="Times New Roman" w:hAnsi="Times New Roman" w:eastAsia="仿宋" w:cs="Times New Roman"/>
                <w:b/>
                <w:color w:val="auto"/>
                <w:sz w:val="24"/>
              </w:rPr>
            </w:pPr>
          </w:p>
          <w:p w14:paraId="76E7CE80">
            <w:pPr>
              <w:jc w:val="center"/>
              <w:rPr>
                <w:rFonts w:hint="default" w:ascii="Times New Roman" w:hAnsi="Times New Roman" w:eastAsia="仿宋" w:cs="Times New Roman"/>
                <w:b/>
                <w:color w:val="auto"/>
                <w:sz w:val="24"/>
              </w:rPr>
            </w:pPr>
          </w:p>
          <w:p w14:paraId="365A53D5">
            <w:pPr>
              <w:jc w:val="center"/>
              <w:rPr>
                <w:rFonts w:hint="default" w:ascii="Times New Roman" w:hAnsi="Times New Roman" w:eastAsia="仿宋" w:cs="Times New Roman"/>
                <w:b/>
                <w:color w:val="auto"/>
                <w:sz w:val="24"/>
              </w:rPr>
            </w:pPr>
          </w:p>
          <w:p w14:paraId="44F340D5">
            <w:pPr>
              <w:jc w:val="center"/>
              <w:rPr>
                <w:rFonts w:hint="default" w:ascii="Times New Roman" w:hAnsi="Times New Roman" w:eastAsia="仿宋" w:cs="Times New Roman"/>
                <w:b/>
                <w:bCs/>
                <w:color w:val="auto"/>
                <w:sz w:val="24"/>
              </w:rPr>
            </w:pPr>
            <w:r>
              <w:rPr>
                <w:rFonts w:hint="default" w:ascii="Times New Roman" w:hAnsi="Times New Roman" w:eastAsia="仿宋" w:cs="Times New Roman"/>
                <w:b/>
                <w:color w:val="auto"/>
                <w:sz w:val="24"/>
              </w:rPr>
              <w:t>表2-</w:t>
            </w:r>
            <w:r>
              <w:rPr>
                <w:rFonts w:hint="default" w:ascii="Times New Roman" w:hAnsi="Times New Roman" w:eastAsia="仿宋" w:cs="Times New Roman"/>
                <w:b/>
                <w:color w:val="auto"/>
                <w:sz w:val="24"/>
                <w:lang w:val="en-US" w:eastAsia="zh-CN"/>
              </w:rPr>
              <w:t>1</w:t>
            </w:r>
            <w:r>
              <w:rPr>
                <w:rFonts w:hint="eastAsia" w:eastAsia="仿宋" w:cs="Times New Roman"/>
                <w:b/>
                <w:color w:val="auto"/>
                <w:sz w:val="24"/>
                <w:lang w:val="en-US" w:eastAsia="zh-CN"/>
              </w:rPr>
              <w:t>4</w:t>
            </w:r>
            <w:r>
              <w:rPr>
                <w:rFonts w:hint="default" w:ascii="Times New Roman" w:hAnsi="Times New Roman" w:eastAsia="仿宋" w:cs="Times New Roman"/>
                <w:b/>
                <w:color w:val="auto"/>
                <w:sz w:val="24"/>
              </w:rPr>
              <w:t xml:space="preserve">  有组织废气</w:t>
            </w:r>
            <w:r>
              <w:rPr>
                <w:rFonts w:hint="default" w:ascii="Times New Roman" w:hAnsi="Times New Roman" w:eastAsia="仿宋" w:cs="Times New Roman"/>
                <w:b/>
                <w:bCs/>
                <w:color w:val="auto"/>
                <w:sz w:val="24"/>
              </w:rPr>
              <w:t>检测结果一览表</w:t>
            </w:r>
          </w:p>
          <w:tbl>
            <w:tblPr>
              <w:tblStyle w:val="30"/>
              <w:tblW w:w="837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46"/>
              <w:gridCol w:w="1161"/>
              <w:gridCol w:w="2366"/>
              <w:gridCol w:w="1250"/>
              <w:gridCol w:w="1050"/>
              <w:gridCol w:w="1100"/>
              <w:gridCol w:w="606"/>
            </w:tblGrid>
            <w:tr w14:paraId="558638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restart"/>
                  <w:vAlign w:val="center"/>
                </w:tcPr>
                <w:p w14:paraId="32EE0B5F">
                  <w:pPr>
                    <w:widowControl/>
                    <w:adjustRightInd w:val="0"/>
                    <w:snapToGrid w:val="0"/>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监测点位</w:t>
                  </w:r>
                </w:p>
              </w:tc>
              <w:tc>
                <w:tcPr>
                  <w:tcW w:w="1161" w:type="dxa"/>
                  <w:vMerge w:val="restart"/>
                  <w:vAlign w:val="center"/>
                </w:tcPr>
                <w:p w14:paraId="71370F47">
                  <w:pPr>
                    <w:widowControl/>
                    <w:adjustRightInd w:val="0"/>
                    <w:snapToGrid w:val="0"/>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监测日期</w:t>
                  </w:r>
                </w:p>
              </w:tc>
              <w:tc>
                <w:tcPr>
                  <w:tcW w:w="2366" w:type="dxa"/>
                  <w:vMerge w:val="restart"/>
                  <w:vAlign w:val="center"/>
                </w:tcPr>
                <w:p w14:paraId="685219D7">
                  <w:pPr>
                    <w:widowControl/>
                    <w:adjustRightInd w:val="0"/>
                    <w:snapToGrid w:val="0"/>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监测项目</w:t>
                  </w:r>
                </w:p>
              </w:tc>
              <w:tc>
                <w:tcPr>
                  <w:tcW w:w="3400" w:type="dxa"/>
                  <w:gridSpan w:val="3"/>
                  <w:vAlign w:val="center"/>
                </w:tcPr>
                <w:p w14:paraId="30B64178">
                  <w:pPr>
                    <w:widowControl/>
                    <w:adjustRightInd w:val="0"/>
                    <w:snapToGrid w:val="0"/>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监测结果</w:t>
                  </w:r>
                </w:p>
              </w:tc>
              <w:tc>
                <w:tcPr>
                  <w:tcW w:w="606" w:type="dxa"/>
                  <w:vMerge w:val="restart"/>
                  <w:vAlign w:val="center"/>
                </w:tcPr>
                <w:p w14:paraId="5AFA75CE">
                  <w:pPr>
                    <w:widowControl/>
                    <w:adjustRightInd w:val="0"/>
                    <w:snapToGrid w:val="0"/>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highlight w:val="none"/>
                    </w:rPr>
                    <w:t>标准</w:t>
                  </w:r>
                </w:p>
              </w:tc>
            </w:tr>
            <w:tr w14:paraId="11020E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vAlign w:val="center"/>
                </w:tcPr>
                <w:p w14:paraId="1925F61C">
                  <w:pPr>
                    <w:widowControl/>
                    <w:adjustRightInd w:val="0"/>
                    <w:snapToGrid w:val="0"/>
                    <w:ind w:firstLine="0" w:firstLineChars="0"/>
                    <w:jc w:val="center"/>
                    <w:rPr>
                      <w:rFonts w:hint="default" w:ascii="Times New Roman" w:hAnsi="Times New Roman" w:eastAsia="仿宋" w:cs="Times New Roman"/>
                      <w:b/>
                      <w:kern w:val="0"/>
                      <w:sz w:val="21"/>
                      <w:szCs w:val="21"/>
                    </w:rPr>
                  </w:pPr>
                </w:p>
              </w:tc>
              <w:tc>
                <w:tcPr>
                  <w:tcW w:w="1161" w:type="dxa"/>
                  <w:vMerge w:val="continue"/>
                  <w:vAlign w:val="center"/>
                </w:tcPr>
                <w:p w14:paraId="605F48E4">
                  <w:pPr>
                    <w:widowControl/>
                    <w:adjustRightInd w:val="0"/>
                    <w:snapToGrid w:val="0"/>
                    <w:ind w:firstLine="0" w:firstLineChars="0"/>
                    <w:jc w:val="center"/>
                    <w:rPr>
                      <w:rFonts w:hint="default" w:ascii="Times New Roman" w:hAnsi="Times New Roman" w:eastAsia="仿宋" w:cs="Times New Roman"/>
                      <w:b/>
                      <w:kern w:val="0"/>
                      <w:sz w:val="21"/>
                      <w:szCs w:val="21"/>
                    </w:rPr>
                  </w:pPr>
                </w:p>
              </w:tc>
              <w:tc>
                <w:tcPr>
                  <w:tcW w:w="2366" w:type="dxa"/>
                  <w:vMerge w:val="continue"/>
                  <w:vAlign w:val="center"/>
                </w:tcPr>
                <w:p w14:paraId="427C3FED">
                  <w:pPr>
                    <w:widowControl/>
                    <w:adjustRightInd w:val="0"/>
                    <w:snapToGrid w:val="0"/>
                    <w:ind w:firstLine="0" w:firstLineChars="0"/>
                    <w:jc w:val="center"/>
                    <w:rPr>
                      <w:rFonts w:hint="default" w:ascii="Times New Roman" w:hAnsi="Times New Roman" w:eastAsia="仿宋" w:cs="Times New Roman"/>
                      <w:b/>
                      <w:kern w:val="0"/>
                      <w:sz w:val="21"/>
                      <w:szCs w:val="21"/>
                    </w:rPr>
                  </w:pPr>
                </w:p>
              </w:tc>
              <w:tc>
                <w:tcPr>
                  <w:tcW w:w="1250" w:type="dxa"/>
                  <w:vAlign w:val="center"/>
                </w:tcPr>
                <w:p w14:paraId="33AD2C8F">
                  <w:pPr>
                    <w:widowControl/>
                    <w:adjustRightInd w:val="0"/>
                    <w:snapToGrid w:val="0"/>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第一次</w:t>
                  </w:r>
                </w:p>
              </w:tc>
              <w:tc>
                <w:tcPr>
                  <w:tcW w:w="1050" w:type="dxa"/>
                  <w:vAlign w:val="center"/>
                </w:tcPr>
                <w:p w14:paraId="15932C0A">
                  <w:pPr>
                    <w:widowControl/>
                    <w:adjustRightInd w:val="0"/>
                    <w:snapToGrid w:val="0"/>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第二次</w:t>
                  </w:r>
                </w:p>
              </w:tc>
              <w:tc>
                <w:tcPr>
                  <w:tcW w:w="1100" w:type="dxa"/>
                  <w:vAlign w:val="center"/>
                </w:tcPr>
                <w:p w14:paraId="4A0D370D">
                  <w:pPr>
                    <w:widowControl/>
                    <w:adjustRightInd w:val="0"/>
                    <w:snapToGrid w:val="0"/>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第三次</w:t>
                  </w:r>
                </w:p>
              </w:tc>
              <w:tc>
                <w:tcPr>
                  <w:tcW w:w="606" w:type="dxa"/>
                  <w:vMerge w:val="continue"/>
                  <w:vAlign w:val="center"/>
                </w:tcPr>
                <w:p w14:paraId="7805C922">
                  <w:pPr>
                    <w:widowControl/>
                    <w:adjustRightInd w:val="0"/>
                    <w:snapToGrid w:val="0"/>
                    <w:ind w:firstLine="0" w:firstLineChars="0"/>
                    <w:jc w:val="center"/>
                    <w:rPr>
                      <w:rFonts w:hint="default" w:ascii="Times New Roman" w:hAnsi="Times New Roman" w:eastAsia="仿宋" w:cs="Times New Roman"/>
                      <w:b/>
                      <w:kern w:val="0"/>
                      <w:sz w:val="21"/>
                      <w:szCs w:val="21"/>
                    </w:rPr>
                  </w:pPr>
                </w:p>
              </w:tc>
            </w:tr>
            <w:tr w14:paraId="42814F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1" w:hRule="atLeast"/>
                <w:jc w:val="center"/>
              </w:trPr>
              <w:tc>
                <w:tcPr>
                  <w:tcW w:w="846" w:type="dxa"/>
                  <w:vMerge w:val="restart"/>
                  <w:vAlign w:val="center"/>
                </w:tcPr>
                <w:p w14:paraId="16EA3CB8">
                  <w:pPr>
                    <w:adjustRightInd w:val="0"/>
                    <w:snapToGrid w:val="0"/>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D7车间FQ</w:t>
                  </w:r>
                  <w:r>
                    <w:rPr>
                      <w:rFonts w:hint="default" w:ascii="Times New Roman" w:hAnsi="Times New Roman" w:eastAsia="仿宋" w:cs="Times New Roman"/>
                      <w:sz w:val="21"/>
                      <w:szCs w:val="21"/>
                      <w:lang w:val="en-US" w:eastAsia="zh-CN"/>
                    </w:rPr>
                    <w:t>-</w:t>
                  </w:r>
                  <w:r>
                    <w:rPr>
                      <w:rFonts w:hint="default" w:ascii="Times New Roman" w:hAnsi="Times New Roman" w:eastAsia="仿宋" w:cs="Times New Roman"/>
                      <w:sz w:val="21"/>
                      <w:szCs w:val="21"/>
                    </w:rPr>
                    <w:t>1排气筒</w:t>
                  </w:r>
                </w:p>
              </w:tc>
              <w:tc>
                <w:tcPr>
                  <w:tcW w:w="1161" w:type="dxa"/>
                  <w:vMerge w:val="restart"/>
                  <w:vAlign w:val="center"/>
                </w:tcPr>
                <w:p w14:paraId="23CF3FE7">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2022.04.18</w:t>
                  </w:r>
                </w:p>
              </w:tc>
              <w:tc>
                <w:tcPr>
                  <w:tcW w:w="2366" w:type="dxa"/>
                  <w:vAlign w:val="center"/>
                </w:tcPr>
                <w:p w14:paraId="43AE6E83">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标杆流量（N 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1250" w:type="dxa"/>
                  <w:tcBorders>
                    <w:bottom w:val="single" w:color="auto" w:sz="4" w:space="0"/>
                  </w:tcBorders>
                  <w:vAlign w:val="center"/>
                </w:tcPr>
                <w:p w14:paraId="15D25FE6">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19373</w:t>
                  </w:r>
                </w:p>
              </w:tc>
              <w:tc>
                <w:tcPr>
                  <w:tcW w:w="1050" w:type="dxa"/>
                  <w:tcBorders>
                    <w:bottom w:val="single" w:color="auto" w:sz="4" w:space="0"/>
                  </w:tcBorders>
                  <w:vAlign w:val="center"/>
                </w:tcPr>
                <w:p w14:paraId="42B5B8E5">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19656</w:t>
                  </w:r>
                </w:p>
              </w:tc>
              <w:tc>
                <w:tcPr>
                  <w:tcW w:w="1100" w:type="dxa"/>
                  <w:tcBorders>
                    <w:bottom w:val="single" w:color="auto" w:sz="4" w:space="0"/>
                  </w:tcBorders>
                  <w:vAlign w:val="center"/>
                </w:tcPr>
                <w:p w14:paraId="508307D3">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19865</w:t>
                  </w:r>
                </w:p>
              </w:tc>
              <w:tc>
                <w:tcPr>
                  <w:tcW w:w="606" w:type="dxa"/>
                  <w:vAlign w:val="center"/>
                </w:tcPr>
                <w:p w14:paraId="4DD0134D">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r>
            <w:tr w14:paraId="6EB117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846" w:type="dxa"/>
                  <w:vMerge w:val="continue"/>
                  <w:vAlign w:val="center"/>
                </w:tcPr>
                <w:p w14:paraId="0833E370">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49A8EC32">
                  <w:pPr>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15C30306">
                  <w:pPr>
                    <w:widowControl/>
                    <w:adjustRightInd w:val="0"/>
                    <w:snapToGrid w:val="0"/>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二甲苯排放浓度（mg/m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1250" w:type="dxa"/>
                  <w:tcBorders>
                    <w:top w:val="single" w:color="auto" w:sz="4" w:space="0"/>
                  </w:tcBorders>
                  <w:vAlign w:val="center"/>
                </w:tcPr>
                <w:p w14:paraId="7557A88F">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0.075</w:t>
                  </w:r>
                </w:p>
              </w:tc>
              <w:tc>
                <w:tcPr>
                  <w:tcW w:w="1050" w:type="dxa"/>
                  <w:tcBorders>
                    <w:top w:val="single" w:color="auto" w:sz="4" w:space="0"/>
                  </w:tcBorders>
                  <w:vAlign w:val="center"/>
                </w:tcPr>
                <w:p w14:paraId="3EEA7CAC">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0.065</w:t>
                  </w:r>
                </w:p>
              </w:tc>
              <w:tc>
                <w:tcPr>
                  <w:tcW w:w="1100" w:type="dxa"/>
                  <w:tcBorders>
                    <w:top w:val="single" w:color="auto" w:sz="4" w:space="0"/>
                  </w:tcBorders>
                  <w:vAlign w:val="center"/>
                </w:tcPr>
                <w:p w14:paraId="44BD9CBD">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0.066</w:t>
                  </w:r>
                </w:p>
              </w:tc>
              <w:tc>
                <w:tcPr>
                  <w:tcW w:w="606" w:type="dxa"/>
                  <w:vAlign w:val="center"/>
                </w:tcPr>
                <w:p w14:paraId="3932D8BA">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w:t>
                  </w:r>
                </w:p>
              </w:tc>
            </w:tr>
            <w:tr w14:paraId="05E00C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846" w:type="dxa"/>
                  <w:vMerge w:val="continue"/>
                  <w:vAlign w:val="center"/>
                </w:tcPr>
                <w:p w14:paraId="1AEA470C">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28B466B6">
                  <w:pPr>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289F2C3A">
                  <w:pPr>
                    <w:widowControl/>
                    <w:adjustRightInd w:val="0"/>
                    <w:snapToGrid w:val="0"/>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二甲苯排放速率（kg/h）</w:t>
                  </w:r>
                </w:p>
              </w:tc>
              <w:tc>
                <w:tcPr>
                  <w:tcW w:w="1250" w:type="dxa"/>
                  <w:tcBorders>
                    <w:top w:val="single" w:color="auto" w:sz="4" w:space="0"/>
                  </w:tcBorders>
                  <w:vAlign w:val="center"/>
                </w:tcPr>
                <w:p w14:paraId="7D706D35">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1.45×10</w:t>
                  </w:r>
                  <w:r>
                    <w:rPr>
                      <w:rFonts w:hint="default" w:ascii="Times New Roman" w:hAnsi="Times New Roman" w:eastAsia="仿宋" w:cs="Times New Roman"/>
                      <w:kern w:val="0"/>
                      <w:sz w:val="21"/>
                      <w:szCs w:val="21"/>
                      <w:vertAlign w:val="superscript"/>
                    </w:rPr>
                    <w:t>-3</w:t>
                  </w:r>
                </w:p>
              </w:tc>
              <w:tc>
                <w:tcPr>
                  <w:tcW w:w="1050" w:type="dxa"/>
                  <w:tcBorders>
                    <w:top w:val="single" w:color="auto" w:sz="4" w:space="0"/>
                  </w:tcBorders>
                  <w:vAlign w:val="center"/>
                </w:tcPr>
                <w:p w14:paraId="5D1A76AC">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1.28×10</w:t>
                  </w:r>
                  <w:r>
                    <w:rPr>
                      <w:rFonts w:hint="default" w:ascii="Times New Roman" w:hAnsi="Times New Roman" w:eastAsia="仿宋" w:cs="Times New Roman"/>
                      <w:kern w:val="0"/>
                      <w:sz w:val="21"/>
                      <w:szCs w:val="21"/>
                      <w:vertAlign w:val="superscript"/>
                    </w:rPr>
                    <w:t>-3</w:t>
                  </w:r>
                </w:p>
              </w:tc>
              <w:tc>
                <w:tcPr>
                  <w:tcW w:w="1100" w:type="dxa"/>
                  <w:tcBorders>
                    <w:top w:val="single" w:color="auto" w:sz="4" w:space="0"/>
                  </w:tcBorders>
                  <w:vAlign w:val="center"/>
                </w:tcPr>
                <w:p w14:paraId="5B479E64">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1.31×10</w:t>
                  </w:r>
                  <w:r>
                    <w:rPr>
                      <w:rFonts w:hint="default" w:ascii="Times New Roman" w:hAnsi="Times New Roman" w:eastAsia="仿宋" w:cs="Times New Roman"/>
                      <w:kern w:val="0"/>
                      <w:sz w:val="21"/>
                      <w:szCs w:val="21"/>
                      <w:vertAlign w:val="superscript"/>
                    </w:rPr>
                    <w:t>-3</w:t>
                  </w:r>
                </w:p>
              </w:tc>
              <w:tc>
                <w:tcPr>
                  <w:tcW w:w="606" w:type="dxa"/>
                  <w:vAlign w:val="center"/>
                </w:tcPr>
                <w:p w14:paraId="65945079">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0.72</w:t>
                  </w:r>
                </w:p>
              </w:tc>
            </w:tr>
            <w:tr w14:paraId="297C70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846" w:type="dxa"/>
                  <w:vMerge w:val="continue"/>
                  <w:vAlign w:val="center"/>
                </w:tcPr>
                <w:p w14:paraId="75C697BB">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5EB7D7D8">
                  <w:pPr>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336FBDC9">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非甲烷总烃排放浓度（mg/m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1250" w:type="dxa"/>
                  <w:tcBorders>
                    <w:top w:val="single" w:color="auto" w:sz="4" w:space="0"/>
                  </w:tcBorders>
                  <w:vAlign w:val="center"/>
                </w:tcPr>
                <w:p w14:paraId="60D08A08">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2.28</w:t>
                  </w:r>
                </w:p>
              </w:tc>
              <w:tc>
                <w:tcPr>
                  <w:tcW w:w="1050" w:type="dxa"/>
                  <w:tcBorders>
                    <w:top w:val="single" w:color="auto" w:sz="4" w:space="0"/>
                  </w:tcBorders>
                  <w:vAlign w:val="center"/>
                </w:tcPr>
                <w:p w14:paraId="3B4C2FB8">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2.69</w:t>
                  </w:r>
                </w:p>
              </w:tc>
              <w:tc>
                <w:tcPr>
                  <w:tcW w:w="1100" w:type="dxa"/>
                  <w:tcBorders>
                    <w:top w:val="single" w:color="auto" w:sz="4" w:space="0"/>
                  </w:tcBorders>
                  <w:vAlign w:val="center"/>
                </w:tcPr>
                <w:p w14:paraId="74CF8560">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2.17</w:t>
                  </w:r>
                </w:p>
              </w:tc>
              <w:tc>
                <w:tcPr>
                  <w:tcW w:w="606" w:type="dxa"/>
                  <w:vAlign w:val="center"/>
                </w:tcPr>
                <w:p w14:paraId="583CA46B">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60</w:t>
                  </w:r>
                </w:p>
              </w:tc>
            </w:tr>
            <w:tr w14:paraId="2B2411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vAlign w:val="center"/>
                </w:tcPr>
                <w:p w14:paraId="25E6012C">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tcBorders>
                    <w:bottom w:val="single" w:color="000000" w:sz="4" w:space="0"/>
                  </w:tcBorders>
                  <w:vAlign w:val="center"/>
                </w:tcPr>
                <w:p w14:paraId="03C7B966">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0D2A6AD1">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非甲烷总烃排放速率（kg/h）</w:t>
                  </w:r>
                </w:p>
              </w:tc>
              <w:tc>
                <w:tcPr>
                  <w:tcW w:w="1250" w:type="dxa"/>
                  <w:vAlign w:val="center"/>
                </w:tcPr>
                <w:p w14:paraId="2F5083BB">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4.42×10</w:t>
                  </w:r>
                  <w:r>
                    <w:rPr>
                      <w:rFonts w:hint="default" w:ascii="Times New Roman" w:hAnsi="Times New Roman" w:eastAsia="仿宋" w:cs="Times New Roman"/>
                      <w:kern w:val="0"/>
                      <w:sz w:val="21"/>
                      <w:szCs w:val="21"/>
                      <w:vertAlign w:val="superscript"/>
                    </w:rPr>
                    <w:t>-2</w:t>
                  </w:r>
                </w:p>
              </w:tc>
              <w:tc>
                <w:tcPr>
                  <w:tcW w:w="1050" w:type="dxa"/>
                  <w:vAlign w:val="center"/>
                </w:tcPr>
                <w:p w14:paraId="3EDA726D">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5.29×10</w:t>
                  </w:r>
                  <w:r>
                    <w:rPr>
                      <w:rFonts w:hint="default" w:ascii="Times New Roman" w:hAnsi="Times New Roman" w:eastAsia="仿宋" w:cs="Times New Roman"/>
                      <w:kern w:val="0"/>
                      <w:sz w:val="21"/>
                      <w:szCs w:val="21"/>
                      <w:vertAlign w:val="superscript"/>
                    </w:rPr>
                    <w:t>-2</w:t>
                  </w:r>
                </w:p>
              </w:tc>
              <w:tc>
                <w:tcPr>
                  <w:tcW w:w="1100" w:type="dxa"/>
                  <w:vAlign w:val="center"/>
                </w:tcPr>
                <w:p w14:paraId="5D64A31A">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4.31×10</w:t>
                  </w:r>
                  <w:r>
                    <w:rPr>
                      <w:rFonts w:hint="default" w:ascii="Times New Roman" w:hAnsi="Times New Roman" w:eastAsia="仿宋" w:cs="Times New Roman"/>
                      <w:kern w:val="0"/>
                      <w:sz w:val="21"/>
                      <w:szCs w:val="21"/>
                      <w:vertAlign w:val="superscript"/>
                    </w:rPr>
                    <w:t>-2</w:t>
                  </w:r>
                </w:p>
              </w:tc>
              <w:tc>
                <w:tcPr>
                  <w:tcW w:w="606" w:type="dxa"/>
                  <w:vAlign w:val="center"/>
                </w:tcPr>
                <w:p w14:paraId="78D1FEAC">
                  <w:pPr>
                    <w:widowControl/>
                    <w:adjustRightInd w:val="0"/>
                    <w:snapToGrid w:val="0"/>
                    <w:ind w:firstLine="0" w:firstLineChars="0"/>
                    <w:jc w:val="center"/>
                    <w:rPr>
                      <w:rFonts w:hint="eastAsia" w:ascii="Times New Roman" w:hAnsi="Times New Roman" w:eastAsia="仿宋" w:cs="Times New Roman"/>
                      <w:kern w:val="0"/>
                      <w:sz w:val="21"/>
                      <w:szCs w:val="21"/>
                      <w:lang w:eastAsia="zh-CN"/>
                    </w:rPr>
                  </w:pPr>
                  <w:r>
                    <w:rPr>
                      <w:rFonts w:hint="eastAsia" w:eastAsia="仿宋" w:cs="Times New Roman"/>
                      <w:kern w:val="0"/>
                      <w:sz w:val="21"/>
                      <w:szCs w:val="21"/>
                      <w:lang w:val="en-US" w:eastAsia="zh-CN"/>
                    </w:rPr>
                    <w:t>3</w:t>
                  </w:r>
                </w:p>
              </w:tc>
            </w:tr>
            <w:tr w14:paraId="291F73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vAlign w:val="center"/>
                </w:tcPr>
                <w:p w14:paraId="21C82519">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restart"/>
                  <w:tcBorders>
                    <w:top w:val="single" w:color="000000" w:sz="4" w:space="0"/>
                  </w:tcBorders>
                  <w:vAlign w:val="center"/>
                </w:tcPr>
                <w:p w14:paraId="1643E97B">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2022.04.19</w:t>
                  </w:r>
                </w:p>
              </w:tc>
              <w:tc>
                <w:tcPr>
                  <w:tcW w:w="2366" w:type="dxa"/>
                  <w:vAlign w:val="center"/>
                </w:tcPr>
                <w:p w14:paraId="16B2256A">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标杆流量（N 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1250" w:type="dxa"/>
                  <w:vAlign w:val="center"/>
                </w:tcPr>
                <w:p w14:paraId="4B521598">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19445</w:t>
                  </w:r>
                </w:p>
              </w:tc>
              <w:tc>
                <w:tcPr>
                  <w:tcW w:w="1050" w:type="dxa"/>
                  <w:vAlign w:val="center"/>
                </w:tcPr>
                <w:p w14:paraId="27134A01">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19725</w:t>
                  </w:r>
                </w:p>
              </w:tc>
              <w:tc>
                <w:tcPr>
                  <w:tcW w:w="1100" w:type="dxa"/>
                  <w:vAlign w:val="center"/>
                </w:tcPr>
                <w:p w14:paraId="2A0ABD6A">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20001</w:t>
                  </w:r>
                </w:p>
              </w:tc>
              <w:tc>
                <w:tcPr>
                  <w:tcW w:w="606" w:type="dxa"/>
                  <w:vAlign w:val="center"/>
                </w:tcPr>
                <w:p w14:paraId="7911560F">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r>
            <w:tr w14:paraId="1F31D3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vAlign w:val="center"/>
                </w:tcPr>
                <w:p w14:paraId="2C84C24B">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tcBorders>
                    <w:top w:val="single" w:color="000000" w:sz="4" w:space="0"/>
                  </w:tcBorders>
                  <w:vAlign w:val="center"/>
                </w:tcPr>
                <w:p w14:paraId="7C1E8877">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7EBA23CB">
                  <w:pPr>
                    <w:adjustRightInd w:val="0"/>
                    <w:snapToGrid w:val="0"/>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二甲苯排放浓度（mg/m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1250" w:type="dxa"/>
                  <w:vAlign w:val="center"/>
                </w:tcPr>
                <w:p w14:paraId="45FC1995">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0.064</w:t>
                  </w:r>
                </w:p>
              </w:tc>
              <w:tc>
                <w:tcPr>
                  <w:tcW w:w="1050" w:type="dxa"/>
                  <w:vAlign w:val="center"/>
                </w:tcPr>
                <w:p w14:paraId="736E4643">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0.063</w:t>
                  </w:r>
                </w:p>
              </w:tc>
              <w:tc>
                <w:tcPr>
                  <w:tcW w:w="1100" w:type="dxa"/>
                  <w:vAlign w:val="center"/>
                </w:tcPr>
                <w:p w14:paraId="688A7013">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0.065</w:t>
                  </w:r>
                </w:p>
              </w:tc>
              <w:tc>
                <w:tcPr>
                  <w:tcW w:w="606" w:type="dxa"/>
                  <w:vAlign w:val="center"/>
                </w:tcPr>
                <w:p w14:paraId="21FA6CEF">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w:t>
                  </w:r>
                </w:p>
              </w:tc>
            </w:tr>
            <w:tr w14:paraId="45DDB4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vAlign w:val="center"/>
                </w:tcPr>
                <w:p w14:paraId="3E276D9A">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tcBorders>
                    <w:top w:val="single" w:color="000000" w:sz="4" w:space="0"/>
                  </w:tcBorders>
                  <w:vAlign w:val="center"/>
                </w:tcPr>
                <w:p w14:paraId="09A485F7">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1F7538E5">
                  <w:pPr>
                    <w:adjustRightInd w:val="0"/>
                    <w:snapToGrid w:val="0"/>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二甲苯排放速率（kg/h）</w:t>
                  </w:r>
                </w:p>
              </w:tc>
              <w:tc>
                <w:tcPr>
                  <w:tcW w:w="1250" w:type="dxa"/>
                  <w:vAlign w:val="center"/>
                </w:tcPr>
                <w:p w14:paraId="6F14734B">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1.24×10</w:t>
                  </w:r>
                  <w:r>
                    <w:rPr>
                      <w:rFonts w:hint="default" w:ascii="Times New Roman" w:hAnsi="Times New Roman" w:eastAsia="仿宋" w:cs="Times New Roman"/>
                      <w:kern w:val="0"/>
                      <w:sz w:val="21"/>
                      <w:szCs w:val="21"/>
                      <w:vertAlign w:val="superscript"/>
                    </w:rPr>
                    <w:t>-3</w:t>
                  </w:r>
                </w:p>
              </w:tc>
              <w:tc>
                <w:tcPr>
                  <w:tcW w:w="1050" w:type="dxa"/>
                  <w:vAlign w:val="center"/>
                </w:tcPr>
                <w:p w14:paraId="7E97F6BC">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1.24×10</w:t>
                  </w:r>
                  <w:r>
                    <w:rPr>
                      <w:rFonts w:hint="default" w:ascii="Times New Roman" w:hAnsi="Times New Roman" w:eastAsia="仿宋" w:cs="Times New Roman"/>
                      <w:kern w:val="0"/>
                      <w:sz w:val="21"/>
                      <w:szCs w:val="21"/>
                      <w:vertAlign w:val="superscript"/>
                    </w:rPr>
                    <w:t>-3</w:t>
                  </w:r>
                </w:p>
              </w:tc>
              <w:tc>
                <w:tcPr>
                  <w:tcW w:w="1100" w:type="dxa"/>
                  <w:vAlign w:val="center"/>
                </w:tcPr>
                <w:p w14:paraId="26E1791E">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1.30×10</w:t>
                  </w:r>
                  <w:r>
                    <w:rPr>
                      <w:rFonts w:hint="default" w:ascii="Times New Roman" w:hAnsi="Times New Roman" w:eastAsia="仿宋" w:cs="Times New Roman"/>
                      <w:kern w:val="0"/>
                      <w:sz w:val="21"/>
                      <w:szCs w:val="21"/>
                      <w:vertAlign w:val="superscript"/>
                    </w:rPr>
                    <w:t>-3</w:t>
                  </w:r>
                </w:p>
              </w:tc>
              <w:tc>
                <w:tcPr>
                  <w:tcW w:w="606" w:type="dxa"/>
                  <w:vAlign w:val="center"/>
                </w:tcPr>
                <w:p w14:paraId="32F04040">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0.72</w:t>
                  </w:r>
                </w:p>
              </w:tc>
            </w:tr>
            <w:tr w14:paraId="47A035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vAlign w:val="center"/>
                </w:tcPr>
                <w:p w14:paraId="369A7335">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5E4294B7">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097D73E5">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非甲烷总烃排放浓度（mg/m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1250" w:type="dxa"/>
                  <w:vAlign w:val="center"/>
                </w:tcPr>
                <w:p w14:paraId="2CD3CD2B">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2.93</w:t>
                  </w:r>
                </w:p>
              </w:tc>
              <w:tc>
                <w:tcPr>
                  <w:tcW w:w="1050" w:type="dxa"/>
                  <w:vAlign w:val="center"/>
                </w:tcPr>
                <w:p w14:paraId="5472AE35">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3.04</w:t>
                  </w:r>
                </w:p>
              </w:tc>
              <w:tc>
                <w:tcPr>
                  <w:tcW w:w="1100" w:type="dxa"/>
                  <w:vAlign w:val="center"/>
                </w:tcPr>
                <w:p w14:paraId="4E91FAF3">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2.71</w:t>
                  </w:r>
                </w:p>
              </w:tc>
              <w:tc>
                <w:tcPr>
                  <w:tcW w:w="606" w:type="dxa"/>
                  <w:vAlign w:val="center"/>
                </w:tcPr>
                <w:p w14:paraId="515511FF">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60</w:t>
                  </w:r>
                </w:p>
              </w:tc>
            </w:tr>
            <w:tr w14:paraId="2AF08F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tcBorders>
                    <w:bottom w:val="single" w:color="000000" w:sz="4" w:space="0"/>
                  </w:tcBorders>
                  <w:vAlign w:val="center"/>
                </w:tcPr>
                <w:p w14:paraId="68385071">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tcBorders>
                    <w:bottom w:val="single" w:color="000000" w:sz="4" w:space="0"/>
                  </w:tcBorders>
                  <w:vAlign w:val="center"/>
                </w:tcPr>
                <w:p w14:paraId="5372DF08">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3DCB16ED">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非甲烷总烃排放速率（kg/h）</w:t>
                  </w:r>
                </w:p>
              </w:tc>
              <w:tc>
                <w:tcPr>
                  <w:tcW w:w="1250" w:type="dxa"/>
                  <w:vAlign w:val="center"/>
                </w:tcPr>
                <w:p w14:paraId="333B48C2">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5.70×10</w:t>
                  </w:r>
                  <w:r>
                    <w:rPr>
                      <w:rFonts w:hint="default" w:ascii="Times New Roman" w:hAnsi="Times New Roman" w:eastAsia="仿宋" w:cs="Times New Roman"/>
                      <w:kern w:val="0"/>
                      <w:sz w:val="21"/>
                      <w:szCs w:val="21"/>
                      <w:vertAlign w:val="superscript"/>
                    </w:rPr>
                    <w:t>-2</w:t>
                  </w:r>
                </w:p>
              </w:tc>
              <w:tc>
                <w:tcPr>
                  <w:tcW w:w="1050" w:type="dxa"/>
                  <w:vAlign w:val="center"/>
                </w:tcPr>
                <w:p w14:paraId="0462F8F9">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6.00×10</w:t>
                  </w:r>
                  <w:r>
                    <w:rPr>
                      <w:rFonts w:hint="default" w:ascii="Times New Roman" w:hAnsi="Times New Roman" w:eastAsia="仿宋" w:cs="Times New Roman"/>
                      <w:kern w:val="0"/>
                      <w:sz w:val="21"/>
                      <w:szCs w:val="21"/>
                      <w:vertAlign w:val="superscript"/>
                    </w:rPr>
                    <w:t>-2</w:t>
                  </w:r>
                </w:p>
              </w:tc>
              <w:tc>
                <w:tcPr>
                  <w:tcW w:w="1100" w:type="dxa"/>
                  <w:vAlign w:val="center"/>
                </w:tcPr>
                <w:p w14:paraId="63F6084D">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5.42×10</w:t>
                  </w:r>
                  <w:r>
                    <w:rPr>
                      <w:rFonts w:hint="default" w:ascii="Times New Roman" w:hAnsi="Times New Roman" w:eastAsia="仿宋" w:cs="Times New Roman"/>
                      <w:kern w:val="0"/>
                      <w:sz w:val="21"/>
                      <w:szCs w:val="21"/>
                      <w:vertAlign w:val="superscript"/>
                    </w:rPr>
                    <w:t>-2</w:t>
                  </w:r>
                </w:p>
              </w:tc>
              <w:tc>
                <w:tcPr>
                  <w:tcW w:w="606" w:type="dxa"/>
                  <w:vAlign w:val="center"/>
                </w:tcPr>
                <w:p w14:paraId="70A95360">
                  <w:pPr>
                    <w:widowControl/>
                    <w:adjustRightInd w:val="0"/>
                    <w:snapToGrid w:val="0"/>
                    <w:ind w:firstLine="0" w:firstLineChars="0"/>
                    <w:jc w:val="center"/>
                    <w:rPr>
                      <w:rFonts w:hint="eastAsia" w:ascii="Times New Roman" w:hAnsi="Times New Roman" w:eastAsia="仿宋" w:cs="Times New Roman"/>
                      <w:kern w:val="0"/>
                      <w:sz w:val="21"/>
                      <w:szCs w:val="21"/>
                      <w:lang w:eastAsia="zh-CN"/>
                    </w:rPr>
                  </w:pPr>
                  <w:r>
                    <w:rPr>
                      <w:rFonts w:hint="eastAsia" w:eastAsia="仿宋" w:cs="Times New Roman"/>
                      <w:kern w:val="0"/>
                      <w:sz w:val="21"/>
                      <w:szCs w:val="21"/>
                      <w:highlight w:val="none"/>
                      <w:lang w:val="en-US" w:eastAsia="zh-CN"/>
                    </w:rPr>
                    <w:t>3</w:t>
                  </w:r>
                </w:p>
              </w:tc>
            </w:tr>
            <w:tr w14:paraId="6260F5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846" w:type="dxa"/>
                  <w:vMerge w:val="restart"/>
                  <w:tcBorders>
                    <w:top w:val="single" w:color="000000" w:sz="4" w:space="0"/>
                  </w:tcBorders>
                  <w:vAlign w:val="center"/>
                </w:tcPr>
                <w:p w14:paraId="69B16A37">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D7车间FQ</w:t>
                  </w:r>
                  <w:r>
                    <w:rPr>
                      <w:rFonts w:hint="default" w:ascii="Times New Roman" w:hAnsi="Times New Roman" w:eastAsia="仿宋" w:cs="Times New Roman"/>
                      <w:sz w:val="21"/>
                      <w:szCs w:val="21"/>
                      <w:lang w:val="en-US" w:eastAsia="zh-CN"/>
                    </w:rPr>
                    <w:t>-</w:t>
                  </w:r>
                  <w:r>
                    <w:rPr>
                      <w:rFonts w:hint="default" w:ascii="Times New Roman" w:hAnsi="Times New Roman" w:eastAsia="仿宋" w:cs="Times New Roman"/>
                      <w:sz w:val="21"/>
                      <w:szCs w:val="21"/>
                    </w:rPr>
                    <w:t>2排气筒</w:t>
                  </w:r>
                </w:p>
              </w:tc>
              <w:tc>
                <w:tcPr>
                  <w:tcW w:w="1161" w:type="dxa"/>
                  <w:vMerge w:val="restart"/>
                  <w:tcBorders>
                    <w:top w:val="single" w:color="000000" w:sz="4" w:space="0"/>
                  </w:tcBorders>
                  <w:vAlign w:val="center"/>
                </w:tcPr>
                <w:p w14:paraId="25C745AC">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2022.04.18</w:t>
                  </w:r>
                </w:p>
              </w:tc>
              <w:tc>
                <w:tcPr>
                  <w:tcW w:w="2366" w:type="dxa"/>
                  <w:vAlign w:val="center"/>
                </w:tcPr>
                <w:p w14:paraId="73CE119B">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标杆流量（N 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1250" w:type="dxa"/>
                  <w:tcBorders>
                    <w:bottom w:val="single" w:color="auto" w:sz="4" w:space="0"/>
                  </w:tcBorders>
                  <w:vAlign w:val="center"/>
                </w:tcPr>
                <w:p w14:paraId="43865C1F">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11625</w:t>
                  </w:r>
                </w:p>
              </w:tc>
              <w:tc>
                <w:tcPr>
                  <w:tcW w:w="1050" w:type="dxa"/>
                  <w:tcBorders>
                    <w:bottom w:val="single" w:color="auto" w:sz="4" w:space="0"/>
                  </w:tcBorders>
                  <w:vAlign w:val="center"/>
                </w:tcPr>
                <w:p w14:paraId="1488F1FF">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11976</w:t>
                  </w:r>
                </w:p>
              </w:tc>
              <w:tc>
                <w:tcPr>
                  <w:tcW w:w="1100" w:type="dxa"/>
                  <w:tcBorders>
                    <w:bottom w:val="single" w:color="auto" w:sz="4" w:space="0"/>
                  </w:tcBorders>
                  <w:vAlign w:val="center"/>
                </w:tcPr>
                <w:p w14:paraId="64B88A38">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12316</w:t>
                  </w:r>
                </w:p>
              </w:tc>
              <w:tc>
                <w:tcPr>
                  <w:tcW w:w="606" w:type="dxa"/>
                  <w:vAlign w:val="center"/>
                </w:tcPr>
                <w:p w14:paraId="169B643B">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r>
            <w:tr w14:paraId="1F25E9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5" w:hRule="atLeast"/>
                <w:jc w:val="center"/>
              </w:trPr>
              <w:tc>
                <w:tcPr>
                  <w:tcW w:w="846" w:type="dxa"/>
                  <w:vMerge w:val="continue"/>
                  <w:vAlign w:val="center"/>
                </w:tcPr>
                <w:p w14:paraId="3CC11ADF">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5730BF77">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7A5AA176">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颗粒物排放浓度（mg/m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1250" w:type="dxa"/>
                  <w:tcBorders>
                    <w:top w:val="single" w:color="auto" w:sz="4" w:space="0"/>
                  </w:tcBorders>
                  <w:vAlign w:val="center"/>
                </w:tcPr>
                <w:p w14:paraId="01F1252E">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w:t>
                  </w:r>
                </w:p>
              </w:tc>
              <w:tc>
                <w:tcPr>
                  <w:tcW w:w="1050" w:type="dxa"/>
                  <w:tcBorders>
                    <w:top w:val="single" w:color="auto" w:sz="4" w:space="0"/>
                  </w:tcBorders>
                  <w:vAlign w:val="center"/>
                </w:tcPr>
                <w:p w14:paraId="1B2C0C30">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w:t>
                  </w:r>
                </w:p>
              </w:tc>
              <w:tc>
                <w:tcPr>
                  <w:tcW w:w="1100" w:type="dxa"/>
                  <w:tcBorders>
                    <w:top w:val="single" w:color="auto" w:sz="4" w:space="0"/>
                  </w:tcBorders>
                  <w:vAlign w:val="center"/>
                </w:tcPr>
                <w:p w14:paraId="03DC42F1">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w:t>
                  </w:r>
                </w:p>
              </w:tc>
              <w:tc>
                <w:tcPr>
                  <w:tcW w:w="606" w:type="dxa"/>
                  <w:vAlign w:val="center"/>
                </w:tcPr>
                <w:p w14:paraId="3400D631">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w:t>
                  </w:r>
                </w:p>
              </w:tc>
            </w:tr>
            <w:tr w14:paraId="6EF181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vAlign w:val="center"/>
                </w:tcPr>
                <w:p w14:paraId="0C8CC215">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tcBorders>
                    <w:bottom w:val="single" w:color="000000" w:sz="4" w:space="0"/>
                  </w:tcBorders>
                  <w:vAlign w:val="center"/>
                </w:tcPr>
                <w:p w14:paraId="0EFE58F4">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0077FF8D">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颗粒物排放速率（kg/h）</w:t>
                  </w:r>
                </w:p>
              </w:tc>
              <w:tc>
                <w:tcPr>
                  <w:tcW w:w="1250" w:type="dxa"/>
                  <w:vAlign w:val="center"/>
                </w:tcPr>
                <w:p w14:paraId="169362F2">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1.40×10</w:t>
                  </w:r>
                  <w:r>
                    <w:rPr>
                      <w:rFonts w:hint="default" w:ascii="Times New Roman" w:hAnsi="Times New Roman" w:eastAsia="仿宋" w:cs="Times New Roman"/>
                      <w:kern w:val="0"/>
                      <w:sz w:val="21"/>
                      <w:szCs w:val="21"/>
                      <w:vertAlign w:val="superscript"/>
                    </w:rPr>
                    <w:t>-2</w:t>
                  </w:r>
                </w:p>
              </w:tc>
              <w:tc>
                <w:tcPr>
                  <w:tcW w:w="1050" w:type="dxa"/>
                  <w:vAlign w:val="center"/>
                </w:tcPr>
                <w:p w14:paraId="2F47A386">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1.44×10</w:t>
                  </w:r>
                  <w:r>
                    <w:rPr>
                      <w:rFonts w:hint="default" w:ascii="Times New Roman" w:hAnsi="Times New Roman" w:eastAsia="仿宋" w:cs="Times New Roman"/>
                      <w:kern w:val="0"/>
                      <w:sz w:val="21"/>
                      <w:szCs w:val="21"/>
                      <w:vertAlign w:val="superscript"/>
                    </w:rPr>
                    <w:t>-2</w:t>
                  </w:r>
                </w:p>
              </w:tc>
              <w:tc>
                <w:tcPr>
                  <w:tcW w:w="1100" w:type="dxa"/>
                  <w:vAlign w:val="center"/>
                </w:tcPr>
                <w:p w14:paraId="6A592734">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1.35×10</w:t>
                  </w:r>
                  <w:r>
                    <w:rPr>
                      <w:rFonts w:hint="default" w:ascii="Times New Roman" w:hAnsi="Times New Roman" w:eastAsia="仿宋" w:cs="Times New Roman"/>
                      <w:kern w:val="0"/>
                      <w:sz w:val="21"/>
                      <w:szCs w:val="21"/>
                      <w:vertAlign w:val="superscript"/>
                    </w:rPr>
                    <w:t>-2</w:t>
                  </w:r>
                </w:p>
              </w:tc>
              <w:tc>
                <w:tcPr>
                  <w:tcW w:w="606" w:type="dxa"/>
                  <w:vAlign w:val="center"/>
                </w:tcPr>
                <w:p w14:paraId="7941DE13">
                  <w:pPr>
                    <w:widowControl/>
                    <w:adjustRightInd w:val="0"/>
                    <w:snapToGrid w:val="0"/>
                    <w:ind w:firstLine="0" w:firstLineChars="0"/>
                    <w:jc w:val="center"/>
                    <w:rPr>
                      <w:rFonts w:hint="eastAsia" w:ascii="Times New Roman" w:hAnsi="Times New Roman" w:eastAsia="仿宋" w:cs="Times New Roman"/>
                      <w:kern w:val="0"/>
                      <w:sz w:val="21"/>
                      <w:szCs w:val="21"/>
                      <w:lang w:eastAsia="zh-CN"/>
                    </w:rPr>
                  </w:pPr>
                  <w:r>
                    <w:rPr>
                      <w:rFonts w:hint="eastAsia" w:eastAsia="仿宋" w:cs="Times New Roman"/>
                      <w:kern w:val="0"/>
                      <w:sz w:val="21"/>
                      <w:szCs w:val="21"/>
                      <w:lang w:val="en-US" w:eastAsia="zh-CN"/>
                    </w:rPr>
                    <w:t>1</w:t>
                  </w:r>
                </w:p>
              </w:tc>
            </w:tr>
            <w:tr w14:paraId="212AB0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846" w:type="dxa"/>
                  <w:vMerge w:val="continue"/>
                  <w:vAlign w:val="center"/>
                </w:tcPr>
                <w:p w14:paraId="42105BB2">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restart"/>
                  <w:tcBorders>
                    <w:top w:val="single" w:color="000000" w:sz="4" w:space="0"/>
                  </w:tcBorders>
                  <w:vAlign w:val="center"/>
                </w:tcPr>
                <w:p w14:paraId="089A961B">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2022.04.19</w:t>
                  </w:r>
                </w:p>
              </w:tc>
              <w:tc>
                <w:tcPr>
                  <w:tcW w:w="2366" w:type="dxa"/>
                  <w:vAlign w:val="center"/>
                </w:tcPr>
                <w:p w14:paraId="25B470BE">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标杆流量（N 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1250" w:type="dxa"/>
                  <w:tcBorders>
                    <w:bottom w:val="single" w:color="auto" w:sz="4" w:space="0"/>
                  </w:tcBorders>
                  <w:vAlign w:val="center"/>
                </w:tcPr>
                <w:p w14:paraId="1655FEF8">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11821</w:t>
                  </w:r>
                </w:p>
              </w:tc>
              <w:tc>
                <w:tcPr>
                  <w:tcW w:w="1050" w:type="dxa"/>
                  <w:tcBorders>
                    <w:bottom w:val="single" w:color="auto" w:sz="4" w:space="0"/>
                  </w:tcBorders>
                  <w:vAlign w:val="center"/>
                </w:tcPr>
                <w:p w14:paraId="7C2330AE">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12163</w:t>
                  </w:r>
                </w:p>
              </w:tc>
              <w:tc>
                <w:tcPr>
                  <w:tcW w:w="1100" w:type="dxa"/>
                  <w:tcBorders>
                    <w:bottom w:val="single" w:color="auto" w:sz="4" w:space="0"/>
                  </w:tcBorders>
                  <w:vAlign w:val="center"/>
                </w:tcPr>
                <w:p w14:paraId="6D0F7314">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12497</w:t>
                  </w:r>
                </w:p>
              </w:tc>
              <w:tc>
                <w:tcPr>
                  <w:tcW w:w="606" w:type="dxa"/>
                  <w:tcBorders>
                    <w:bottom w:val="single" w:color="auto" w:sz="4" w:space="0"/>
                  </w:tcBorders>
                  <w:vAlign w:val="center"/>
                </w:tcPr>
                <w:p w14:paraId="04BEA774">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r>
            <w:tr w14:paraId="3E6D36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46" w:type="dxa"/>
                  <w:vMerge w:val="continue"/>
                  <w:vAlign w:val="center"/>
                </w:tcPr>
                <w:p w14:paraId="7DD09A3A">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46B991E4">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2A8D5613">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颗粒物排放浓度（mg/m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1250" w:type="dxa"/>
                  <w:tcBorders>
                    <w:top w:val="single" w:color="auto" w:sz="4" w:space="0"/>
                  </w:tcBorders>
                  <w:vAlign w:val="center"/>
                </w:tcPr>
                <w:p w14:paraId="0B2BD6D2">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w:t>
                  </w:r>
                </w:p>
              </w:tc>
              <w:tc>
                <w:tcPr>
                  <w:tcW w:w="1050" w:type="dxa"/>
                  <w:tcBorders>
                    <w:top w:val="single" w:color="auto" w:sz="4" w:space="0"/>
                  </w:tcBorders>
                  <w:vAlign w:val="center"/>
                </w:tcPr>
                <w:p w14:paraId="2BDCE772">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w:t>
                  </w:r>
                </w:p>
              </w:tc>
              <w:tc>
                <w:tcPr>
                  <w:tcW w:w="1100" w:type="dxa"/>
                  <w:tcBorders>
                    <w:top w:val="single" w:color="auto" w:sz="4" w:space="0"/>
                  </w:tcBorders>
                  <w:vAlign w:val="center"/>
                </w:tcPr>
                <w:p w14:paraId="54A7B9E2">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w:t>
                  </w:r>
                </w:p>
              </w:tc>
              <w:tc>
                <w:tcPr>
                  <w:tcW w:w="606" w:type="dxa"/>
                  <w:tcBorders>
                    <w:top w:val="single" w:color="auto" w:sz="4" w:space="0"/>
                  </w:tcBorders>
                  <w:vAlign w:val="center"/>
                </w:tcPr>
                <w:p w14:paraId="4192F927">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w:t>
                  </w:r>
                </w:p>
              </w:tc>
            </w:tr>
            <w:tr w14:paraId="1FB088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46" w:type="dxa"/>
                  <w:vMerge w:val="continue"/>
                  <w:vAlign w:val="center"/>
                </w:tcPr>
                <w:p w14:paraId="7EC2EF45">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1762355C">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4E4FC5BD">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颗粒物排放速率（kg/h）</w:t>
                  </w:r>
                </w:p>
              </w:tc>
              <w:tc>
                <w:tcPr>
                  <w:tcW w:w="1250" w:type="dxa"/>
                  <w:vAlign w:val="center"/>
                </w:tcPr>
                <w:p w14:paraId="6561BED9">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1.42×10</w:t>
                  </w:r>
                  <w:r>
                    <w:rPr>
                      <w:rFonts w:hint="default" w:ascii="Times New Roman" w:hAnsi="Times New Roman" w:eastAsia="仿宋" w:cs="Times New Roman"/>
                      <w:kern w:val="0"/>
                      <w:sz w:val="21"/>
                      <w:szCs w:val="21"/>
                      <w:vertAlign w:val="superscript"/>
                    </w:rPr>
                    <w:t>-2</w:t>
                  </w:r>
                </w:p>
              </w:tc>
              <w:tc>
                <w:tcPr>
                  <w:tcW w:w="1050" w:type="dxa"/>
                  <w:vAlign w:val="center"/>
                </w:tcPr>
                <w:p w14:paraId="71E366D7">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1.58×10</w:t>
                  </w:r>
                  <w:r>
                    <w:rPr>
                      <w:rFonts w:hint="default" w:ascii="Times New Roman" w:hAnsi="Times New Roman" w:eastAsia="仿宋" w:cs="Times New Roman"/>
                      <w:kern w:val="0"/>
                      <w:sz w:val="21"/>
                      <w:szCs w:val="21"/>
                      <w:vertAlign w:val="superscript"/>
                    </w:rPr>
                    <w:t>-2</w:t>
                  </w:r>
                </w:p>
              </w:tc>
              <w:tc>
                <w:tcPr>
                  <w:tcW w:w="1100" w:type="dxa"/>
                  <w:vAlign w:val="center"/>
                </w:tcPr>
                <w:p w14:paraId="3BED4868">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1.37×10</w:t>
                  </w:r>
                  <w:r>
                    <w:rPr>
                      <w:rFonts w:hint="default" w:ascii="Times New Roman" w:hAnsi="Times New Roman" w:eastAsia="仿宋" w:cs="Times New Roman"/>
                      <w:kern w:val="0"/>
                      <w:sz w:val="21"/>
                      <w:szCs w:val="21"/>
                      <w:vertAlign w:val="superscript"/>
                    </w:rPr>
                    <w:t>-2</w:t>
                  </w:r>
                </w:p>
              </w:tc>
              <w:tc>
                <w:tcPr>
                  <w:tcW w:w="606" w:type="dxa"/>
                  <w:vAlign w:val="center"/>
                </w:tcPr>
                <w:p w14:paraId="18FF92D4">
                  <w:pPr>
                    <w:widowControl/>
                    <w:adjustRightInd w:val="0"/>
                    <w:snapToGrid w:val="0"/>
                    <w:ind w:firstLine="0" w:firstLineChars="0"/>
                    <w:jc w:val="center"/>
                    <w:rPr>
                      <w:rFonts w:hint="eastAsia" w:ascii="Times New Roman" w:hAnsi="Times New Roman" w:eastAsia="仿宋" w:cs="Times New Roman"/>
                      <w:kern w:val="0"/>
                      <w:sz w:val="21"/>
                      <w:szCs w:val="21"/>
                      <w:lang w:eastAsia="zh-CN"/>
                    </w:rPr>
                  </w:pPr>
                  <w:r>
                    <w:rPr>
                      <w:rFonts w:hint="eastAsia" w:eastAsia="仿宋" w:cs="Times New Roman"/>
                      <w:kern w:val="0"/>
                      <w:sz w:val="21"/>
                      <w:szCs w:val="21"/>
                      <w:lang w:val="en-US" w:eastAsia="zh-CN"/>
                    </w:rPr>
                    <w:t>1</w:t>
                  </w:r>
                </w:p>
              </w:tc>
            </w:tr>
            <w:tr w14:paraId="30F746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80" w:hRule="atLeast"/>
                <w:jc w:val="center"/>
              </w:trPr>
              <w:tc>
                <w:tcPr>
                  <w:tcW w:w="846" w:type="dxa"/>
                  <w:vMerge w:val="restart"/>
                  <w:vAlign w:val="center"/>
                </w:tcPr>
                <w:p w14:paraId="527982B6">
                  <w:pPr>
                    <w:adjustRightInd w:val="0"/>
                    <w:snapToGrid w:val="0"/>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F16车间FQ</w:t>
                  </w:r>
                  <w:r>
                    <w:rPr>
                      <w:rFonts w:hint="default" w:ascii="Times New Roman" w:hAnsi="Times New Roman" w:eastAsia="仿宋" w:cs="Times New Roman"/>
                      <w:sz w:val="21"/>
                      <w:szCs w:val="21"/>
                      <w:lang w:val="en-US" w:eastAsia="zh-CN"/>
                    </w:rPr>
                    <w:t>-</w:t>
                  </w:r>
                  <w:r>
                    <w:rPr>
                      <w:rFonts w:hint="default" w:ascii="Times New Roman" w:hAnsi="Times New Roman" w:eastAsia="仿宋" w:cs="Times New Roman"/>
                      <w:sz w:val="21"/>
                      <w:szCs w:val="21"/>
                    </w:rPr>
                    <w:t>3排气筒</w:t>
                  </w:r>
                </w:p>
              </w:tc>
              <w:tc>
                <w:tcPr>
                  <w:tcW w:w="1161" w:type="dxa"/>
                  <w:vMerge w:val="restart"/>
                  <w:vAlign w:val="center"/>
                </w:tcPr>
                <w:p w14:paraId="622A38E4">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2022.04.18</w:t>
                  </w:r>
                </w:p>
              </w:tc>
              <w:tc>
                <w:tcPr>
                  <w:tcW w:w="2366" w:type="dxa"/>
                  <w:vAlign w:val="center"/>
                </w:tcPr>
                <w:p w14:paraId="4946735F">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标杆流量（N 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1250" w:type="dxa"/>
                  <w:tcBorders>
                    <w:bottom w:val="single" w:color="auto" w:sz="4" w:space="0"/>
                  </w:tcBorders>
                  <w:shd w:val="clear" w:color="auto" w:fill="auto"/>
                  <w:vAlign w:val="center"/>
                </w:tcPr>
                <w:p w14:paraId="2EC4D45C">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8094</w:t>
                  </w:r>
                </w:p>
              </w:tc>
              <w:tc>
                <w:tcPr>
                  <w:tcW w:w="1050" w:type="dxa"/>
                  <w:tcBorders>
                    <w:bottom w:val="single" w:color="auto" w:sz="4" w:space="0"/>
                  </w:tcBorders>
                  <w:shd w:val="clear" w:color="auto" w:fill="auto"/>
                  <w:vAlign w:val="center"/>
                </w:tcPr>
                <w:p w14:paraId="5013A6E3">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8172</w:t>
                  </w:r>
                </w:p>
              </w:tc>
              <w:tc>
                <w:tcPr>
                  <w:tcW w:w="1100" w:type="dxa"/>
                  <w:tcBorders>
                    <w:bottom w:val="single" w:color="auto" w:sz="4" w:space="0"/>
                  </w:tcBorders>
                  <w:shd w:val="clear" w:color="auto" w:fill="auto"/>
                  <w:vAlign w:val="center"/>
                </w:tcPr>
                <w:p w14:paraId="1CF627A9">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8274</w:t>
                  </w:r>
                </w:p>
              </w:tc>
              <w:tc>
                <w:tcPr>
                  <w:tcW w:w="606" w:type="dxa"/>
                  <w:tcBorders>
                    <w:bottom w:val="single" w:color="auto" w:sz="4" w:space="0"/>
                  </w:tcBorders>
                  <w:shd w:val="clear" w:color="auto" w:fill="auto"/>
                  <w:vAlign w:val="center"/>
                </w:tcPr>
                <w:p w14:paraId="2A5C4607">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w:t>
                  </w:r>
                </w:p>
              </w:tc>
            </w:tr>
            <w:tr w14:paraId="7626F2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50" w:hRule="atLeast"/>
                <w:jc w:val="center"/>
              </w:trPr>
              <w:tc>
                <w:tcPr>
                  <w:tcW w:w="846" w:type="dxa"/>
                  <w:vMerge w:val="continue"/>
                  <w:vAlign w:val="center"/>
                </w:tcPr>
                <w:p w14:paraId="19679C8E">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36EDB380">
                  <w:pPr>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615C3249">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非甲烷总烃排放浓度（mg/m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1250" w:type="dxa"/>
                  <w:tcBorders>
                    <w:top w:val="single" w:color="auto" w:sz="4" w:space="0"/>
                  </w:tcBorders>
                  <w:shd w:val="clear" w:color="auto" w:fill="auto"/>
                  <w:vAlign w:val="center"/>
                </w:tcPr>
                <w:p w14:paraId="29020093">
                  <w:pPr>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2.34</w:t>
                  </w:r>
                </w:p>
              </w:tc>
              <w:tc>
                <w:tcPr>
                  <w:tcW w:w="1050" w:type="dxa"/>
                  <w:tcBorders>
                    <w:top w:val="single" w:color="auto" w:sz="4" w:space="0"/>
                  </w:tcBorders>
                  <w:shd w:val="clear" w:color="auto" w:fill="auto"/>
                  <w:vAlign w:val="center"/>
                </w:tcPr>
                <w:p w14:paraId="4CDCCA03">
                  <w:pPr>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1.97</w:t>
                  </w:r>
                </w:p>
              </w:tc>
              <w:tc>
                <w:tcPr>
                  <w:tcW w:w="1100" w:type="dxa"/>
                  <w:tcBorders>
                    <w:top w:val="single" w:color="auto" w:sz="4" w:space="0"/>
                  </w:tcBorders>
                  <w:shd w:val="clear" w:color="auto" w:fill="auto"/>
                  <w:vAlign w:val="center"/>
                </w:tcPr>
                <w:p w14:paraId="4D3EC149">
                  <w:pPr>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1.95</w:t>
                  </w:r>
                </w:p>
              </w:tc>
              <w:tc>
                <w:tcPr>
                  <w:tcW w:w="606" w:type="dxa"/>
                  <w:tcBorders>
                    <w:top w:val="single" w:color="auto" w:sz="4" w:space="0"/>
                  </w:tcBorders>
                  <w:shd w:val="clear" w:color="auto" w:fill="auto"/>
                  <w:vAlign w:val="center"/>
                </w:tcPr>
                <w:p w14:paraId="7B89F272">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60</w:t>
                  </w:r>
                </w:p>
              </w:tc>
            </w:tr>
            <w:tr w14:paraId="36EE30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846" w:type="dxa"/>
                  <w:vMerge w:val="continue"/>
                  <w:vAlign w:val="center"/>
                </w:tcPr>
                <w:p w14:paraId="4F435813">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6596BE39">
                  <w:pPr>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6E746DA0">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非甲烷总烃排放速率（kg/h）</w:t>
                  </w:r>
                </w:p>
              </w:tc>
              <w:tc>
                <w:tcPr>
                  <w:tcW w:w="1250" w:type="dxa"/>
                  <w:shd w:val="clear" w:color="auto" w:fill="auto"/>
                  <w:vAlign w:val="center"/>
                </w:tcPr>
                <w:p w14:paraId="039E7609">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1.89×10</w:t>
                  </w:r>
                  <w:r>
                    <w:rPr>
                      <w:rFonts w:hint="default" w:ascii="Times New Roman" w:hAnsi="Times New Roman" w:eastAsia="仿宋" w:cs="Times New Roman"/>
                      <w:kern w:val="0"/>
                      <w:sz w:val="21"/>
                      <w:szCs w:val="21"/>
                      <w:vertAlign w:val="superscript"/>
                    </w:rPr>
                    <w:t>-2</w:t>
                  </w:r>
                </w:p>
              </w:tc>
              <w:tc>
                <w:tcPr>
                  <w:tcW w:w="1050" w:type="dxa"/>
                  <w:shd w:val="clear" w:color="auto" w:fill="auto"/>
                  <w:vAlign w:val="center"/>
                </w:tcPr>
                <w:p w14:paraId="7122E1C0">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1.61×10</w:t>
                  </w:r>
                  <w:r>
                    <w:rPr>
                      <w:rFonts w:hint="default" w:ascii="Times New Roman" w:hAnsi="Times New Roman" w:eastAsia="仿宋" w:cs="Times New Roman"/>
                      <w:kern w:val="0"/>
                      <w:sz w:val="21"/>
                      <w:szCs w:val="21"/>
                      <w:vertAlign w:val="superscript"/>
                    </w:rPr>
                    <w:t>-2</w:t>
                  </w:r>
                </w:p>
              </w:tc>
              <w:tc>
                <w:tcPr>
                  <w:tcW w:w="1100" w:type="dxa"/>
                  <w:shd w:val="clear" w:color="auto" w:fill="auto"/>
                  <w:vAlign w:val="center"/>
                </w:tcPr>
                <w:p w14:paraId="623B8293">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1.61×10</w:t>
                  </w:r>
                  <w:r>
                    <w:rPr>
                      <w:rFonts w:hint="default" w:ascii="Times New Roman" w:hAnsi="Times New Roman" w:eastAsia="仿宋" w:cs="Times New Roman"/>
                      <w:kern w:val="0"/>
                      <w:sz w:val="21"/>
                      <w:szCs w:val="21"/>
                      <w:vertAlign w:val="superscript"/>
                    </w:rPr>
                    <w:t>-2</w:t>
                  </w:r>
                </w:p>
              </w:tc>
              <w:tc>
                <w:tcPr>
                  <w:tcW w:w="606" w:type="dxa"/>
                  <w:shd w:val="clear" w:color="auto" w:fill="auto"/>
                  <w:vAlign w:val="center"/>
                </w:tcPr>
                <w:p w14:paraId="200D3D1C">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eastAsia" w:eastAsia="仿宋" w:cs="Times New Roman"/>
                      <w:kern w:val="0"/>
                      <w:sz w:val="21"/>
                      <w:szCs w:val="21"/>
                      <w:lang w:val="en-US" w:eastAsia="zh-CN"/>
                    </w:rPr>
                    <w:t>3</w:t>
                  </w:r>
                </w:p>
              </w:tc>
            </w:tr>
            <w:tr w14:paraId="6A3E6C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35" w:hRule="atLeast"/>
                <w:jc w:val="center"/>
              </w:trPr>
              <w:tc>
                <w:tcPr>
                  <w:tcW w:w="846" w:type="dxa"/>
                  <w:vMerge w:val="continue"/>
                  <w:vAlign w:val="center"/>
                </w:tcPr>
                <w:p w14:paraId="00438FCF">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restart"/>
                  <w:vAlign w:val="center"/>
                </w:tcPr>
                <w:p w14:paraId="3F416EA6">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2022.04.19</w:t>
                  </w:r>
                </w:p>
              </w:tc>
              <w:tc>
                <w:tcPr>
                  <w:tcW w:w="2366" w:type="dxa"/>
                  <w:vAlign w:val="center"/>
                </w:tcPr>
                <w:p w14:paraId="47133C61">
                  <w:pPr>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标杆流量（N 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1250" w:type="dxa"/>
                  <w:tcBorders>
                    <w:bottom w:val="single" w:color="auto" w:sz="4" w:space="0"/>
                  </w:tcBorders>
                  <w:shd w:val="clear" w:color="auto" w:fill="auto"/>
                  <w:vAlign w:val="center"/>
                </w:tcPr>
                <w:p w14:paraId="48002556">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8116</w:t>
                  </w:r>
                </w:p>
              </w:tc>
              <w:tc>
                <w:tcPr>
                  <w:tcW w:w="1050" w:type="dxa"/>
                  <w:tcBorders>
                    <w:bottom w:val="single" w:color="auto" w:sz="4" w:space="0"/>
                  </w:tcBorders>
                  <w:shd w:val="clear" w:color="auto" w:fill="auto"/>
                  <w:vAlign w:val="center"/>
                </w:tcPr>
                <w:p w14:paraId="48A534C0">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8193</w:t>
                  </w:r>
                </w:p>
              </w:tc>
              <w:tc>
                <w:tcPr>
                  <w:tcW w:w="1100" w:type="dxa"/>
                  <w:tcBorders>
                    <w:bottom w:val="single" w:color="auto" w:sz="4" w:space="0"/>
                  </w:tcBorders>
                  <w:shd w:val="clear" w:color="auto" w:fill="auto"/>
                  <w:vAlign w:val="center"/>
                </w:tcPr>
                <w:p w14:paraId="04E581CB">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8294</w:t>
                  </w:r>
                </w:p>
              </w:tc>
              <w:tc>
                <w:tcPr>
                  <w:tcW w:w="606" w:type="dxa"/>
                  <w:shd w:val="clear" w:color="auto" w:fill="auto"/>
                  <w:vAlign w:val="center"/>
                </w:tcPr>
                <w:p w14:paraId="73B10CA1">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w:t>
                  </w:r>
                </w:p>
              </w:tc>
            </w:tr>
            <w:tr w14:paraId="71C6E3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5" w:hRule="atLeast"/>
                <w:jc w:val="center"/>
              </w:trPr>
              <w:tc>
                <w:tcPr>
                  <w:tcW w:w="846" w:type="dxa"/>
                  <w:vMerge w:val="continue"/>
                  <w:vAlign w:val="center"/>
                </w:tcPr>
                <w:p w14:paraId="77C440C1">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3EF52CFE">
                  <w:pPr>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4BF4DE7D">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非甲烷总烃排放浓度（mg/m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1250" w:type="dxa"/>
                  <w:tcBorders>
                    <w:top w:val="single" w:color="auto" w:sz="4" w:space="0"/>
                  </w:tcBorders>
                  <w:shd w:val="clear" w:color="auto" w:fill="auto"/>
                  <w:vAlign w:val="center"/>
                </w:tcPr>
                <w:p w14:paraId="0C083303">
                  <w:pPr>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1.89</w:t>
                  </w:r>
                </w:p>
              </w:tc>
              <w:tc>
                <w:tcPr>
                  <w:tcW w:w="1050" w:type="dxa"/>
                  <w:tcBorders>
                    <w:top w:val="single" w:color="auto" w:sz="4" w:space="0"/>
                  </w:tcBorders>
                  <w:shd w:val="clear" w:color="auto" w:fill="auto"/>
                  <w:vAlign w:val="center"/>
                </w:tcPr>
                <w:p w14:paraId="3199A626">
                  <w:pPr>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2.09</w:t>
                  </w:r>
                </w:p>
              </w:tc>
              <w:tc>
                <w:tcPr>
                  <w:tcW w:w="1100" w:type="dxa"/>
                  <w:tcBorders>
                    <w:top w:val="single" w:color="auto" w:sz="4" w:space="0"/>
                  </w:tcBorders>
                  <w:shd w:val="clear" w:color="auto" w:fill="auto"/>
                  <w:vAlign w:val="center"/>
                </w:tcPr>
                <w:p w14:paraId="6E87D226">
                  <w:pPr>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1.83</w:t>
                  </w:r>
                </w:p>
              </w:tc>
              <w:tc>
                <w:tcPr>
                  <w:tcW w:w="606" w:type="dxa"/>
                  <w:shd w:val="clear" w:color="auto" w:fill="auto"/>
                  <w:vAlign w:val="center"/>
                </w:tcPr>
                <w:p w14:paraId="6B95ED8B">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60</w:t>
                  </w:r>
                </w:p>
              </w:tc>
            </w:tr>
            <w:tr w14:paraId="1054ED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vAlign w:val="center"/>
                </w:tcPr>
                <w:p w14:paraId="7612CF5C">
                  <w:pPr>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4AA9F43B">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vAlign w:val="center"/>
                </w:tcPr>
                <w:p w14:paraId="5162929D">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非甲烷总烃排放速率（kg/h）</w:t>
                  </w:r>
                </w:p>
              </w:tc>
              <w:tc>
                <w:tcPr>
                  <w:tcW w:w="1250" w:type="dxa"/>
                  <w:shd w:val="clear" w:color="auto" w:fill="auto"/>
                  <w:vAlign w:val="center"/>
                </w:tcPr>
                <w:p w14:paraId="4D9F7E0E">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1.53×10</w:t>
                  </w:r>
                  <w:r>
                    <w:rPr>
                      <w:rFonts w:hint="default" w:ascii="Times New Roman" w:hAnsi="Times New Roman" w:eastAsia="仿宋" w:cs="Times New Roman"/>
                      <w:kern w:val="0"/>
                      <w:sz w:val="21"/>
                      <w:szCs w:val="21"/>
                      <w:vertAlign w:val="superscript"/>
                    </w:rPr>
                    <w:t>-2</w:t>
                  </w:r>
                </w:p>
              </w:tc>
              <w:tc>
                <w:tcPr>
                  <w:tcW w:w="1050" w:type="dxa"/>
                  <w:shd w:val="clear" w:color="auto" w:fill="auto"/>
                  <w:vAlign w:val="center"/>
                </w:tcPr>
                <w:p w14:paraId="7AB3C3F0">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1.71×10</w:t>
                  </w:r>
                  <w:r>
                    <w:rPr>
                      <w:rFonts w:hint="default" w:ascii="Times New Roman" w:hAnsi="Times New Roman" w:eastAsia="仿宋" w:cs="Times New Roman"/>
                      <w:kern w:val="0"/>
                      <w:sz w:val="21"/>
                      <w:szCs w:val="21"/>
                      <w:vertAlign w:val="superscript"/>
                    </w:rPr>
                    <w:t>-2</w:t>
                  </w:r>
                </w:p>
              </w:tc>
              <w:tc>
                <w:tcPr>
                  <w:tcW w:w="1100" w:type="dxa"/>
                  <w:shd w:val="clear" w:color="auto" w:fill="auto"/>
                  <w:vAlign w:val="center"/>
                </w:tcPr>
                <w:p w14:paraId="5D70BAC2">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1.52×10</w:t>
                  </w:r>
                  <w:r>
                    <w:rPr>
                      <w:rFonts w:hint="default" w:ascii="Times New Roman" w:hAnsi="Times New Roman" w:eastAsia="仿宋" w:cs="Times New Roman"/>
                      <w:kern w:val="0"/>
                      <w:sz w:val="21"/>
                      <w:szCs w:val="21"/>
                      <w:vertAlign w:val="superscript"/>
                    </w:rPr>
                    <w:t>-2</w:t>
                  </w:r>
                </w:p>
              </w:tc>
              <w:tc>
                <w:tcPr>
                  <w:tcW w:w="606" w:type="dxa"/>
                  <w:shd w:val="clear" w:color="auto" w:fill="auto"/>
                  <w:vAlign w:val="center"/>
                </w:tcPr>
                <w:p w14:paraId="48B985F5">
                  <w:pPr>
                    <w:widowControl/>
                    <w:adjustRightInd w:val="0"/>
                    <w:snapToGrid w:val="0"/>
                    <w:ind w:firstLine="0" w:firstLineChars="0"/>
                    <w:jc w:val="center"/>
                    <w:rPr>
                      <w:rFonts w:hint="default" w:ascii="Times New Roman" w:hAnsi="Times New Roman" w:eastAsia="仿宋" w:cs="Times New Roman"/>
                      <w:kern w:val="0"/>
                      <w:sz w:val="21"/>
                      <w:szCs w:val="21"/>
                      <w:lang w:val="en-US" w:eastAsia="zh-CN" w:bidi="ar-SA"/>
                    </w:rPr>
                  </w:pPr>
                  <w:r>
                    <w:rPr>
                      <w:rFonts w:hint="eastAsia" w:eastAsia="仿宋" w:cs="Times New Roman"/>
                      <w:kern w:val="0"/>
                      <w:sz w:val="21"/>
                      <w:szCs w:val="21"/>
                      <w:lang w:val="en-US" w:eastAsia="zh-CN"/>
                    </w:rPr>
                    <w:t>3</w:t>
                  </w:r>
                </w:p>
              </w:tc>
            </w:tr>
            <w:tr w14:paraId="79105A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restart"/>
                  <w:shd w:val="clear" w:color="auto" w:fill="auto"/>
                  <w:vAlign w:val="center"/>
                </w:tcPr>
                <w:p w14:paraId="765FE006">
                  <w:pPr>
                    <w:widowControl/>
                    <w:adjustRightInd w:val="0"/>
                    <w:snapToGrid w:val="0"/>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D7车间FQ</w:t>
                  </w:r>
                  <w:r>
                    <w:rPr>
                      <w:rFonts w:hint="default" w:ascii="Times New Roman" w:hAnsi="Times New Roman" w:eastAsia="仿宋" w:cs="Times New Roman"/>
                      <w:sz w:val="21"/>
                      <w:szCs w:val="21"/>
                      <w:lang w:val="en-US" w:eastAsia="zh-CN"/>
                    </w:rPr>
                    <w:t>-</w:t>
                  </w:r>
                  <w:r>
                    <w:rPr>
                      <w:rFonts w:hint="default" w:ascii="Times New Roman" w:hAnsi="Times New Roman" w:eastAsia="仿宋" w:cs="Times New Roman"/>
                      <w:sz w:val="21"/>
                      <w:szCs w:val="21"/>
                    </w:rPr>
                    <w:t>1排气筒</w:t>
                  </w:r>
                </w:p>
              </w:tc>
              <w:tc>
                <w:tcPr>
                  <w:tcW w:w="1161" w:type="dxa"/>
                  <w:vMerge w:val="restart"/>
                  <w:shd w:val="clear" w:color="auto" w:fill="auto"/>
                  <w:vAlign w:val="center"/>
                </w:tcPr>
                <w:p w14:paraId="3DB2CBDD">
                  <w:pPr>
                    <w:adjustRightInd/>
                    <w:snapToGrid/>
                    <w:spacing w:after="0"/>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2024.</w:t>
                  </w:r>
                  <w:r>
                    <w:rPr>
                      <w:rFonts w:hint="default" w:ascii="Times New Roman" w:hAnsi="Times New Roman" w:eastAsia="仿宋" w:cs="Times New Roman"/>
                      <w:sz w:val="21"/>
                      <w:szCs w:val="21"/>
                      <w:lang w:val="en-US" w:eastAsia="zh-CN"/>
                    </w:rPr>
                    <w:t>06</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w:t>
                  </w:r>
                  <w:r>
                    <w:rPr>
                      <w:rFonts w:hint="default" w:ascii="Times New Roman" w:hAnsi="Times New Roman" w:eastAsia="仿宋" w:cs="Times New Roman"/>
                      <w:sz w:val="21"/>
                      <w:szCs w:val="21"/>
                    </w:rPr>
                    <w:t>4</w:t>
                  </w:r>
                </w:p>
              </w:tc>
              <w:tc>
                <w:tcPr>
                  <w:tcW w:w="2366" w:type="dxa"/>
                  <w:shd w:val="clear" w:color="auto" w:fill="auto"/>
                  <w:vAlign w:val="center"/>
                </w:tcPr>
                <w:p w14:paraId="334EE61A">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标干流量（m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1250" w:type="dxa"/>
                  <w:shd w:val="clear" w:color="auto" w:fill="auto"/>
                  <w:vAlign w:val="center"/>
                </w:tcPr>
                <w:p w14:paraId="3B94C5C1">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13169</w:t>
                  </w:r>
                </w:p>
              </w:tc>
              <w:tc>
                <w:tcPr>
                  <w:tcW w:w="1050" w:type="dxa"/>
                  <w:shd w:val="clear" w:color="auto" w:fill="auto"/>
                  <w:vAlign w:val="center"/>
                </w:tcPr>
                <w:p w14:paraId="1755D9FF">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13275</w:t>
                  </w:r>
                </w:p>
              </w:tc>
              <w:tc>
                <w:tcPr>
                  <w:tcW w:w="1100" w:type="dxa"/>
                  <w:shd w:val="clear" w:color="auto" w:fill="auto"/>
                  <w:vAlign w:val="center"/>
                </w:tcPr>
                <w:p w14:paraId="31FA14C0">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12846</w:t>
                  </w:r>
                </w:p>
              </w:tc>
              <w:tc>
                <w:tcPr>
                  <w:tcW w:w="606" w:type="dxa"/>
                  <w:shd w:val="clear" w:color="auto" w:fill="auto"/>
                  <w:vAlign w:val="center"/>
                </w:tcPr>
                <w:p w14:paraId="3FB2AD85">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w:t>
                  </w:r>
                </w:p>
              </w:tc>
            </w:tr>
            <w:tr w14:paraId="15953F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vAlign w:val="center"/>
                </w:tcPr>
                <w:p w14:paraId="0C071392">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vAlign w:val="center"/>
                </w:tcPr>
                <w:p w14:paraId="4D8BA440">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shd w:val="clear" w:color="auto" w:fill="auto"/>
                  <w:vAlign w:val="center"/>
                </w:tcPr>
                <w:p w14:paraId="1A7ED0B4">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非甲烷总烃排放</w:t>
                  </w:r>
                  <w:r>
                    <w:rPr>
                      <w:rFonts w:hint="default" w:ascii="Times New Roman" w:hAnsi="Times New Roman" w:eastAsia="仿宋" w:cs="Times New Roman"/>
                      <w:sz w:val="21"/>
                      <w:szCs w:val="21"/>
                    </w:rPr>
                    <w:t>浓度（mg/m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1250" w:type="dxa"/>
                  <w:shd w:val="clear" w:color="auto" w:fill="auto"/>
                  <w:vAlign w:val="center"/>
                </w:tcPr>
                <w:p w14:paraId="523A506A">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1.</w:t>
                  </w:r>
                  <w:r>
                    <w:rPr>
                      <w:rFonts w:hint="default" w:ascii="Times New Roman" w:hAnsi="Times New Roman" w:eastAsia="仿宋" w:cs="Times New Roman"/>
                      <w:sz w:val="21"/>
                      <w:szCs w:val="21"/>
                      <w:lang w:val="en-US" w:eastAsia="zh-CN"/>
                    </w:rPr>
                    <w:t>87</w:t>
                  </w:r>
                </w:p>
              </w:tc>
              <w:tc>
                <w:tcPr>
                  <w:tcW w:w="1050" w:type="dxa"/>
                  <w:shd w:val="clear" w:color="auto" w:fill="auto"/>
                  <w:vAlign w:val="center"/>
                </w:tcPr>
                <w:p w14:paraId="4BEFCD57">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17</w:t>
                  </w:r>
                </w:p>
              </w:tc>
              <w:tc>
                <w:tcPr>
                  <w:tcW w:w="1100" w:type="dxa"/>
                  <w:shd w:val="clear" w:color="auto" w:fill="auto"/>
                  <w:vAlign w:val="center"/>
                </w:tcPr>
                <w:p w14:paraId="15432CD8">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2.58</w:t>
                  </w:r>
                </w:p>
              </w:tc>
              <w:tc>
                <w:tcPr>
                  <w:tcW w:w="606" w:type="dxa"/>
                  <w:shd w:val="clear" w:color="auto" w:fill="auto"/>
                  <w:vAlign w:val="center"/>
                </w:tcPr>
                <w:p w14:paraId="17277F84">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60</w:t>
                  </w:r>
                </w:p>
              </w:tc>
            </w:tr>
            <w:tr w14:paraId="52FF9C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tcPr>
                <w:p w14:paraId="274E808D">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tcPr>
                <w:p w14:paraId="7DD05632">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shd w:val="clear" w:color="auto" w:fill="auto"/>
                  <w:vAlign w:val="center"/>
                </w:tcPr>
                <w:p w14:paraId="280F31D4">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非甲烷总烃</w:t>
                  </w:r>
                  <w:r>
                    <w:rPr>
                      <w:rFonts w:hint="default" w:ascii="Times New Roman" w:hAnsi="Times New Roman" w:eastAsia="仿宋" w:cs="Times New Roman"/>
                      <w:sz w:val="21"/>
                      <w:szCs w:val="21"/>
                    </w:rPr>
                    <w:t>排放速率（kg/h）</w:t>
                  </w:r>
                </w:p>
              </w:tc>
              <w:tc>
                <w:tcPr>
                  <w:tcW w:w="1250" w:type="dxa"/>
                  <w:shd w:val="clear" w:color="auto" w:fill="auto"/>
                  <w:vAlign w:val="center"/>
                </w:tcPr>
                <w:p w14:paraId="24670E33">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00</w:t>
                  </w:r>
                  <w:r>
                    <w:rPr>
                      <w:rFonts w:hint="default" w:ascii="Times New Roman" w:hAnsi="Times New Roman" w:eastAsia="仿宋" w:cs="Times New Roman"/>
                      <w:sz w:val="21"/>
                      <w:szCs w:val="21"/>
                    </w:rPr>
                    <w:t>×10</w:t>
                  </w:r>
                  <w:r>
                    <w:rPr>
                      <w:rFonts w:hint="default" w:ascii="Times New Roman" w:hAnsi="Times New Roman" w:eastAsia="仿宋" w:cs="Times New Roman"/>
                      <w:sz w:val="21"/>
                      <w:szCs w:val="21"/>
                      <w:vertAlign w:val="superscript"/>
                    </w:rPr>
                    <w:t>-2</w:t>
                  </w:r>
                </w:p>
              </w:tc>
              <w:tc>
                <w:tcPr>
                  <w:tcW w:w="1050" w:type="dxa"/>
                  <w:shd w:val="clear" w:color="auto" w:fill="auto"/>
                  <w:vAlign w:val="center"/>
                </w:tcPr>
                <w:p w14:paraId="6809F233">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38</w:t>
                  </w:r>
                  <w:r>
                    <w:rPr>
                      <w:rFonts w:hint="default" w:ascii="Times New Roman" w:hAnsi="Times New Roman" w:eastAsia="仿宋" w:cs="Times New Roman"/>
                      <w:sz w:val="21"/>
                      <w:szCs w:val="21"/>
                    </w:rPr>
                    <w:t>×10</w:t>
                  </w:r>
                  <w:r>
                    <w:rPr>
                      <w:rFonts w:hint="default" w:ascii="Times New Roman" w:hAnsi="Times New Roman" w:eastAsia="仿宋" w:cs="Times New Roman"/>
                      <w:sz w:val="21"/>
                      <w:szCs w:val="21"/>
                      <w:vertAlign w:val="superscript"/>
                    </w:rPr>
                    <w:t>-2</w:t>
                  </w:r>
                </w:p>
              </w:tc>
              <w:tc>
                <w:tcPr>
                  <w:tcW w:w="1100" w:type="dxa"/>
                  <w:shd w:val="clear" w:color="auto" w:fill="auto"/>
                  <w:vAlign w:val="center"/>
                </w:tcPr>
                <w:p w14:paraId="4C84BA00">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2.96</w:t>
                  </w:r>
                  <w:r>
                    <w:rPr>
                      <w:rFonts w:hint="default" w:ascii="Times New Roman" w:hAnsi="Times New Roman" w:eastAsia="仿宋" w:cs="Times New Roman"/>
                      <w:sz w:val="21"/>
                      <w:szCs w:val="21"/>
                    </w:rPr>
                    <w:t>×10</w:t>
                  </w:r>
                  <w:r>
                    <w:rPr>
                      <w:rFonts w:hint="default" w:ascii="Times New Roman" w:hAnsi="Times New Roman" w:eastAsia="仿宋" w:cs="Times New Roman"/>
                      <w:sz w:val="21"/>
                      <w:szCs w:val="21"/>
                      <w:vertAlign w:val="superscript"/>
                    </w:rPr>
                    <w:t>-2</w:t>
                  </w:r>
                </w:p>
              </w:tc>
              <w:tc>
                <w:tcPr>
                  <w:tcW w:w="606" w:type="dxa"/>
                  <w:shd w:val="clear" w:color="auto" w:fill="auto"/>
                  <w:vAlign w:val="center"/>
                </w:tcPr>
                <w:p w14:paraId="6DAA7AFF">
                  <w:pPr>
                    <w:widowControl w:val="0"/>
                    <w:spacing w:after="0"/>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3</w:t>
                  </w:r>
                </w:p>
              </w:tc>
            </w:tr>
            <w:tr w14:paraId="181DA5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tcPr>
                <w:p w14:paraId="6A499F0E">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restart"/>
                  <w:shd w:val="clear" w:color="auto" w:fill="auto"/>
                  <w:vAlign w:val="center"/>
                </w:tcPr>
                <w:p w14:paraId="34BA56D2">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2024.06.25</w:t>
                  </w:r>
                </w:p>
              </w:tc>
              <w:tc>
                <w:tcPr>
                  <w:tcW w:w="2366" w:type="dxa"/>
                  <w:shd w:val="clear" w:color="auto" w:fill="auto"/>
                  <w:vAlign w:val="center"/>
                </w:tcPr>
                <w:p w14:paraId="3531A061">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标干流量（m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w:t>
                  </w:r>
                </w:p>
              </w:tc>
              <w:tc>
                <w:tcPr>
                  <w:tcW w:w="1250" w:type="dxa"/>
                  <w:shd w:val="clear" w:color="auto" w:fill="auto"/>
                  <w:vAlign w:val="center"/>
                </w:tcPr>
                <w:p w14:paraId="37787D4F">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12954</w:t>
                  </w:r>
                </w:p>
              </w:tc>
              <w:tc>
                <w:tcPr>
                  <w:tcW w:w="1050" w:type="dxa"/>
                  <w:shd w:val="clear" w:color="auto" w:fill="auto"/>
                  <w:vAlign w:val="center"/>
                </w:tcPr>
                <w:p w14:paraId="3848F849">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13062</w:t>
                  </w:r>
                </w:p>
              </w:tc>
              <w:tc>
                <w:tcPr>
                  <w:tcW w:w="1100" w:type="dxa"/>
                  <w:shd w:val="clear" w:color="auto" w:fill="auto"/>
                  <w:vAlign w:val="center"/>
                </w:tcPr>
                <w:p w14:paraId="0C073A53">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1</w:t>
                  </w:r>
                  <w:r>
                    <w:rPr>
                      <w:rFonts w:hint="default" w:ascii="Times New Roman" w:hAnsi="Times New Roman" w:eastAsia="仿宋" w:cs="Times New Roman"/>
                      <w:sz w:val="21"/>
                      <w:szCs w:val="21"/>
                      <w:lang w:val="en-US" w:eastAsia="zh-CN"/>
                    </w:rPr>
                    <w:t>2736</w:t>
                  </w:r>
                </w:p>
              </w:tc>
              <w:tc>
                <w:tcPr>
                  <w:tcW w:w="606" w:type="dxa"/>
                  <w:shd w:val="clear" w:color="auto" w:fill="auto"/>
                  <w:vAlign w:val="center"/>
                </w:tcPr>
                <w:p w14:paraId="1000B353">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w:t>
                  </w:r>
                </w:p>
              </w:tc>
            </w:tr>
            <w:tr w14:paraId="33D98A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tcPr>
                <w:p w14:paraId="179EBEE6">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tcPr>
                <w:p w14:paraId="20B9550C">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shd w:val="clear" w:color="auto" w:fill="auto"/>
                  <w:vAlign w:val="center"/>
                </w:tcPr>
                <w:p w14:paraId="157C10C9">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非甲烷总烃排放</w:t>
                  </w:r>
                  <w:r>
                    <w:rPr>
                      <w:rFonts w:hint="default" w:ascii="Times New Roman" w:hAnsi="Times New Roman" w:eastAsia="仿宋" w:cs="Times New Roman"/>
                      <w:sz w:val="21"/>
                      <w:szCs w:val="21"/>
                    </w:rPr>
                    <w:t>浓度（mg/m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w:t>
                  </w:r>
                </w:p>
              </w:tc>
              <w:tc>
                <w:tcPr>
                  <w:tcW w:w="1250" w:type="dxa"/>
                  <w:shd w:val="clear" w:color="auto" w:fill="auto"/>
                  <w:vAlign w:val="center"/>
                </w:tcPr>
                <w:p w14:paraId="15A75719">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2.7</w:t>
                  </w:r>
                </w:p>
              </w:tc>
              <w:tc>
                <w:tcPr>
                  <w:tcW w:w="1050" w:type="dxa"/>
                  <w:shd w:val="clear" w:color="auto" w:fill="auto"/>
                  <w:vAlign w:val="center"/>
                </w:tcPr>
                <w:p w14:paraId="403BEBBA">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2.86</w:t>
                  </w:r>
                </w:p>
              </w:tc>
              <w:tc>
                <w:tcPr>
                  <w:tcW w:w="1100" w:type="dxa"/>
                  <w:shd w:val="clear" w:color="auto" w:fill="auto"/>
                  <w:vAlign w:val="center"/>
                </w:tcPr>
                <w:p w14:paraId="40611A47">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85</w:t>
                  </w:r>
                </w:p>
              </w:tc>
              <w:tc>
                <w:tcPr>
                  <w:tcW w:w="606" w:type="dxa"/>
                  <w:shd w:val="clear" w:color="auto" w:fill="auto"/>
                  <w:vAlign w:val="center"/>
                </w:tcPr>
                <w:p w14:paraId="40052D02">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60</w:t>
                  </w:r>
                </w:p>
              </w:tc>
            </w:tr>
            <w:tr w14:paraId="5DB3F1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46" w:type="dxa"/>
                  <w:vMerge w:val="continue"/>
                </w:tcPr>
                <w:p w14:paraId="6842A1AA">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1161" w:type="dxa"/>
                  <w:vMerge w:val="continue"/>
                </w:tcPr>
                <w:p w14:paraId="156296A7">
                  <w:pPr>
                    <w:widowControl/>
                    <w:adjustRightInd w:val="0"/>
                    <w:snapToGrid w:val="0"/>
                    <w:ind w:firstLine="0" w:firstLineChars="0"/>
                    <w:jc w:val="center"/>
                    <w:rPr>
                      <w:rFonts w:hint="default" w:ascii="Times New Roman" w:hAnsi="Times New Roman" w:eastAsia="仿宋" w:cs="Times New Roman"/>
                      <w:kern w:val="0"/>
                      <w:sz w:val="21"/>
                      <w:szCs w:val="21"/>
                    </w:rPr>
                  </w:pPr>
                </w:p>
              </w:tc>
              <w:tc>
                <w:tcPr>
                  <w:tcW w:w="2366" w:type="dxa"/>
                  <w:shd w:val="clear" w:color="auto" w:fill="auto"/>
                  <w:vAlign w:val="center"/>
                </w:tcPr>
                <w:p w14:paraId="746DF909">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非甲烷总烃</w:t>
                  </w:r>
                  <w:r>
                    <w:rPr>
                      <w:rFonts w:hint="default" w:ascii="Times New Roman" w:hAnsi="Times New Roman" w:eastAsia="仿宋" w:cs="Times New Roman"/>
                      <w:sz w:val="21"/>
                      <w:szCs w:val="21"/>
                    </w:rPr>
                    <w:t>排放速率（kg/h）</w:t>
                  </w:r>
                </w:p>
              </w:tc>
              <w:tc>
                <w:tcPr>
                  <w:tcW w:w="1250" w:type="dxa"/>
                  <w:shd w:val="clear" w:color="auto" w:fill="auto"/>
                  <w:vAlign w:val="center"/>
                </w:tcPr>
                <w:p w14:paraId="73AF108E">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99</w:t>
                  </w:r>
                  <w:r>
                    <w:rPr>
                      <w:rFonts w:hint="default" w:ascii="Times New Roman" w:hAnsi="Times New Roman" w:eastAsia="仿宋" w:cs="Times New Roman"/>
                      <w:sz w:val="21"/>
                      <w:szCs w:val="21"/>
                    </w:rPr>
                    <w:t>×10</w:t>
                  </w:r>
                  <w:r>
                    <w:rPr>
                      <w:rFonts w:hint="default" w:ascii="Times New Roman" w:hAnsi="Times New Roman" w:eastAsia="仿宋" w:cs="Times New Roman"/>
                      <w:sz w:val="21"/>
                      <w:szCs w:val="21"/>
                      <w:vertAlign w:val="superscript"/>
                    </w:rPr>
                    <w:t>-2</w:t>
                  </w:r>
                </w:p>
              </w:tc>
              <w:tc>
                <w:tcPr>
                  <w:tcW w:w="1050" w:type="dxa"/>
                  <w:shd w:val="clear" w:color="auto" w:fill="auto"/>
                  <w:vAlign w:val="center"/>
                </w:tcPr>
                <w:p w14:paraId="54EA5C4A">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3.24</w:t>
                  </w:r>
                  <w:r>
                    <w:rPr>
                      <w:rFonts w:hint="default" w:ascii="Times New Roman" w:hAnsi="Times New Roman" w:eastAsia="仿宋" w:cs="Times New Roman"/>
                      <w:sz w:val="21"/>
                      <w:szCs w:val="21"/>
                    </w:rPr>
                    <w:t>×10</w:t>
                  </w:r>
                  <w:r>
                    <w:rPr>
                      <w:rFonts w:hint="default" w:ascii="Times New Roman" w:hAnsi="Times New Roman" w:eastAsia="仿宋" w:cs="Times New Roman"/>
                      <w:sz w:val="21"/>
                      <w:szCs w:val="21"/>
                      <w:vertAlign w:val="superscript"/>
                    </w:rPr>
                    <w:t>-2</w:t>
                  </w:r>
                </w:p>
              </w:tc>
              <w:tc>
                <w:tcPr>
                  <w:tcW w:w="1100" w:type="dxa"/>
                  <w:shd w:val="clear" w:color="auto" w:fill="auto"/>
                  <w:vAlign w:val="center"/>
                </w:tcPr>
                <w:p w14:paraId="559E552A">
                  <w:pPr>
                    <w:widowControl w:val="0"/>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3.30</w:t>
                  </w:r>
                  <w:r>
                    <w:rPr>
                      <w:rFonts w:hint="default" w:ascii="Times New Roman" w:hAnsi="Times New Roman" w:eastAsia="仿宋" w:cs="Times New Roman"/>
                      <w:sz w:val="21"/>
                      <w:szCs w:val="21"/>
                    </w:rPr>
                    <w:t>×10</w:t>
                  </w:r>
                  <w:r>
                    <w:rPr>
                      <w:rFonts w:hint="default" w:ascii="Times New Roman" w:hAnsi="Times New Roman" w:eastAsia="仿宋" w:cs="Times New Roman"/>
                      <w:sz w:val="21"/>
                      <w:szCs w:val="21"/>
                      <w:vertAlign w:val="superscript"/>
                    </w:rPr>
                    <w:t>-2</w:t>
                  </w:r>
                </w:p>
              </w:tc>
              <w:tc>
                <w:tcPr>
                  <w:tcW w:w="606" w:type="dxa"/>
                  <w:shd w:val="clear" w:color="auto" w:fill="auto"/>
                  <w:vAlign w:val="center"/>
                </w:tcPr>
                <w:p w14:paraId="13C858B4">
                  <w:pPr>
                    <w:widowControl w:val="0"/>
                    <w:spacing w:after="0"/>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3</w:t>
                  </w:r>
                </w:p>
              </w:tc>
            </w:tr>
          </w:tbl>
          <w:p w14:paraId="5A6E21AC">
            <w:pPr>
              <w:spacing w:before="120" w:beforeLines="50"/>
              <w:jc w:val="center"/>
              <w:rPr>
                <w:rFonts w:hint="default" w:ascii="Times New Roman" w:hAnsi="Times New Roman" w:eastAsia="仿宋" w:cs="Times New Roman"/>
                <w:color w:val="auto"/>
                <w:sz w:val="24"/>
              </w:rPr>
            </w:pPr>
            <w:r>
              <w:rPr>
                <w:rFonts w:hint="default" w:ascii="Times New Roman" w:hAnsi="Times New Roman" w:eastAsia="仿宋" w:cs="Times New Roman"/>
                <w:b/>
                <w:color w:val="auto"/>
                <w:sz w:val="24"/>
              </w:rPr>
              <w:t>表2-</w:t>
            </w:r>
            <w:r>
              <w:rPr>
                <w:rFonts w:hint="default" w:ascii="Times New Roman" w:hAnsi="Times New Roman" w:eastAsia="仿宋" w:cs="Times New Roman"/>
                <w:b/>
                <w:color w:val="auto"/>
                <w:sz w:val="24"/>
                <w:lang w:val="en-US" w:eastAsia="zh-CN"/>
              </w:rPr>
              <w:t>1</w:t>
            </w:r>
            <w:r>
              <w:rPr>
                <w:rFonts w:hint="eastAsia" w:eastAsia="仿宋" w:cs="Times New Roman"/>
                <w:b/>
                <w:color w:val="auto"/>
                <w:sz w:val="24"/>
                <w:lang w:val="en-US" w:eastAsia="zh-CN"/>
              </w:rPr>
              <w:t>5</w:t>
            </w:r>
            <w:r>
              <w:rPr>
                <w:rFonts w:hint="default" w:ascii="Times New Roman" w:hAnsi="Times New Roman" w:eastAsia="仿宋" w:cs="Times New Roman"/>
                <w:b/>
                <w:color w:val="auto"/>
                <w:sz w:val="24"/>
              </w:rPr>
              <w:t xml:space="preserve">  无组织废气</w:t>
            </w:r>
            <w:r>
              <w:rPr>
                <w:rFonts w:hint="default" w:ascii="Times New Roman" w:hAnsi="Times New Roman" w:eastAsia="仿宋" w:cs="Times New Roman"/>
                <w:b/>
                <w:bCs/>
                <w:color w:val="auto"/>
                <w:sz w:val="24"/>
              </w:rPr>
              <w:t>检测结果一览表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622"/>
              <w:gridCol w:w="1353"/>
              <w:gridCol w:w="944"/>
              <w:gridCol w:w="944"/>
              <w:gridCol w:w="944"/>
              <w:gridCol w:w="951"/>
              <w:gridCol w:w="1460"/>
            </w:tblGrid>
            <w:tr w14:paraId="20B87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restart"/>
                  <w:tcBorders>
                    <w:tl2br w:val="nil"/>
                    <w:tr2bl w:val="nil"/>
                  </w:tcBorders>
                  <w:vAlign w:val="center"/>
                </w:tcPr>
                <w:p w14:paraId="348A9011">
                  <w:pPr>
                    <w:spacing w:line="280" w:lineRule="exact"/>
                    <w:ind w:firstLine="0" w:firstLineChars="0"/>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采样日期</w:t>
                  </w:r>
                </w:p>
              </w:tc>
              <w:tc>
                <w:tcPr>
                  <w:tcW w:w="371" w:type="pct"/>
                  <w:vMerge w:val="restart"/>
                  <w:tcBorders>
                    <w:tl2br w:val="nil"/>
                    <w:tr2bl w:val="nil"/>
                  </w:tcBorders>
                  <w:vAlign w:val="center"/>
                </w:tcPr>
                <w:p w14:paraId="372F1A41">
                  <w:pPr>
                    <w:widowControl/>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检测项目</w:t>
                  </w:r>
                </w:p>
              </w:tc>
              <w:tc>
                <w:tcPr>
                  <w:tcW w:w="807" w:type="pct"/>
                  <w:vMerge w:val="restart"/>
                  <w:tcBorders>
                    <w:tl2br w:val="nil"/>
                    <w:tr2bl w:val="nil"/>
                  </w:tcBorders>
                  <w:vAlign w:val="center"/>
                </w:tcPr>
                <w:p w14:paraId="250EFB71">
                  <w:pPr>
                    <w:widowControl/>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检测点位</w:t>
                  </w:r>
                </w:p>
              </w:tc>
              <w:tc>
                <w:tcPr>
                  <w:tcW w:w="2256" w:type="pct"/>
                  <w:gridSpan w:val="4"/>
                  <w:tcBorders>
                    <w:tl2br w:val="nil"/>
                    <w:tr2bl w:val="nil"/>
                  </w:tcBorders>
                  <w:vAlign w:val="center"/>
                </w:tcPr>
                <w:p w14:paraId="4AD0F0FF">
                  <w:pPr>
                    <w:widowControl/>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检测结果  单位：mg/m</w:t>
                  </w:r>
                  <w:r>
                    <w:rPr>
                      <w:rFonts w:hint="default" w:ascii="Times New Roman" w:hAnsi="Times New Roman" w:eastAsia="仿宋" w:cs="Times New Roman"/>
                      <w:b/>
                      <w:kern w:val="0"/>
                      <w:sz w:val="21"/>
                      <w:szCs w:val="21"/>
                      <w:vertAlign w:val="superscript"/>
                    </w:rPr>
                    <w:t>3</w:t>
                  </w:r>
                </w:p>
              </w:tc>
              <w:tc>
                <w:tcPr>
                  <w:tcW w:w="871" w:type="pct"/>
                  <w:vMerge w:val="restart"/>
                  <w:tcBorders>
                    <w:tl2br w:val="nil"/>
                    <w:tr2bl w:val="nil"/>
                  </w:tcBorders>
                  <w:vAlign w:val="center"/>
                </w:tcPr>
                <w:p w14:paraId="4CBA4366">
                  <w:pPr>
                    <w:widowControl/>
                    <w:ind w:firstLine="0" w:firstLineChars="0"/>
                    <w:jc w:val="center"/>
                    <w:rPr>
                      <w:rFonts w:hint="default" w:ascii="Times New Roman" w:hAnsi="Times New Roman" w:eastAsia="仿宋" w:cs="Times New Roman"/>
                      <w:szCs w:val="24"/>
                    </w:rPr>
                  </w:pPr>
                  <w:r>
                    <w:rPr>
                      <w:rFonts w:hint="default" w:ascii="Times New Roman" w:hAnsi="Times New Roman" w:eastAsia="仿宋" w:cs="Times New Roman"/>
                      <w:b/>
                      <w:kern w:val="0"/>
                      <w:sz w:val="21"/>
                      <w:szCs w:val="21"/>
                      <w:highlight w:val="none"/>
                    </w:rPr>
                    <w:t>标准限值mg/m</w:t>
                  </w:r>
                  <w:r>
                    <w:rPr>
                      <w:rFonts w:hint="default" w:ascii="Times New Roman" w:hAnsi="Times New Roman" w:eastAsia="仿宋" w:cs="Times New Roman"/>
                      <w:b/>
                      <w:kern w:val="0"/>
                      <w:sz w:val="21"/>
                      <w:szCs w:val="21"/>
                      <w:highlight w:val="none"/>
                      <w:vertAlign w:val="superscript"/>
                    </w:rPr>
                    <w:t>3</w:t>
                  </w:r>
                </w:p>
              </w:tc>
            </w:tr>
            <w:tr w14:paraId="747AA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5F6B6066">
                  <w:pPr>
                    <w:widowControl/>
                    <w:ind w:firstLine="0" w:firstLineChars="0"/>
                    <w:jc w:val="left"/>
                    <w:rPr>
                      <w:rFonts w:hint="default" w:ascii="Times New Roman" w:hAnsi="Times New Roman" w:eastAsia="仿宋" w:cs="Times New Roman"/>
                      <w:b/>
                      <w:szCs w:val="24"/>
                    </w:rPr>
                  </w:pPr>
                </w:p>
              </w:tc>
              <w:tc>
                <w:tcPr>
                  <w:tcW w:w="371" w:type="pct"/>
                  <w:vMerge w:val="continue"/>
                  <w:tcBorders>
                    <w:tl2br w:val="nil"/>
                    <w:tr2bl w:val="nil"/>
                  </w:tcBorders>
                  <w:vAlign w:val="center"/>
                </w:tcPr>
                <w:p w14:paraId="355E05E4">
                  <w:pPr>
                    <w:widowControl/>
                    <w:ind w:firstLine="0" w:firstLineChars="0"/>
                    <w:jc w:val="left"/>
                    <w:rPr>
                      <w:rFonts w:hint="default" w:ascii="Times New Roman" w:hAnsi="Times New Roman" w:eastAsia="仿宋" w:cs="Times New Roman"/>
                      <w:b/>
                      <w:kern w:val="0"/>
                      <w:sz w:val="21"/>
                      <w:szCs w:val="21"/>
                    </w:rPr>
                  </w:pPr>
                </w:p>
              </w:tc>
              <w:tc>
                <w:tcPr>
                  <w:tcW w:w="807" w:type="pct"/>
                  <w:vMerge w:val="continue"/>
                  <w:tcBorders>
                    <w:tl2br w:val="nil"/>
                    <w:tr2bl w:val="nil"/>
                  </w:tcBorders>
                  <w:vAlign w:val="center"/>
                </w:tcPr>
                <w:p w14:paraId="7314D7B0">
                  <w:pPr>
                    <w:widowControl/>
                    <w:ind w:firstLine="0" w:firstLineChars="0"/>
                    <w:jc w:val="left"/>
                    <w:rPr>
                      <w:rFonts w:hint="default" w:ascii="Times New Roman" w:hAnsi="Times New Roman" w:eastAsia="仿宋" w:cs="Times New Roman"/>
                      <w:b/>
                      <w:kern w:val="0"/>
                      <w:sz w:val="21"/>
                      <w:szCs w:val="21"/>
                    </w:rPr>
                  </w:pPr>
                </w:p>
              </w:tc>
              <w:tc>
                <w:tcPr>
                  <w:tcW w:w="563" w:type="pct"/>
                  <w:tcBorders>
                    <w:tl2br w:val="nil"/>
                    <w:tr2bl w:val="nil"/>
                  </w:tcBorders>
                  <w:vAlign w:val="center"/>
                </w:tcPr>
                <w:p w14:paraId="01A36F4E">
                  <w:pPr>
                    <w:widowControl/>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第一次</w:t>
                  </w:r>
                </w:p>
              </w:tc>
              <w:tc>
                <w:tcPr>
                  <w:tcW w:w="563" w:type="pct"/>
                  <w:tcBorders>
                    <w:tl2br w:val="nil"/>
                    <w:tr2bl w:val="nil"/>
                  </w:tcBorders>
                  <w:vAlign w:val="center"/>
                </w:tcPr>
                <w:p w14:paraId="75F1BA41">
                  <w:pPr>
                    <w:widowControl/>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第二次</w:t>
                  </w:r>
                </w:p>
              </w:tc>
              <w:tc>
                <w:tcPr>
                  <w:tcW w:w="563" w:type="pct"/>
                  <w:tcBorders>
                    <w:tl2br w:val="nil"/>
                    <w:tr2bl w:val="nil"/>
                  </w:tcBorders>
                  <w:vAlign w:val="center"/>
                </w:tcPr>
                <w:p w14:paraId="55835549">
                  <w:pPr>
                    <w:widowControl/>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第三次</w:t>
                  </w:r>
                </w:p>
              </w:tc>
              <w:tc>
                <w:tcPr>
                  <w:tcW w:w="566" w:type="pct"/>
                  <w:tcBorders>
                    <w:tl2br w:val="nil"/>
                    <w:tr2bl w:val="nil"/>
                  </w:tcBorders>
                  <w:vAlign w:val="center"/>
                </w:tcPr>
                <w:p w14:paraId="2A6BB8B3">
                  <w:pPr>
                    <w:widowControl/>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最大值</w:t>
                  </w:r>
                </w:p>
              </w:tc>
              <w:tc>
                <w:tcPr>
                  <w:tcW w:w="871" w:type="pct"/>
                  <w:vMerge w:val="continue"/>
                  <w:tcBorders>
                    <w:tl2br w:val="nil"/>
                    <w:tr2bl w:val="nil"/>
                  </w:tcBorders>
                  <w:vAlign w:val="center"/>
                </w:tcPr>
                <w:p w14:paraId="01996314">
                  <w:pPr>
                    <w:widowControl/>
                    <w:ind w:firstLine="0" w:firstLineChars="0"/>
                    <w:jc w:val="left"/>
                    <w:rPr>
                      <w:rFonts w:hint="default" w:ascii="Times New Roman" w:hAnsi="Times New Roman" w:eastAsia="仿宋" w:cs="Times New Roman"/>
                      <w:szCs w:val="24"/>
                    </w:rPr>
                  </w:pPr>
                </w:p>
              </w:tc>
            </w:tr>
            <w:tr w14:paraId="6B20D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restart"/>
                  <w:tcBorders>
                    <w:tl2br w:val="nil"/>
                    <w:tr2bl w:val="nil"/>
                  </w:tcBorders>
                  <w:vAlign w:val="center"/>
                </w:tcPr>
                <w:p w14:paraId="69830406">
                  <w:pPr>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2022.04.18</w:t>
                  </w:r>
                </w:p>
              </w:tc>
              <w:tc>
                <w:tcPr>
                  <w:tcW w:w="371" w:type="pct"/>
                  <w:vMerge w:val="restart"/>
                  <w:tcBorders>
                    <w:tl2br w:val="nil"/>
                    <w:tr2bl w:val="nil"/>
                  </w:tcBorders>
                  <w:vAlign w:val="center"/>
                </w:tcPr>
                <w:p w14:paraId="623E5A9B">
                  <w:pPr>
                    <w:spacing w:line="280" w:lineRule="exact"/>
                    <w:ind w:firstLine="0" w:firstLineChars="0"/>
                    <w:jc w:val="center"/>
                    <w:rPr>
                      <w:rFonts w:hint="default" w:ascii="Times New Roman" w:hAnsi="Times New Roman" w:eastAsia="仿宋" w:cs="Times New Roman"/>
                      <w:szCs w:val="24"/>
                    </w:rPr>
                  </w:pPr>
                  <w:r>
                    <w:rPr>
                      <w:rFonts w:hint="default" w:ascii="Times New Roman" w:hAnsi="Times New Roman" w:eastAsia="仿宋" w:cs="Times New Roman"/>
                      <w:sz w:val="21"/>
                      <w:szCs w:val="21"/>
                    </w:rPr>
                    <w:t>颗粒物</w:t>
                  </w:r>
                </w:p>
              </w:tc>
              <w:tc>
                <w:tcPr>
                  <w:tcW w:w="807" w:type="pct"/>
                  <w:tcBorders>
                    <w:tl2br w:val="nil"/>
                    <w:tr2bl w:val="nil"/>
                  </w:tcBorders>
                  <w:vAlign w:val="center"/>
                </w:tcPr>
                <w:p w14:paraId="0D26D2E4">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G1上风向</w:t>
                  </w:r>
                </w:p>
              </w:tc>
              <w:tc>
                <w:tcPr>
                  <w:tcW w:w="563" w:type="pct"/>
                  <w:tcBorders>
                    <w:tl2br w:val="nil"/>
                    <w:tr2bl w:val="nil"/>
                  </w:tcBorders>
                  <w:vAlign w:val="center"/>
                </w:tcPr>
                <w:p w14:paraId="25751B7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0.256</w:t>
                  </w:r>
                </w:p>
              </w:tc>
              <w:tc>
                <w:tcPr>
                  <w:tcW w:w="563" w:type="pct"/>
                  <w:tcBorders>
                    <w:tl2br w:val="nil"/>
                    <w:tr2bl w:val="nil"/>
                  </w:tcBorders>
                  <w:vAlign w:val="center"/>
                </w:tcPr>
                <w:p w14:paraId="18AC8020">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0.262</w:t>
                  </w:r>
                </w:p>
              </w:tc>
              <w:tc>
                <w:tcPr>
                  <w:tcW w:w="563" w:type="pct"/>
                  <w:tcBorders>
                    <w:tl2br w:val="nil"/>
                    <w:tr2bl w:val="nil"/>
                  </w:tcBorders>
                  <w:vAlign w:val="center"/>
                </w:tcPr>
                <w:p w14:paraId="2CBC0CD0">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0.268</w:t>
                  </w:r>
                </w:p>
              </w:tc>
              <w:tc>
                <w:tcPr>
                  <w:tcW w:w="566" w:type="pct"/>
                  <w:tcBorders>
                    <w:tl2br w:val="nil"/>
                    <w:tr2bl w:val="nil"/>
                  </w:tcBorders>
                  <w:vAlign w:val="center"/>
                </w:tcPr>
                <w:p w14:paraId="4544627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0.268</w:t>
                  </w:r>
                </w:p>
              </w:tc>
              <w:tc>
                <w:tcPr>
                  <w:tcW w:w="871" w:type="pct"/>
                  <w:tcBorders>
                    <w:tl2br w:val="nil"/>
                    <w:tr2bl w:val="nil"/>
                  </w:tcBorders>
                  <w:vAlign w:val="center"/>
                </w:tcPr>
                <w:p w14:paraId="6B81BC47">
                  <w:pPr>
                    <w:spacing w:line="280" w:lineRule="exact"/>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r>
            <w:tr w14:paraId="114A7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66ACFD86">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1586EBE7">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7414B7C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G2下风向</w:t>
                  </w:r>
                </w:p>
              </w:tc>
              <w:tc>
                <w:tcPr>
                  <w:tcW w:w="563" w:type="pct"/>
                  <w:tcBorders>
                    <w:tl2br w:val="nil"/>
                    <w:tr2bl w:val="nil"/>
                  </w:tcBorders>
                  <w:vAlign w:val="center"/>
                </w:tcPr>
                <w:p w14:paraId="59DC778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0.358</w:t>
                  </w:r>
                </w:p>
              </w:tc>
              <w:tc>
                <w:tcPr>
                  <w:tcW w:w="563" w:type="pct"/>
                  <w:tcBorders>
                    <w:tl2br w:val="nil"/>
                    <w:tr2bl w:val="nil"/>
                  </w:tcBorders>
                  <w:vAlign w:val="center"/>
                </w:tcPr>
                <w:p w14:paraId="79E3906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0.352</w:t>
                  </w:r>
                </w:p>
              </w:tc>
              <w:tc>
                <w:tcPr>
                  <w:tcW w:w="563" w:type="pct"/>
                  <w:tcBorders>
                    <w:tl2br w:val="nil"/>
                    <w:tr2bl w:val="nil"/>
                  </w:tcBorders>
                  <w:vAlign w:val="center"/>
                </w:tcPr>
                <w:p w14:paraId="2A28798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0.346</w:t>
                  </w:r>
                </w:p>
              </w:tc>
              <w:tc>
                <w:tcPr>
                  <w:tcW w:w="566" w:type="pct"/>
                  <w:tcBorders>
                    <w:tl2br w:val="nil"/>
                    <w:tr2bl w:val="nil"/>
                  </w:tcBorders>
                  <w:vAlign w:val="center"/>
                </w:tcPr>
                <w:p w14:paraId="6DCAA79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0.358</w:t>
                  </w:r>
                </w:p>
              </w:tc>
              <w:tc>
                <w:tcPr>
                  <w:tcW w:w="871" w:type="pct"/>
                  <w:vMerge w:val="restart"/>
                  <w:tcBorders>
                    <w:tl2br w:val="nil"/>
                    <w:tr2bl w:val="nil"/>
                  </w:tcBorders>
                  <w:vAlign w:val="center"/>
                </w:tcPr>
                <w:p w14:paraId="128B9E74">
                  <w:pPr>
                    <w:spacing w:line="280" w:lineRule="exact"/>
                    <w:ind w:firstLine="0" w:firstLineChars="0"/>
                    <w:jc w:val="center"/>
                    <w:rPr>
                      <w:rFonts w:hint="default" w:ascii="Times New Roman" w:hAnsi="Times New Roman" w:eastAsia="仿宋" w:cs="Times New Roman"/>
                      <w:kern w:val="0"/>
                      <w:sz w:val="21"/>
                      <w:szCs w:val="21"/>
                      <w:lang w:val="en-US" w:eastAsia="zh-CN"/>
                    </w:rPr>
                  </w:pPr>
                  <w:r>
                    <w:rPr>
                      <w:rFonts w:hint="eastAsia" w:eastAsia="仿宋" w:cs="Times New Roman"/>
                      <w:kern w:val="0"/>
                      <w:sz w:val="21"/>
                      <w:szCs w:val="21"/>
                      <w:lang w:val="en-US" w:eastAsia="zh-CN"/>
                    </w:rPr>
                    <w:t>0.5</w:t>
                  </w:r>
                </w:p>
              </w:tc>
            </w:tr>
            <w:tr w14:paraId="59E55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710DB2B9">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358E5DDE">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31B3CE76">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G3下风向</w:t>
                  </w:r>
                </w:p>
              </w:tc>
              <w:tc>
                <w:tcPr>
                  <w:tcW w:w="563" w:type="pct"/>
                  <w:tcBorders>
                    <w:tl2br w:val="nil"/>
                    <w:tr2bl w:val="nil"/>
                  </w:tcBorders>
                  <w:vAlign w:val="center"/>
                </w:tcPr>
                <w:p w14:paraId="5A04634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0.359</w:t>
                  </w:r>
                </w:p>
              </w:tc>
              <w:tc>
                <w:tcPr>
                  <w:tcW w:w="563" w:type="pct"/>
                  <w:tcBorders>
                    <w:tl2br w:val="nil"/>
                    <w:tr2bl w:val="nil"/>
                  </w:tcBorders>
                  <w:vAlign w:val="center"/>
                </w:tcPr>
                <w:p w14:paraId="75616F8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0.364</w:t>
                  </w:r>
                </w:p>
              </w:tc>
              <w:tc>
                <w:tcPr>
                  <w:tcW w:w="563" w:type="pct"/>
                  <w:tcBorders>
                    <w:tl2br w:val="nil"/>
                    <w:tr2bl w:val="nil"/>
                  </w:tcBorders>
                  <w:vAlign w:val="center"/>
                </w:tcPr>
                <w:p w14:paraId="3600C55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0.361</w:t>
                  </w:r>
                </w:p>
              </w:tc>
              <w:tc>
                <w:tcPr>
                  <w:tcW w:w="566" w:type="pct"/>
                  <w:tcBorders>
                    <w:tl2br w:val="nil"/>
                    <w:tr2bl w:val="nil"/>
                  </w:tcBorders>
                  <w:vAlign w:val="center"/>
                </w:tcPr>
                <w:p w14:paraId="569E99A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0.364</w:t>
                  </w:r>
                </w:p>
              </w:tc>
              <w:tc>
                <w:tcPr>
                  <w:tcW w:w="871" w:type="pct"/>
                  <w:vMerge w:val="continue"/>
                  <w:tcBorders>
                    <w:tl2br w:val="nil"/>
                    <w:tr2bl w:val="nil"/>
                  </w:tcBorders>
                  <w:vAlign w:val="center"/>
                </w:tcPr>
                <w:p w14:paraId="1D7984B8">
                  <w:pPr>
                    <w:widowControl/>
                    <w:ind w:firstLine="0" w:firstLineChars="0"/>
                    <w:jc w:val="left"/>
                    <w:rPr>
                      <w:rFonts w:hint="default" w:ascii="Times New Roman" w:hAnsi="Times New Roman" w:eastAsia="仿宋" w:cs="Times New Roman"/>
                      <w:kern w:val="0"/>
                      <w:sz w:val="21"/>
                      <w:szCs w:val="21"/>
                    </w:rPr>
                  </w:pPr>
                </w:p>
              </w:tc>
            </w:tr>
            <w:tr w14:paraId="0D874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4DC6C1C0">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5D03B04D">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718F53B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G4下风向</w:t>
                  </w:r>
                </w:p>
              </w:tc>
              <w:tc>
                <w:tcPr>
                  <w:tcW w:w="563" w:type="pct"/>
                  <w:tcBorders>
                    <w:tl2br w:val="nil"/>
                    <w:tr2bl w:val="nil"/>
                  </w:tcBorders>
                  <w:vAlign w:val="center"/>
                </w:tcPr>
                <w:p w14:paraId="228C445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0.362</w:t>
                  </w:r>
                </w:p>
              </w:tc>
              <w:tc>
                <w:tcPr>
                  <w:tcW w:w="563" w:type="pct"/>
                  <w:tcBorders>
                    <w:tl2br w:val="nil"/>
                    <w:tr2bl w:val="nil"/>
                  </w:tcBorders>
                  <w:vAlign w:val="center"/>
                </w:tcPr>
                <w:p w14:paraId="7A27815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0.375</w:t>
                  </w:r>
                </w:p>
              </w:tc>
              <w:tc>
                <w:tcPr>
                  <w:tcW w:w="563" w:type="pct"/>
                  <w:tcBorders>
                    <w:tl2br w:val="nil"/>
                    <w:tr2bl w:val="nil"/>
                  </w:tcBorders>
                  <w:vAlign w:val="center"/>
                </w:tcPr>
                <w:p w14:paraId="589AEE54">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0.371</w:t>
                  </w:r>
                </w:p>
              </w:tc>
              <w:tc>
                <w:tcPr>
                  <w:tcW w:w="566" w:type="pct"/>
                  <w:tcBorders>
                    <w:tl2br w:val="nil"/>
                    <w:tr2bl w:val="nil"/>
                  </w:tcBorders>
                  <w:vAlign w:val="center"/>
                </w:tcPr>
                <w:p w14:paraId="4AB5FE08">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0.375</w:t>
                  </w:r>
                </w:p>
              </w:tc>
              <w:tc>
                <w:tcPr>
                  <w:tcW w:w="871" w:type="pct"/>
                  <w:vMerge w:val="continue"/>
                  <w:tcBorders>
                    <w:tl2br w:val="nil"/>
                    <w:tr2bl w:val="nil"/>
                  </w:tcBorders>
                  <w:vAlign w:val="center"/>
                </w:tcPr>
                <w:p w14:paraId="42DF59DD">
                  <w:pPr>
                    <w:widowControl/>
                    <w:ind w:firstLine="0" w:firstLineChars="0"/>
                    <w:jc w:val="left"/>
                    <w:rPr>
                      <w:rFonts w:hint="default" w:ascii="Times New Roman" w:hAnsi="Times New Roman" w:eastAsia="仿宋" w:cs="Times New Roman"/>
                      <w:kern w:val="0"/>
                      <w:sz w:val="21"/>
                      <w:szCs w:val="21"/>
                    </w:rPr>
                  </w:pPr>
                </w:p>
              </w:tc>
            </w:tr>
            <w:tr w14:paraId="56EA7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restart"/>
                  <w:tcBorders>
                    <w:tl2br w:val="nil"/>
                    <w:tr2bl w:val="nil"/>
                  </w:tcBorders>
                  <w:vAlign w:val="center"/>
                </w:tcPr>
                <w:p w14:paraId="7DEDD49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2022.04.19</w:t>
                  </w:r>
                </w:p>
              </w:tc>
              <w:tc>
                <w:tcPr>
                  <w:tcW w:w="371" w:type="pct"/>
                  <w:vMerge w:val="continue"/>
                  <w:tcBorders>
                    <w:tl2br w:val="nil"/>
                    <w:tr2bl w:val="nil"/>
                  </w:tcBorders>
                  <w:vAlign w:val="center"/>
                </w:tcPr>
                <w:p w14:paraId="2801A1B0">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61A4A81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G1上风向</w:t>
                  </w:r>
                </w:p>
              </w:tc>
              <w:tc>
                <w:tcPr>
                  <w:tcW w:w="563" w:type="pct"/>
                  <w:tcBorders>
                    <w:tl2br w:val="nil"/>
                    <w:tr2bl w:val="nil"/>
                  </w:tcBorders>
                  <w:vAlign w:val="center"/>
                </w:tcPr>
                <w:p w14:paraId="04D15B5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0.250</w:t>
                  </w:r>
                </w:p>
              </w:tc>
              <w:tc>
                <w:tcPr>
                  <w:tcW w:w="563" w:type="pct"/>
                  <w:tcBorders>
                    <w:tl2br w:val="nil"/>
                    <w:tr2bl w:val="nil"/>
                  </w:tcBorders>
                  <w:vAlign w:val="center"/>
                </w:tcPr>
                <w:p w14:paraId="6EA8E78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0.254</w:t>
                  </w:r>
                </w:p>
              </w:tc>
              <w:tc>
                <w:tcPr>
                  <w:tcW w:w="563" w:type="pct"/>
                  <w:tcBorders>
                    <w:tl2br w:val="nil"/>
                    <w:tr2bl w:val="nil"/>
                  </w:tcBorders>
                  <w:vAlign w:val="center"/>
                </w:tcPr>
                <w:p w14:paraId="60C7DDB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0.260</w:t>
                  </w:r>
                </w:p>
              </w:tc>
              <w:tc>
                <w:tcPr>
                  <w:tcW w:w="566" w:type="pct"/>
                  <w:tcBorders>
                    <w:tl2br w:val="nil"/>
                    <w:tr2bl w:val="nil"/>
                  </w:tcBorders>
                  <w:vAlign w:val="center"/>
                </w:tcPr>
                <w:p w14:paraId="6E92B3D6">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0.260</w:t>
                  </w:r>
                </w:p>
              </w:tc>
              <w:tc>
                <w:tcPr>
                  <w:tcW w:w="871" w:type="pct"/>
                  <w:tcBorders>
                    <w:tl2br w:val="nil"/>
                    <w:tr2bl w:val="nil"/>
                  </w:tcBorders>
                  <w:vAlign w:val="center"/>
                </w:tcPr>
                <w:p w14:paraId="0D0A1593">
                  <w:pPr>
                    <w:spacing w:line="280" w:lineRule="exact"/>
                    <w:ind w:firstLine="0" w:firstLineChars="0"/>
                    <w:jc w:val="center"/>
                    <w:rPr>
                      <w:rFonts w:hint="default" w:ascii="Times New Roman" w:hAnsi="Times New Roman" w:eastAsia="仿宋" w:cs="Times New Roman"/>
                      <w:szCs w:val="24"/>
                    </w:rPr>
                  </w:pPr>
                  <w:r>
                    <w:rPr>
                      <w:rFonts w:hint="default" w:ascii="Times New Roman" w:hAnsi="Times New Roman" w:eastAsia="仿宋" w:cs="Times New Roman"/>
                      <w:szCs w:val="24"/>
                    </w:rPr>
                    <w:t>/</w:t>
                  </w:r>
                </w:p>
              </w:tc>
            </w:tr>
            <w:tr w14:paraId="77EAE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7B5FEF8A">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2A7582FC">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792ECF24">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G2下风向</w:t>
                  </w:r>
                </w:p>
              </w:tc>
              <w:tc>
                <w:tcPr>
                  <w:tcW w:w="563" w:type="pct"/>
                  <w:tcBorders>
                    <w:tl2br w:val="nil"/>
                    <w:tr2bl w:val="nil"/>
                  </w:tcBorders>
                  <w:vAlign w:val="center"/>
                </w:tcPr>
                <w:p w14:paraId="13CD90D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0.341</w:t>
                  </w:r>
                </w:p>
              </w:tc>
              <w:tc>
                <w:tcPr>
                  <w:tcW w:w="563" w:type="pct"/>
                  <w:tcBorders>
                    <w:tl2br w:val="nil"/>
                    <w:tr2bl w:val="nil"/>
                  </w:tcBorders>
                  <w:vAlign w:val="center"/>
                </w:tcPr>
                <w:p w14:paraId="503B40A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0.348</w:t>
                  </w:r>
                </w:p>
              </w:tc>
              <w:tc>
                <w:tcPr>
                  <w:tcW w:w="563" w:type="pct"/>
                  <w:tcBorders>
                    <w:tl2br w:val="nil"/>
                    <w:tr2bl w:val="nil"/>
                  </w:tcBorders>
                  <w:vAlign w:val="center"/>
                </w:tcPr>
                <w:p w14:paraId="0C2B523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0.353</w:t>
                  </w:r>
                </w:p>
              </w:tc>
              <w:tc>
                <w:tcPr>
                  <w:tcW w:w="566" w:type="pct"/>
                  <w:tcBorders>
                    <w:tl2br w:val="nil"/>
                    <w:tr2bl w:val="nil"/>
                  </w:tcBorders>
                  <w:vAlign w:val="center"/>
                </w:tcPr>
                <w:p w14:paraId="74FE70E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0.353</w:t>
                  </w:r>
                </w:p>
              </w:tc>
              <w:tc>
                <w:tcPr>
                  <w:tcW w:w="871" w:type="pct"/>
                  <w:vMerge w:val="restart"/>
                  <w:tcBorders>
                    <w:tl2br w:val="nil"/>
                    <w:tr2bl w:val="nil"/>
                  </w:tcBorders>
                  <w:vAlign w:val="center"/>
                </w:tcPr>
                <w:p w14:paraId="603F4FF2">
                  <w:pPr>
                    <w:spacing w:line="280" w:lineRule="exact"/>
                    <w:ind w:firstLine="0" w:firstLineChars="0"/>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0.5</w:t>
                  </w:r>
                </w:p>
              </w:tc>
            </w:tr>
            <w:tr w14:paraId="05153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0B0317FD">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10BC0414">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17F52B7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G3下风向</w:t>
                  </w:r>
                </w:p>
              </w:tc>
              <w:tc>
                <w:tcPr>
                  <w:tcW w:w="563" w:type="pct"/>
                  <w:tcBorders>
                    <w:tl2br w:val="nil"/>
                    <w:tr2bl w:val="nil"/>
                  </w:tcBorders>
                  <w:vAlign w:val="center"/>
                </w:tcPr>
                <w:p w14:paraId="3391308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0.355</w:t>
                  </w:r>
                </w:p>
              </w:tc>
              <w:tc>
                <w:tcPr>
                  <w:tcW w:w="563" w:type="pct"/>
                  <w:tcBorders>
                    <w:tl2br w:val="nil"/>
                    <w:tr2bl w:val="nil"/>
                  </w:tcBorders>
                  <w:vAlign w:val="center"/>
                </w:tcPr>
                <w:p w14:paraId="64004D2A">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0.358</w:t>
                  </w:r>
                </w:p>
              </w:tc>
              <w:tc>
                <w:tcPr>
                  <w:tcW w:w="563" w:type="pct"/>
                  <w:tcBorders>
                    <w:tl2br w:val="nil"/>
                    <w:tr2bl w:val="nil"/>
                  </w:tcBorders>
                  <w:vAlign w:val="center"/>
                </w:tcPr>
                <w:p w14:paraId="7A9D2A1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0.367</w:t>
                  </w:r>
                </w:p>
              </w:tc>
              <w:tc>
                <w:tcPr>
                  <w:tcW w:w="566" w:type="pct"/>
                  <w:tcBorders>
                    <w:tl2br w:val="nil"/>
                    <w:tr2bl w:val="nil"/>
                  </w:tcBorders>
                  <w:vAlign w:val="center"/>
                </w:tcPr>
                <w:p w14:paraId="7A64620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0.367</w:t>
                  </w:r>
                </w:p>
              </w:tc>
              <w:tc>
                <w:tcPr>
                  <w:tcW w:w="871" w:type="pct"/>
                  <w:vMerge w:val="continue"/>
                  <w:tcBorders>
                    <w:tl2br w:val="nil"/>
                    <w:tr2bl w:val="nil"/>
                  </w:tcBorders>
                  <w:vAlign w:val="center"/>
                </w:tcPr>
                <w:p w14:paraId="7812D228">
                  <w:pPr>
                    <w:widowControl/>
                    <w:ind w:firstLine="0" w:firstLineChars="0"/>
                    <w:jc w:val="left"/>
                    <w:rPr>
                      <w:rFonts w:hint="default" w:ascii="Times New Roman" w:hAnsi="Times New Roman" w:eastAsia="仿宋" w:cs="Times New Roman"/>
                      <w:szCs w:val="24"/>
                    </w:rPr>
                  </w:pPr>
                </w:p>
              </w:tc>
            </w:tr>
            <w:tr w14:paraId="0C965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1A6C3EE0">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45B4E959">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4868CA3B">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G4下风向</w:t>
                  </w:r>
                </w:p>
              </w:tc>
              <w:tc>
                <w:tcPr>
                  <w:tcW w:w="563" w:type="pct"/>
                  <w:tcBorders>
                    <w:tl2br w:val="nil"/>
                    <w:tr2bl w:val="nil"/>
                  </w:tcBorders>
                  <w:vAlign w:val="center"/>
                </w:tcPr>
                <w:p w14:paraId="77231D8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0.359</w:t>
                  </w:r>
                </w:p>
              </w:tc>
              <w:tc>
                <w:tcPr>
                  <w:tcW w:w="563" w:type="pct"/>
                  <w:tcBorders>
                    <w:tl2br w:val="nil"/>
                    <w:tr2bl w:val="nil"/>
                  </w:tcBorders>
                  <w:vAlign w:val="center"/>
                </w:tcPr>
                <w:p w14:paraId="1931046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0.362</w:t>
                  </w:r>
                </w:p>
              </w:tc>
              <w:tc>
                <w:tcPr>
                  <w:tcW w:w="563" w:type="pct"/>
                  <w:tcBorders>
                    <w:tl2br w:val="nil"/>
                    <w:tr2bl w:val="nil"/>
                  </w:tcBorders>
                  <w:vAlign w:val="center"/>
                </w:tcPr>
                <w:p w14:paraId="088207E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0.357</w:t>
                  </w:r>
                </w:p>
              </w:tc>
              <w:tc>
                <w:tcPr>
                  <w:tcW w:w="566" w:type="pct"/>
                  <w:tcBorders>
                    <w:tl2br w:val="nil"/>
                    <w:tr2bl w:val="nil"/>
                  </w:tcBorders>
                  <w:vAlign w:val="center"/>
                </w:tcPr>
                <w:p w14:paraId="7F77179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0.362</w:t>
                  </w:r>
                </w:p>
              </w:tc>
              <w:tc>
                <w:tcPr>
                  <w:tcW w:w="871" w:type="pct"/>
                  <w:vMerge w:val="continue"/>
                  <w:tcBorders>
                    <w:tl2br w:val="nil"/>
                    <w:tr2bl w:val="nil"/>
                  </w:tcBorders>
                  <w:vAlign w:val="center"/>
                </w:tcPr>
                <w:p w14:paraId="16D1E04B">
                  <w:pPr>
                    <w:widowControl/>
                    <w:ind w:firstLine="0" w:firstLineChars="0"/>
                    <w:jc w:val="left"/>
                    <w:rPr>
                      <w:rFonts w:hint="default" w:ascii="Times New Roman" w:hAnsi="Times New Roman" w:eastAsia="仿宋" w:cs="Times New Roman"/>
                      <w:szCs w:val="24"/>
                    </w:rPr>
                  </w:pPr>
                </w:p>
              </w:tc>
            </w:tr>
            <w:tr w14:paraId="61BFF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restart"/>
                  <w:tcBorders>
                    <w:tl2br w:val="nil"/>
                    <w:tr2bl w:val="nil"/>
                  </w:tcBorders>
                  <w:vAlign w:val="center"/>
                </w:tcPr>
                <w:p w14:paraId="5661DD53">
                  <w:pPr>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2022.04.18</w:t>
                  </w:r>
                </w:p>
              </w:tc>
              <w:tc>
                <w:tcPr>
                  <w:tcW w:w="371" w:type="pct"/>
                  <w:vMerge w:val="restart"/>
                  <w:tcBorders>
                    <w:tl2br w:val="nil"/>
                    <w:tr2bl w:val="nil"/>
                  </w:tcBorders>
                  <w:vAlign w:val="center"/>
                </w:tcPr>
                <w:p w14:paraId="03749B16">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二甲苯</w:t>
                  </w:r>
                  <w:r>
                    <w:rPr>
                      <w:rFonts w:hint="eastAsia" w:eastAsia="仿宋" w:cs="Times New Roman"/>
                      <w:sz w:val="21"/>
                      <w:szCs w:val="21"/>
                      <w:lang w:val="en-US" w:eastAsia="zh-CN"/>
                    </w:rPr>
                    <w:t>*</w:t>
                  </w:r>
                </w:p>
              </w:tc>
              <w:tc>
                <w:tcPr>
                  <w:tcW w:w="807" w:type="pct"/>
                  <w:tcBorders>
                    <w:tl2br w:val="nil"/>
                    <w:tr2bl w:val="nil"/>
                  </w:tcBorders>
                  <w:vAlign w:val="center"/>
                </w:tcPr>
                <w:p w14:paraId="2B6E5DFB">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G1上风向</w:t>
                  </w:r>
                </w:p>
              </w:tc>
              <w:tc>
                <w:tcPr>
                  <w:tcW w:w="563" w:type="pct"/>
                  <w:tcBorders>
                    <w:tl2br w:val="nil"/>
                    <w:tr2bl w:val="nil"/>
                  </w:tcBorders>
                  <w:vAlign w:val="center"/>
                </w:tcPr>
                <w:p w14:paraId="4418287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6DD6607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543F5DEA">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6" w:type="pct"/>
                  <w:tcBorders>
                    <w:tl2br w:val="nil"/>
                    <w:tr2bl w:val="nil"/>
                  </w:tcBorders>
                  <w:vAlign w:val="center"/>
                </w:tcPr>
                <w:p w14:paraId="1E02CC20">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c>
                <w:tcPr>
                  <w:tcW w:w="871" w:type="pct"/>
                  <w:tcBorders>
                    <w:tl2br w:val="nil"/>
                    <w:tr2bl w:val="nil"/>
                  </w:tcBorders>
                  <w:vAlign w:val="center"/>
                </w:tcPr>
                <w:p w14:paraId="6C5DB39A">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14:paraId="04F18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1D2CC89D">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5A18E548">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0820E87B">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G2下风向</w:t>
                  </w:r>
                </w:p>
              </w:tc>
              <w:tc>
                <w:tcPr>
                  <w:tcW w:w="563" w:type="pct"/>
                  <w:tcBorders>
                    <w:tl2br w:val="nil"/>
                    <w:tr2bl w:val="nil"/>
                  </w:tcBorders>
                  <w:vAlign w:val="center"/>
                </w:tcPr>
                <w:p w14:paraId="71836AA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59A097A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00E7116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6" w:type="pct"/>
                  <w:tcBorders>
                    <w:tl2br w:val="nil"/>
                    <w:tr2bl w:val="nil"/>
                  </w:tcBorders>
                  <w:vAlign w:val="center"/>
                </w:tcPr>
                <w:p w14:paraId="3B9267B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c>
                <w:tcPr>
                  <w:tcW w:w="871" w:type="pct"/>
                  <w:vMerge w:val="restart"/>
                  <w:tcBorders>
                    <w:tl2br w:val="nil"/>
                    <w:tr2bl w:val="nil"/>
                  </w:tcBorders>
                  <w:vAlign w:val="center"/>
                </w:tcPr>
                <w:p w14:paraId="7AA0C6A4">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w:t>
                  </w:r>
                </w:p>
              </w:tc>
            </w:tr>
            <w:tr w14:paraId="5607D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41209AFD">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1AE6B048">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1F0581D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G3下风向</w:t>
                  </w:r>
                </w:p>
              </w:tc>
              <w:tc>
                <w:tcPr>
                  <w:tcW w:w="563" w:type="pct"/>
                  <w:tcBorders>
                    <w:tl2br w:val="nil"/>
                    <w:tr2bl w:val="nil"/>
                  </w:tcBorders>
                  <w:vAlign w:val="center"/>
                </w:tcPr>
                <w:p w14:paraId="3153CE9B">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7729E98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1DF1868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6" w:type="pct"/>
                  <w:tcBorders>
                    <w:tl2br w:val="nil"/>
                    <w:tr2bl w:val="nil"/>
                  </w:tcBorders>
                  <w:vAlign w:val="center"/>
                </w:tcPr>
                <w:p w14:paraId="55C223B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c>
                <w:tcPr>
                  <w:tcW w:w="871" w:type="pct"/>
                  <w:vMerge w:val="continue"/>
                  <w:tcBorders>
                    <w:tl2br w:val="nil"/>
                    <w:tr2bl w:val="nil"/>
                  </w:tcBorders>
                  <w:vAlign w:val="center"/>
                </w:tcPr>
                <w:p w14:paraId="13E1BC77">
                  <w:pPr>
                    <w:widowControl/>
                    <w:ind w:firstLine="0" w:firstLineChars="0"/>
                    <w:jc w:val="center"/>
                    <w:rPr>
                      <w:rFonts w:hint="default" w:ascii="Times New Roman" w:hAnsi="Times New Roman" w:eastAsia="仿宋" w:cs="Times New Roman"/>
                      <w:sz w:val="21"/>
                      <w:szCs w:val="21"/>
                    </w:rPr>
                  </w:pPr>
                </w:p>
              </w:tc>
            </w:tr>
            <w:tr w14:paraId="5675A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06582B58">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7F837375">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70F13AF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G4下风向</w:t>
                  </w:r>
                </w:p>
              </w:tc>
              <w:tc>
                <w:tcPr>
                  <w:tcW w:w="563" w:type="pct"/>
                  <w:tcBorders>
                    <w:tl2br w:val="nil"/>
                    <w:tr2bl w:val="nil"/>
                  </w:tcBorders>
                  <w:vAlign w:val="center"/>
                </w:tcPr>
                <w:p w14:paraId="716F686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5A04EF1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0A551DB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6" w:type="pct"/>
                  <w:tcBorders>
                    <w:tl2br w:val="nil"/>
                    <w:tr2bl w:val="nil"/>
                  </w:tcBorders>
                  <w:vAlign w:val="center"/>
                </w:tcPr>
                <w:p w14:paraId="7E61156B">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c>
                <w:tcPr>
                  <w:tcW w:w="871" w:type="pct"/>
                  <w:vMerge w:val="continue"/>
                  <w:tcBorders>
                    <w:tl2br w:val="nil"/>
                    <w:tr2bl w:val="nil"/>
                  </w:tcBorders>
                  <w:vAlign w:val="center"/>
                </w:tcPr>
                <w:p w14:paraId="6D7FAF51">
                  <w:pPr>
                    <w:widowControl/>
                    <w:ind w:firstLine="0" w:firstLineChars="0"/>
                    <w:jc w:val="center"/>
                    <w:rPr>
                      <w:rFonts w:hint="default" w:ascii="Times New Roman" w:hAnsi="Times New Roman" w:eastAsia="仿宋" w:cs="Times New Roman"/>
                      <w:sz w:val="21"/>
                      <w:szCs w:val="21"/>
                    </w:rPr>
                  </w:pPr>
                </w:p>
              </w:tc>
            </w:tr>
            <w:tr w14:paraId="78FB1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restart"/>
                  <w:tcBorders>
                    <w:tl2br w:val="nil"/>
                    <w:tr2bl w:val="nil"/>
                  </w:tcBorders>
                  <w:vAlign w:val="center"/>
                </w:tcPr>
                <w:p w14:paraId="7A11F11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2022.04.19</w:t>
                  </w:r>
                </w:p>
              </w:tc>
              <w:tc>
                <w:tcPr>
                  <w:tcW w:w="371" w:type="pct"/>
                  <w:vMerge w:val="continue"/>
                  <w:tcBorders>
                    <w:tl2br w:val="nil"/>
                    <w:tr2bl w:val="nil"/>
                  </w:tcBorders>
                  <w:vAlign w:val="center"/>
                </w:tcPr>
                <w:p w14:paraId="1D5A9DEE">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38696B2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G1上风向</w:t>
                  </w:r>
                </w:p>
              </w:tc>
              <w:tc>
                <w:tcPr>
                  <w:tcW w:w="563" w:type="pct"/>
                  <w:tcBorders>
                    <w:tl2br w:val="nil"/>
                    <w:tr2bl w:val="nil"/>
                  </w:tcBorders>
                  <w:vAlign w:val="center"/>
                </w:tcPr>
                <w:p w14:paraId="3F3FCF9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0E0CB93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192949A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6" w:type="pct"/>
                  <w:tcBorders>
                    <w:tl2br w:val="nil"/>
                    <w:tr2bl w:val="nil"/>
                  </w:tcBorders>
                  <w:vAlign w:val="center"/>
                </w:tcPr>
                <w:p w14:paraId="5FFB054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c>
                <w:tcPr>
                  <w:tcW w:w="871" w:type="pct"/>
                  <w:tcBorders>
                    <w:tl2br w:val="nil"/>
                    <w:tr2bl w:val="nil"/>
                  </w:tcBorders>
                  <w:vAlign w:val="center"/>
                </w:tcPr>
                <w:p w14:paraId="3C0723F4">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14:paraId="6A182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54C782C9">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04F1460B">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3718D27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G2下风向</w:t>
                  </w:r>
                </w:p>
              </w:tc>
              <w:tc>
                <w:tcPr>
                  <w:tcW w:w="563" w:type="pct"/>
                  <w:tcBorders>
                    <w:tl2br w:val="nil"/>
                    <w:tr2bl w:val="nil"/>
                  </w:tcBorders>
                  <w:vAlign w:val="center"/>
                </w:tcPr>
                <w:p w14:paraId="4E4FCB9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66434DC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3F0CB6C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6" w:type="pct"/>
                  <w:tcBorders>
                    <w:tl2br w:val="nil"/>
                    <w:tr2bl w:val="nil"/>
                  </w:tcBorders>
                  <w:vAlign w:val="center"/>
                </w:tcPr>
                <w:p w14:paraId="65CC82B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c>
                <w:tcPr>
                  <w:tcW w:w="871" w:type="pct"/>
                  <w:vMerge w:val="restart"/>
                  <w:tcBorders>
                    <w:tl2br w:val="nil"/>
                    <w:tr2bl w:val="nil"/>
                  </w:tcBorders>
                  <w:vAlign w:val="center"/>
                </w:tcPr>
                <w:p w14:paraId="71BFE745">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w:t>
                  </w:r>
                </w:p>
              </w:tc>
            </w:tr>
            <w:tr w14:paraId="31D96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3C072D07">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7A5743CD">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00D0FCA6">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G3下风向</w:t>
                  </w:r>
                </w:p>
              </w:tc>
              <w:tc>
                <w:tcPr>
                  <w:tcW w:w="563" w:type="pct"/>
                  <w:tcBorders>
                    <w:tl2br w:val="nil"/>
                    <w:tr2bl w:val="nil"/>
                  </w:tcBorders>
                  <w:vAlign w:val="center"/>
                </w:tcPr>
                <w:p w14:paraId="6C79127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7BC5645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5EA793E8">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6" w:type="pct"/>
                  <w:tcBorders>
                    <w:tl2br w:val="nil"/>
                    <w:tr2bl w:val="nil"/>
                  </w:tcBorders>
                  <w:vAlign w:val="center"/>
                </w:tcPr>
                <w:p w14:paraId="5DE2029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c>
                <w:tcPr>
                  <w:tcW w:w="871" w:type="pct"/>
                  <w:vMerge w:val="continue"/>
                  <w:tcBorders>
                    <w:tl2br w:val="nil"/>
                    <w:tr2bl w:val="nil"/>
                  </w:tcBorders>
                  <w:vAlign w:val="center"/>
                </w:tcPr>
                <w:p w14:paraId="42898C55">
                  <w:pPr>
                    <w:widowControl/>
                    <w:ind w:firstLine="0" w:firstLineChars="0"/>
                    <w:jc w:val="center"/>
                    <w:rPr>
                      <w:rFonts w:hint="default" w:ascii="Times New Roman" w:hAnsi="Times New Roman" w:eastAsia="仿宋" w:cs="Times New Roman"/>
                      <w:sz w:val="21"/>
                      <w:szCs w:val="21"/>
                    </w:rPr>
                  </w:pPr>
                </w:p>
              </w:tc>
            </w:tr>
            <w:tr w14:paraId="3EE79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2444D0B0">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7F06B7B7">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3FC2E82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G4下风向</w:t>
                  </w:r>
                </w:p>
              </w:tc>
              <w:tc>
                <w:tcPr>
                  <w:tcW w:w="563" w:type="pct"/>
                  <w:tcBorders>
                    <w:tl2br w:val="nil"/>
                    <w:tr2bl w:val="nil"/>
                  </w:tcBorders>
                  <w:vAlign w:val="center"/>
                </w:tcPr>
                <w:p w14:paraId="3350358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2723037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3" w:type="pct"/>
                  <w:tcBorders>
                    <w:tl2br w:val="nil"/>
                    <w:tr2bl w:val="nil"/>
                  </w:tcBorders>
                  <w:vAlign w:val="center"/>
                </w:tcPr>
                <w:p w14:paraId="0549C52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ND</w:t>
                  </w:r>
                </w:p>
              </w:tc>
              <w:tc>
                <w:tcPr>
                  <w:tcW w:w="566" w:type="pct"/>
                  <w:tcBorders>
                    <w:tl2br w:val="nil"/>
                    <w:tr2bl w:val="nil"/>
                  </w:tcBorders>
                  <w:vAlign w:val="center"/>
                </w:tcPr>
                <w:p w14:paraId="7A1C39F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w:t>
                  </w:r>
                </w:p>
              </w:tc>
              <w:tc>
                <w:tcPr>
                  <w:tcW w:w="871" w:type="pct"/>
                  <w:vMerge w:val="continue"/>
                  <w:tcBorders>
                    <w:tl2br w:val="nil"/>
                    <w:tr2bl w:val="nil"/>
                  </w:tcBorders>
                  <w:vAlign w:val="center"/>
                </w:tcPr>
                <w:p w14:paraId="27E95ED3">
                  <w:pPr>
                    <w:widowControl/>
                    <w:ind w:firstLine="0" w:firstLineChars="0"/>
                    <w:jc w:val="center"/>
                    <w:rPr>
                      <w:rFonts w:hint="default" w:ascii="Times New Roman" w:hAnsi="Times New Roman" w:eastAsia="仿宋" w:cs="Times New Roman"/>
                      <w:sz w:val="21"/>
                      <w:szCs w:val="21"/>
                    </w:rPr>
                  </w:pPr>
                </w:p>
              </w:tc>
            </w:tr>
            <w:tr w14:paraId="44B37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restart"/>
                  <w:tcBorders>
                    <w:tl2br w:val="nil"/>
                    <w:tr2bl w:val="nil"/>
                  </w:tcBorders>
                  <w:vAlign w:val="center"/>
                </w:tcPr>
                <w:p w14:paraId="15484442">
                  <w:pPr>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eastAsia="仿宋" w:cs="Times New Roman"/>
                      <w:kern w:val="0"/>
                      <w:sz w:val="21"/>
                      <w:szCs w:val="21"/>
                    </w:rPr>
                    <w:t>2022.04.18</w:t>
                  </w:r>
                </w:p>
              </w:tc>
              <w:tc>
                <w:tcPr>
                  <w:tcW w:w="371" w:type="pct"/>
                  <w:vMerge w:val="restart"/>
                  <w:tcBorders>
                    <w:tl2br w:val="nil"/>
                    <w:tr2bl w:val="nil"/>
                  </w:tcBorders>
                  <w:vAlign w:val="center"/>
                </w:tcPr>
                <w:p w14:paraId="106F5BCA">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非甲烷总烃</w:t>
                  </w:r>
                </w:p>
              </w:tc>
              <w:tc>
                <w:tcPr>
                  <w:tcW w:w="807" w:type="pct"/>
                  <w:tcBorders>
                    <w:tl2br w:val="nil"/>
                    <w:tr2bl w:val="nil"/>
                  </w:tcBorders>
                  <w:vAlign w:val="center"/>
                </w:tcPr>
                <w:p w14:paraId="1B21169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G1上风向</w:t>
                  </w:r>
                </w:p>
              </w:tc>
              <w:tc>
                <w:tcPr>
                  <w:tcW w:w="563" w:type="pct"/>
                  <w:tcBorders>
                    <w:tl2br w:val="nil"/>
                    <w:tr2bl w:val="nil"/>
                  </w:tcBorders>
                  <w:vAlign w:val="center"/>
                </w:tcPr>
                <w:p w14:paraId="5F6D9B1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0.82</w:t>
                  </w:r>
                </w:p>
              </w:tc>
              <w:tc>
                <w:tcPr>
                  <w:tcW w:w="563" w:type="pct"/>
                  <w:tcBorders>
                    <w:tl2br w:val="nil"/>
                    <w:tr2bl w:val="nil"/>
                  </w:tcBorders>
                  <w:vAlign w:val="center"/>
                </w:tcPr>
                <w:p w14:paraId="0AE4A11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0.99</w:t>
                  </w:r>
                </w:p>
              </w:tc>
              <w:tc>
                <w:tcPr>
                  <w:tcW w:w="563" w:type="pct"/>
                  <w:tcBorders>
                    <w:tl2br w:val="nil"/>
                    <w:tr2bl w:val="nil"/>
                  </w:tcBorders>
                  <w:vAlign w:val="center"/>
                </w:tcPr>
                <w:p w14:paraId="0003FAD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0.97</w:t>
                  </w:r>
                </w:p>
              </w:tc>
              <w:tc>
                <w:tcPr>
                  <w:tcW w:w="566" w:type="pct"/>
                  <w:tcBorders>
                    <w:tl2br w:val="nil"/>
                    <w:tr2bl w:val="nil"/>
                  </w:tcBorders>
                  <w:vAlign w:val="center"/>
                </w:tcPr>
                <w:p w14:paraId="33BAF900">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0.99</w:t>
                  </w:r>
                </w:p>
              </w:tc>
              <w:tc>
                <w:tcPr>
                  <w:tcW w:w="871" w:type="pct"/>
                  <w:tcBorders>
                    <w:tl2br w:val="nil"/>
                    <w:tr2bl w:val="nil"/>
                  </w:tcBorders>
                  <w:vAlign w:val="center"/>
                </w:tcPr>
                <w:p w14:paraId="26EF4840">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14:paraId="6D1F8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34352072">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752A7CBE">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7A00823A">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G2下风向</w:t>
                  </w:r>
                </w:p>
              </w:tc>
              <w:tc>
                <w:tcPr>
                  <w:tcW w:w="563" w:type="pct"/>
                  <w:tcBorders>
                    <w:tl2br w:val="nil"/>
                    <w:tr2bl w:val="nil"/>
                  </w:tcBorders>
                  <w:vAlign w:val="center"/>
                </w:tcPr>
                <w:p w14:paraId="0090D8F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1.54</w:t>
                  </w:r>
                </w:p>
              </w:tc>
              <w:tc>
                <w:tcPr>
                  <w:tcW w:w="563" w:type="pct"/>
                  <w:tcBorders>
                    <w:tl2br w:val="nil"/>
                    <w:tr2bl w:val="nil"/>
                  </w:tcBorders>
                  <w:vAlign w:val="center"/>
                </w:tcPr>
                <w:p w14:paraId="4FE14DBB">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1.26</w:t>
                  </w:r>
                </w:p>
              </w:tc>
              <w:tc>
                <w:tcPr>
                  <w:tcW w:w="563" w:type="pct"/>
                  <w:tcBorders>
                    <w:tl2br w:val="nil"/>
                    <w:tr2bl w:val="nil"/>
                  </w:tcBorders>
                  <w:vAlign w:val="center"/>
                </w:tcPr>
                <w:p w14:paraId="116FE76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1.19</w:t>
                  </w:r>
                </w:p>
              </w:tc>
              <w:tc>
                <w:tcPr>
                  <w:tcW w:w="566" w:type="pct"/>
                  <w:tcBorders>
                    <w:tl2br w:val="nil"/>
                    <w:tr2bl w:val="nil"/>
                  </w:tcBorders>
                  <w:vAlign w:val="center"/>
                </w:tcPr>
                <w:p w14:paraId="0D0C87DA">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1.54</w:t>
                  </w:r>
                </w:p>
              </w:tc>
              <w:tc>
                <w:tcPr>
                  <w:tcW w:w="871" w:type="pct"/>
                  <w:vMerge w:val="restart"/>
                  <w:tcBorders>
                    <w:tl2br w:val="nil"/>
                    <w:tr2bl w:val="nil"/>
                  </w:tcBorders>
                  <w:vAlign w:val="center"/>
                </w:tcPr>
                <w:p w14:paraId="34C4633A">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w:t>
                  </w:r>
                </w:p>
              </w:tc>
            </w:tr>
            <w:tr w14:paraId="3E884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6DBBEE52">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5DB2BA98">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2CAD4E5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G3下风向</w:t>
                  </w:r>
                </w:p>
              </w:tc>
              <w:tc>
                <w:tcPr>
                  <w:tcW w:w="563" w:type="pct"/>
                  <w:tcBorders>
                    <w:tl2br w:val="nil"/>
                    <w:tr2bl w:val="nil"/>
                  </w:tcBorders>
                  <w:vAlign w:val="center"/>
                </w:tcPr>
                <w:p w14:paraId="0FA2E90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1.33</w:t>
                  </w:r>
                </w:p>
              </w:tc>
              <w:tc>
                <w:tcPr>
                  <w:tcW w:w="563" w:type="pct"/>
                  <w:tcBorders>
                    <w:tl2br w:val="nil"/>
                    <w:tr2bl w:val="nil"/>
                  </w:tcBorders>
                  <w:vAlign w:val="center"/>
                </w:tcPr>
                <w:p w14:paraId="77D346D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1.20</w:t>
                  </w:r>
                </w:p>
              </w:tc>
              <w:tc>
                <w:tcPr>
                  <w:tcW w:w="563" w:type="pct"/>
                  <w:tcBorders>
                    <w:tl2br w:val="nil"/>
                    <w:tr2bl w:val="nil"/>
                  </w:tcBorders>
                  <w:vAlign w:val="center"/>
                </w:tcPr>
                <w:p w14:paraId="7F51FCB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1.39</w:t>
                  </w:r>
                </w:p>
              </w:tc>
              <w:tc>
                <w:tcPr>
                  <w:tcW w:w="566" w:type="pct"/>
                  <w:tcBorders>
                    <w:tl2br w:val="nil"/>
                    <w:tr2bl w:val="nil"/>
                  </w:tcBorders>
                  <w:vAlign w:val="center"/>
                </w:tcPr>
                <w:p w14:paraId="0758414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0.39</w:t>
                  </w:r>
                </w:p>
              </w:tc>
              <w:tc>
                <w:tcPr>
                  <w:tcW w:w="871" w:type="pct"/>
                  <w:vMerge w:val="continue"/>
                  <w:tcBorders>
                    <w:tl2br w:val="nil"/>
                    <w:tr2bl w:val="nil"/>
                  </w:tcBorders>
                  <w:vAlign w:val="center"/>
                </w:tcPr>
                <w:p w14:paraId="5FCC5FE9">
                  <w:pPr>
                    <w:widowControl/>
                    <w:ind w:firstLine="0" w:firstLineChars="0"/>
                    <w:jc w:val="center"/>
                    <w:rPr>
                      <w:rFonts w:hint="default" w:ascii="Times New Roman" w:hAnsi="Times New Roman" w:eastAsia="仿宋" w:cs="Times New Roman"/>
                      <w:sz w:val="21"/>
                      <w:szCs w:val="21"/>
                    </w:rPr>
                  </w:pPr>
                </w:p>
              </w:tc>
            </w:tr>
            <w:tr w14:paraId="5E649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0DF7488A">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62A69778">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2C0DBF6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G4下风向</w:t>
                  </w:r>
                </w:p>
              </w:tc>
              <w:tc>
                <w:tcPr>
                  <w:tcW w:w="563" w:type="pct"/>
                  <w:tcBorders>
                    <w:tl2br w:val="nil"/>
                    <w:tr2bl w:val="nil"/>
                  </w:tcBorders>
                  <w:vAlign w:val="center"/>
                </w:tcPr>
                <w:p w14:paraId="26754A2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1.26</w:t>
                  </w:r>
                </w:p>
              </w:tc>
              <w:tc>
                <w:tcPr>
                  <w:tcW w:w="563" w:type="pct"/>
                  <w:tcBorders>
                    <w:tl2br w:val="nil"/>
                    <w:tr2bl w:val="nil"/>
                  </w:tcBorders>
                  <w:vAlign w:val="center"/>
                </w:tcPr>
                <w:p w14:paraId="7CA9C128">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1.33</w:t>
                  </w:r>
                </w:p>
              </w:tc>
              <w:tc>
                <w:tcPr>
                  <w:tcW w:w="563" w:type="pct"/>
                  <w:tcBorders>
                    <w:tl2br w:val="nil"/>
                    <w:tr2bl w:val="nil"/>
                  </w:tcBorders>
                  <w:vAlign w:val="center"/>
                </w:tcPr>
                <w:p w14:paraId="17640E5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1.24</w:t>
                  </w:r>
                </w:p>
              </w:tc>
              <w:tc>
                <w:tcPr>
                  <w:tcW w:w="566" w:type="pct"/>
                  <w:tcBorders>
                    <w:tl2br w:val="nil"/>
                    <w:tr2bl w:val="nil"/>
                  </w:tcBorders>
                  <w:vAlign w:val="center"/>
                </w:tcPr>
                <w:p w14:paraId="7486441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1.33</w:t>
                  </w:r>
                </w:p>
              </w:tc>
              <w:tc>
                <w:tcPr>
                  <w:tcW w:w="871" w:type="pct"/>
                  <w:vMerge w:val="continue"/>
                  <w:tcBorders>
                    <w:tl2br w:val="nil"/>
                    <w:tr2bl w:val="nil"/>
                  </w:tcBorders>
                  <w:vAlign w:val="center"/>
                </w:tcPr>
                <w:p w14:paraId="5DF0150E">
                  <w:pPr>
                    <w:widowControl/>
                    <w:ind w:firstLine="0" w:firstLineChars="0"/>
                    <w:jc w:val="center"/>
                    <w:rPr>
                      <w:rFonts w:hint="default" w:ascii="Times New Roman" w:hAnsi="Times New Roman" w:eastAsia="仿宋" w:cs="Times New Roman"/>
                      <w:sz w:val="21"/>
                      <w:szCs w:val="21"/>
                    </w:rPr>
                  </w:pPr>
                </w:p>
              </w:tc>
            </w:tr>
            <w:tr w14:paraId="78B4A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43997F17">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72AD7736">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03C3350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G5D7车间门窗外1m</w:t>
                  </w:r>
                </w:p>
              </w:tc>
              <w:tc>
                <w:tcPr>
                  <w:tcW w:w="563" w:type="pct"/>
                  <w:tcBorders>
                    <w:tl2br w:val="nil"/>
                    <w:tr2bl w:val="nil"/>
                  </w:tcBorders>
                  <w:vAlign w:val="center"/>
                </w:tcPr>
                <w:p w14:paraId="72D5078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1.54</w:t>
                  </w:r>
                </w:p>
              </w:tc>
              <w:tc>
                <w:tcPr>
                  <w:tcW w:w="563" w:type="pct"/>
                  <w:tcBorders>
                    <w:tl2br w:val="nil"/>
                    <w:tr2bl w:val="nil"/>
                  </w:tcBorders>
                  <w:vAlign w:val="center"/>
                </w:tcPr>
                <w:p w14:paraId="718DDD24">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1.81</w:t>
                  </w:r>
                </w:p>
              </w:tc>
              <w:tc>
                <w:tcPr>
                  <w:tcW w:w="563" w:type="pct"/>
                  <w:tcBorders>
                    <w:tl2br w:val="nil"/>
                    <w:tr2bl w:val="nil"/>
                  </w:tcBorders>
                  <w:vAlign w:val="center"/>
                </w:tcPr>
                <w:p w14:paraId="6A69A2E4">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1.73</w:t>
                  </w:r>
                </w:p>
              </w:tc>
              <w:tc>
                <w:tcPr>
                  <w:tcW w:w="566" w:type="pct"/>
                  <w:tcBorders>
                    <w:tl2br w:val="nil"/>
                    <w:tr2bl w:val="nil"/>
                  </w:tcBorders>
                  <w:vAlign w:val="center"/>
                </w:tcPr>
                <w:p w14:paraId="719AE58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1.81</w:t>
                  </w:r>
                </w:p>
              </w:tc>
              <w:tc>
                <w:tcPr>
                  <w:tcW w:w="871" w:type="pct"/>
                  <w:tcBorders>
                    <w:tl2br w:val="nil"/>
                    <w:tr2bl w:val="nil"/>
                  </w:tcBorders>
                  <w:vAlign w:val="center"/>
                </w:tcPr>
                <w:p w14:paraId="5E658BE5">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lang w:val="en-US" w:eastAsia="zh-CN"/>
                    </w:rPr>
                    <w:t>20（监控点处任意一次浓度值）</w:t>
                  </w:r>
                </w:p>
              </w:tc>
            </w:tr>
            <w:tr w14:paraId="6DDBE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468CBF56">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20951F2F">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13DA18DB">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G6F16车间门窗外1m</w:t>
                  </w:r>
                </w:p>
              </w:tc>
              <w:tc>
                <w:tcPr>
                  <w:tcW w:w="563" w:type="pct"/>
                  <w:tcBorders>
                    <w:tl2br w:val="nil"/>
                    <w:tr2bl w:val="nil"/>
                  </w:tcBorders>
                  <w:vAlign w:val="center"/>
                </w:tcPr>
                <w:p w14:paraId="30F847A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1.52</w:t>
                  </w:r>
                </w:p>
              </w:tc>
              <w:tc>
                <w:tcPr>
                  <w:tcW w:w="563" w:type="pct"/>
                  <w:tcBorders>
                    <w:tl2br w:val="nil"/>
                    <w:tr2bl w:val="nil"/>
                  </w:tcBorders>
                  <w:vAlign w:val="center"/>
                </w:tcPr>
                <w:p w14:paraId="3FE28194">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1.55</w:t>
                  </w:r>
                </w:p>
              </w:tc>
              <w:tc>
                <w:tcPr>
                  <w:tcW w:w="563" w:type="pct"/>
                  <w:tcBorders>
                    <w:tl2br w:val="nil"/>
                    <w:tr2bl w:val="nil"/>
                  </w:tcBorders>
                  <w:vAlign w:val="center"/>
                </w:tcPr>
                <w:p w14:paraId="6F91DA6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1.95</w:t>
                  </w:r>
                </w:p>
              </w:tc>
              <w:tc>
                <w:tcPr>
                  <w:tcW w:w="566" w:type="pct"/>
                  <w:tcBorders>
                    <w:tl2br w:val="nil"/>
                    <w:tr2bl w:val="nil"/>
                  </w:tcBorders>
                  <w:vAlign w:val="center"/>
                </w:tcPr>
                <w:p w14:paraId="4974F19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1.95</w:t>
                  </w:r>
                </w:p>
              </w:tc>
              <w:tc>
                <w:tcPr>
                  <w:tcW w:w="871" w:type="pct"/>
                  <w:tcBorders>
                    <w:tl2br w:val="nil"/>
                    <w:tr2bl w:val="nil"/>
                  </w:tcBorders>
                  <w:vAlign w:val="center"/>
                </w:tcPr>
                <w:p w14:paraId="26643898">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lang w:val="en-US" w:eastAsia="zh-CN"/>
                    </w:rPr>
                    <w:t>6（监控点处 1h 平均浓度值）</w:t>
                  </w:r>
                </w:p>
              </w:tc>
            </w:tr>
            <w:tr w14:paraId="40DEE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restart"/>
                  <w:tcBorders>
                    <w:tl2br w:val="nil"/>
                    <w:tr2bl w:val="nil"/>
                  </w:tcBorders>
                  <w:vAlign w:val="center"/>
                </w:tcPr>
                <w:p w14:paraId="4D0282A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2022.04.19</w:t>
                  </w:r>
                </w:p>
              </w:tc>
              <w:tc>
                <w:tcPr>
                  <w:tcW w:w="371" w:type="pct"/>
                  <w:vMerge w:val="continue"/>
                  <w:tcBorders>
                    <w:tl2br w:val="nil"/>
                    <w:tr2bl w:val="nil"/>
                  </w:tcBorders>
                  <w:vAlign w:val="center"/>
                </w:tcPr>
                <w:p w14:paraId="745C4338">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128BBEC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G1上风向</w:t>
                  </w:r>
                </w:p>
              </w:tc>
              <w:tc>
                <w:tcPr>
                  <w:tcW w:w="563" w:type="pct"/>
                  <w:tcBorders>
                    <w:tl2br w:val="nil"/>
                    <w:tr2bl w:val="nil"/>
                  </w:tcBorders>
                  <w:vAlign w:val="center"/>
                </w:tcPr>
                <w:p w14:paraId="1622561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0.94</w:t>
                  </w:r>
                </w:p>
              </w:tc>
              <w:tc>
                <w:tcPr>
                  <w:tcW w:w="563" w:type="pct"/>
                  <w:tcBorders>
                    <w:tl2br w:val="nil"/>
                    <w:tr2bl w:val="nil"/>
                  </w:tcBorders>
                  <w:vAlign w:val="center"/>
                </w:tcPr>
                <w:p w14:paraId="3E4EB2D6">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1.04</w:t>
                  </w:r>
                </w:p>
              </w:tc>
              <w:tc>
                <w:tcPr>
                  <w:tcW w:w="563" w:type="pct"/>
                  <w:tcBorders>
                    <w:tl2br w:val="nil"/>
                    <w:tr2bl w:val="nil"/>
                  </w:tcBorders>
                  <w:vAlign w:val="center"/>
                </w:tcPr>
                <w:p w14:paraId="6C2F91D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0.90</w:t>
                  </w:r>
                </w:p>
              </w:tc>
              <w:tc>
                <w:tcPr>
                  <w:tcW w:w="566" w:type="pct"/>
                  <w:tcBorders>
                    <w:tl2br w:val="nil"/>
                    <w:tr2bl w:val="nil"/>
                  </w:tcBorders>
                  <w:vAlign w:val="center"/>
                </w:tcPr>
                <w:p w14:paraId="77FA8D44">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1.04</w:t>
                  </w:r>
                </w:p>
              </w:tc>
              <w:tc>
                <w:tcPr>
                  <w:tcW w:w="871" w:type="pct"/>
                  <w:tcBorders>
                    <w:tl2br w:val="nil"/>
                    <w:tr2bl w:val="nil"/>
                  </w:tcBorders>
                  <w:vAlign w:val="center"/>
                </w:tcPr>
                <w:p w14:paraId="620A5154">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14:paraId="1FDA5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42152FC3">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41D63484">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51A97C4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G2下风向</w:t>
                  </w:r>
                </w:p>
              </w:tc>
              <w:tc>
                <w:tcPr>
                  <w:tcW w:w="563" w:type="pct"/>
                  <w:tcBorders>
                    <w:tl2br w:val="nil"/>
                    <w:tr2bl w:val="nil"/>
                  </w:tcBorders>
                  <w:vAlign w:val="center"/>
                </w:tcPr>
                <w:p w14:paraId="6E117ED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1.20</w:t>
                  </w:r>
                </w:p>
              </w:tc>
              <w:tc>
                <w:tcPr>
                  <w:tcW w:w="563" w:type="pct"/>
                  <w:tcBorders>
                    <w:tl2br w:val="nil"/>
                    <w:tr2bl w:val="nil"/>
                  </w:tcBorders>
                  <w:vAlign w:val="center"/>
                </w:tcPr>
                <w:p w14:paraId="303BF026">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1.38</w:t>
                  </w:r>
                </w:p>
              </w:tc>
              <w:tc>
                <w:tcPr>
                  <w:tcW w:w="563" w:type="pct"/>
                  <w:tcBorders>
                    <w:tl2br w:val="nil"/>
                    <w:tr2bl w:val="nil"/>
                  </w:tcBorders>
                  <w:vAlign w:val="center"/>
                </w:tcPr>
                <w:p w14:paraId="0678A6F8">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1.41</w:t>
                  </w:r>
                </w:p>
              </w:tc>
              <w:tc>
                <w:tcPr>
                  <w:tcW w:w="566" w:type="pct"/>
                  <w:tcBorders>
                    <w:tl2br w:val="nil"/>
                    <w:tr2bl w:val="nil"/>
                  </w:tcBorders>
                  <w:vAlign w:val="center"/>
                </w:tcPr>
                <w:p w14:paraId="5DAA1E4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1.41</w:t>
                  </w:r>
                </w:p>
              </w:tc>
              <w:tc>
                <w:tcPr>
                  <w:tcW w:w="871" w:type="pct"/>
                  <w:vMerge w:val="restart"/>
                  <w:tcBorders>
                    <w:tl2br w:val="nil"/>
                    <w:tr2bl w:val="nil"/>
                  </w:tcBorders>
                  <w:vAlign w:val="center"/>
                </w:tcPr>
                <w:p w14:paraId="6259889A">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w:t>
                  </w:r>
                </w:p>
              </w:tc>
            </w:tr>
            <w:tr w14:paraId="3903F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5346BFDF">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5C3BBD94">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7AE4C25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G3下风向</w:t>
                  </w:r>
                </w:p>
              </w:tc>
              <w:tc>
                <w:tcPr>
                  <w:tcW w:w="563" w:type="pct"/>
                  <w:tcBorders>
                    <w:tl2br w:val="nil"/>
                    <w:tr2bl w:val="nil"/>
                  </w:tcBorders>
                  <w:vAlign w:val="center"/>
                </w:tcPr>
                <w:p w14:paraId="35013D5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1.16</w:t>
                  </w:r>
                </w:p>
              </w:tc>
              <w:tc>
                <w:tcPr>
                  <w:tcW w:w="563" w:type="pct"/>
                  <w:tcBorders>
                    <w:tl2br w:val="nil"/>
                    <w:tr2bl w:val="nil"/>
                  </w:tcBorders>
                  <w:vAlign w:val="center"/>
                </w:tcPr>
                <w:p w14:paraId="0B9AADB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1.37</w:t>
                  </w:r>
                </w:p>
              </w:tc>
              <w:tc>
                <w:tcPr>
                  <w:tcW w:w="563" w:type="pct"/>
                  <w:tcBorders>
                    <w:tl2br w:val="nil"/>
                    <w:tr2bl w:val="nil"/>
                  </w:tcBorders>
                  <w:vAlign w:val="center"/>
                </w:tcPr>
                <w:p w14:paraId="4807E68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1.25</w:t>
                  </w:r>
                </w:p>
              </w:tc>
              <w:tc>
                <w:tcPr>
                  <w:tcW w:w="566" w:type="pct"/>
                  <w:tcBorders>
                    <w:tl2br w:val="nil"/>
                    <w:tr2bl w:val="nil"/>
                  </w:tcBorders>
                  <w:vAlign w:val="center"/>
                </w:tcPr>
                <w:p w14:paraId="7224A69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1.37</w:t>
                  </w:r>
                </w:p>
              </w:tc>
              <w:tc>
                <w:tcPr>
                  <w:tcW w:w="871" w:type="pct"/>
                  <w:vMerge w:val="continue"/>
                  <w:tcBorders>
                    <w:tl2br w:val="nil"/>
                    <w:tr2bl w:val="nil"/>
                  </w:tcBorders>
                  <w:vAlign w:val="center"/>
                </w:tcPr>
                <w:p w14:paraId="03178989">
                  <w:pPr>
                    <w:widowControl/>
                    <w:ind w:firstLine="0" w:firstLineChars="0"/>
                    <w:jc w:val="center"/>
                    <w:rPr>
                      <w:rFonts w:hint="default" w:ascii="Times New Roman" w:hAnsi="Times New Roman" w:eastAsia="仿宋" w:cs="Times New Roman"/>
                      <w:sz w:val="21"/>
                      <w:szCs w:val="21"/>
                    </w:rPr>
                  </w:pPr>
                </w:p>
              </w:tc>
            </w:tr>
            <w:tr w14:paraId="0A4BD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679BD8CE">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60D93325">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078C0A4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G4下风向</w:t>
                  </w:r>
                </w:p>
              </w:tc>
              <w:tc>
                <w:tcPr>
                  <w:tcW w:w="563" w:type="pct"/>
                  <w:tcBorders>
                    <w:tl2br w:val="nil"/>
                    <w:tr2bl w:val="nil"/>
                  </w:tcBorders>
                  <w:vAlign w:val="center"/>
                </w:tcPr>
                <w:p w14:paraId="2272241A">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1.16</w:t>
                  </w:r>
                </w:p>
              </w:tc>
              <w:tc>
                <w:tcPr>
                  <w:tcW w:w="563" w:type="pct"/>
                  <w:tcBorders>
                    <w:tl2br w:val="nil"/>
                    <w:tr2bl w:val="nil"/>
                  </w:tcBorders>
                  <w:vAlign w:val="center"/>
                </w:tcPr>
                <w:p w14:paraId="0FDFADA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1.18</w:t>
                  </w:r>
                </w:p>
              </w:tc>
              <w:tc>
                <w:tcPr>
                  <w:tcW w:w="563" w:type="pct"/>
                  <w:tcBorders>
                    <w:tl2br w:val="nil"/>
                    <w:tr2bl w:val="nil"/>
                  </w:tcBorders>
                  <w:vAlign w:val="center"/>
                </w:tcPr>
                <w:p w14:paraId="13166A1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1.51</w:t>
                  </w:r>
                </w:p>
              </w:tc>
              <w:tc>
                <w:tcPr>
                  <w:tcW w:w="566" w:type="pct"/>
                  <w:tcBorders>
                    <w:tl2br w:val="nil"/>
                    <w:tr2bl w:val="nil"/>
                  </w:tcBorders>
                  <w:vAlign w:val="center"/>
                </w:tcPr>
                <w:p w14:paraId="5DF1B11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1.51</w:t>
                  </w:r>
                </w:p>
              </w:tc>
              <w:tc>
                <w:tcPr>
                  <w:tcW w:w="871" w:type="pct"/>
                  <w:vMerge w:val="continue"/>
                  <w:tcBorders>
                    <w:tl2br w:val="nil"/>
                    <w:tr2bl w:val="nil"/>
                  </w:tcBorders>
                  <w:vAlign w:val="center"/>
                </w:tcPr>
                <w:p w14:paraId="1C231E3D">
                  <w:pPr>
                    <w:widowControl/>
                    <w:ind w:firstLine="0" w:firstLineChars="0"/>
                    <w:jc w:val="center"/>
                    <w:rPr>
                      <w:rFonts w:hint="default" w:ascii="Times New Roman" w:hAnsi="Times New Roman" w:eastAsia="仿宋" w:cs="Times New Roman"/>
                      <w:sz w:val="21"/>
                      <w:szCs w:val="21"/>
                    </w:rPr>
                  </w:pPr>
                </w:p>
              </w:tc>
            </w:tr>
            <w:tr w14:paraId="1D320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1AD2F88E">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2A962CD7">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5E42F1F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G5D7车间门窗外1m</w:t>
                  </w:r>
                </w:p>
              </w:tc>
              <w:tc>
                <w:tcPr>
                  <w:tcW w:w="563" w:type="pct"/>
                  <w:tcBorders>
                    <w:tl2br w:val="nil"/>
                    <w:tr2bl w:val="nil"/>
                  </w:tcBorders>
                  <w:vAlign w:val="center"/>
                </w:tcPr>
                <w:p w14:paraId="494A9ED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1.69</w:t>
                  </w:r>
                </w:p>
              </w:tc>
              <w:tc>
                <w:tcPr>
                  <w:tcW w:w="563" w:type="pct"/>
                  <w:tcBorders>
                    <w:tl2br w:val="nil"/>
                    <w:tr2bl w:val="nil"/>
                  </w:tcBorders>
                  <w:vAlign w:val="center"/>
                </w:tcPr>
                <w:p w14:paraId="4EBBE0AA">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1.54</w:t>
                  </w:r>
                </w:p>
              </w:tc>
              <w:tc>
                <w:tcPr>
                  <w:tcW w:w="563" w:type="pct"/>
                  <w:tcBorders>
                    <w:tl2br w:val="nil"/>
                    <w:tr2bl w:val="nil"/>
                  </w:tcBorders>
                  <w:vAlign w:val="center"/>
                </w:tcPr>
                <w:p w14:paraId="18A6B5B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1.90</w:t>
                  </w:r>
                </w:p>
              </w:tc>
              <w:tc>
                <w:tcPr>
                  <w:tcW w:w="566" w:type="pct"/>
                  <w:tcBorders>
                    <w:tl2br w:val="nil"/>
                    <w:tr2bl w:val="nil"/>
                  </w:tcBorders>
                  <w:vAlign w:val="center"/>
                </w:tcPr>
                <w:p w14:paraId="4E9542A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1.90</w:t>
                  </w:r>
                </w:p>
              </w:tc>
              <w:tc>
                <w:tcPr>
                  <w:tcW w:w="1460" w:type="dxa"/>
                  <w:tcBorders>
                    <w:tl2br w:val="nil"/>
                    <w:tr2bl w:val="nil"/>
                  </w:tcBorders>
                  <w:vAlign w:val="center"/>
                </w:tcPr>
                <w:p w14:paraId="4F2A19F1">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lang w:val="en-US" w:eastAsia="zh-CN"/>
                    </w:rPr>
                    <w:t>20（监控点处任意一次浓度值）</w:t>
                  </w:r>
                </w:p>
              </w:tc>
            </w:tr>
            <w:tr w14:paraId="724D2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vAlign w:val="center"/>
                </w:tcPr>
                <w:p w14:paraId="18BDCBAE">
                  <w:pPr>
                    <w:widowControl/>
                    <w:ind w:firstLine="0" w:firstLineChars="0"/>
                    <w:jc w:val="left"/>
                    <w:rPr>
                      <w:rFonts w:hint="default" w:ascii="Times New Roman" w:hAnsi="Times New Roman" w:eastAsia="仿宋" w:cs="Times New Roman"/>
                      <w:kern w:val="0"/>
                      <w:sz w:val="21"/>
                      <w:szCs w:val="21"/>
                    </w:rPr>
                  </w:pPr>
                </w:p>
              </w:tc>
              <w:tc>
                <w:tcPr>
                  <w:tcW w:w="371" w:type="pct"/>
                  <w:vMerge w:val="continue"/>
                  <w:tcBorders>
                    <w:tl2br w:val="nil"/>
                    <w:tr2bl w:val="nil"/>
                  </w:tcBorders>
                  <w:vAlign w:val="center"/>
                </w:tcPr>
                <w:p w14:paraId="443B8E87">
                  <w:pPr>
                    <w:widowControl/>
                    <w:ind w:firstLine="0" w:firstLineChars="0"/>
                    <w:jc w:val="left"/>
                    <w:rPr>
                      <w:rFonts w:hint="default" w:ascii="Times New Roman" w:hAnsi="Times New Roman" w:eastAsia="仿宋" w:cs="Times New Roman"/>
                      <w:szCs w:val="24"/>
                    </w:rPr>
                  </w:pPr>
                </w:p>
              </w:tc>
              <w:tc>
                <w:tcPr>
                  <w:tcW w:w="807" w:type="pct"/>
                  <w:tcBorders>
                    <w:tl2br w:val="nil"/>
                    <w:tr2bl w:val="nil"/>
                  </w:tcBorders>
                  <w:vAlign w:val="center"/>
                </w:tcPr>
                <w:p w14:paraId="3BD7B35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G6F16车间门窗外1m</w:t>
                  </w:r>
                </w:p>
              </w:tc>
              <w:tc>
                <w:tcPr>
                  <w:tcW w:w="563" w:type="pct"/>
                  <w:tcBorders>
                    <w:tl2br w:val="nil"/>
                    <w:tr2bl w:val="nil"/>
                  </w:tcBorders>
                  <w:vAlign w:val="center"/>
                </w:tcPr>
                <w:p w14:paraId="5D084328">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1.71</w:t>
                  </w:r>
                </w:p>
              </w:tc>
              <w:tc>
                <w:tcPr>
                  <w:tcW w:w="563" w:type="pct"/>
                  <w:tcBorders>
                    <w:tl2br w:val="nil"/>
                    <w:tr2bl w:val="nil"/>
                  </w:tcBorders>
                  <w:vAlign w:val="center"/>
                </w:tcPr>
                <w:p w14:paraId="21054FF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1.73</w:t>
                  </w:r>
                </w:p>
              </w:tc>
              <w:tc>
                <w:tcPr>
                  <w:tcW w:w="563" w:type="pct"/>
                  <w:tcBorders>
                    <w:tl2br w:val="nil"/>
                    <w:tr2bl w:val="nil"/>
                  </w:tcBorders>
                  <w:vAlign w:val="center"/>
                </w:tcPr>
                <w:p w14:paraId="63D988E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1.90</w:t>
                  </w:r>
                </w:p>
              </w:tc>
              <w:tc>
                <w:tcPr>
                  <w:tcW w:w="566" w:type="pct"/>
                  <w:tcBorders>
                    <w:tl2br w:val="nil"/>
                    <w:tr2bl w:val="nil"/>
                  </w:tcBorders>
                  <w:vAlign w:val="center"/>
                </w:tcPr>
                <w:p w14:paraId="2B66CFE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1.90</w:t>
                  </w:r>
                </w:p>
              </w:tc>
              <w:tc>
                <w:tcPr>
                  <w:tcW w:w="1460" w:type="dxa"/>
                  <w:tcBorders>
                    <w:tl2br w:val="nil"/>
                    <w:tr2bl w:val="nil"/>
                  </w:tcBorders>
                  <w:vAlign w:val="center"/>
                </w:tcPr>
                <w:p w14:paraId="2242A8A9">
                  <w:pPr>
                    <w:widowControl/>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lang w:val="en-US" w:eastAsia="zh-CN"/>
                    </w:rPr>
                    <w:t>6（监控点处 1h 平均浓度值）</w:t>
                  </w:r>
                </w:p>
              </w:tc>
            </w:tr>
            <w:tr w14:paraId="62965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restart"/>
                  <w:tcBorders>
                    <w:tl2br w:val="nil"/>
                    <w:tr2bl w:val="nil"/>
                  </w:tcBorders>
                  <w:shd w:val="clear" w:color="auto" w:fill="auto"/>
                  <w:vAlign w:val="center"/>
                </w:tcPr>
                <w:p w14:paraId="4188CEE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2024.</w:t>
                  </w:r>
                  <w:r>
                    <w:rPr>
                      <w:rFonts w:hint="default" w:ascii="Times New Roman" w:hAnsi="Times New Roman" w:eastAsia="仿宋" w:cs="Times New Roman"/>
                      <w:kern w:val="0"/>
                      <w:sz w:val="21"/>
                      <w:szCs w:val="21"/>
                      <w:lang w:val="en-US" w:eastAsia="zh-CN"/>
                    </w:rPr>
                    <w:t>06</w:t>
                  </w:r>
                  <w:r>
                    <w:rPr>
                      <w:rFonts w:hint="default" w:ascii="Times New Roman" w:hAnsi="Times New Roman" w:eastAsia="仿宋" w:cs="Times New Roman"/>
                      <w:kern w:val="0"/>
                      <w:sz w:val="21"/>
                      <w:szCs w:val="21"/>
                    </w:rPr>
                    <w:t>.</w:t>
                  </w:r>
                  <w:r>
                    <w:rPr>
                      <w:rFonts w:hint="default" w:ascii="Times New Roman" w:hAnsi="Times New Roman" w:eastAsia="仿宋" w:cs="Times New Roman"/>
                      <w:kern w:val="0"/>
                      <w:sz w:val="21"/>
                      <w:szCs w:val="21"/>
                      <w:lang w:val="en-US" w:eastAsia="zh-CN"/>
                    </w:rPr>
                    <w:t>2</w:t>
                  </w:r>
                  <w:r>
                    <w:rPr>
                      <w:rFonts w:hint="default" w:ascii="Times New Roman" w:hAnsi="Times New Roman" w:eastAsia="仿宋" w:cs="Times New Roman"/>
                      <w:kern w:val="0"/>
                      <w:sz w:val="21"/>
                      <w:szCs w:val="21"/>
                    </w:rPr>
                    <w:t>4</w:t>
                  </w:r>
                </w:p>
              </w:tc>
              <w:tc>
                <w:tcPr>
                  <w:tcW w:w="371" w:type="pct"/>
                  <w:vMerge w:val="restart"/>
                  <w:tcBorders>
                    <w:tl2br w:val="nil"/>
                    <w:tr2bl w:val="nil"/>
                  </w:tcBorders>
                  <w:shd w:val="clear" w:color="auto" w:fill="auto"/>
                  <w:vAlign w:val="center"/>
                </w:tcPr>
                <w:p w14:paraId="69A9A448">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非甲烷总烃</w:t>
                  </w:r>
                </w:p>
              </w:tc>
              <w:tc>
                <w:tcPr>
                  <w:tcW w:w="807" w:type="pct"/>
                  <w:tcBorders>
                    <w:tl2br w:val="nil"/>
                    <w:tr2bl w:val="nil"/>
                  </w:tcBorders>
                  <w:shd w:val="clear" w:color="auto" w:fill="auto"/>
                  <w:vAlign w:val="center"/>
                </w:tcPr>
                <w:p w14:paraId="6D691D66">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G1上风向</w:t>
                  </w:r>
                </w:p>
              </w:tc>
              <w:tc>
                <w:tcPr>
                  <w:tcW w:w="563" w:type="pct"/>
                  <w:tcBorders>
                    <w:tl2br w:val="nil"/>
                    <w:tr2bl w:val="nil"/>
                  </w:tcBorders>
                  <w:shd w:val="clear" w:color="auto" w:fill="auto"/>
                  <w:vAlign w:val="center"/>
                </w:tcPr>
                <w:p w14:paraId="20D22EED">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0.62</w:t>
                  </w:r>
                </w:p>
              </w:tc>
              <w:tc>
                <w:tcPr>
                  <w:tcW w:w="563" w:type="pct"/>
                  <w:tcBorders>
                    <w:tl2br w:val="nil"/>
                    <w:tr2bl w:val="nil"/>
                  </w:tcBorders>
                  <w:shd w:val="clear" w:color="auto" w:fill="auto"/>
                  <w:vAlign w:val="center"/>
                </w:tcPr>
                <w:p w14:paraId="0EA215A6">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0.63</w:t>
                  </w:r>
                </w:p>
              </w:tc>
              <w:tc>
                <w:tcPr>
                  <w:tcW w:w="563" w:type="pct"/>
                  <w:tcBorders>
                    <w:tl2br w:val="nil"/>
                    <w:tr2bl w:val="nil"/>
                  </w:tcBorders>
                  <w:shd w:val="clear" w:color="auto" w:fill="auto"/>
                  <w:vAlign w:val="center"/>
                </w:tcPr>
                <w:p w14:paraId="5A3D1078">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0.65</w:t>
                  </w:r>
                </w:p>
              </w:tc>
              <w:tc>
                <w:tcPr>
                  <w:tcW w:w="566" w:type="pct"/>
                  <w:tcBorders>
                    <w:tl2br w:val="nil"/>
                    <w:tr2bl w:val="nil"/>
                  </w:tcBorders>
                  <w:shd w:val="clear" w:color="auto" w:fill="auto"/>
                  <w:vAlign w:val="center"/>
                </w:tcPr>
                <w:p w14:paraId="5BCA252D">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0.</w:t>
                  </w:r>
                  <w:r>
                    <w:rPr>
                      <w:rFonts w:hint="default" w:ascii="Times New Roman" w:hAnsi="Times New Roman" w:eastAsia="仿宋" w:cs="Times New Roman"/>
                      <w:kern w:val="0"/>
                      <w:sz w:val="21"/>
                      <w:szCs w:val="21"/>
                      <w:lang w:val="en-US" w:eastAsia="zh-CN"/>
                    </w:rPr>
                    <w:t>65</w:t>
                  </w:r>
                </w:p>
              </w:tc>
              <w:tc>
                <w:tcPr>
                  <w:tcW w:w="871" w:type="pct"/>
                  <w:tcBorders>
                    <w:tl2br w:val="nil"/>
                    <w:tr2bl w:val="nil"/>
                  </w:tcBorders>
                  <w:shd w:val="clear" w:color="auto" w:fill="auto"/>
                  <w:vAlign w:val="center"/>
                </w:tcPr>
                <w:p w14:paraId="2A808ACB">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w:t>
                  </w:r>
                </w:p>
              </w:tc>
            </w:tr>
            <w:tr w14:paraId="336EE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tcPr>
                <w:p w14:paraId="6E4B3113">
                  <w:pPr>
                    <w:widowControl/>
                    <w:ind w:firstLine="0" w:firstLineChars="0"/>
                    <w:jc w:val="center"/>
                    <w:rPr>
                      <w:rFonts w:hint="default" w:ascii="Times New Roman" w:hAnsi="Times New Roman" w:eastAsia="仿宋" w:cs="Times New Roman"/>
                      <w:kern w:val="0"/>
                      <w:sz w:val="21"/>
                      <w:szCs w:val="21"/>
                    </w:rPr>
                  </w:pPr>
                </w:p>
              </w:tc>
              <w:tc>
                <w:tcPr>
                  <w:tcW w:w="371" w:type="pct"/>
                  <w:vMerge w:val="continue"/>
                  <w:tcBorders>
                    <w:tl2br w:val="nil"/>
                    <w:tr2bl w:val="nil"/>
                  </w:tcBorders>
                </w:tcPr>
                <w:p w14:paraId="74C44FC4">
                  <w:pPr>
                    <w:widowControl/>
                    <w:ind w:firstLine="0" w:firstLineChars="0"/>
                    <w:jc w:val="center"/>
                    <w:rPr>
                      <w:rFonts w:hint="default" w:ascii="Times New Roman" w:hAnsi="Times New Roman" w:eastAsia="仿宋" w:cs="Times New Roman"/>
                      <w:kern w:val="0"/>
                      <w:sz w:val="21"/>
                      <w:szCs w:val="21"/>
                    </w:rPr>
                  </w:pPr>
                </w:p>
              </w:tc>
              <w:tc>
                <w:tcPr>
                  <w:tcW w:w="0" w:type="auto"/>
                  <w:tcBorders>
                    <w:tl2br w:val="nil"/>
                    <w:tr2bl w:val="nil"/>
                  </w:tcBorders>
                  <w:shd w:val="clear" w:color="auto" w:fill="auto"/>
                  <w:vAlign w:val="center"/>
                </w:tcPr>
                <w:p w14:paraId="57967110">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G2下风向</w:t>
                  </w:r>
                </w:p>
              </w:tc>
              <w:tc>
                <w:tcPr>
                  <w:tcW w:w="0" w:type="auto"/>
                  <w:tcBorders>
                    <w:tl2br w:val="nil"/>
                    <w:tr2bl w:val="nil"/>
                  </w:tcBorders>
                  <w:shd w:val="clear" w:color="auto" w:fill="auto"/>
                  <w:vAlign w:val="center"/>
                </w:tcPr>
                <w:p w14:paraId="6499F6A7">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1.04</w:t>
                  </w:r>
                </w:p>
              </w:tc>
              <w:tc>
                <w:tcPr>
                  <w:tcW w:w="0" w:type="auto"/>
                  <w:tcBorders>
                    <w:tl2br w:val="nil"/>
                    <w:tr2bl w:val="nil"/>
                  </w:tcBorders>
                  <w:shd w:val="clear" w:color="auto" w:fill="auto"/>
                  <w:vAlign w:val="center"/>
                </w:tcPr>
                <w:p w14:paraId="23CDB7EC">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1.04</w:t>
                  </w:r>
                </w:p>
              </w:tc>
              <w:tc>
                <w:tcPr>
                  <w:tcW w:w="0" w:type="auto"/>
                  <w:tcBorders>
                    <w:tl2br w:val="nil"/>
                    <w:tr2bl w:val="nil"/>
                  </w:tcBorders>
                  <w:shd w:val="clear" w:color="auto" w:fill="auto"/>
                  <w:vAlign w:val="center"/>
                </w:tcPr>
                <w:p w14:paraId="5E80F484">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1.00</w:t>
                  </w:r>
                </w:p>
              </w:tc>
              <w:tc>
                <w:tcPr>
                  <w:tcW w:w="0" w:type="auto"/>
                  <w:tcBorders>
                    <w:tl2br w:val="nil"/>
                    <w:tr2bl w:val="nil"/>
                  </w:tcBorders>
                  <w:shd w:val="clear" w:color="auto" w:fill="auto"/>
                  <w:vAlign w:val="center"/>
                </w:tcPr>
                <w:p w14:paraId="0B9AC797">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1.04</w:t>
                  </w:r>
                </w:p>
              </w:tc>
              <w:tc>
                <w:tcPr>
                  <w:tcW w:w="871" w:type="pct"/>
                  <w:vMerge w:val="restart"/>
                  <w:tcBorders>
                    <w:tl2br w:val="nil"/>
                    <w:tr2bl w:val="nil"/>
                  </w:tcBorders>
                  <w:shd w:val="clear" w:color="auto" w:fill="auto"/>
                  <w:vAlign w:val="center"/>
                </w:tcPr>
                <w:p w14:paraId="3C393A2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lang w:val="en-US" w:eastAsia="zh-CN"/>
                    </w:rPr>
                    <w:t>4</w:t>
                  </w:r>
                </w:p>
              </w:tc>
            </w:tr>
            <w:tr w14:paraId="57FDF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tcPr>
                <w:p w14:paraId="113FEF32">
                  <w:pPr>
                    <w:widowControl/>
                    <w:ind w:firstLine="0" w:firstLineChars="0"/>
                    <w:jc w:val="center"/>
                    <w:rPr>
                      <w:rFonts w:hint="default" w:ascii="Times New Roman" w:hAnsi="Times New Roman" w:eastAsia="仿宋" w:cs="Times New Roman"/>
                      <w:kern w:val="0"/>
                      <w:sz w:val="21"/>
                      <w:szCs w:val="21"/>
                    </w:rPr>
                  </w:pPr>
                </w:p>
              </w:tc>
              <w:tc>
                <w:tcPr>
                  <w:tcW w:w="371" w:type="pct"/>
                  <w:vMerge w:val="continue"/>
                  <w:tcBorders>
                    <w:tl2br w:val="nil"/>
                    <w:tr2bl w:val="nil"/>
                  </w:tcBorders>
                </w:tcPr>
                <w:p w14:paraId="1456A78F">
                  <w:pPr>
                    <w:widowControl/>
                    <w:ind w:firstLine="0" w:firstLineChars="0"/>
                    <w:jc w:val="center"/>
                    <w:rPr>
                      <w:rFonts w:hint="default" w:ascii="Times New Roman" w:hAnsi="Times New Roman" w:eastAsia="仿宋" w:cs="Times New Roman"/>
                      <w:kern w:val="0"/>
                      <w:sz w:val="21"/>
                      <w:szCs w:val="21"/>
                    </w:rPr>
                  </w:pPr>
                </w:p>
              </w:tc>
              <w:tc>
                <w:tcPr>
                  <w:tcW w:w="0" w:type="auto"/>
                  <w:tcBorders>
                    <w:tl2br w:val="nil"/>
                    <w:tr2bl w:val="nil"/>
                  </w:tcBorders>
                  <w:shd w:val="clear" w:color="auto" w:fill="auto"/>
                  <w:vAlign w:val="center"/>
                </w:tcPr>
                <w:p w14:paraId="59360E2D">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G3下风向</w:t>
                  </w:r>
                </w:p>
              </w:tc>
              <w:tc>
                <w:tcPr>
                  <w:tcW w:w="0" w:type="auto"/>
                  <w:tcBorders>
                    <w:tl2br w:val="nil"/>
                    <w:tr2bl w:val="nil"/>
                  </w:tcBorders>
                  <w:shd w:val="clear" w:color="auto" w:fill="auto"/>
                  <w:vAlign w:val="center"/>
                </w:tcPr>
                <w:p w14:paraId="2F84DCF4">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1.03</w:t>
                  </w:r>
                </w:p>
              </w:tc>
              <w:tc>
                <w:tcPr>
                  <w:tcW w:w="0" w:type="auto"/>
                  <w:tcBorders>
                    <w:tl2br w:val="nil"/>
                    <w:tr2bl w:val="nil"/>
                  </w:tcBorders>
                  <w:shd w:val="clear" w:color="auto" w:fill="auto"/>
                  <w:vAlign w:val="center"/>
                </w:tcPr>
                <w:p w14:paraId="75D463E2">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0.99</w:t>
                  </w:r>
                </w:p>
              </w:tc>
              <w:tc>
                <w:tcPr>
                  <w:tcW w:w="0" w:type="auto"/>
                  <w:tcBorders>
                    <w:tl2br w:val="nil"/>
                    <w:tr2bl w:val="nil"/>
                  </w:tcBorders>
                  <w:shd w:val="clear" w:color="auto" w:fill="auto"/>
                  <w:vAlign w:val="center"/>
                </w:tcPr>
                <w:p w14:paraId="2EA76B66">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0.95</w:t>
                  </w:r>
                </w:p>
              </w:tc>
              <w:tc>
                <w:tcPr>
                  <w:tcW w:w="0" w:type="auto"/>
                  <w:tcBorders>
                    <w:tl2br w:val="nil"/>
                    <w:tr2bl w:val="nil"/>
                  </w:tcBorders>
                  <w:shd w:val="clear" w:color="auto" w:fill="auto"/>
                  <w:vAlign w:val="center"/>
                </w:tcPr>
                <w:p w14:paraId="1513CD77">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1.03</w:t>
                  </w:r>
                </w:p>
              </w:tc>
              <w:tc>
                <w:tcPr>
                  <w:tcW w:w="871" w:type="pct"/>
                  <w:vMerge w:val="continue"/>
                  <w:tcBorders>
                    <w:tl2br w:val="nil"/>
                    <w:tr2bl w:val="nil"/>
                  </w:tcBorders>
                </w:tcPr>
                <w:p w14:paraId="1F2D2DE0">
                  <w:pPr>
                    <w:widowControl/>
                    <w:ind w:firstLine="0" w:firstLineChars="0"/>
                    <w:jc w:val="center"/>
                    <w:rPr>
                      <w:rFonts w:hint="default" w:ascii="Times New Roman" w:hAnsi="Times New Roman" w:eastAsia="仿宋" w:cs="Times New Roman"/>
                      <w:kern w:val="0"/>
                      <w:sz w:val="21"/>
                      <w:szCs w:val="21"/>
                    </w:rPr>
                  </w:pPr>
                </w:p>
              </w:tc>
            </w:tr>
            <w:tr w14:paraId="238E0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tcPr>
                <w:p w14:paraId="76C855F9">
                  <w:pPr>
                    <w:widowControl/>
                    <w:ind w:firstLine="0" w:firstLineChars="0"/>
                    <w:jc w:val="center"/>
                    <w:rPr>
                      <w:rFonts w:hint="default" w:ascii="Times New Roman" w:hAnsi="Times New Roman" w:eastAsia="仿宋" w:cs="Times New Roman"/>
                      <w:kern w:val="0"/>
                      <w:sz w:val="21"/>
                      <w:szCs w:val="21"/>
                    </w:rPr>
                  </w:pPr>
                </w:p>
              </w:tc>
              <w:tc>
                <w:tcPr>
                  <w:tcW w:w="371" w:type="pct"/>
                  <w:vMerge w:val="continue"/>
                  <w:tcBorders>
                    <w:tl2br w:val="nil"/>
                    <w:tr2bl w:val="nil"/>
                  </w:tcBorders>
                </w:tcPr>
                <w:p w14:paraId="568E0ADE">
                  <w:pPr>
                    <w:widowControl/>
                    <w:ind w:firstLine="0" w:firstLineChars="0"/>
                    <w:jc w:val="center"/>
                    <w:rPr>
                      <w:rFonts w:hint="default" w:ascii="Times New Roman" w:hAnsi="Times New Roman" w:eastAsia="仿宋" w:cs="Times New Roman"/>
                      <w:kern w:val="0"/>
                      <w:sz w:val="21"/>
                      <w:szCs w:val="21"/>
                    </w:rPr>
                  </w:pPr>
                </w:p>
              </w:tc>
              <w:tc>
                <w:tcPr>
                  <w:tcW w:w="0" w:type="auto"/>
                  <w:tcBorders>
                    <w:tl2br w:val="nil"/>
                    <w:tr2bl w:val="nil"/>
                  </w:tcBorders>
                  <w:shd w:val="clear" w:color="auto" w:fill="auto"/>
                  <w:vAlign w:val="center"/>
                </w:tcPr>
                <w:p w14:paraId="6F603A43">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G4下风向</w:t>
                  </w:r>
                </w:p>
              </w:tc>
              <w:tc>
                <w:tcPr>
                  <w:tcW w:w="0" w:type="auto"/>
                  <w:tcBorders>
                    <w:tl2br w:val="nil"/>
                    <w:tr2bl w:val="nil"/>
                  </w:tcBorders>
                  <w:shd w:val="clear" w:color="auto" w:fill="auto"/>
                  <w:vAlign w:val="center"/>
                </w:tcPr>
                <w:p w14:paraId="17ED7F22">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1.00</w:t>
                  </w:r>
                </w:p>
              </w:tc>
              <w:tc>
                <w:tcPr>
                  <w:tcW w:w="0" w:type="auto"/>
                  <w:tcBorders>
                    <w:tl2br w:val="nil"/>
                    <w:tr2bl w:val="nil"/>
                  </w:tcBorders>
                  <w:shd w:val="clear" w:color="auto" w:fill="auto"/>
                  <w:vAlign w:val="center"/>
                </w:tcPr>
                <w:p w14:paraId="6257223A">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1.03</w:t>
                  </w:r>
                </w:p>
              </w:tc>
              <w:tc>
                <w:tcPr>
                  <w:tcW w:w="0" w:type="auto"/>
                  <w:tcBorders>
                    <w:tl2br w:val="nil"/>
                    <w:tr2bl w:val="nil"/>
                  </w:tcBorders>
                  <w:shd w:val="clear" w:color="auto" w:fill="auto"/>
                  <w:vAlign w:val="center"/>
                </w:tcPr>
                <w:p w14:paraId="3B0FD4CC">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0.92</w:t>
                  </w:r>
                </w:p>
              </w:tc>
              <w:tc>
                <w:tcPr>
                  <w:tcW w:w="0" w:type="auto"/>
                  <w:tcBorders>
                    <w:tl2br w:val="nil"/>
                    <w:tr2bl w:val="nil"/>
                  </w:tcBorders>
                  <w:shd w:val="clear" w:color="auto" w:fill="auto"/>
                  <w:vAlign w:val="center"/>
                </w:tcPr>
                <w:p w14:paraId="3F093D5B">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1.03</w:t>
                  </w:r>
                </w:p>
              </w:tc>
              <w:tc>
                <w:tcPr>
                  <w:tcW w:w="871" w:type="pct"/>
                  <w:vMerge w:val="continue"/>
                  <w:tcBorders>
                    <w:tl2br w:val="nil"/>
                    <w:tr2bl w:val="nil"/>
                  </w:tcBorders>
                </w:tcPr>
                <w:p w14:paraId="325FF7B0">
                  <w:pPr>
                    <w:widowControl/>
                    <w:ind w:firstLine="0" w:firstLineChars="0"/>
                    <w:jc w:val="center"/>
                    <w:rPr>
                      <w:rFonts w:hint="default" w:ascii="Times New Roman" w:hAnsi="Times New Roman" w:eastAsia="仿宋" w:cs="Times New Roman"/>
                      <w:kern w:val="0"/>
                      <w:sz w:val="21"/>
                      <w:szCs w:val="21"/>
                    </w:rPr>
                  </w:pPr>
                </w:p>
              </w:tc>
            </w:tr>
            <w:tr w14:paraId="7C2E5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92" w:type="pct"/>
                  <w:vMerge w:val="continue"/>
                  <w:tcBorders>
                    <w:tl2br w:val="nil"/>
                    <w:tr2bl w:val="nil"/>
                  </w:tcBorders>
                </w:tcPr>
                <w:p w14:paraId="357D665E">
                  <w:pPr>
                    <w:widowControl/>
                    <w:ind w:firstLine="0" w:firstLineChars="0"/>
                    <w:jc w:val="center"/>
                    <w:rPr>
                      <w:rFonts w:hint="default" w:ascii="Times New Roman" w:hAnsi="Times New Roman" w:eastAsia="仿宋" w:cs="Times New Roman"/>
                      <w:kern w:val="0"/>
                      <w:sz w:val="21"/>
                      <w:szCs w:val="21"/>
                    </w:rPr>
                  </w:pPr>
                </w:p>
              </w:tc>
              <w:tc>
                <w:tcPr>
                  <w:tcW w:w="371" w:type="pct"/>
                  <w:vMerge w:val="continue"/>
                  <w:tcBorders>
                    <w:tl2br w:val="nil"/>
                    <w:tr2bl w:val="nil"/>
                  </w:tcBorders>
                </w:tcPr>
                <w:p w14:paraId="70EF98FC">
                  <w:pPr>
                    <w:widowControl/>
                    <w:ind w:firstLine="0" w:firstLineChars="0"/>
                    <w:jc w:val="center"/>
                    <w:rPr>
                      <w:rFonts w:hint="default" w:ascii="Times New Roman" w:hAnsi="Times New Roman" w:eastAsia="仿宋" w:cs="Times New Roman"/>
                      <w:kern w:val="0"/>
                      <w:sz w:val="21"/>
                      <w:szCs w:val="21"/>
                    </w:rPr>
                  </w:pPr>
                </w:p>
              </w:tc>
              <w:tc>
                <w:tcPr>
                  <w:tcW w:w="0" w:type="auto"/>
                  <w:vMerge w:val="restart"/>
                  <w:tcBorders>
                    <w:tl2br w:val="nil"/>
                    <w:tr2bl w:val="nil"/>
                  </w:tcBorders>
                  <w:shd w:val="clear" w:color="auto" w:fill="auto"/>
                  <w:vAlign w:val="center"/>
                </w:tcPr>
                <w:p w14:paraId="3A972E59">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G5D7车间门外1m</w:t>
                  </w:r>
                </w:p>
              </w:tc>
              <w:tc>
                <w:tcPr>
                  <w:tcW w:w="0" w:type="auto"/>
                  <w:vMerge w:val="restart"/>
                  <w:tcBorders>
                    <w:tl2br w:val="nil"/>
                    <w:tr2bl w:val="nil"/>
                  </w:tcBorders>
                  <w:shd w:val="clear" w:color="auto" w:fill="auto"/>
                  <w:vAlign w:val="center"/>
                </w:tcPr>
                <w:p w14:paraId="12D93AD5">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1.43</w:t>
                  </w:r>
                </w:p>
              </w:tc>
              <w:tc>
                <w:tcPr>
                  <w:tcW w:w="0" w:type="auto"/>
                  <w:vMerge w:val="restart"/>
                  <w:tcBorders>
                    <w:tl2br w:val="nil"/>
                    <w:tr2bl w:val="nil"/>
                  </w:tcBorders>
                  <w:shd w:val="clear" w:color="auto" w:fill="auto"/>
                  <w:vAlign w:val="center"/>
                </w:tcPr>
                <w:p w14:paraId="3A68A020">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w:t>
                  </w:r>
                </w:p>
              </w:tc>
              <w:tc>
                <w:tcPr>
                  <w:tcW w:w="0" w:type="auto"/>
                  <w:vMerge w:val="restart"/>
                  <w:tcBorders>
                    <w:tl2br w:val="nil"/>
                    <w:tr2bl w:val="nil"/>
                  </w:tcBorders>
                  <w:shd w:val="clear" w:color="auto" w:fill="auto"/>
                  <w:vAlign w:val="center"/>
                </w:tcPr>
                <w:p w14:paraId="39465659">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w:t>
                  </w:r>
                </w:p>
              </w:tc>
              <w:tc>
                <w:tcPr>
                  <w:tcW w:w="0" w:type="auto"/>
                  <w:vMerge w:val="restart"/>
                  <w:tcBorders>
                    <w:tl2br w:val="nil"/>
                    <w:tr2bl w:val="nil"/>
                  </w:tcBorders>
                  <w:shd w:val="clear" w:color="auto" w:fill="auto"/>
                  <w:vAlign w:val="center"/>
                </w:tcPr>
                <w:p w14:paraId="70E13FD4">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w:t>
                  </w:r>
                </w:p>
              </w:tc>
              <w:tc>
                <w:tcPr>
                  <w:tcW w:w="871" w:type="pct"/>
                  <w:tcBorders>
                    <w:tl2br w:val="nil"/>
                    <w:tr2bl w:val="nil"/>
                  </w:tcBorders>
                  <w:shd w:val="clear" w:color="auto" w:fill="auto"/>
                  <w:vAlign w:val="center"/>
                </w:tcPr>
                <w:p w14:paraId="314332CB">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20（监控点处任意一次浓度值）</w:t>
                  </w:r>
                </w:p>
              </w:tc>
            </w:tr>
            <w:tr w14:paraId="390AD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92" w:type="pct"/>
                  <w:vMerge w:val="continue"/>
                  <w:tcBorders>
                    <w:tl2br w:val="nil"/>
                    <w:tr2bl w:val="nil"/>
                  </w:tcBorders>
                </w:tcPr>
                <w:p w14:paraId="606D25B1">
                  <w:pPr>
                    <w:widowControl/>
                    <w:ind w:firstLine="0" w:firstLineChars="0"/>
                    <w:jc w:val="center"/>
                    <w:rPr>
                      <w:rFonts w:hint="default" w:ascii="Times New Roman" w:hAnsi="Times New Roman" w:eastAsia="仿宋" w:cs="Times New Roman"/>
                      <w:kern w:val="0"/>
                      <w:sz w:val="21"/>
                      <w:szCs w:val="21"/>
                    </w:rPr>
                  </w:pPr>
                </w:p>
              </w:tc>
              <w:tc>
                <w:tcPr>
                  <w:tcW w:w="371" w:type="pct"/>
                  <w:vMerge w:val="continue"/>
                  <w:tcBorders>
                    <w:tl2br w:val="nil"/>
                    <w:tr2bl w:val="nil"/>
                  </w:tcBorders>
                </w:tcPr>
                <w:p w14:paraId="33D0F7A6">
                  <w:pPr>
                    <w:widowControl/>
                    <w:ind w:firstLine="0" w:firstLineChars="0"/>
                    <w:jc w:val="center"/>
                    <w:rPr>
                      <w:rFonts w:hint="default" w:ascii="Times New Roman" w:hAnsi="Times New Roman" w:eastAsia="仿宋" w:cs="Times New Roman"/>
                      <w:kern w:val="0"/>
                      <w:sz w:val="21"/>
                      <w:szCs w:val="21"/>
                    </w:rPr>
                  </w:pPr>
                </w:p>
              </w:tc>
              <w:tc>
                <w:tcPr>
                  <w:tcW w:w="0" w:type="auto"/>
                  <w:vMerge w:val="continue"/>
                  <w:tcBorders>
                    <w:tl2br w:val="nil"/>
                    <w:tr2bl w:val="nil"/>
                  </w:tcBorders>
                  <w:shd w:val="clear" w:color="auto" w:fill="auto"/>
                  <w:vAlign w:val="center"/>
                </w:tcPr>
                <w:p w14:paraId="3D36A2D9">
                  <w:pPr>
                    <w:widowControl/>
                    <w:ind w:firstLine="0" w:firstLineChars="0"/>
                    <w:jc w:val="center"/>
                    <w:rPr>
                      <w:rFonts w:hint="default" w:ascii="Times New Roman" w:hAnsi="Times New Roman" w:eastAsia="仿宋" w:cs="Times New Roman"/>
                      <w:kern w:val="0"/>
                      <w:sz w:val="21"/>
                      <w:szCs w:val="21"/>
                    </w:rPr>
                  </w:pPr>
                </w:p>
              </w:tc>
              <w:tc>
                <w:tcPr>
                  <w:tcW w:w="0" w:type="auto"/>
                  <w:vMerge w:val="continue"/>
                  <w:tcBorders>
                    <w:tl2br w:val="nil"/>
                    <w:tr2bl w:val="nil"/>
                  </w:tcBorders>
                  <w:shd w:val="clear" w:color="auto" w:fill="auto"/>
                  <w:vAlign w:val="center"/>
                </w:tcPr>
                <w:p w14:paraId="565E2885">
                  <w:pPr>
                    <w:widowControl/>
                    <w:ind w:firstLine="0" w:firstLineChars="0"/>
                    <w:jc w:val="center"/>
                    <w:rPr>
                      <w:rFonts w:hint="default" w:ascii="Times New Roman" w:hAnsi="Times New Roman" w:eastAsia="仿宋" w:cs="Times New Roman"/>
                      <w:kern w:val="0"/>
                      <w:sz w:val="21"/>
                      <w:szCs w:val="21"/>
                    </w:rPr>
                  </w:pPr>
                </w:p>
              </w:tc>
              <w:tc>
                <w:tcPr>
                  <w:tcW w:w="0" w:type="auto"/>
                  <w:vMerge w:val="continue"/>
                  <w:tcBorders>
                    <w:tl2br w:val="nil"/>
                    <w:tr2bl w:val="nil"/>
                  </w:tcBorders>
                  <w:shd w:val="clear" w:color="auto" w:fill="auto"/>
                  <w:vAlign w:val="center"/>
                </w:tcPr>
                <w:p w14:paraId="633D0E52">
                  <w:pPr>
                    <w:widowControl/>
                    <w:ind w:firstLine="0" w:firstLineChars="0"/>
                    <w:jc w:val="center"/>
                    <w:rPr>
                      <w:rFonts w:hint="default" w:ascii="Times New Roman" w:hAnsi="Times New Roman" w:eastAsia="仿宋" w:cs="Times New Roman"/>
                      <w:kern w:val="0"/>
                      <w:sz w:val="21"/>
                      <w:szCs w:val="21"/>
                    </w:rPr>
                  </w:pPr>
                </w:p>
              </w:tc>
              <w:tc>
                <w:tcPr>
                  <w:tcW w:w="0" w:type="auto"/>
                  <w:vMerge w:val="continue"/>
                  <w:tcBorders>
                    <w:tl2br w:val="nil"/>
                    <w:tr2bl w:val="nil"/>
                  </w:tcBorders>
                  <w:shd w:val="clear" w:color="auto" w:fill="auto"/>
                  <w:vAlign w:val="center"/>
                </w:tcPr>
                <w:p w14:paraId="41E2E501">
                  <w:pPr>
                    <w:widowControl/>
                    <w:ind w:firstLine="0" w:firstLineChars="0"/>
                    <w:jc w:val="center"/>
                    <w:rPr>
                      <w:rFonts w:hint="default" w:ascii="Times New Roman" w:hAnsi="Times New Roman" w:eastAsia="仿宋" w:cs="Times New Roman"/>
                      <w:kern w:val="0"/>
                      <w:sz w:val="21"/>
                      <w:szCs w:val="21"/>
                    </w:rPr>
                  </w:pPr>
                </w:p>
              </w:tc>
              <w:tc>
                <w:tcPr>
                  <w:tcW w:w="0" w:type="auto"/>
                  <w:vMerge w:val="continue"/>
                  <w:tcBorders>
                    <w:tl2br w:val="nil"/>
                    <w:tr2bl w:val="nil"/>
                  </w:tcBorders>
                  <w:shd w:val="clear" w:color="auto" w:fill="auto"/>
                  <w:vAlign w:val="center"/>
                </w:tcPr>
                <w:p w14:paraId="0F118CFC">
                  <w:pPr>
                    <w:widowControl/>
                    <w:ind w:firstLine="0" w:firstLineChars="0"/>
                    <w:jc w:val="center"/>
                    <w:rPr>
                      <w:rFonts w:hint="default" w:ascii="Times New Roman" w:hAnsi="Times New Roman" w:eastAsia="仿宋" w:cs="Times New Roman"/>
                      <w:kern w:val="0"/>
                      <w:sz w:val="21"/>
                      <w:szCs w:val="21"/>
                    </w:rPr>
                  </w:pPr>
                </w:p>
              </w:tc>
              <w:tc>
                <w:tcPr>
                  <w:tcW w:w="0" w:type="auto"/>
                  <w:tcBorders>
                    <w:tl2br w:val="nil"/>
                    <w:tr2bl w:val="nil"/>
                  </w:tcBorders>
                  <w:shd w:val="clear" w:color="auto" w:fill="auto"/>
                  <w:vAlign w:val="center"/>
                </w:tcPr>
                <w:p w14:paraId="68819A06">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6（监控点处 1h 平均浓度值）</w:t>
                  </w:r>
                </w:p>
              </w:tc>
            </w:tr>
            <w:tr w14:paraId="5AEDC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restart"/>
                  <w:tcBorders>
                    <w:tl2br w:val="nil"/>
                    <w:tr2bl w:val="nil"/>
                  </w:tcBorders>
                  <w:shd w:val="clear" w:color="auto" w:fill="auto"/>
                  <w:vAlign w:val="center"/>
                </w:tcPr>
                <w:p w14:paraId="4E315EB2">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2024.</w:t>
                  </w:r>
                  <w:r>
                    <w:rPr>
                      <w:rFonts w:hint="default" w:ascii="Times New Roman" w:hAnsi="Times New Roman" w:eastAsia="仿宋" w:cs="Times New Roman"/>
                      <w:kern w:val="0"/>
                      <w:sz w:val="21"/>
                      <w:szCs w:val="21"/>
                      <w:lang w:val="en-US" w:eastAsia="zh-CN"/>
                    </w:rPr>
                    <w:t>06</w:t>
                  </w:r>
                  <w:r>
                    <w:rPr>
                      <w:rFonts w:hint="default" w:ascii="Times New Roman" w:hAnsi="Times New Roman" w:eastAsia="仿宋" w:cs="Times New Roman"/>
                      <w:kern w:val="0"/>
                      <w:sz w:val="21"/>
                      <w:szCs w:val="21"/>
                    </w:rPr>
                    <w:t>.</w:t>
                  </w:r>
                  <w:r>
                    <w:rPr>
                      <w:rFonts w:hint="default" w:ascii="Times New Roman" w:hAnsi="Times New Roman" w:eastAsia="仿宋" w:cs="Times New Roman"/>
                      <w:kern w:val="0"/>
                      <w:sz w:val="21"/>
                      <w:szCs w:val="21"/>
                      <w:lang w:val="en-US" w:eastAsia="zh-CN"/>
                    </w:rPr>
                    <w:t>2</w:t>
                  </w:r>
                  <w:r>
                    <w:rPr>
                      <w:rFonts w:hint="default" w:ascii="Times New Roman" w:hAnsi="Times New Roman" w:eastAsia="仿宋" w:cs="Times New Roman"/>
                      <w:kern w:val="0"/>
                      <w:sz w:val="21"/>
                      <w:szCs w:val="21"/>
                    </w:rPr>
                    <w:t>5</w:t>
                  </w:r>
                </w:p>
              </w:tc>
              <w:tc>
                <w:tcPr>
                  <w:tcW w:w="371" w:type="pct"/>
                  <w:vMerge w:val="continue"/>
                  <w:tcBorders>
                    <w:tl2br w:val="nil"/>
                    <w:tr2bl w:val="nil"/>
                  </w:tcBorders>
                  <w:shd w:val="clear" w:color="auto" w:fill="auto"/>
                  <w:vAlign w:val="center"/>
                </w:tcPr>
                <w:p w14:paraId="73F91CA1">
                  <w:pPr>
                    <w:widowControl/>
                    <w:ind w:firstLine="0" w:firstLineChars="0"/>
                    <w:jc w:val="center"/>
                    <w:rPr>
                      <w:rFonts w:hint="default" w:ascii="Times New Roman" w:hAnsi="Times New Roman" w:eastAsia="仿宋" w:cs="Times New Roman"/>
                      <w:kern w:val="0"/>
                      <w:sz w:val="21"/>
                      <w:szCs w:val="21"/>
                      <w:lang w:val="en-US" w:eastAsia="zh-CN"/>
                    </w:rPr>
                  </w:pPr>
                </w:p>
              </w:tc>
              <w:tc>
                <w:tcPr>
                  <w:tcW w:w="0" w:type="auto"/>
                  <w:tcBorders>
                    <w:tl2br w:val="nil"/>
                    <w:tr2bl w:val="nil"/>
                  </w:tcBorders>
                  <w:shd w:val="clear" w:color="auto" w:fill="auto"/>
                  <w:vAlign w:val="center"/>
                </w:tcPr>
                <w:p w14:paraId="646F6353">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G1上风向</w:t>
                  </w:r>
                </w:p>
              </w:tc>
              <w:tc>
                <w:tcPr>
                  <w:tcW w:w="0" w:type="auto"/>
                  <w:tcBorders>
                    <w:tl2br w:val="nil"/>
                    <w:tr2bl w:val="nil"/>
                  </w:tcBorders>
                  <w:shd w:val="clear" w:color="auto" w:fill="auto"/>
                  <w:vAlign w:val="center"/>
                </w:tcPr>
                <w:p w14:paraId="578CD88A">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0.66</w:t>
                  </w:r>
                </w:p>
              </w:tc>
              <w:tc>
                <w:tcPr>
                  <w:tcW w:w="0" w:type="auto"/>
                  <w:tcBorders>
                    <w:tl2br w:val="nil"/>
                    <w:tr2bl w:val="nil"/>
                  </w:tcBorders>
                  <w:shd w:val="clear" w:color="auto" w:fill="auto"/>
                  <w:vAlign w:val="center"/>
                </w:tcPr>
                <w:p w14:paraId="37C2B599">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0.66</w:t>
                  </w:r>
                </w:p>
              </w:tc>
              <w:tc>
                <w:tcPr>
                  <w:tcW w:w="0" w:type="auto"/>
                  <w:tcBorders>
                    <w:tl2br w:val="nil"/>
                    <w:tr2bl w:val="nil"/>
                  </w:tcBorders>
                  <w:shd w:val="clear" w:color="auto" w:fill="auto"/>
                  <w:vAlign w:val="center"/>
                </w:tcPr>
                <w:p w14:paraId="6A88C872">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0.66</w:t>
                  </w:r>
                </w:p>
              </w:tc>
              <w:tc>
                <w:tcPr>
                  <w:tcW w:w="0" w:type="auto"/>
                  <w:tcBorders>
                    <w:tl2br w:val="nil"/>
                    <w:tr2bl w:val="nil"/>
                  </w:tcBorders>
                  <w:shd w:val="clear" w:color="auto" w:fill="auto"/>
                  <w:vAlign w:val="center"/>
                </w:tcPr>
                <w:p w14:paraId="12422FF9">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0.66</w:t>
                  </w:r>
                </w:p>
              </w:tc>
              <w:tc>
                <w:tcPr>
                  <w:tcW w:w="0" w:type="auto"/>
                  <w:tcBorders>
                    <w:tl2br w:val="nil"/>
                    <w:tr2bl w:val="nil"/>
                  </w:tcBorders>
                  <w:shd w:val="clear" w:color="auto" w:fill="auto"/>
                  <w:vAlign w:val="center"/>
                </w:tcPr>
                <w:p w14:paraId="37E27567">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w:t>
                  </w:r>
                </w:p>
              </w:tc>
            </w:tr>
            <w:tr w14:paraId="18E6A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tcPr>
                <w:p w14:paraId="7627529F">
                  <w:pPr>
                    <w:widowControl/>
                    <w:ind w:firstLine="0" w:firstLineChars="0"/>
                    <w:jc w:val="center"/>
                    <w:rPr>
                      <w:rFonts w:hint="default" w:ascii="Times New Roman" w:hAnsi="Times New Roman" w:eastAsia="仿宋" w:cs="Times New Roman"/>
                      <w:kern w:val="0"/>
                      <w:sz w:val="21"/>
                      <w:szCs w:val="21"/>
                    </w:rPr>
                  </w:pPr>
                </w:p>
              </w:tc>
              <w:tc>
                <w:tcPr>
                  <w:tcW w:w="371" w:type="pct"/>
                  <w:vMerge w:val="continue"/>
                  <w:tcBorders>
                    <w:tl2br w:val="nil"/>
                    <w:tr2bl w:val="nil"/>
                  </w:tcBorders>
                </w:tcPr>
                <w:p w14:paraId="58CEEBCF">
                  <w:pPr>
                    <w:widowControl/>
                    <w:ind w:firstLine="0" w:firstLineChars="0"/>
                    <w:jc w:val="center"/>
                    <w:rPr>
                      <w:rFonts w:hint="default" w:ascii="Times New Roman" w:hAnsi="Times New Roman" w:eastAsia="仿宋" w:cs="Times New Roman"/>
                      <w:kern w:val="0"/>
                      <w:sz w:val="21"/>
                      <w:szCs w:val="21"/>
                    </w:rPr>
                  </w:pPr>
                </w:p>
              </w:tc>
              <w:tc>
                <w:tcPr>
                  <w:tcW w:w="0" w:type="auto"/>
                  <w:tcBorders>
                    <w:tl2br w:val="nil"/>
                    <w:tr2bl w:val="nil"/>
                  </w:tcBorders>
                  <w:shd w:val="clear" w:color="auto" w:fill="auto"/>
                  <w:vAlign w:val="center"/>
                </w:tcPr>
                <w:p w14:paraId="55DEDA50">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G2下风向</w:t>
                  </w:r>
                </w:p>
              </w:tc>
              <w:tc>
                <w:tcPr>
                  <w:tcW w:w="0" w:type="auto"/>
                  <w:tcBorders>
                    <w:tl2br w:val="nil"/>
                    <w:tr2bl w:val="nil"/>
                  </w:tcBorders>
                  <w:shd w:val="clear" w:color="auto" w:fill="auto"/>
                  <w:vAlign w:val="center"/>
                </w:tcPr>
                <w:p w14:paraId="6E63E923">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1.02</w:t>
                  </w:r>
                </w:p>
              </w:tc>
              <w:tc>
                <w:tcPr>
                  <w:tcW w:w="0" w:type="auto"/>
                  <w:tcBorders>
                    <w:tl2br w:val="nil"/>
                    <w:tr2bl w:val="nil"/>
                  </w:tcBorders>
                  <w:shd w:val="clear" w:color="auto" w:fill="auto"/>
                  <w:vAlign w:val="center"/>
                </w:tcPr>
                <w:p w14:paraId="7E84796A">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0.97</w:t>
                  </w:r>
                </w:p>
              </w:tc>
              <w:tc>
                <w:tcPr>
                  <w:tcW w:w="0" w:type="auto"/>
                  <w:tcBorders>
                    <w:tl2br w:val="nil"/>
                    <w:tr2bl w:val="nil"/>
                  </w:tcBorders>
                  <w:shd w:val="clear" w:color="auto" w:fill="auto"/>
                  <w:vAlign w:val="center"/>
                </w:tcPr>
                <w:p w14:paraId="0438C402">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1.01</w:t>
                  </w:r>
                </w:p>
              </w:tc>
              <w:tc>
                <w:tcPr>
                  <w:tcW w:w="0" w:type="auto"/>
                  <w:tcBorders>
                    <w:tl2br w:val="nil"/>
                    <w:tr2bl w:val="nil"/>
                  </w:tcBorders>
                  <w:shd w:val="clear" w:color="auto" w:fill="auto"/>
                  <w:vAlign w:val="center"/>
                </w:tcPr>
                <w:p w14:paraId="17F74653">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1.02</w:t>
                  </w:r>
                </w:p>
              </w:tc>
              <w:tc>
                <w:tcPr>
                  <w:tcW w:w="871" w:type="pct"/>
                  <w:vMerge w:val="restart"/>
                  <w:tcBorders>
                    <w:tl2br w:val="nil"/>
                    <w:tr2bl w:val="nil"/>
                  </w:tcBorders>
                  <w:shd w:val="clear" w:color="auto" w:fill="auto"/>
                  <w:vAlign w:val="center"/>
                </w:tcPr>
                <w:p w14:paraId="11EFF678">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lang w:val="en-US" w:eastAsia="zh-CN"/>
                    </w:rPr>
                    <w:t>4</w:t>
                  </w:r>
                </w:p>
              </w:tc>
            </w:tr>
            <w:tr w14:paraId="70548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tcPr>
                <w:p w14:paraId="54E0AA36">
                  <w:pPr>
                    <w:widowControl/>
                    <w:ind w:firstLine="0" w:firstLineChars="0"/>
                    <w:jc w:val="center"/>
                    <w:rPr>
                      <w:rFonts w:hint="default" w:ascii="Times New Roman" w:hAnsi="Times New Roman" w:eastAsia="仿宋" w:cs="Times New Roman"/>
                      <w:kern w:val="0"/>
                      <w:sz w:val="21"/>
                      <w:szCs w:val="21"/>
                    </w:rPr>
                  </w:pPr>
                </w:p>
              </w:tc>
              <w:tc>
                <w:tcPr>
                  <w:tcW w:w="371" w:type="pct"/>
                  <w:vMerge w:val="continue"/>
                  <w:tcBorders>
                    <w:tl2br w:val="nil"/>
                    <w:tr2bl w:val="nil"/>
                  </w:tcBorders>
                </w:tcPr>
                <w:p w14:paraId="29A115FB">
                  <w:pPr>
                    <w:widowControl/>
                    <w:ind w:firstLine="0" w:firstLineChars="0"/>
                    <w:jc w:val="center"/>
                    <w:rPr>
                      <w:rFonts w:hint="default" w:ascii="Times New Roman" w:hAnsi="Times New Roman" w:eastAsia="仿宋" w:cs="Times New Roman"/>
                      <w:kern w:val="0"/>
                      <w:sz w:val="21"/>
                      <w:szCs w:val="21"/>
                    </w:rPr>
                  </w:pPr>
                </w:p>
              </w:tc>
              <w:tc>
                <w:tcPr>
                  <w:tcW w:w="0" w:type="auto"/>
                  <w:tcBorders>
                    <w:tl2br w:val="nil"/>
                    <w:tr2bl w:val="nil"/>
                  </w:tcBorders>
                  <w:shd w:val="clear" w:color="auto" w:fill="auto"/>
                  <w:vAlign w:val="center"/>
                </w:tcPr>
                <w:p w14:paraId="2CEB8F6B">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G3下风向</w:t>
                  </w:r>
                </w:p>
              </w:tc>
              <w:tc>
                <w:tcPr>
                  <w:tcW w:w="0" w:type="auto"/>
                  <w:tcBorders>
                    <w:tl2br w:val="nil"/>
                    <w:tr2bl w:val="nil"/>
                  </w:tcBorders>
                  <w:shd w:val="clear" w:color="auto" w:fill="auto"/>
                  <w:vAlign w:val="center"/>
                </w:tcPr>
                <w:p w14:paraId="03F9CF6B">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0.97</w:t>
                  </w:r>
                </w:p>
              </w:tc>
              <w:tc>
                <w:tcPr>
                  <w:tcW w:w="0" w:type="auto"/>
                  <w:tcBorders>
                    <w:tl2br w:val="nil"/>
                    <w:tr2bl w:val="nil"/>
                  </w:tcBorders>
                  <w:shd w:val="clear" w:color="auto" w:fill="auto"/>
                  <w:vAlign w:val="center"/>
                </w:tcPr>
                <w:p w14:paraId="72D30578">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1.00</w:t>
                  </w:r>
                </w:p>
              </w:tc>
              <w:tc>
                <w:tcPr>
                  <w:tcW w:w="0" w:type="auto"/>
                  <w:tcBorders>
                    <w:tl2br w:val="nil"/>
                    <w:tr2bl w:val="nil"/>
                  </w:tcBorders>
                  <w:shd w:val="clear" w:color="auto" w:fill="auto"/>
                  <w:vAlign w:val="center"/>
                </w:tcPr>
                <w:p w14:paraId="76AC1DB4">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0.99</w:t>
                  </w:r>
                </w:p>
              </w:tc>
              <w:tc>
                <w:tcPr>
                  <w:tcW w:w="0" w:type="auto"/>
                  <w:tcBorders>
                    <w:tl2br w:val="nil"/>
                    <w:tr2bl w:val="nil"/>
                  </w:tcBorders>
                  <w:shd w:val="clear" w:color="auto" w:fill="auto"/>
                  <w:vAlign w:val="center"/>
                </w:tcPr>
                <w:p w14:paraId="7F9D8509">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1.00</w:t>
                  </w:r>
                </w:p>
              </w:tc>
              <w:tc>
                <w:tcPr>
                  <w:tcW w:w="871" w:type="pct"/>
                  <w:vMerge w:val="continue"/>
                  <w:tcBorders>
                    <w:tl2br w:val="nil"/>
                    <w:tr2bl w:val="nil"/>
                  </w:tcBorders>
                </w:tcPr>
                <w:p w14:paraId="51E5A5E7">
                  <w:pPr>
                    <w:widowControl/>
                    <w:ind w:firstLine="0" w:firstLineChars="0"/>
                    <w:jc w:val="center"/>
                    <w:rPr>
                      <w:rFonts w:hint="default" w:ascii="Times New Roman" w:hAnsi="Times New Roman" w:eastAsia="仿宋" w:cs="Times New Roman"/>
                      <w:kern w:val="0"/>
                      <w:sz w:val="21"/>
                      <w:szCs w:val="21"/>
                    </w:rPr>
                  </w:pPr>
                </w:p>
              </w:tc>
            </w:tr>
            <w:tr w14:paraId="6C35F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692" w:type="pct"/>
                  <w:vMerge w:val="continue"/>
                  <w:tcBorders>
                    <w:tl2br w:val="nil"/>
                    <w:tr2bl w:val="nil"/>
                  </w:tcBorders>
                </w:tcPr>
                <w:p w14:paraId="1FC5421A">
                  <w:pPr>
                    <w:widowControl/>
                    <w:ind w:firstLine="0" w:firstLineChars="0"/>
                    <w:jc w:val="center"/>
                    <w:rPr>
                      <w:rFonts w:hint="default" w:ascii="Times New Roman" w:hAnsi="Times New Roman" w:eastAsia="仿宋" w:cs="Times New Roman"/>
                      <w:kern w:val="0"/>
                      <w:sz w:val="21"/>
                      <w:szCs w:val="21"/>
                    </w:rPr>
                  </w:pPr>
                </w:p>
              </w:tc>
              <w:tc>
                <w:tcPr>
                  <w:tcW w:w="371" w:type="pct"/>
                  <w:vMerge w:val="continue"/>
                  <w:tcBorders>
                    <w:tl2br w:val="nil"/>
                    <w:tr2bl w:val="nil"/>
                  </w:tcBorders>
                </w:tcPr>
                <w:p w14:paraId="73A68256">
                  <w:pPr>
                    <w:widowControl/>
                    <w:ind w:firstLine="0" w:firstLineChars="0"/>
                    <w:jc w:val="center"/>
                    <w:rPr>
                      <w:rFonts w:hint="default" w:ascii="Times New Roman" w:hAnsi="Times New Roman" w:eastAsia="仿宋" w:cs="Times New Roman"/>
                      <w:kern w:val="0"/>
                      <w:sz w:val="21"/>
                      <w:szCs w:val="21"/>
                    </w:rPr>
                  </w:pPr>
                </w:p>
              </w:tc>
              <w:tc>
                <w:tcPr>
                  <w:tcW w:w="0" w:type="auto"/>
                  <w:tcBorders>
                    <w:tl2br w:val="nil"/>
                    <w:tr2bl w:val="nil"/>
                  </w:tcBorders>
                  <w:shd w:val="clear" w:color="auto" w:fill="auto"/>
                  <w:vAlign w:val="center"/>
                </w:tcPr>
                <w:p w14:paraId="14B849AD">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G4下风向</w:t>
                  </w:r>
                </w:p>
              </w:tc>
              <w:tc>
                <w:tcPr>
                  <w:tcW w:w="0" w:type="auto"/>
                  <w:tcBorders>
                    <w:tl2br w:val="nil"/>
                    <w:tr2bl w:val="nil"/>
                  </w:tcBorders>
                  <w:shd w:val="clear" w:color="auto" w:fill="auto"/>
                  <w:vAlign w:val="center"/>
                </w:tcPr>
                <w:p w14:paraId="0D0AD79D">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1.03</w:t>
                  </w:r>
                </w:p>
              </w:tc>
              <w:tc>
                <w:tcPr>
                  <w:tcW w:w="0" w:type="auto"/>
                  <w:tcBorders>
                    <w:tl2br w:val="nil"/>
                    <w:tr2bl w:val="nil"/>
                  </w:tcBorders>
                  <w:shd w:val="clear" w:color="auto" w:fill="auto"/>
                  <w:vAlign w:val="center"/>
                </w:tcPr>
                <w:p w14:paraId="63AC44A9">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1.00</w:t>
                  </w:r>
                </w:p>
              </w:tc>
              <w:tc>
                <w:tcPr>
                  <w:tcW w:w="0" w:type="auto"/>
                  <w:tcBorders>
                    <w:tl2br w:val="nil"/>
                    <w:tr2bl w:val="nil"/>
                  </w:tcBorders>
                  <w:shd w:val="clear" w:color="auto" w:fill="auto"/>
                  <w:vAlign w:val="center"/>
                </w:tcPr>
                <w:p w14:paraId="3864FCA8">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1.02</w:t>
                  </w:r>
                </w:p>
              </w:tc>
              <w:tc>
                <w:tcPr>
                  <w:tcW w:w="0" w:type="auto"/>
                  <w:tcBorders>
                    <w:tl2br w:val="nil"/>
                    <w:tr2bl w:val="nil"/>
                  </w:tcBorders>
                  <w:shd w:val="clear" w:color="auto" w:fill="auto"/>
                  <w:vAlign w:val="center"/>
                </w:tcPr>
                <w:p w14:paraId="713D6932">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1.03</w:t>
                  </w:r>
                </w:p>
              </w:tc>
              <w:tc>
                <w:tcPr>
                  <w:tcW w:w="871" w:type="pct"/>
                  <w:vMerge w:val="continue"/>
                  <w:tcBorders>
                    <w:tl2br w:val="nil"/>
                    <w:tr2bl w:val="nil"/>
                  </w:tcBorders>
                </w:tcPr>
                <w:p w14:paraId="626862B7">
                  <w:pPr>
                    <w:widowControl/>
                    <w:ind w:firstLine="0" w:firstLineChars="0"/>
                    <w:jc w:val="center"/>
                    <w:rPr>
                      <w:rFonts w:hint="default" w:ascii="Times New Roman" w:hAnsi="Times New Roman" w:eastAsia="仿宋" w:cs="Times New Roman"/>
                      <w:kern w:val="0"/>
                      <w:sz w:val="21"/>
                      <w:szCs w:val="21"/>
                    </w:rPr>
                  </w:pPr>
                </w:p>
              </w:tc>
            </w:tr>
            <w:tr w14:paraId="356B2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692" w:type="pct"/>
                  <w:vMerge w:val="continue"/>
                  <w:tcBorders>
                    <w:tl2br w:val="nil"/>
                    <w:tr2bl w:val="nil"/>
                  </w:tcBorders>
                </w:tcPr>
                <w:p w14:paraId="42CF7940">
                  <w:pPr>
                    <w:widowControl/>
                    <w:ind w:firstLine="0" w:firstLineChars="0"/>
                    <w:jc w:val="center"/>
                    <w:rPr>
                      <w:rFonts w:hint="default" w:ascii="Times New Roman" w:hAnsi="Times New Roman" w:eastAsia="仿宋" w:cs="Times New Roman"/>
                      <w:kern w:val="0"/>
                      <w:sz w:val="21"/>
                      <w:szCs w:val="21"/>
                    </w:rPr>
                  </w:pPr>
                </w:p>
              </w:tc>
              <w:tc>
                <w:tcPr>
                  <w:tcW w:w="371" w:type="pct"/>
                  <w:vMerge w:val="continue"/>
                  <w:tcBorders>
                    <w:tl2br w:val="nil"/>
                    <w:tr2bl w:val="nil"/>
                  </w:tcBorders>
                </w:tcPr>
                <w:p w14:paraId="3D0CA067">
                  <w:pPr>
                    <w:widowControl/>
                    <w:ind w:firstLine="0" w:firstLineChars="0"/>
                    <w:jc w:val="center"/>
                    <w:rPr>
                      <w:rFonts w:hint="default" w:ascii="Times New Roman" w:hAnsi="Times New Roman" w:eastAsia="仿宋" w:cs="Times New Roman"/>
                      <w:kern w:val="0"/>
                      <w:sz w:val="21"/>
                      <w:szCs w:val="21"/>
                    </w:rPr>
                  </w:pPr>
                </w:p>
              </w:tc>
              <w:tc>
                <w:tcPr>
                  <w:tcW w:w="0" w:type="auto"/>
                  <w:vMerge w:val="restart"/>
                  <w:tcBorders>
                    <w:tl2br w:val="nil"/>
                    <w:tr2bl w:val="nil"/>
                  </w:tcBorders>
                  <w:shd w:val="clear" w:color="auto" w:fill="auto"/>
                  <w:vAlign w:val="center"/>
                </w:tcPr>
                <w:p w14:paraId="06EA6B4D">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G5D7车间门外1m</w:t>
                  </w:r>
                </w:p>
              </w:tc>
              <w:tc>
                <w:tcPr>
                  <w:tcW w:w="0" w:type="auto"/>
                  <w:vMerge w:val="restart"/>
                  <w:tcBorders>
                    <w:tl2br w:val="nil"/>
                    <w:tr2bl w:val="nil"/>
                  </w:tcBorders>
                  <w:shd w:val="clear" w:color="auto" w:fill="auto"/>
                  <w:vAlign w:val="center"/>
                </w:tcPr>
                <w:p w14:paraId="782C3033">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1.52</w:t>
                  </w:r>
                </w:p>
              </w:tc>
              <w:tc>
                <w:tcPr>
                  <w:tcW w:w="0" w:type="auto"/>
                  <w:vMerge w:val="restart"/>
                  <w:tcBorders>
                    <w:tl2br w:val="nil"/>
                    <w:tr2bl w:val="nil"/>
                  </w:tcBorders>
                  <w:shd w:val="clear" w:color="auto" w:fill="auto"/>
                  <w:vAlign w:val="center"/>
                </w:tcPr>
                <w:p w14:paraId="5054CBF9">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w:t>
                  </w:r>
                </w:p>
              </w:tc>
              <w:tc>
                <w:tcPr>
                  <w:tcW w:w="0" w:type="auto"/>
                  <w:vMerge w:val="restart"/>
                  <w:tcBorders>
                    <w:tl2br w:val="nil"/>
                    <w:tr2bl w:val="nil"/>
                  </w:tcBorders>
                  <w:shd w:val="clear" w:color="auto" w:fill="auto"/>
                  <w:vAlign w:val="center"/>
                </w:tcPr>
                <w:p w14:paraId="56E60F25">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w:t>
                  </w:r>
                </w:p>
              </w:tc>
              <w:tc>
                <w:tcPr>
                  <w:tcW w:w="0" w:type="auto"/>
                  <w:vMerge w:val="restart"/>
                  <w:tcBorders>
                    <w:tl2br w:val="nil"/>
                    <w:tr2bl w:val="nil"/>
                  </w:tcBorders>
                  <w:shd w:val="clear" w:color="auto" w:fill="auto"/>
                  <w:vAlign w:val="center"/>
                </w:tcPr>
                <w:p w14:paraId="2DF910E3">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w:t>
                  </w:r>
                </w:p>
              </w:tc>
              <w:tc>
                <w:tcPr>
                  <w:tcW w:w="871" w:type="pct"/>
                  <w:tcBorders>
                    <w:tl2br w:val="nil"/>
                    <w:tr2bl w:val="nil"/>
                  </w:tcBorders>
                  <w:shd w:val="clear" w:color="auto" w:fill="auto"/>
                  <w:vAlign w:val="center"/>
                </w:tcPr>
                <w:p w14:paraId="2A322EED">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20（监控点处任意一次浓度值）</w:t>
                  </w:r>
                </w:p>
              </w:tc>
            </w:tr>
            <w:tr w14:paraId="06D7B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692" w:type="pct"/>
                  <w:vMerge w:val="continue"/>
                  <w:tcBorders>
                    <w:tl2br w:val="nil"/>
                    <w:tr2bl w:val="nil"/>
                  </w:tcBorders>
                </w:tcPr>
                <w:p w14:paraId="7DFA22CF">
                  <w:pPr>
                    <w:widowControl/>
                    <w:ind w:firstLine="0" w:firstLineChars="0"/>
                    <w:jc w:val="center"/>
                    <w:rPr>
                      <w:rFonts w:hint="default" w:ascii="Times New Roman" w:hAnsi="Times New Roman" w:eastAsia="仿宋" w:cs="Times New Roman"/>
                      <w:kern w:val="0"/>
                      <w:sz w:val="21"/>
                      <w:szCs w:val="21"/>
                    </w:rPr>
                  </w:pPr>
                </w:p>
              </w:tc>
              <w:tc>
                <w:tcPr>
                  <w:tcW w:w="371" w:type="pct"/>
                  <w:vMerge w:val="continue"/>
                  <w:tcBorders>
                    <w:tl2br w:val="nil"/>
                    <w:tr2bl w:val="nil"/>
                  </w:tcBorders>
                </w:tcPr>
                <w:p w14:paraId="5053B4F5">
                  <w:pPr>
                    <w:widowControl/>
                    <w:ind w:firstLine="0" w:firstLineChars="0"/>
                    <w:jc w:val="center"/>
                    <w:rPr>
                      <w:rFonts w:hint="default" w:ascii="Times New Roman" w:hAnsi="Times New Roman" w:eastAsia="仿宋" w:cs="Times New Roman"/>
                      <w:kern w:val="0"/>
                      <w:sz w:val="21"/>
                      <w:szCs w:val="21"/>
                    </w:rPr>
                  </w:pPr>
                </w:p>
              </w:tc>
              <w:tc>
                <w:tcPr>
                  <w:tcW w:w="0" w:type="auto"/>
                  <w:vMerge w:val="continue"/>
                  <w:tcBorders>
                    <w:tl2br w:val="nil"/>
                    <w:tr2bl w:val="nil"/>
                  </w:tcBorders>
                  <w:shd w:val="clear" w:color="auto" w:fill="auto"/>
                  <w:vAlign w:val="center"/>
                </w:tcPr>
                <w:p w14:paraId="602B7F1A">
                  <w:pPr>
                    <w:widowControl/>
                    <w:ind w:firstLine="0" w:firstLineChars="0"/>
                    <w:jc w:val="center"/>
                    <w:rPr>
                      <w:rFonts w:hint="default" w:ascii="Times New Roman" w:hAnsi="Times New Roman" w:eastAsia="仿宋" w:cs="Times New Roman"/>
                      <w:kern w:val="0"/>
                      <w:sz w:val="21"/>
                      <w:szCs w:val="21"/>
                    </w:rPr>
                  </w:pPr>
                </w:p>
              </w:tc>
              <w:tc>
                <w:tcPr>
                  <w:tcW w:w="0" w:type="auto"/>
                  <w:vMerge w:val="continue"/>
                  <w:tcBorders>
                    <w:tl2br w:val="nil"/>
                    <w:tr2bl w:val="nil"/>
                  </w:tcBorders>
                  <w:shd w:val="clear" w:color="auto" w:fill="auto"/>
                  <w:vAlign w:val="center"/>
                </w:tcPr>
                <w:p w14:paraId="0B9D6BA4">
                  <w:pPr>
                    <w:widowControl/>
                    <w:ind w:firstLine="0" w:firstLineChars="0"/>
                    <w:jc w:val="center"/>
                    <w:rPr>
                      <w:rFonts w:hint="default" w:ascii="Times New Roman" w:hAnsi="Times New Roman" w:eastAsia="仿宋" w:cs="Times New Roman"/>
                      <w:kern w:val="0"/>
                      <w:sz w:val="21"/>
                      <w:szCs w:val="21"/>
                    </w:rPr>
                  </w:pPr>
                </w:p>
              </w:tc>
              <w:tc>
                <w:tcPr>
                  <w:tcW w:w="0" w:type="auto"/>
                  <w:vMerge w:val="continue"/>
                  <w:tcBorders>
                    <w:tl2br w:val="nil"/>
                    <w:tr2bl w:val="nil"/>
                  </w:tcBorders>
                  <w:shd w:val="clear" w:color="auto" w:fill="auto"/>
                  <w:vAlign w:val="center"/>
                </w:tcPr>
                <w:p w14:paraId="01C795B3">
                  <w:pPr>
                    <w:widowControl/>
                    <w:ind w:firstLine="0" w:firstLineChars="0"/>
                    <w:jc w:val="center"/>
                    <w:rPr>
                      <w:rFonts w:hint="default" w:ascii="Times New Roman" w:hAnsi="Times New Roman" w:eastAsia="仿宋" w:cs="Times New Roman"/>
                      <w:kern w:val="0"/>
                      <w:sz w:val="21"/>
                      <w:szCs w:val="21"/>
                    </w:rPr>
                  </w:pPr>
                </w:p>
              </w:tc>
              <w:tc>
                <w:tcPr>
                  <w:tcW w:w="0" w:type="auto"/>
                  <w:vMerge w:val="continue"/>
                  <w:tcBorders>
                    <w:tl2br w:val="nil"/>
                    <w:tr2bl w:val="nil"/>
                  </w:tcBorders>
                  <w:shd w:val="clear" w:color="auto" w:fill="auto"/>
                  <w:vAlign w:val="center"/>
                </w:tcPr>
                <w:p w14:paraId="40A79E44">
                  <w:pPr>
                    <w:widowControl/>
                    <w:ind w:firstLine="0" w:firstLineChars="0"/>
                    <w:jc w:val="center"/>
                    <w:rPr>
                      <w:rFonts w:hint="default" w:ascii="Times New Roman" w:hAnsi="Times New Roman" w:eastAsia="仿宋" w:cs="Times New Roman"/>
                      <w:kern w:val="0"/>
                      <w:sz w:val="21"/>
                      <w:szCs w:val="21"/>
                    </w:rPr>
                  </w:pPr>
                </w:p>
              </w:tc>
              <w:tc>
                <w:tcPr>
                  <w:tcW w:w="0" w:type="auto"/>
                  <w:vMerge w:val="continue"/>
                  <w:tcBorders>
                    <w:tl2br w:val="nil"/>
                    <w:tr2bl w:val="nil"/>
                  </w:tcBorders>
                  <w:shd w:val="clear" w:color="auto" w:fill="auto"/>
                  <w:vAlign w:val="center"/>
                </w:tcPr>
                <w:p w14:paraId="24EC7C4A">
                  <w:pPr>
                    <w:widowControl/>
                    <w:ind w:firstLine="0" w:firstLineChars="0"/>
                    <w:jc w:val="center"/>
                    <w:rPr>
                      <w:rFonts w:hint="default" w:ascii="Times New Roman" w:hAnsi="Times New Roman" w:eastAsia="仿宋" w:cs="Times New Roman"/>
                      <w:kern w:val="0"/>
                      <w:sz w:val="21"/>
                      <w:szCs w:val="21"/>
                    </w:rPr>
                  </w:pPr>
                </w:p>
              </w:tc>
              <w:tc>
                <w:tcPr>
                  <w:tcW w:w="0" w:type="auto"/>
                  <w:tcBorders>
                    <w:tl2br w:val="nil"/>
                    <w:tr2bl w:val="nil"/>
                  </w:tcBorders>
                  <w:shd w:val="clear" w:color="auto" w:fill="auto"/>
                  <w:vAlign w:val="center"/>
                </w:tcPr>
                <w:p w14:paraId="2D48112C">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lang w:val="en-US" w:eastAsia="zh-CN"/>
                    </w:rPr>
                    <w:t>6（监控点处 1h 平均浓度值）</w:t>
                  </w:r>
                </w:p>
              </w:tc>
            </w:tr>
          </w:tbl>
          <w:p w14:paraId="1CCD1673">
            <w:pPr>
              <w:adjustRightInd w:val="0"/>
              <w:snapToGrid w:val="0"/>
              <w:jc w:val="left"/>
              <w:rPr>
                <w:rFonts w:hint="default" w:ascii="Times New Roman" w:hAnsi="Times New Roman" w:eastAsia="仿宋" w:cs="Times New Roman"/>
                <w:color w:val="auto"/>
                <w:spacing w:val="-6"/>
                <w:sz w:val="18"/>
                <w:szCs w:val="18"/>
                <w:lang w:val="en-US" w:eastAsia="zh-CN"/>
              </w:rPr>
            </w:pPr>
            <w:r>
              <w:rPr>
                <w:rFonts w:hint="eastAsia" w:ascii="Times New Roman" w:hAnsi="Times New Roman" w:eastAsia="仿宋" w:cs="Times New Roman"/>
                <w:color w:val="auto"/>
                <w:spacing w:val="-6"/>
                <w:sz w:val="18"/>
                <w:szCs w:val="18"/>
                <w:lang w:val="en-US" w:eastAsia="zh-CN"/>
              </w:rPr>
              <w:t>注：二甲苯检出限1.5×10</w:t>
            </w:r>
            <w:r>
              <w:rPr>
                <w:rFonts w:hint="eastAsia" w:ascii="Times New Roman" w:hAnsi="Times New Roman" w:eastAsia="仿宋" w:cs="Times New Roman"/>
                <w:color w:val="auto"/>
                <w:spacing w:val="-6"/>
                <w:sz w:val="18"/>
                <w:szCs w:val="18"/>
                <w:vertAlign w:val="superscript"/>
                <w:lang w:val="en-US" w:eastAsia="zh-CN"/>
              </w:rPr>
              <w:t>-3</w:t>
            </w:r>
            <w:r>
              <w:rPr>
                <w:rFonts w:hint="eastAsia" w:ascii="Times New Roman" w:hAnsi="Times New Roman" w:eastAsia="仿宋" w:cs="Times New Roman"/>
                <w:color w:val="auto"/>
                <w:spacing w:val="-6"/>
                <w:sz w:val="18"/>
                <w:szCs w:val="18"/>
                <w:lang w:val="en-US" w:eastAsia="zh-CN"/>
              </w:rPr>
              <w:t>mg/m</w:t>
            </w:r>
            <w:r>
              <w:rPr>
                <w:rFonts w:hint="eastAsia" w:ascii="Times New Roman" w:hAnsi="Times New Roman" w:eastAsia="仿宋" w:cs="Times New Roman"/>
                <w:color w:val="auto"/>
                <w:spacing w:val="-6"/>
                <w:sz w:val="18"/>
                <w:szCs w:val="18"/>
                <w:vertAlign w:val="superscript"/>
                <w:lang w:val="en-US" w:eastAsia="zh-CN"/>
              </w:rPr>
              <w:t>3</w:t>
            </w:r>
          </w:p>
          <w:p w14:paraId="4BDD1314">
            <w:pPr>
              <w:adjustRightInd w:val="0"/>
              <w:snapToGrid w:val="0"/>
              <w:spacing w:before="120" w:beforeLines="50"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由上表可知，</w:t>
            </w:r>
            <w:bookmarkStart w:id="4" w:name="_Hlk26805653"/>
            <w:r>
              <w:rPr>
                <w:rFonts w:hint="eastAsia" w:eastAsia="仿宋" w:cs="Times New Roman"/>
                <w:color w:val="auto"/>
                <w:sz w:val="24"/>
                <w:lang w:val="en-US" w:eastAsia="zh-CN"/>
              </w:rPr>
              <w:t>现有项目</w:t>
            </w:r>
            <w:r>
              <w:rPr>
                <w:rFonts w:hint="default" w:ascii="Times New Roman" w:hAnsi="Times New Roman" w:eastAsia="仿宋" w:cs="Times New Roman"/>
                <w:color w:val="auto"/>
                <w:sz w:val="24"/>
              </w:rPr>
              <w:t>D7车间FQ</w:t>
            </w:r>
            <w:r>
              <w:rPr>
                <w:rFonts w:hint="eastAsia" w:eastAsia="仿宋" w:cs="Times New Roman"/>
                <w:color w:val="auto"/>
                <w:sz w:val="24"/>
                <w:lang w:val="en-US" w:eastAsia="zh-CN"/>
              </w:rPr>
              <w:t>-</w:t>
            </w:r>
            <w:r>
              <w:rPr>
                <w:rFonts w:hint="default" w:ascii="Times New Roman" w:hAnsi="Times New Roman" w:eastAsia="仿宋" w:cs="Times New Roman"/>
                <w:color w:val="auto"/>
                <w:sz w:val="24"/>
              </w:rPr>
              <w:t>1排气筒中二甲苯排放浓度和排放速率均符合《大气污染物综合排放标准》（DB32/4041-2021）中表1 标准，非甲烷总烃排放浓度</w:t>
            </w:r>
            <w:r>
              <w:rPr>
                <w:rFonts w:hint="eastAsia" w:eastAsia="仿宋" w:cs="Times New Roman"/>
                <w:color w:val="auto"/>
                <w:sz w:val="24"/>
                <w:lang w:val="en-US" w:eastAsia="zh-CN"/>
              </w:rPr>
              <w:t>和排放速率</w:t>
            </w:r>
            <w:r>
              <w:rPr>
                <w:rFonts w:hint="default" w:ascii="Times New Roman" w:hAnsi="Times New Roman" w:eastAsia="仿宋" w:cs="Times New Roman"/>
                <w:color w:val="auto"/>
                <w:sz w:val="24"/>
              </w:rPr>
              <w:t>均符合《大气污染物综合排放标准》（DB32/4041-2021）中表1 标准；D7车间FQ</w:t>
            </w:r>
            <w:r>
              <w:rPr>
                <w:rFonts w:hint="eastAsia" w:eastAsia="仿宋" w:cs="Times New Roman"/>
                <w:color w:val="auto"/>
                <w:sz w:val="24"/>
                <w:lang w:val="en-US" w:eastAsia="zh-CN"/>
              </w:rPr>
              <w:t>-</w:t>
            </w:r>
            <w:r>
              <w:rPr>
                <w:rFonts w:hint="default" w:ascii="Times New Roman" w:hAnsi="Times New Roman" w:eastAsia="仿宋" w:cs="Times New Roman"/>
                <w:color w:val="auto"/>
                <w:sz w:val="24"/>
              </w:rPr>
              <w:t>2排气筒中颗粒物排放浓度均符合《大气污染物综合排放标准》（DB32/4041-2021）中表1标准；F16车间FQ</w:t>
            </w:r>
            <w:r>
              <w:rPr>
                <w:rFonts w:hint="eastAsia" w:eastAsia="仿宋" w:cs="Times New Roman"/>
                <w:color w:val="auto"/>
                <w:sz w:val="24"/>
                <w:lang w:val="en-US" w:eastAsia="zh-CN"/>
              </w:rPr>
              <w:t>-</w:t>
            </w:r>
            <w:r>
              <w:rPr>
                <w:rFonts w:hint="default" w:ascii="Times New Roman" w:hAnsi="Times New Roman" w:eastAsia="仿宋" w:cs="Times New Roman"/>
                <w:color w:val="auto"/>
                <w:sz w:val="24"/>
              </w:rPr>
              <w:t>3排气筒中非甲烷总烃排放浓度</w:t>
            </w:r>
            <w:r>
              <w:rPr>
                <w:rFonts w:hint="eastAsia" w:eastAsia="仿宋" w:cs="Times New Roman"/>
                <w:color w:val="auto"/>
                <w:sz w:val="24"/>
                <w:lang w:val="en-US" w:eastAsia="zh-CN"/>
              </w:rPr>
              <w:t>和排放速率</w:t>
            </w:r>
            <w:r>
              <w:rPr>
                <w:rFonts w:hint="default" w:ascii="Times New Roman" w:hAnsi="Times New Roman" w:eastAsia="仿宋" w:cs="Times New Roman"/>
                <w:color w:val="auto"/>
                <w:sz w:val="24"/>
              </w:rPr>
              <w:t>均符合《大气污染物综合排放标准》（DB32/4041-2021）中表1 标准</w:t>
            </w:r>
            <w:r>
              <w:rPr>
                <w:rFonts w:hint="eastAsia" w:eastAsia="仿宋" w:cs="Times New Roman"/>
                <w:color w:val="auto"/>
                <w:sz w:val="24"/>
                <w:highlight w:val="none"/>
                <w:lang w:eastAsia="zh-CN"/>
              </w:rPr>
              <w:t>；</w:t>
            </w:r>
            <w:r>
              <w:rPr>
                <w:rFonts w:hint="default" w:ascii="Times New Roman" w:hAnsi="Times New Roman" w:eastAsia="仿宋" w:cs="Times New Roman"/>
                <w:color w:val="auto"/>
                <w:sz w:val="24"/>
                <w:highlight w:val="none"/>
                <w:lang w:val="en-US" w:eastAsia="zh-CN"/>
              </w:rPr>
              <w:t>现有项目</w:t>
            </w:r>
            <w:r>
              <w:rPr>
                <w:rFonts w:hint="default" w:ascii="Times New Roman" w:hAnsi="Times New Roman" w:eastAsia="仿宋" w:cs="Times New Roman"/>
                <w:color w:val="auto"/>
                <w:sz w:val="24"/>
                <w:highlight w:val="none"/>
              </w:rPr>
              <w:t>无组织排放的二甲苯</w:t>
            </w:r>
            <w:r>
              <w:rPr>
                <w:rFonts w:hint="eastAsia" w:eastAsia="仿宋" w:cs="Times New Roman"/>
                <w:color w:val="auto"/>
                <w:sz w:val="24"/>
                <w:highlight w:val="none"/>
                <w:lang w:eastAsia="zh-CN"/>
              </w:rPr>
              <w:t>、</w:t>
            </w:r>
            <w:r>
              <w:rPr>
                <w:rFonts w:hint="default" w:ascii="Times New Roman" w:hAnsi="Times New Roman" w:eastAsia="仿宋" w:cs="Times New Roman"/>
                <w:color w:val="auto"/>
                <w:sz w:val="24"/>
                <w:highlight w:val="none"/>
              </w:rPr>
              <w:t>颗粒物、非甲烷总烃厂界浓度符合《大气污染物综合排放标准》（DB32/4041-2021）表3标准</w:t>
            </w:r>
            <w:bookmarkEnd w:id="4"/>
            <w:r>
              <w:rPr>
                <w:rFonts w:hint="default" w:ascii="Times New Roman" w:hAnsi="Times New Roman" w:eastAsia="仿宋" w:cs="Times New Roman"/>
                <w:color w:val="auto"/>
                <w:sz w:val="24"/>
              </w:rPr>
              <w:t>，厂区内非甲烷总烃浓度均值和最高值均符合《大气污染物综合排放标准》（DB32/4041-2021）表2标准。</w:t>
            </w:r>
          </w:p>
          <w:p w14:paraId="4DFA16C1">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3.</w:t>
            </w:r>
            <w:r>
              <w:rPr>
                <w:rFonts w:hint="default" w:ascii="Times New Roman" w:hAnsi="Times New Roman" w:eastAsia="仿宋" w:cs="Times New Roman"/>
                <w:color w:val="auto"/>
                <w:sz w:val="24"/>
              </w:rPr>
              <w:t>噪声</w:t>
            </w:r>
          </w:p>
          <w:p w14:paraId="04763838">
            <w:pPr>
              <w:spacing w:line="360" w:lineRule="auto"/>
              <w:ind w:firstLine="472"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pacing w:val="-2"/>
                <w:sz w:val="24"/>
              </w:rPr>
              <w:t>现有项目通过合理布局并采取有效的消声、减振、隔声等措施降低噪声。</w:t>
            </w:r>
            <w:r>
              <w:rPr>
                <w:rFonts w:hint="default" w:ascii="Times New Roman" w:hAnsi="Times New Roman" w:eastAsia="仿宋" w:cs="Times New Roman"/>
                <w:color w:val="auto"/>
                <w:sz w:val="24"/>
              </w:rPr>
              <w:t>根据</w:t>
            </w:r>
            <w:r>
              <w:rPr>
                <w:rFonts w:hint="default" w:ascii="Times New Roman" w:hAnsi="Times New Roman" w:eastAsia="仿宋" w:cs="Times New Roman"/>
                <w:color w:val="auto"/>
                <w:sz w:val="24"/>
                <w:lang w:val="en-US" w:eastAsia="zh-CN"/>
              </w:rPr>
              <w:t>南京万全检测技术</w:t>
            </w:r>
            <w:r>
              <w:rPr>
                <w:rFonts w:hint="default" w:ascii="Times New Roman" w:hAnsi="Times New Roman" w:eastAsia="仿宋" w:cs="Times New Roman"/>
                <w:color w:val="auto"/>
                <w:sz w:val="24"/>
              </w:rPr>
              <w:t>有限公司</w:t>
            </w:r>
            <w:r>
              <w:rPr>
                <w:rFonts w:hint="default" w:ascii="Times New Roman" w:hAnsi="Times New Roman" w:eastAsia="仿宋" w:cs="Times New Roman"/>
                <w:color w:val="auto"/>
                <w:sz w:val="24"/>
                <w:lang w:val="en-US" w:eastAsia="zh-CN"/>
              </w:rPr>
              <w:t>出具的监测报告（</w:t>
            </w:r>
            <w:r>
              <w:rPr>
                <w:rFonts w:hint="default" w:ascii="Times New Roman" w:hAnsi="Times New Roman" w:eastAsia="仿宋" w:cs="Times New Roman"/>
                <w:color w:val="auto"/>
                <w:sz w:val="24"/>
              </w:rPr>
              <w:t>报告编号：</w:t>
            </w:r>
            <w:r>
              <w:rPr>
                <w:rFonts w:hint="default" w:ascii="Times New Roman" w:hAnsi="Times New Roman" w:eastAsia="仿宋" w:cs="Times New Roman"/>
                <w:color w:val="auto"/>
                <w:sz w:val="24"/>
                <w:lang w:val="en-US" w:eastAsia="zh-CN"/>
              </w:rPr>
              <w:t>NVTT-2024-Y0177、NVTT-2022-Y0143），</w:t>
            </w:r>
            <w:r>
              <w:rPr>
                <w:rFonts w:hint="default" w:ascii="Times New Roman" w:hAnsi="Times New Roman" w:eastAsia="仿宋" w:cs="Times New Roman"/>
                <w:color w:val="auto"/>
                <w:sz w:val="24"/>
              </w:rPr>
              <w:t>现有项目各厂界环境噪声检测结果见表2-</w:t>
            </w:r>
            <w:r>
              <w:rPr>
                <w:rFonts w:hint="default" w:ascii="Times New Roman" w:hAnsi="Times New Roman" w:eastAsia="仿宋" w:cs="Times New Roman"/>
                <w:color w:val="auto"/>
                <w:sz w:val="24"/>
                <w:lang w:val="en-US" w:eastAsia="zh-CN"/>
              </w:rPr>
              <w:t>1</w:t>
            </w:r>
            <w:r>
              <w:rPr>
                <w:rFonts w:hint="eastAsia" w:eastAsia="仿宋" w:cs="Times New Roman"/>
                <w:color w:val="auto"/>
                <w:sz w:val="24"/>
                <w:lang w:val="en-US" w:eastAsia="zh-CN"/>
              </w:rPr>
              <w:t>6</w:t>
            </w:r>
            <w:r>
              <w:rPr>
                <w:rFonts w:hint="default" w:ascii="Times New Roman" w:hAnsi="Times New Roman" w:eastAsia="仿宋" w:cs="Times New Roman"/>
                <w:color w:val="auto"/>
                <w:sz w:val="24"/>
              </w:rPr>
              <w:t>。</w:t>
            </w:r>
          </w:p>
          <w:p w14:paraId="090D15DB">
            <w:pPr>
              <w:jc w:val="center"/>
              <w:rPr>
                <w:rFonts w:hint="default" w:ascii="Times New Roman" w:hAnsi="Times New Roman" w:eastAsia="仿宋" w:cs="Times New Roman"/>
                <w:b/>
                <w:color w:val="auto"/>
                <w:sz w:val="24"/>
              </w:rPr>
            </w:pPr>
          </w:p>
          <w:p w14:paraId="3F33677B">
            <w:pPr>
              <w:jc w:val="center"/>
              <w:rPr>
                <w:rFonts w:hint="default" w:ascii="Times New Roman" w:hAnsi="Times New Roman" w:eastAsia="仿宋" w:cs="Times New Roman"/>
                <w:b/>
                <w:color w:val="auto"/>
                <w:sz w:val="24"/>
              </w:rPr>
            </w:pPr>
          </w:p>
          <w:p w14:paraId="4541983E">
            <w:pPr>
              <w:jc w:val="center"/>
              <w:rPr>
                <w:rFonts w:hint="default" w:ascii="Times New Roman" w:hAnsi="Times New Roman" w:eastAsia="仿宋" w:cs="Times New Roman"/>
                <w:b/>
                <w:color w:val="auto"/>
                <w:sz w:val="24"/>
              </w:rPr>
            </w:pPr>
          </w:p>
          <w:p w14:paraId="4D5AB80C">
            <w:pPr>
              <w:jc w:val="center"/>
              <w:rPr>
                <w:rFonts w:hint="default" w:ascii="Times New Roman" w:hAnsi="Times New Roman" w:eastAsia="仿宋" w:cs="Times New Roman"/>
                <w:b/>
                <w:bCs/>
                <w:color w:val="auto"/>
                <w:sz w:val="24"/>
              </w:rPr>
            </w:pPr>
            <w:r>
              <w:rPr>
                <w:rFonts w:hint="default" w:ascii="Times New Roman" w:hAnsi="Times New Roman" w:eastAsia="仿宋" w:cs="Times New Roman"/>
                <w:b/>
                <w:color w:val="auto"/>
                <w:sz w:val="24"/>
              </w:rPr>
              <w:t>表2-</w:t>
            </w:r>
            <w:r>
              <w:rPr>
                <w:rFonts w:hint="default" w:ascii="Times New Roman" w:hAnsi="Times New Roman" w:eastAsia="仿宋" w:cs="Times New Roman"/>
                <w:b/>
                <w:color w:val="auto"/>
                <w:sz w:val="24"/>
                <w:lang w:val="en-US" w:eastAsia="zh-CN"/>
              </w:rPr>
              <w:t>1</w:t>
            </w:r>
            <w:r>
              <w:rPr>
                <w:rFonts w:hint="eastAsia" w:eastAsia="仿宋" w:cs="Times New Roman"/>
                <w:b/>
                <w:color w:val="auto"/>
                <w:sz w:val="24"/>
                <w:lang w:val="en-US" w:eastAsia="zh-CN"/>
              </w:rPr>
              <w:t>6</w:t>
            </w:r>
            <w:r>
              <w:rPr>
                <w:rFonts w:hint="default" w:ascii="Times New Roman" w:hAnsi="Times New Roman" w:eastAsia="仿宋" w:cs="Times New Roman"/>
                <w:b/>
                <w:color w:val="auto"/>
                <w:sz w:val="24"/>
              </w:rPr>
              <w:t xml:space="preserve">  各厂界环境噪声</w:t>
            </w:r>
            <w:r>
              <w:rPr>
                <w:rFonts w:hint="default" w:ascii="Times New Roman" w:hAnsi="Times New Roman" w:eastAsia="仿宋" w:cs="Times New Roman"/>
                <w:b/>
                <w:bCs/>
                <w:color w:val="auto"/>
                <w:sz w:val="24"/>
              </w:rPr>
              <w:t>检测结果一览表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2508"/>
              <w:gridCol w:w="2122"/>
              <w:gridCol w:w="2166"/>
            </w:tblGrid>
            <w:tr w14:paraId="61A38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945" w:type="pct"/>
                  <w:vAlign w:val="center"/>
                </w:tcPr>
                <w:p w14:paraId="40420FC4">
                  <w:pPr>
                    <w:widowControl/>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监测时间</w:t>
                  </w:r>
                </w:p>
              </w:tc>
              <w:tc>
                <w:tcPr>
                  <w:tcW w:w="1495" w:type="pct"/>
                  <w:vAlign w:val="center"/>
                </w:tcPr>
                <w:p w14:paraId="4163B256">
                  <w:pPr>
                    <w:widowControl/>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监测点位</w:t>
                  </w:r>
                </w:p>
              </w:tc>
              <w:tc>
                <w:tcPr>
                  <w:tcW w:w="1266" w:type="pct"/>
                  <w:vAlign w:val="center"/>
                </w:tcPr>
                <w:p w14:paraId="28BD68CE">
                  <w:pPr>
                    <w:widowControl/>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昼间噪声检测值dB（A）</w:t>
                  </w:r>
                </w:p>
              </w:tc>
              <w:tc>
                <w:tcPr>
                  <w:tcW w:w="1292" w:type="pct"/>
                  <w:vAlign w:val="center"/>
                </w:tcPr>
                <w:p w14:paraId="056A7F55">
                  <w:pPr>
                    <w:widowControl/>
                    <w:ind w:firstLine="0" w:firstLineChars="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夜间噪声检测值dB（A）</w:t>
                  </w:r>
                </w:p>
              </w:tc>
            </w:tr>
            <w:tr w14:paraId="4A31A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restart"/>
                  <w:vAlign w:val="center"/>
                </w:tcPr>
                <w:p w14:paraId="5892DBAC">
                  <w:pPr>
                    <w:ind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2022.04.18</w:t>
                  </w:r>
                </w:p>
              </w:tc>
              <w:tc>
                <w:tcPr>
                  <w:tcW w:w="1495" w:type="pct"/>
                  <w:vAlign w:val="center"/>
                </w:tcPr>
                <w:p w14:paraId="1502435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D7东厂界外1米处</w:t>
                  </w:r>
                </w:p>
              </w:tc>
              <w:tc>
                <w:tcPr>
                  <w:tcW w:w="1266" w:type="pct"/>
                  <w:vAlign w:val="center"/>
                </w:tcPr>
                <w:p w14:paraId="12DDD24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58.6</w:t>
                  </w:r>
                </w:p>
              </w:tc>
              <w:tc>
                <w:tcPr>
                  <w:tcW w:w="1292" w:type="pct"/>
                  <w:vAlign w:val="center"/>
                </w:tcPr>
                <w:p w14:paraId="62D96CD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48.2</w:t>
                  </w:r>
                </w:p>
              </w:tc>
            </w:tr>
            <w:tr w14:paraId="545DA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6DC7F5FB">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2B3480DE">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D7南厂界外1米处</w:t>
                  </w:r>
                </w:p>
              </w:tc>
              <w:tc>
                <w:tcPr>
                  <w:tcW w:w="1266" w:type="pct"/>
                  <w:vAlign w:val="center"/>
                </w:tcPr>
                <w:p w14:paraId="184080AB">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57.7</w:t>
                  </w:r>
                </w:p>
              </w:tc>
              <w:tc>
                <w:tcPr>
                  <w:tcW w:w="1292" w:type="pct"/>
                  <w:vAlign w:val="center"/>
                </w:tcPr>
                <w:p w14:paraId="7D94E68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46.8</w:t>
                  </w:r>
                </w:p>
              </w:tc>
            </w:tr>
            <w:tr w14:paraId="5FE7C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27A44B6B">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64EE08C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D7西厂界外1米处</w:t>
                  </w:r>
                </w:p>
              </w:tc>
              <w:tc>
                <w:tcPr>
                  <w:tcW w:w="1266" w:type="pct"/>
                  <w:vAlign w:val="center"/>
                </w:tcPr>
                <w:p w14:paraId="1AD2DFDB">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58.2</w:t>
                  </w:r>
                </w:p>
              </w:tc>
              <w:tc>
                <w:tcPr>
                  <w:tcW w:w="1292" w:type="pct"/>
                  <w:vAlign w:val="center"/>
                </w:tcPr>
                <w:p w14:paraId="26E2A52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47.4</w:t>
                  </w:r>
                </w:p>
              </w:tc>
            </w:tr>
            <w:tr w14:paraId="65AE9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pct"/>
                  <w:vMerge w:val="continue"/>
                  <w:vAlign w:val="center"/>
                </w:tcPr>
                <w:p w14:paraId="58D5E868">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2141CAA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D7北厂界外1米处</w:t>
                  </w:r>
                </w:p>
              </w:tc>
              <w:tc>
                <w:tcPr>
                  <w:tcW w:w="1266" w:type="pct"/>
                  <w:vAlign w:val="center"/>
                </w:tcPr>
                <w:p w14:paraId="74083F9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57.0</w:t>
                  </w:r>
                </w:p>
              </w:tc>
              <w:tc>
                <w:tcPr>
                  <w:tcW w:w="1292" w:type="pct"/>
                  <w:vAlign w:val="center"/>
                </w:tcPr>
                <w:p w14:paraId="7B7C2BF0">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46.5</w:t>
                  </w:r>
                </w:p>
              </w:tc>
            </w:tr>
            <w:tr w14:paraId="3A545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76D4C02D">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5ADD6333">
                  <w:pPr>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F16东厂界外1米处</w:t>
                  </w:r>
                </w:p>
              </w:tc>
              <w:tc>
                <w:tcPr>
                  <w:tcW w:w="1266" w:type="pct"/>
                  <w:vAlign w:val="center"/>
                </w:tcPr>
                <w:p w14:paraId="7A33883F">
                  <w:pPr>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56.3</w:t>
                  </w:r>
                </w:p>
              </w:tc>
              <w:tc>
                <w:tcPr>
                  <w:tcW w:w="1292" w:type="pct"/>
                  <w:vAlign w:val="center"/>
                </w:tcPr>
                <w:p w14:paraId="25FEC83B">
                  <w:pPr>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46.6</w:t>
                  </w:r>
                </w:p>
              </w:tc>
            </w:tr>
            <w:tr w14:paraId="729B8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507EA946">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2630C736">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F16南厂界外1米处</w:t>
                  </w:r>
                </w:p>
              </w:tc>
              <w:tc>
                <w:tcPr>
                  <w:tcW w:w="1266" w:type="pct"/>
                  <w:vAlign w:val="center"/>
                </w:tcPr>
                <w:p w14:paraId="385721D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56.5</w:t>
                  </w:r>
                </w:p>
              </w:tc>
              <w:tc>
                <w:tcPr>
                  <w:tcW w:w="1292" w:type="pct"/>
                  <w:vAlign w:val="center"/>
                </w:tcPr>
                <w:p w14:paraId="01BAB41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46.9</w:t>
                  </w:r>
                </w:p>
              </w:tc>
            </w:tr>
            <w:tr w14:paraId="3A07A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pct"/>
                  <w:vMerge w:val="continue"/>
                  <w:vAlign w:val="center"/>
                </w:tcPr>
                <w:p w14:paraId="54B899E8">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48F52C3A">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F16西厂界外1米处</w:t>
                  </w:r>
                </w:p>
              </w:tc>
              <w:tc>
                <w:tcPr>
                  <w:tcW w:w="1266" w:type="pct"/>
                  <w:vAlign w:val="center"/>
                </w:tcPr>
                <w:p w14:paraId="00AE89D6">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57.3</w:t>
                  </w:r>
                </w:p>
              </w:tc>
              <w:tc>
                <w:tcPr>
                  <w:tcW w:w="1292" w:type="pct"/>
                  <w:vAlign w:val="center"/>
                </w:tcPr>
                <w:p w14:paraId="42EA8546">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47.4</w:t>
                  </w:r>
                </w:p>
              </w:tc>
            </w:tr>
            <w:tr w14:paraId="6EE73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51A72986">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14F0CD8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F16北厂界外1米处</w:t>
                  </w:r>
                </w:p>
              </w:tc>
              <w:tc>
                <w:tcPr>
                  <w:tcW w:w="1266" w:type="pct"/>
                  <w:vAlign w:val="center"/>
                </w:tcPr>
                <w:p w14:paraId="7509715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58.0</w:t>
                  </w:r>
                </w:p>
              </w:tc>
              <w:tc>
                <w:tcPr>
                  <w:tcW w:w="1292" w:type="pct"/>
                  <w:vAlign w:val="center"/>
                </w:tcPr>
                <w:p w14:paraId="064DBA0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47.8</w:t>
                  </w:r>
                </w:p>
              </w:tc>
            </w:tr>
            <w:tr w14:paraId="66278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restart"/>
                  <w:vAlign w:val="center"/>
                </w:tcPr>
                <w:p w14:paraId="2DCA8D90">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2022.04.19</w:t>
                  </w:r>
                </w:p>
              </w:tc>
              <w:tc>
                <w:tcPr>
                  <w:tcW w:w="1495" w:type="pct"/>
                  <w:vAlign w:val="center"/>
                </w:tcPr>
                <w:p w14:paraId="4EA5873B">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D7东厂界外1米处</w:t>
                  </w:r>
                </w:p>
              </w:tc>
              <w:tc>
                <w:tcPr>
                  <w:tcW w:w="1266" w:type="pct"/>
                  <w:vAlign w:val="center"/>
                </w:tcPr>
                <w:p w14:paraId="3F41CBE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58.4</w:t>
                  </w:r>
                </w:p>
              </w:tc>
              <w:tc>
                <w:tcPr>
                  <w:tcW w:w="1292" w:type="pct"/>
                  <w:vAlign w:val="center"/>
                </w:tcPr>
                <w:p w14:paraId="5A39601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48.0</w:t>
                  </w:r>
                </w:p>
              </w:tc>
            </w:tr>
            <w:tr w14:paraId="743A6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148C1359">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5CCF01F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D7南厂界外1米处</w:t>
                  </w:r>
                </w:p>
              </w:tc>
              <w:tc>
                <w:tcPr>
                  <w:tcW w:w="1266" w:type="pct"/>
                  <w:vAlign w:val="center"/>
                </w:tcPr>
                <w:p w14:paraId="0C8B494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57.5</w:t>
                  </w:r>
                </w:p>
              </w:tc>
              <w:tc>
                <w:tcPr>
                  <w:tcW w:w="1292" w:type="pct"/>
                  <w:vAlign w:val="center"/>
                </w:tcPr>
                <w:p w14:paraId="56862B5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46.6</w:t>
                  </w:r>
                </w:p>
              </w:tc>
            </w:tr>
            <w:tr w14:paraId="69B5D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7F6AD831">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40F4C23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D7西厂界外1米处</w:t>
                  </w:r>
                </w:p>
              </w:tc>
              <w:tc>
                <w:tcPr>
                  <w:tcW w:w="1266" w:type="pct"/>
                  <w:vAlign w:val="center"/>
                </w:tcPr>
                <w:p w14:paraId="08CB9FE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58.0</w:t>
                  </w:r>
                </w:p>
              </w:tc>
              <w:tc>
                <w:tcPr>
                  <w:tcW w:w="1292" w:type="pct"/>
                  <w:vAlign w:val="center"/>
                </w:tcPr>
                <w:p w14:paraId="06C25EA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47.2</w:t>
                  </w:r>
                </w:p>
              </w:tc>
            </w:tr>
            <w:tr w14:paraId="114DD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00340AD3">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67900283">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D7北厂界外1米处</w:t>
                  </w:r>
                </w:p>
              </w:tc>
              <w:tc>
                <w:tcPr>
                  <w:tcW w:w="1266" w:type="pct"/>
                  <w:vAlign w:val="center"/>
                </w:tcPr>
                <w:p w14:paraId="1ABD4ED5">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56.9</w:t>
                  </w:r>
                </w:p>
              </w:tc>
              <w:tc>
                <w:tcPr>
                  <w:tcW w:w="1292" w:type="pct"/>
                  <w:vAlign w:val="center"/>
                </w:tcPr>
                <w:p w14:paraId="6B86112D">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46.3</w:t>
                  </w:r>
                </w:p>
              </w:tc>
            </w:tr>
            <w:tr w14:paraId="55D16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7224D67E">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0A458887">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F16东厂界外1米处</w:t>
                  </w:r>
                </w:p>
              </w:tc>
              <w:tc>
                <w:tcPr>
                  <w:tcW w:w="1266" w:type="pct"/>
                  <w:vAlign w:val="center"/>
                </w:tcPr>
                <w:p w14:paraId="2893541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56.5</w:t>
                  </w:r>
                </w:p>
              </w:tc>
              <w:tc>
                <w:tcPr>
                  <w:tcW w:w="1292" w:type="pct"/>
                  <w:vAlign w:val="center"/>
                </w:tcPr>
                <w:p w14:paraId="370F022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46.7</w:t>
                  </w:r>
                </w:p>
              </w:tc>
            </w:tr>
            <w:tr w14:paraId="5343B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5EBACDB5">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3F728879">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F16南厂界外1米处</w:t>
                  </w:r>
                </w:p>
              </w:tc>
              <w:tc>
                <w:tcPr>
                  <w:tcW w:w="1266" w:type="pct"/>
                  <w:vAlign w:val="center"/>
                </w:tcPr>
                <w:p w14:paraId="27EA5D21">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56.4</w:t>
                  </w:r>
                </w:p>
              </w:tc>
              <w:tc>
                <w:tcPr>
                  <w:tcW w:w="1292" w:type="pct"/>
                  <w:vAlign w:val="center"/>
                </w:tcPr>
                <w:p w14:paraId="6503864A">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46.8</w:t>
                  </w:r>
                </w:p>
              </w:tc>
            </w:tr>
            <w:tr w14:paraId="6E833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6754AC89">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366BFC68">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F16西厂界外1米处</w:t>
                  </w:r>
                </w:p>
              </w:tc>
              <w:tc>
                <w:tcPr>
                  <w:tcW w:w="1266" w:type="pct"/>
                  <w:vAlign w:val="center"/>
                </w:tcPr>
                <w:p w14:paraId="67BEE630">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57.5</w:t>
                  </w:r>
                </w:p>
              </w:tc>
              <w:tc>
                <w:tcPr>
                  <w:tcW w:w="1292" w:type="pct"/>
                  <w:vAlign w:val="center"/>
                </w:tcPr>
                <w:p w14:paraId="2191B96C">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47.3</w:t>
                  </w:r>
                </w:p>
              </w:tc>
            </w:tr>
            <w:tr w14:paraId="3DDC1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3A47C3B7">
                  <w:pPr>
                    <w:widowControl/>
                    <w:ind w:firstLine="0" w:firstLineChars="0"/>
                    <w:jc w:val="center"/>
                    <w:rPr>
                      <w:rFonts w:hint="default" w:ascii="Times New Roman" w:hAnsi="Times New Roman" w:eastAsia="仿宋" w:cs="Times New Roman"/>
                      <w:kern w:val="0"/>
                      <w:sz w:val="21"/>
                      <w:szCs w:val="21"/>
                    </w:rPr>
                  </w:pPr>
                </w:p>
              </w:tc>
              <w:tc>
                <w:tcPr>
                  <w:tcW w:w="1495" w:type="pct"/>
                  <w:vAlign w:val="center"/>
                </w:tcPr>
                <w:p w14:paraId="6E2C191F">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F16北厂界外1米处</w:t>
                  </w:r>
                </w:p>
              </w:tc>
              <w:tc>
                <w:tcPr>
                  <w:tcW w:w="1266" w:type="pct"/>
                  <w:vAlign w:val="center"/>
                </w:tcPr>
                <w:p w14:paraId="2CCCABB4">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57.8</w:t>
                  </w:r>
                </w:p>
              </w:tc>
              <w:tc>
                <w:tcPr>
                  <w:tcW w:w="1292" w:type="pct"/>
                  <w:vAlign w:val="center"/>
                </w:tcPr>
                <w:p w14:paraId="42E3F288">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47.9</w:t>
                  </w:r>
                </w:p>
              </w:tc>
            </w:tr>
            <w:tr w14:paraId="75D45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restart"/>
                  <w:shd w:val="clear" w:color="auto" w:fill="auto"/>
                  <w:vAlign w:val="center"/>
                </w:tcPr>
                <w:p w14:paraId="1FB94CE4">
                  <w:pPr>
                    <w:spacing w:after="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2024.</w:t>
                  </w:r>
                  <w:r>
                    <w:rPr>
                      <w:rFonts w:hint="default" w:ascii="Times New Roman" w:hAnsi="Times New Roman" w:eastAsia="仿宋" w:cs="Times New Roman"/>
                      <w:sz w:val="21"/>
                      <w:szCs w:val="21"/>
                      <w:lang w:val="en-US" w:eastAsia="zh-CN"/>
                    </w:rPr>
                    <w:t>6</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w:t>
                  </w:r>
                  <w:r>
                    <w:rPr>
                      <w:rFonts w:hint="default" w:ascii="Times New Roman" w:hAnsi="Times New Roman" w:eastAsia="仿宋" w:cs="Times New Roman"/>
                      <w:sz w:val="21"/>
                      <w:szCs w:val="21"/>
                    </w:rPr>
                    <w:t>4</w:t>
                  </w:r>
                </w:p>
              </w:tc>
              <w:tc>
                <w:tcPr>
                  <w:tcW w:w="1495" w:type="pct"/>
                  <w:shd w:val="clear" w:color="auto" w:fill="auto"/>
                  <w:vAlign w:val="center"/>
                </w:tcPr>
                <w:p w14:paraId="390D7DD9">
                  <w:pPr>
                    <w:widowControl/>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D7东厂界外1米处</w:t>
                  </w:r>
                </w:p>
              </w:tc>
              <w:tc>
                <w:tcPr>
                  <w:tcW w:w="1266" w:type="pct"/>
                  <w:shd w:val="clear" w:color="auto" w:fill="auto"/>
                  <w:vAlign w:val="center"/>
                </w:tcPr>
                <w:p w14:paraId="324DBD3E">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54.4</w:t>
                  </w:r>
                </w:p>
              </w:tc>
              <w:tc>
                <w:tcPr>
                  <w:tcW w:w="1292" w:type="pct"/>
                  <w:shd w:val="clear" w:color="auto" w:fill="auto"/>
                  <w:vAlign w:val="center"/>
                </w:tcPr>
                <w:p w14:paraId="596FF548">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45.1</w:t>
                  </w:r>
                </w:p>
              </w:tc>
            </w:tr>
            <w:tr w14:paraId="180A6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15BD502F">
                  <w:pPr>
                    <w:widowControl/>
                    <w:ind w:firstLine="0" w:firstLineChars="0"/>
                    <w:jc w:val="center"/>
                    <w:rPr>
                      <w:rFonts w:hint="default" w:ascii="Times New Roman" w:hAnsi="Times New Roman" w:eastAsia="仿宋" w:cs="Times New Roman"/>
                      <w:kern w:val="0"/>
                      <w:sz w:val="21"/>
                      <w:szCs w:val="21"/>
                    </w:rPr>
                  </w:pPr>
                </w:p>
              </w:tc>
              <w:tc>
                <w:tcPr>
                  <w:tcW w:w="1495" w:type="pct"/>
                  <w:shd w:val="clear" w:color="auto" w:fill="auto"/>
                  <w:vAlign w:val="center"/>
                </w:tcPr>
                <w:p w14:paraId="5DD5A60F">
                  <w:pPr>
                    <w:widowControl/>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D7南厂界外1米处</w:t>
                  </w:r>
                </w:p>
              </w:tc>
              <w:tc>
                <w:tcPr>
                  <w:tcW w:w="1266" w:type="pct"/>
                  <w:shd w:val="clear" w:color="auto" w:fill="auto"/>
                  <w:vAlign w:val="center"/>
                </w:tcPr>
                <w:p w14:paraId="18F0CD0A">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57.9</w:t>
                  </w:r>
                </w:p>
              </w:tc>
              <w:tc>
                <w:tcPr>
                  <w:tcW w:w="1292" w:type="pct"/>
                  <w:shd w:val="clear" w:color="auto" w:fill="auto"/>
                  <w:vAlign w:val="center"/>
                </w:tcPr>
                <w:p w14:paraId="1168EAC3">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48.8</w:t>
                  </w:r>
                </w:p>
              </w:tc>
            </w:tr>
            <w:tr w14:paraId="426F6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36075CA3">
                  <w:pPr>
                    <w:widowControl/>
                    <w:ind w:firstLine="0" w:firstLineChars="0"/>
                    <w:jc w:val="center"/>
                    <w:rPr>
                      <w:rFonts w:hint="default" w:ascii="Times New Roman" w:hAnsi="Times New Roman" w:eastAsia="仿宋" w:cs="Times New Roman"/>
                      <w:kern w:val="0"/>
                      <w:sz w:val="21"/>
                      <w:szCs w:val="21"/>
                    </w:rPr>
                  </w:pPr>
                </w:p>
              </w:tc>
              <w:tc>
                <w:tcPr>
                  <w:tcW w:w="1495" w:type="pct"/>
                  <w:shd w:val="clear" w:color="auto" w:fill="auto"/>
                  <w:vAlign w:val="center"/>
                </w:tcPr>
                <w:p w14:paraId="50740156">
                  <w:pPr>
                    <w:widowControl/>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D7西厂界外1米处</w:t>
                  </w:r>
                </w:p>
              </w:tc>
              <w:tc>
                <w:tcPr>
                  <w:tcW w:w="1266" w:type="pct"/>
                  <w:shd w:val="clear" w:color="auto" w:fill="auto"/>
                  <w:vAlign w:val="center"/>
                </w:tcPr>
                <w:p w14:paraId="4E8F3D0C">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55.</w:t>
                  </w:r>
                  <w:r>
                    <w:rPr>
                      <w:rFonts w:hint="default" w:ascii="Times New Roman" w:hAnsi="Times New Roman" w:eastAsia="仿宋" w:cs="Times New Roman"/>
                      <w:sz w:val="21"/>
                      <w:szCs w:val="21"/>
                      <w:lang w:val="en-US" w:eastAsia="zh-CN"/>
                    </w:rPr>
                    <w:t>6</w:t>
                  </w:r>
                </w:p>
              </w:tc>
              <w:tc>
                <w:tcPr>
                  <w:tcW w:w="1292" w:type="pct"/>
                  <w:shd w:val="clear" w:color="auto" w:fill="auto"/>
                  <w:vAlign w:val="center"/>
                </w:tcPr>
                <w:p w14:paraId="429C88D2">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4</w:t>
                  </w:r>
                  <w:r>
                    <w:rPr>
                      <w:rFonts w:hint="default" w:ascii="Times New Roman" w:hAnsi="Times New Roman" w:eastAsia="仿宋" w:cs="Times New Roman"/>
                      <w:sz w:val="21"/>
                      <w:szCs w:val="21"/>
                      <w:lang w:val="en-US" w:eastAsia="zh-CN"/>
                    </w:rPr>
                    <w:t>6.1</w:t>
                  </w:r>
                </w:p>
              </w:tc>
            </w:tr>
            <w:tr w14:paraId="51408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4BE32134">
                  <w:pPr>
                    <w:widowControl/>
                    <w:ind w:firstLine="0" w:firstLineChars="0"/>
                    <w:jc w:val="center"/>
                    <w:rPr>
                      <w:rFonts w:hint="default" w:ascii="Times New Roman" w:hAnsi="Times New Roman" w:eastAsia="仿宋" w:cs="Times New Roman"/>
                      <w:kern w:val="0"/>
                      <w:sz w:val="21"/>
                      <w:szCs w:val="21"/>
                    </w:rPr>
                  </w:pPr>
                </w:p>
              </w:tc>
              <w:tc>
                <w:tcPr>
                  <w:tcW w:w="1495" w:type="pct"/>
                  <w:shd w:val="clear" w:color="auto" w:fill="auto"/>
                  <w:vAlign w:val="center"/>
                </w:tcPr>
                <w:p w14:paraId="5261A2D2">
                  <w:pPr>
                    <w:widowControl/>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D7北厂界外1米处</w:t>
                  </w:r>
                </w:p>
              </w:tc>
              <w:tc>
                <w:tcPr>
                  <w:tcW w:w="1266" w:type="pct"/>
                  <w:shd w:val="clear" w:color="auto" w:fill="auto"/>
                  <w:vAlign w:val="center"/>
                </w:tcPr>
                <w:p w14:paraId="014A9095">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56.</w:t>
                  </w:r>
                  <w:r>
                    <w:rPr>
                      <w:rFonts w:hint="default" w:ascii="Times New Roman" w:hAnsi="Times New Roman" w:eastAsia="仿宋" w:cs="Times New Roman"/>
                      <w:sz w:val="21"/>
                      <w:szCs w:val="21"/>
                      <w:lang w:val="en-US" w:eastAsia="zh-CN"/>
                    </w:rPr>
                    <w:t>6</w:t>
                  </w:r>
                </w:p>
              </w:tc>
              <w:tc>
                <w:tcPr>
                  <w:tcW w:w="1292" w:type="pct"/>
                  <w:shd w:val="clear" w:color="auto" w:fill="auto"/>
                  <w:vAlign w:val="center"/>
                </w:tcPr>
                <w:p w14:paraId="66EE79FD">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47.4</w:t>
                  </w:r>
                </w:p>
              </w:tc>
            </w:tr>
            <w:tr w14:paraId="51F03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restart"/>
                  <w:shd w:val="clear" w:color="auto" w:fill="auto"/>
                  <w:vAlign w:val="center"/>
                </w:tcPr>
                <w:p w14:paraId="58D83359">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2024.</w:t>
                  </w:r>
                  <w:r>
                    <w:rPr>
                      <w:rFonts w:hint="default" w:ascii="Times New Roman" w:hAnsi="Times New Roman" w:eastAsia="仿宋" w:cs="Times New Roman"/>
                      <w:sz w:val="21"/>
                      <w:szCs w:val="21"/>
                      <w:lang w:val="en-US" w:eastAsia="zh-CN"/>
                    </w:rPr>
                    <w:t>6</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w:t>
                  </w:r>
                  <w:r>
                    <w:rPr>
                      <w:rFonts w:hint="default" w:ascii="Times New Roman" w:hAnsi="Times New Roman" w:eastAsia="仿宋" w:cs="Times New Roman"/>
                      <w:sz w:val="21"/>
                      <w:szCs w:val="21"/>
                    </w:rPr>
                    <w:t>5</w:t>
                  </w:r>
                </w:p>
              </w:tc>
              <w:tc>
                <w:tcPr>
                  <w:tcW w:w="1495" w:type="pct"/>
                  <w:shd w:val="clear" w:color="auto" w:fill="auto"/>
                  <w:vAlign w:val="center"/>
                </w:tcPr>
                <w:p w14:paraId="78FF665F">
                  <w:pPr>
                    <w:widowControl/>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D7东厂界外1米处</w:t>
                  </w:r>
                </w:p>
              </w:tc>
              <w:tc>
                <w:tcPr>
                  <w:tcW w:w="1266" w:type="pct"/>
                  <w:shd w:val="clear" w:color="auto" w:fill="auto"/>
                  <w:vAlign w:val="center"/>
                </w:tcPr>
                <w:p w14:paraId="5EEFF33E">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53.8</w:t>
                  </w:r>
                </w:p>
              </w:tc>
              <w:tc>
                <w:tcPr>
                  <w:tcW w:w="1292" w:type="pct"/>
                  <w:shd w:val="clear" w:color="auto" w:fill="auto"/>
                  <w:vAlign w:val="center"/>
                </w:tcPr>
                <w:p w14:paraId="55F9B3B8">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44.5</w:t>
                  </w:r>
                </w:p>
              </w:tc>
            </w:tr>
            <w:tr w14:paraId="0CE3B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32511E3B">
                  <w:pPr>
                    <w:widowControl/>
                    <w:ind w:firstLine="0" w:firstLineChars="0"/>
                    <w:jc w:val="center"/>
                    <w:rPr>
                      <w:rFonts w:hint="default" w:ascii="Times New Roman" w:hAnsi="Times New Roman" w:eastAsia="仿宋" w:cs="Times New Roman"/>
                      <w:kern w:val="0"/>
                      <w:sz w:val="21"/>
                      <w:szCs w:val="21"/>
                    </w:rPr>
                  </w:pPr>
                </w:p>
              </w:tc>
              <w:tc>
                <w:tcPr>
                  <w:tcW w:w="1495" w:type="pct"/>
                  <w:shd w:val="clear" w:color="auto" w:fill="auto"/>
                  <w:vAlign w:val="center"/>
                </w:tcPr>
                <w:p w14:paraId="04490F8E">
                  <w:pPr>
                    <w:widowControl/>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D7南厂界外1米处</w:t>
                  </w:r>
                </w:p>
              </w:tc>
              <w:tc>
                <w:tcPr>
                  <w:tcW w:w="1266" w:type="pct"/>
                  <w:shd w:val="clear" w:color="auto" w:fill="auto"/>
                  <w:vAlign w:val="center"/>
                </w:tcPr>
                <w:p w14:paraId="786C0DA1">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56.5</w:t>
                  </w:r>
                </w:p>
              </w:tc>
              <w:tc>
                <w:tcPr>
                  <w:tcW w:w="1292" w:type="pct"/>
                  <w:shd w:val="clear" w:color="auto" w:fill="auto"/>
                  <w:vAlign w:val="center"/>
                </w:tcPr>
                <w:p w14:paraId="0D8F00B6">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47.2</w:t>
                  </w:r>
                </w:p>
              </w:tc>
            </w:tr>
            <w:tr w14:paraId="72E94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441D5C43">
                  <w:pPr>
                    <w:widowControl/>
                    <w:ind w:firstLine="0" w:firstLineChars="0"/>
                    <w:jc w:val="center"/>
                    <w:rPr>
                      <w:rFonts w:hint="default" w:ascii="Times New Roman" w:hAnsi="Times New Roman" w:eastAsia="仿宋" w:cs="Times New Roman"/>
                      <w:kern w:val="0"/>
                      <w:sz w:val="21"/>
                      <w:szCs w:val="21"/>
                    </w:rPr>
                  </w:pPr>
                </w:p>
              </w:tc>
              <w:tc>
                <w:tcPr>
                  <w:tcW w:w="1495" w:type="pct"/>
                  <w:shd w:val="clear" w:color="auto" w:fill="auto"/>
                  <w:vAlign w:val="center"/>
                </w:tcPr>
                <w:p w14:paraId="04DEA8F3">
                  <w:pPr>
                    <w:widowControl/>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D7西厂界外1米处</w:t>
                  </w:r>
                </w:p>
              </w:tc>
              <w:tc>
                <w:tcPr>
                  <w:tcW w:w="1266" w:type="pct"/>
                  <w:shd w:val="clear" w:color="auto" w:fill="auto"/>
                  <w:vAlign w:val="center"/>
                </w:tcPr>
                <w:p w14:paraId="52096551">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54.3</w:t>
                  </w:r>
                </w:p>
              </w:tc>
              <w:tc>
                <w:tcPr>
                  <w:tcW w:w="1292" w:type="pct"/>
                  <w:shd w:val="clear" w:color="auto" w:fill="auto"/>
                  <w:vAlign w:val="center"/>
                </w:tcPr>
                <w:p w14:paraId="347831FD">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45.0</w:t>
                  </w:r>
                </w:p>
              </w:tc>
            </w:tr>
            <w:tr w14:paraId="7CD0E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45" w:type="pct"/>
                  <w:vMerge w:val="continue"/>
                  <w:vAlign w:val="center"/>
                </w:tcPr>
                <w:p w14:paraId="7BD58FA5">
                  <w:pPr>
                    <w:widowControl/>
                    <w:ind w:firstLine="0" w:firstLineChars="0"/>
                    <w:jc w:val="center"/>
                    <w:rPr>
                      <w:rFonts w:hint="default" w:ascii="Times New Roman" w:hAnsi="Times New Roman" w:eastAsia="仿宋" w:cs="Times New Roman"/>
                      <w:kern w:val="0"/>
                      <w:sz w:val="21"/>
                      <w:szCs w:val="21"/>
                    </w:rPr>
                  </w:pPr>
                </w:p>
              </w:tc>
              <w:tc>
                <w:tcPr>
                  <w:tcW w:w="1495" w:type="pct"/>
                  <w:shd w:val="clear" w:color="auto" w:fill="auto"/>
                  <w:vAlign w:val="center"/>
                </w:tcPr>
                <w:p w14:paraId="10428378">
                  <w:pPr>
                    <w:widowControl/>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D7北厂界外1米处</w:t>
                  </w:r>
                </w:p>
              </w:tc>
              <w:tc>
                <w:tcPr>
                  <w:tcW w:w="1266" w:type="pct"/>
                  <w:shd w:val="clear" w:color="auto" w:fill="auto"/>
                  <w:vAlign w:val="center"/>
                </w:tcPr>
                <w:p w14:paraId="099A9E3D">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55.4</w:t>
                  </w:r>
                </w:p>
              </w:tc>
              <w:tc>
                <w:tcPr>
                  <w:tcW w:w="1292" w:type="pct"/>
                  <w:shd w:val="clear" w:color="auto" w:fill="auto"/>
                  <w:vAlign w:val="center"/>
                </w:tcPr>
                <w:p w14:paraId="5793077D">
                  <w:pPr>
                    <w:spacing w:after="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46.5</w:t>
                  </w:r>
                </w:p>
              </w:tc>
            </w:tr>
            <w:tr w14:paraId="04325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1" w:type="pct"/>
                  <w:gridSpan w:val="2"/>
                  <w:vAlign w:val="center"/>
                </w:tcPr>
                <w:p w14:paraId="36EB13A2">
                  <w:pPr>
                    <w:widowControl/>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 w:val="21"/>
                      <w:szCs w:val="21"/>
                    </w:rPr>
                    <w:t>标准</w:t>
                  </w:r>
                  <w:r>
                    <w:rPr>
                      <w:rFonts w:hint="default" w:ascii="Times New Roman" w:hAnsi="Times New Roman" w:eastAsia="仿宋" w:cs="Times New Roman"/>
                      <w:kern w:val="0"/>
                      <w:sz w:val="21"/>
                      <w:szCs w:val="21"/>
                      <w:lang w:val="en-US" w:eastAsia="zh-CN"/>
                    </w:rPr>
                    <w:t>限值</w:t>
                  </w:r>
                </w:p>
              </w:tc>
              <w:tc>
                <w:tcPr>
                  <w:tcW w:w="1266" w:type="pct"/>
                  <w:vAlign w:val="center"/>
                </w:tcPr>
                <w:p w14:paraId="735CF482">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65</w:t>
                  </w:r>
                </w:p>
              </w:tc>
              <w:tc>
                <w:tcPr>
                  <w:tcW w:w="1292" w:type="pct"/>
                  <w:vAlign w:val="center"/>
                </w:tcPr>
                <w:p w14:paraId="501D0414">
                  <w:pPr>
                    <w:widowControl/>
                    <w:ind w:firstLine="0" w:firstLineChars="0"/>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55</w:t>
                  </w:r>
                </w:p>
              </w:tc>
            </w:tr>
          </w:tbl>
          <w:p w14:paraId="0BBF3BF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由上表可知，</w:t>
            </w:r>
            <w:r>
              <w:rPr>
                <w:rFonts w:hint="default" w:ascii="Times New Roman" w:hAnsi="Times New Roman" w:eastAsia="仿宋" w:cs="Times New Roman"/>
                <w:color w:val="auto"/>
                <w:sz w:val="24"/>
                <w:lang w:val="en-US" w:eastAsia="zh-CN"/>
              </w:rPr>
              <w:t>现有项目各</w:t>
            </w:r>
            <w:r>
              <w:rPr>
                <w:rFonts w:hint="default" w:ascii="Times New Roman" w:hAnsi="Times New Roman" w:eastAsia="仿宋" w:cs="Times New Roman"/>
                <w:color w:val="auto"/>
                <w:sz w:val="24"/>
              </w:rPr>
              <w:t>厂界测点昼间</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lang w:val="en-US" w:eastAsia="zh-CN"/>
              </w:rPr>
              <w:t>夜间</w:t>
            </w:r>
            <w:r>
              <w:rPr>
                <w:rFonts w:hint="default" w:ascii="Times New Roman" w:hAnsi="Times New Roman" w:eastAsia="仿宋" w:cs="Times New Roman"/>
                <w:color w:val="auto"/>
                <w:sz w:val="24"/>
              </w:rPr>
              <w:t>噪声均符合《工业企业厂界环境噪声排放标准》（GB 12348-2008）表1中</w:t>
            </w:r>
            <w:r>
              <w:rPr>
                <w:rFonts w:hint="default" w:ascii="Times New Roman" w:hAnsi="Times New Roman" w:eastAsia="仿宋" w:cs="Times New Roman"/>
                <w:color w:val="auto"/>
                <w:sz w:val="24"/>
                <w:lang w:val="en-US" w:eastAsia="zh-CN"/>
              </w:rPr>
              <w:t>3</w:t>
            </w:r>
            <w:r>
              <w:rPr>
                <w:rFonts w:hint="default" w:ascii="Times New Roman" w:hAnsi="Times New Roman" w:eastAsia="仿宋" w:cs="Times New Roman"/>
                <w:color w:val="auto"/>
                <w:sz w:val="24"/>
              </w:rPr>
              <w:t>类声环境功能区对应标准限值。</w:t>
            </w:r>
          </w:p>
          <w:p w14:paraId="19AF152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eastAsia="zh-CN"/>
              </w:rPr>
              <w:t>4.</w:t>
            </w:r>
            <w:r>
              <w:rPr>
                <w:rFonts w:hint="default" w:ascii="Times New Roman" w:hAnsi="Times New Roman" w:eastAsia="仿宋" w:cs="Times New Roman"/>
                <w:color w:val="auto"/>
                <w:sz w:val="24"/>
              </w:rPr>
              <w:t>固废</w:t>
            </w:r>
          </w:p>
          <w:p w14:paraId="5502B897">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现有项目产生的一般工业固体废物</w:t>
            </w:r>
            <w:r>
              <w:rPr>
                <w:rFonts w:hint="default" w:ascii="Times New Roman" w:hAnsi="Times New Roman" w:eastAsia="仿宋" w:cs="Times New Roman"/>
                <w:color w:val="auto"/>
                <w:sz w:val="24"/>
                <w:lang w:val="en-US" w:eastAsia="zh-CN"/>
              </w:rPr>
              <w:t>废不锈钢丝、废尼龙丝、废PBT塑料丝</w:t>
            </w:r>
            <w:r>
              <w:rPr>
                <w:rFonts w:hint="eastAsia" w:eastAsia="仿宋" w:cs="Times New Roman"/>
                <w:color w:val="auto"/>
                <w:sz w:val="24"/>
                <w:lang w:val="en-US" w:eastAsia="zh-CN"/>
              </w:rPr>
              <w:t>、</w:t>
            </w:r>
            <w:r>
              <w:rPr>
                <w:rFonts w:hint="default" w:ascii="Times New Roman" w:hAnsi="Times New Roman" w:eastAsia="仿宋" w:cs="Times New Roman"/>
                <w:color w:val="auto"/>
                <w:sz w:val="24"/>
                <w:lang w:val="en-US" w:eastAsia="zh-CN"/>
              </w:rPr>
              <w:t>废包装袋、废绒毛</w:t>
            </w:r>
            <w:r>
              <w:rPr>
                <w:rFonts w:hint="eastAsia" w:ascii="Times New Roman" w:hAnsi="Times New Roman" w:eastAsia="仿宋" w:cs="Times New Roman"/>
                <w:color w:val="auto"/>
                <w:sz w:val="24"/>
                <w:lang w:eastAsia="zh-CN"/>
              </w:rPr>
              <w:t>、</w:t>
            </w:r>
            <w:r>
              <w:rPr>
                <w:rFonts w:hint="eastAsia" w:ascii="Times New Roman" w:hAnsi="Times New Roman" w:eastAsia="仿宋" w:cs="Times New Roman"/>
                <w:color w:val="auto"/>
                <w:sz w:val="24"/>
                <w:lang w:val="en-US" w:eastAsia="zh-CN"/>
              </w:rPr>
              <w:t>废</w:t>
            </w:r>
            <w:r>
              <w:rPr>
                <w:rFonts w:hint="eastAsia" w:eastAsia="仿宋" w:cs="Times New Roman"/>
                <w:color w:val="auto"/>
                <w:sz w:val="24"/>
                <w:lang w:val="en-US" w:eastAsia="zh-CN"/>
              </w:rPr>
              <w:t>铁桶</w:t>
            </w:r>
            <w:r>
              <w:rPr>
                <w:rFonts w:hint="default" w:ascii="Times New Roman" w:hAnsi="Times New Roman" w:eastAsia="仿宋" w:cs="Times New Roman"/>
                <w:color w:val="auto"/>
                <w:sz w:val="24"/>
              </w:rPr>
              <w:t>定期外卖综合利用；危险废物</w:t>
            </w:r>
            <w:r>
              <w:rPr>
                <w:rFonts w:hint="default" w:ascii="Times New Roman" w:hAnsi="Times New Roman" w:eastAsia="仿宋" w:cs="Times New Roman"/>
                <w:color w:val="auto"/>
                <w:sz w:val="24"/>
                <w:lang w:val="en-US" w:eastAsia="zh-CN"/>
              </w:rPr>
              <w:t>废活性炭、废</w:t>
            </w:r>
            <w:r>
              <w:rPr>
                <w:rFonts w:hint="eastAsia" w:eastAsia="仿宋" w:cs="Times New Roman"/>
                <w:color w:val="auto"/>
                <w:sz w:val="24"/>
                <w:lang w:val="en-US" w:eastAsia="zh-CN"/>
              </w:rPr>
              <w:t>包装桶</w:t>
            </w:r>
            <w:r>
              <w:rPr>
                <w:rFonts w:hint="default" w:ascii="Times New Roman" w:hAnsi="Times New Roman" w:eastAsia="仿宋" w:cs="Times New Roman"/>
                <w:color w:val="auto"/>
                <w:sz w:val="24"/>
                <w:lang w:val="en-US" w:eastAsia="zh-CN"/>
              </w:rPr>
              <w:t>定期委托有资质单位处置</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rPr>
              <w:t>生活垃圾</w:t>
            </w:r>
            <w:r>
              <w:rPr>
                <w:rFonts w:hint="default" w:ascii="Times New Roman" w:hAnsi="Times New Roman" w:eastAsia="仿宋" w:cs="Times New Roman"/>
                <w:color w:val="auto"/>
                <w:sz w:val="24"/>
                <w:lang w:val="en-US" w:eastAsia="zh-CN"/>
              </w:rPr>
              <w:t>定期环卫清运</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现有项目产生的各类固废均可得到有效处置。</w:t>
            </w:r>
          </w:p>
          <w:p w14:paraId="6EE57251">
            <w:pPr>
              <w:keepNext w:val="0"/>
              <w:keepLines w:val="0"/>
              <w:pageBreakBefore w:val="0"/>
              <w:widowControl w:val="0"/>
              <w:kinsoku/>
              <w:wordWrap/>
              <w:overflowPunct/>
              <w:topLinePunct w:val="0"/>
              <w:autoSpaceDE/>
              <w:autoSpaceDN/>
              <w:bidi w:val="0"/>
              <w:spacing w:line="360" w:lineRule="auto"/>
              <w:ind w:firstLine="456" w:firstLineChars="200"/>
              <w:textAlignment w:val="auto"/>
              <w:rPr>
                <w:rFonts w:hint="default" w:ascii="Times New Roman" w:hAnsi="Times New Roman" w:eastAsia="仿宋" w:cs="Times New Roman"/>
                <w:color w:val="auto"/>
                <w:spacing w:val="-6"/>
                <w:sz w:val="24"/>
              </w:rPr>
            </w:pPr>
            <w:r>
              <w:rPr>
                <w:rFonts w:hint="default" w:ascii="Times New Roman" w:hAnsi="Times New Roman" w:eastAsia="仿宋" w:cs="Times New Roman"/>
                <w:color w:val="auto"/>
                <w:spacing w:val="-6"/>
                <w:sz w:val="24"/>
              </w:rPr>
              <w:t>企业</w:t>
            </w:r>
            <w:r>
              <w:rPr>
                <w:rFonts w:hint="default" w:ascii="Times New Roman" w:hAnsi="Times New Roman" w:eastAsia="仿宋" w:cs="Times New Roman"/>
                <w:color w:val="auto"/>
                <w:spacing w:val="-6"/>
                <w:sz w:val="24"/>
                <w:lang w:val="en-US" w:eastAsia="zh-CN"/>
              </w:rPr>
              <w:t>D7车间</w:t>
            </w:r>
            <w:r>
              <w:rPr>
                <w:rFonts w:hint="default" w:ascii="Times New Roman" w:hAnsi="Times New Roman" w:eastAsia="仿宋" w:cs="Times New Roman"/>
                <w:color w:val="auto"/>
                <w:spacing w:val="-6"/>
                <w:sz w:val="24"/>
              </w:rPr>
              <w:t>设1个面积</w:t>
            </w:r>
            <w:r>
              <w:rPr>
                <w:rFonts w:hint="default" w:ascii="Times New Roman" w:hAnsi="Times New Roman" w:eastAsia="仿宋" w:cs="Times New Roman"/>
                <w:color w:val="auto"/>
                <w:spacing w:val="-6"/>
                <w:sz w:val="24"/>
                <w:lang w:val="en-US" w:eastAsia="zh-CN"/>
              </w:rPr>
              <w:t>20</w:t>
            </w:r>
            <w:r>
              <w:rPr>
                <w:rFonts w:hint="default" w:ascii="Times New Roman" w:hAnsi="Times New Roman" w:eastAsia="仿宋" w:cs="Times New Roman"/>
                <w:color w:val="auto"/>
                <w:spacing w:val="-6"/>
                <w:sz w:val="24"/>
              </w:rPr>
              <w:t>m</w:t>
            </w:r>
            <w:r>
              <w:rPr>
                <w:rFonts w:hint="default" w:ascii="Times New Roman" w:hAnsi="Times New Roman" w:eastAsia="仿宋" w:cs="Times New Roman"/>
                <w:color w:val="auto"/>
                <w:spacing w:val="-6"/>
                <w:sz w:val="24"/>
                <w:vertAlign w:val="superscript"/>
              </w:rPr>
              <w:t>2</w:t>
            </w:r>
            <w:r>
              <w:rPr>
                <w:rFonts w:hint="default" w:ascii="Times New Roman" w:hAnsi="Times New Roman" w:eastAsia="仿宋" w:cs="Times New Roman"/>
                <w:color w:val="auto"/>
                <w:spacing w:val="-6"/>
                <w:sz w:val="24"/>
                <w:vertAlign w:val="baseline"/>
                <w:lang w:val="en-US" w:eastAsia="zh-CN"/>
              </w:rPr>
              <w:t>的</w:t>
            </w:r>
            <w:r>
              <w:rPr>
                <w:rFonts w:hint="default" w:ascii="Times New Roman" w:hAnsi="Times New Roman" w:eastAsia="仿宋" w:cs="Times New Roman"/>
                <w:color w:val="auto"/>
                <w:spacing w:val="-6"/>
                <w:sz w:val="24"/>
              </w:rPr>
              <w:t>一般固废仓库</w:t>
            </w:r>
            <w:r>
              <w:rPr>
                <w:rFonts w:hint="default" w:ascii="Times New Roman" w:hAnsi="Times New Roman" w:eastAsia="仿宋" w:cs="Times New Roman"/>
                <w:color w:val="auto"/>
                <w:spacing w:val="-6"/>
                <w:sz w:val="24"/>
                <w:lang w:val="en-US" w:eastAsia="zh-CN"/>
              </w:rPr>
              <w:t>和</w:t>
            </w:r>
            <w:r>
              <w:rPr>
                <w:rFonts w:hint="default" w:ascii="Times New Roman" w:hAnsi="Times New Roman" w:eastAsia="仿宋" w:cs="Times New Roman"/>
                <w:color w:val="auto"/>
                <w:spacing w:val="-6"/>
                <w:sz w:val="24"/>
              </w:rPr>
              <w:t>1个面积</w:t>
            </w:r>
            <w:r>
              <w:rPr>
                <w:rFonts w:hint="default" w:ascii="Times New Roman" w:hAnsi="Times New Roman" w:eastAsia="仿宋" w:cs="Times New Roman"/>
                <w:color w:val="auto"/>
                <w:spacing w:val="-6"/>
                <w:sz w:val="24"/>
                <w:lang w:val="en-US" w:eastAsia="zh-CN"/>
              </w:rPr>
              <w:t>20</w:t>
            </w:r>
            <w:r>
              <w:rPr>
                <w:rFonts w:hint="default" w:ascii="Times New Roman" w:hAnsi="Times New Roman" w:eastAsia="仿宋" w:cs="Times New Roman"/>
                <w:color w:val="auto"/>
                <w:spacing w:val="-6"/>
                <w:sz w:val="24"/>
              </w:rPr>
              <w:t>m</w:t>
            </w:r>
            <w:r>
              <w:rPr>
                <w:rFonts w:hint="default" w:ascii="Times New Roman" w:hAnsi="Times New Roman" w:eastAsia="仿宋" w:cs="Times New Roman"/>
                <w:color w:val="auto"/>
                <w:spacing w:val="-6"/>
                <w:sz w:val="24"/>
                <w:vertAlign w:val="superscript"/>
              </w:rPr>
              <w:t>2</w:t>
            </w:r>
            <w:r>
              <w:rPr>
                <w:rFonts w:hint="default" w:ascii="Times New Roman" w:hAnsi="Times New Roman" w:eastAsia="仿宋" w:cs="Times New Roman"/>
                <w:color w:val="auto"/>
                <w:spacing w:val="-6"/>
                <w:sz w:val="24"/>
                <w:vertAlign w:val="baseline"/>
                <w:lang w:val="en-US" w:eastAsia="zh-CN"/>
              </w:rPr>
              <w:t>的</w:t>
            </w:r>
            <w:r>
              <w:rPr>
                <w:rFonts w:hint="default" w:ascii="Times New Roman" w:hAnsi="Times New Roman" w:eastAsia="仿宋" w:cs="Times New Roman"/>
                <w:color w:val="auto"/>
                <w:spacing w:val="-6"/>
                <w:sz w:val="24"/>
                <w:lang w:val="en-US" w:eastAsia="zh-CN"/>
              </w:rPr>
              <w:t>危废</w:t>
            </w:r>
            <w:r>
              <w:rPr>
                <w:rFonts w:hint="default" w:ascii="Times New Roman" w:hAnsi="Times New Roman" w:eastAsia="仿宋" w:cs="Times New Roman"/>
                <w:color w:val="auto"/>
                <w:spacing w:val="-6"/>
                <w:sz w:val="24"/>
              </w:rPr>
              <w:t>仓库，一般工业固废、危险废物分类暂存，暂存场所满足“防风、防雨、防晒、防渗漏”等相关要求。</w:t>
            </w:r>
          </w:p>
          <w:p w14:paraId="72D8896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val="en-US" w:eastAsia="zh-CN"/>
              </w:rPr>
              <w:t>四</w:t>
            </w:r>
            <w:r>
              <w:rPr>
                <w:rFonts w:hint="default" w:ascii="Times New Roman" w:hAnsi="Times New Roman" w:eastAsia="仿宋" w:cs="Times New Roman"/>
                <w:b/>
                <w:color w:val="auto"/>
                <w:sz w:val="24"/>
              </w:rPr>
              <w:t>、现有项目存在的环保问题及“以新带老”措施</w:t>
            </w:r>
          </w:p>
          <w:p w14:paraId="01C2C8EB">
            <w:pPr>
              <w:keepNext w:val="0"/>
              <w:keepLines w:val="0"/>
              <w:pageBreakBefore w:val="0"/>
              <w:widowControl w:val="0"/>
              <w:kinsoku/>
              <w:wordWrap/>
              <w:overflowPunct/>
              <w:topLinePunct w:val="0"/>
              <w:autoSpaceDE/>
              <w:autoSpaceDN/>
              <w:bidi w:val="0"/>
              <w:spacing w:line="360" w:lineRule="auto"/>
              <w:ind w:firstLine="456" w:firstLineChars="200"/>
              <w:textAlignment w:val="auto"/>
              <w:rPr>
                <w:rFonts w:hint="default" w:ascii="Times New Roman" w:hAnsi="Times New Roman" w:eastAsia="仿宋" w:cs="Times New Roman"/>
                <w:color w:val="auto"/>
                <w:spacing w:val="-6"/>
                <w:sz w:val="24"/>
                <w:lang w:val="en-US" w:eastAsia="zh-CN"/>
              </w:rPr>
            </w:pPr>
            <w:r>
              <w:rPr>
                <w:rFonts w:hint="default" w:ascii="Times New Roman" w:hAnsi="Times New Roman" w:eastAsia="仿宋" w:cs="Times New Roman"/>
                <w:color w:val="auto"/>
                <w:spacing w:val="-6"/>
                <w:sz w:val="24"/>
                <w:lang w:val="en-US" w:eastAsia="zh-CN"/>
              </w:rPr>
              <w:t>现有项目已通过环评审批，已部分建成通过竣工环境保护自主验收，废气经处理后达标排放，废水达标排放，高噪声设备经各种措施降噪后可达标排放，固废均得到合理处置，无环保问题。</w:t>
            </w:r>
          </w:p>
          <w:p w14:paraId="5210A3E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lang w:val="en-US" w:eastAsia="zh-CN"/>
              </w:rPr>
              <w:t>五</w:t>
            </w:r>
            <w:r>
              <w:rPr>
                <w:rFonts w:hint="default" w:ascii="Times New Roman" w:hAnsi="Times New Roman" w:eastAsia="仿宋" w:cs="Times New Roman"/>
                <w:b/>
                <w:color w:val="auto"/>
                <w:sz w:val="24"/>
              </w:rPr>
              <w:t>、现有项目污染物排放总量</w:t>
            </w:r>
          </w:p>
          <w:p w14:paraId="7B5B8235">
            <w:pPr>
              <w:keepNext w:val="0"/>
              <w:keepLines w:val="0"/>
              <w:pageBreakBefore w:val="0"/>
              <w:widowControl w:val="0"/>
              <w:kinsoku/>
              <w:wordWrap/>
              <w:overflowPunct/>
              <w:topLinePunct w:val="0"/>
              <w:autoSpaceDE/>
              <w:autoSpaceDN/>
              <w:bidi w:val="0"/>
              <w:spacing w:line="360" w:lineRule="auto"/>
              <w:ind w:firstLine="456" w:firstLineChars="200"/>
              <w:textAlignment w:val="auto"/>
              <w:rPr>
                <w:rFonts w:hint="default" w:ascii="Times New Roman" w:hAnsi="Times New Roman" w:eastAsia="仿宋" w:cs="Times New Roman"/>
                <w:color w:val="auto"/>
                <w:spacing w:val="-6"/>
                <w:sz w:val="24"/>
              </w:rPr>
            </w:pPr>
            <w:r>
              <w:rPr>
                <w:rFonts w:hint="default" w:ascii="Times New Roman" w:hAnsi="Times New Roman" w:eastAsia="仿宋" w:cs="Times New Roman"/>
                <w:color w:val="auto"/>
                <w:spacing w:val="-6"/>
                <w:sz w:val="24"/>
                <w:lang w:val="en-US" w:eastAsia="zh-CN"/>
              </w:rPr>
              <w:t>结合现有环保手续及企业实际生产情况，</w:t>
            </w:r>
            <w:r>
              <w:rPr>
                <w:rFonts w:hint="default" w:ascii="Times New Roman" w:hAnsi="Times New Roman" w:eastAsia="仿宋" w:cs="Times New Roman"/>
                <w:color w:val="auto"/>
                <w:spacing w:val="-6"/>
                <w:sz w:val="24"/>
              </w:rPr>
              <w:t>现有项目污染物排放总量见表2-</w:t>
            </w:r>
            <w:r>
              <w:rPr>
                <w:rFonts w:hint="default" w:ascii="Times New Roman" w:hAnsi="Times New Roman" w:eastAsia="仿宋" w:cs="Times New Roman"/>
                <w:color w:val="auto"/>
                <w:spacing w:val="-6"/>
                <w:sz w:val="24"/>
                <w:lang w:val="en-US" w:eastAsia="zh-CN"/>
              </w:rPr>
              <w:t>1</w:t>
            </w:r>
            <w:r>
              <w:rPr>
                <w:rFonts w:hint="eastAsia" w:eastAsia="仿宋" w:cs="Times New Roman"/>
                <w:color w:val="auto"/>
                <w:spacing w:val="-6"/>
                <w:sz w:val="24"/>
                <w:lang w:val="en-US" w:eastAsia="zh-CN"/>
              </w:rPr>
              <w:t>7</w:t>
            </w:r>
            <w:r>
              <w:rPr>
                <w:rFonts w:hint="default" w:ascii="Times New Roman" w:hAnsi="Times New Roman" w:eastAsia="仿宋" w:cs="Times New Roman"/>
                <w:color w:val="auto"/>
                <w:spacing w:val="-6"/>
                <w:sz w:val="24"/>
              </w:rPr>
              <w:t>。</w:t>
            </w:r>
          </w:p>
          <w:p w14:paraId="7AA230FC">
            <w:pPr>
              <w:jc w:val="right"/>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表2-</w:t>
            </w:r>
            <w:r>
              <w:rPr>
                <w:rFonts w:hint="default" w:ascii="Times New Roman" w:hAnsi="Times New Roman" w:eastAsia="仿宋" w:cs="Times New Roman"/>
                <w:b/>
                <w:color w:val="auto"/>
                <w:sz w:val="24"/>
                <w:lang w:val="en-US" w:eastAsia="zh-CN"/>
              </w:rPr>
              <w:t>1</w:t>
            </w:r>
            <w:r>
              <w:rPr>
                <w:rFonts w:hint="eastAsia" w:eastAsia="仿宋" w:cs="Times New Roman"/>
                <w:b/>
                <w:color w:val="auto"/>
                <w:sz w:val="24"/>
                <w:lang w:val="en-US" w:eastAsia="zh-CN"/>
              </w:rPr>
              <w:t>7</w:t>
            </w:r>
            <w:r>
              <w:rPr>
                <w:rFonts w:hint="default" w:ascii="Times New Roman" w:hAnsi="Times New Roman" w:eastAsia="仿宋" w:cs="Times New Roman"/>
                <w:b/>
                <w:color w:val="auto"/>
                <w:sz w:val="24"/>
              </w:rPr>
              <w:t xml:space="preserve">  现有项目污染物排放总量汇总表         </w:t>
            </w:r>
            <w:r>
              <w:rPr>
                <w:rFonts w:hint="eastAsia" w:eastAsia="仿宋" w:cs="Times New Roman"/>
                <w:b/>
                <w:color w:val="auto"/>
                <w:sz w:val="24"/>
                <w:lang w:val="en-US" w:eastAsia="zh-CN"/>
              </w:rPr>
              <w:t xml:space="preserve">     </w:t>
            </w:r>
            <w:r>
              <w:rPr>
                <w:rFonts w:hint="default" w:ascii="Times New Roman" w:hAnsi="Times New Roman" w:eastAsia="仿宋" w:cs="Times New Roman"/>
                <w:b/>
                <w:color w:val="auto"/>
                <w:szCs w:val="21"/>
              </w:rPr>
              <w:t>单位：t/a</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57"/>
              <w:gridCol w:w="1391"/>
              <w:gridCol w:w="795"/>
              <w:gridCol w:w="2368"/>
              <w:gridCol w:w="1319"/>
              <w:gridCol w:w="1646"/>
            </w:tblGrid>
            <w:tr w14:paraId="369A3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11" w:type="pct"/>
                  <w:noWrap w:val="0"/>
                  <w:vAlign w:val="center"/>
                </w:tcPr>
                <w:p w14:paraId="6EDA5261">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类别</w:t>
                  </w:r>
                </w:p>
              </w:tc>
              <w:tc>
                <w:tcPr>
                  <w:tcW w:w="1304" w:type="pct"/>
                  <w:gridSpan w:val="2"/>
                  <w:noWrap w:val="0"/>
                  <w:vAlign w:val="center"/>
                </w:tcPr>
                <w:p w14:paraId="54747E32">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污染物名称</w:t>
                  </w:r>
                </w:p>
              </w:tc>
              <w:tc>
                <w:tcPr>
                  <w:tcW w:w="1413" w:type="pct"/>
                  <w:noWrap w:val="0"/>
                  <w:vAlign w:val="center"/>
                </w:tcPr>
                <w:p w14:paraId="7A8880D7">
                  <w:pPr>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现有项目污染物排放总量</w:t>
                  </w:r>
                </w:p>
              </w:tc>
              <w:tc>
                <w:tcPr>
                  <w:tcW w:w="787" w:type="pct"/>
                  <w:noWrap w:val="0"/>
                  <w:vAlign w:val="center"/>
                </w:tcPr>
                <w:p w14:paraId="31F14FFF">
                  <w:pPr>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验收量</w:t>
                  </w:r>
                </w:p>
              </w:tc>
              <w:tc>
                <w:tcPr>
                  <w:tcW w:w="982" w:type="pct"/>
                  <w:noWrap w:val="0"/>
                  <w:vAlign w:val="center"/>
                </w:tcPr>
                <w:p w14:paraId="456AF465">
                  <w:pPr>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排放去向</w:t>
                  </w:r>
                </w:p>
              </w:tc>
            </w:tr>
            <w:tr w14:paraId="17739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511" w:type="pct"/>
                  <w:vMerge w:val="restart"/>
                  <w:noWrap w:val="0"/>
                  <w:vAlign w:val="center"/>
                </w:tcPr>
                <w:p w14:paraId="297784EE">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Cs/>
                      <w:color w:val="auto"/>
                      <w:szCs w:val="21"/>
                    </w:rPr>
                    <w:t>废气</w:t>
                  </w:r>
                </w:p>
              </w:tc>
              <w:tc>
                <w:tcPr>
                  <w:tcW w:w="830" w:type="pct"/>
                  <w:noWrap w:val="0"/>
                  <w:vAlign w:val="center"/>
                </w:tcPr>
                <w:p w14:paraId="49A06B96">
                  <w:pPr>
                    <w:jc w:val="center"/>
                    <w:rPr>
                      <w:rFonts w:hint="default" w:ascii="Times New Roman" w:hAnsi="Times New Roman" w:eastAsia="仿宋" w:cs="Times New Roman"/>
                      <w:bCs/>
                      <w:color w:val="auto"/>
                      <w:szCs w:val="21"/>
                      <w:lang w:eastAsia="zh-CN"/>
                    </w:rPr>
                  </w:pPr>
                  <w:r>
                    <w:rPr>
                      <w:rFonts w:hint="default" w:ascii="Times New Roman" w:hAnsi="Times New Roman" w:eastAsia="仿宋" w:cs="Times New Roman"/>
                      <w:bCs/>
                      <w:color w:val="auto"/>
                      <w:szCs w:val="21"/>
                      <w:lang w:val="en-US" w:eastAsia="zh-CN"/>
                    </w:rPr>
                    <w:t>颗粒物</w:t>
                  </w:r>
                </w:p>
              </w:tc>
              <w:tc>
                <w:tcPr>
                  <w:tcW w:w="474" w:type="pct"/>
                  <w:noWrap w:val="0"/>
                  <w:vAlign w:val="center"/>
                </w:tcPr>
                <w:p w14:paraId="4BFE2461">
                  <w:pPr>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lang w:val="en-US" w:eastAsia="zh-CN"/>
                    </w:rPr>
                    <w:t>有</w:t>
                  </w:r>
                  <w:r>
                    <w:rPr>
                      <w:rFonts w:hint="default" w:ascii="Times New Roman" w:hAnsi="Times New Roman" w:eastAsia="仿宋" w:cs="Times New Roman"/>
                      <w:bCs/>
                      <w:color w:val="auto"/>
                      <w:szCs w:val="21"/>
                    </w:rPr>
                    <w:t>组织</w:t>
                  </w:r>
                </w:p>
              </w:tc>
              <w:tc>
                <w:tcPr>
                  <w:tcW w:w="1413" w:type="pct"/>
                  <w:noWrap w:val="0"/>
                  <w:vAlign w:val="center"/>
                </w:tcPr>
                <w:p w14:paraId="70C85FAA">
                  <w:pPr>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color w:val="auto"/>
                      <w:szCs w:val="21"/>
                      <w:lang w:val="en-US" w:eastAsia="zh-CN"/>
                    </w:rPr>
                    <w:t>0.144</w:t>
                  </w:r>
                </w:p>
              </w:tc>
              <w:tc>
                <w:tcPr>
                  <w:tcW w:w="787" w:type="pct"/>
                  <w:noWrap w:val="0"/>
                  <w:vAlign w:val="center"/>
                </w:tcPr>
                <w:p w14:paraId="1CBB4AF7">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0.0856</w:t>
                  </w:r>
                </w:p>
              </w:tc>
              <w:tc>
                <w:tcPr>
                  <w:tcW w:w="982" w:type="pct"/>
                  <w:vMerge w:val="restart"/>
                  <w:noWrap w:val="0"/>
                  <w:vAlign w:val="center"/>
                </w:tcPr>
                <w:p w14:paraId="7561401E">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排入大气环境</w:t>
                  </w:r>
                </w:p>
              </w:tc>
            </w:tr>
            <w:tr w14:paraId="03CFA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11" w:type="pct"/>
                  <w:vMerge w:val="continue"/>
                  <w:noWrap w:val="0"/>
                  <w:vAlign w:val="center"/>
                </w:tcPr>
                <w:p w14:paraId="5EE058BC">
                  <w:pPr>
                    <w:jc w:val="center"/>
                    <w:rPr>
                      <w:rFonts w:hint="default" w:ascii="Times New Roman" w:hAnsi="Times New Roman" w:eastAsia="仿宋" w:cs="Times New Roman"/>
                      <w:bCs/>
                      <w:color w:val="auto"/>
                      <w:szCs w:val="21"/>
                    </w:rPr>
                  </w:pPr>
                </w:p>
              </w:tc>
              <w:tc>
                <w:tcPr>
                  <w:tcW w:w="830" w:type="pct"/>
                  <w:noWrap w:val="0"/>
                  <w:vAlign w:val="center"/>
                </w:tcPr>
                <w:p w14:paraId="08861914">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非甲烷总烃（含二甲苯）</w:t>
                  </w:r>
                </w:p>
              </w:tc>
              <w:tc>
                <w:tcPr>
                  <w:tcW w:w="474" w:type="pct"/>
                  <w:tcBorders>
                    <w:bottom w:val="single" w:color="auto" w:sz="4" w:space="0"/>
                  </w:tcBorders>
                  <w:noWrap w:val="0"/>
                  <w:vAlign w:val="center"/>
                </w:tcPr>
                <w:p w14:paraId="01AD286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有组织</w:t>
                  </w:r>
                </w:p>
              </w:tc>
              <w:tc>
                <w:tcPr>
                  <w:tcW w:w="1413" w:type="pct"/>
                  <w:noWrap w:val="0"/>
                  <w:vAlign w:val="center"/>
                </w:tcPr>
                <w:p w14:paraId="72E7CF0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0.425</w:t>
                  </w:r>
                </w:p>
              </w:tc>
              <w:tc>
                <w:tcPr>
                  <w:tcW w:w="787" w:type="pct"/>
                  <w:noWrap w:val="0"/>
                  <w:vAlign w:val="center"/>
                </w:tcPr>
                <w:p w14:paraId="1F9BB2D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0.301</w:t>
                  </w:r>
                </w:p>
              </w:tc>
              <w:tc>
                <w:tcPr>
                  <w:tcW w:w="982" w:type="pct"/>
                  <w:vMerge w:val="continue"/>
                  <w:noWrap w:val="0"/>
                  <w:vAlign w:val="center"/>
                </w:tcPr>
                <w:p w14:paraId="1F913523">
                  <w:pPr>
                    <w:jc w:val="center"/>
                    <w:rPr>
                      <w:rFonts w:hint="default" w:ascii="Times New Roman" w:hAnsi="Times New Roman" w:eastAsia="仿宋" w:cs="Times New Roman"/>
                      <w:color w:val="auto"/>
                      <w:szCs w:val="21"/>
                      <w:lang w:val="en-US" w:eastAsia="zh-CN"/>
                    </w:rPr>
                  </w:pPr>
                </w:p>
              </w:tc>
            </w:tr>
            <w:tr w14:paraId="5C5ED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11" w:type="pct"/>
                  <w:vMerge w:val="restart"/>
                  <w:noWrap w:val="0"/>
                  <w:vAlign w:val="center"/>
                </w:tcPr>
                <w:p w14:paraId="6B5D8ACC">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废水</w:t>
                  </w:r>
                </w:p>
              </w:tc>
              <w:tc>
                <w:tcPr>
                  <w:tcW w:w="1304" w:type="pct"/>
                  <w:gridSpan w:val="2"/>
                  <w:noWrap w:val="0"/>
                  <w:vAlign w:val="center"/>
                </w:tcPr>
                <w:p w14:paraId="41F3DE19">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废水量</w:t>
                  </w:r>
                </w:p>
              </w:tc>
              <w:tc>
                <w:tcPr>
                  <w:tcW w:w="1413" w:type="pct"/>
                  <w:noWrap w:val="0"/>
                  <w:vAlign w:val="center"/>
                </w:tcPr>
                <w:p w14:paraId="04370B39">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cs="Times New Roman"/>
                      <w:szCs w:val="21"/>
                    </w:rPr>
                    <w:t>1080</w:t>
                  </w:r>
                </w:p>
              </w:tc>
              <w:tc>
                <w:tcPr>
                  <w:tcW w:w="787" w:type="pct"/>
                  <w:noWrap w:val="0"/>
                  <w:vAlign w:val="center"/>
                </w:tcPr>
                <w:p w14:paraId="489830CA">
                  <w:pPr>
                    <w:spacing w:after="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sz w:val="21"/>
                      <w:szCs w:val="21"/>
                      <w:lang w:val="en-US" w:eastAsia="zh-CN"/>
                    </w:rPr>
                    <w:t>540</w:t>
                  </w:r>
                </w:p>
              </w:tc>
              <w:tc>
                <w:tcPr>
                  <w:tcW w:w="982" w:type="pct"/>
                  <w:vMerge w:val="restart"/>
                  <w:noWrap w:val="0"/>
                  <w:vAlign w:val="center"/>
                </w:tcPr>
                <w:p w14:paraId="503C07F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接管排入常州金坛区第二污水处理厂</w:t>
                  </w:r>
                </w:p>
              </w:tc>
            </w:tr>
            <w:tr w14:paraId="10F0B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11" w:type="pct"/>
                  <w:vMerge w:val="continue"/>
                  <w:noWrap w:val="0"/>
                  <w:vAlign w:val="center"/>
                </w:tcPr>
                <w:p w14:paraId="4059B8A4">
                  <w:pPr>
                    <w:jc w:val="center"/>
                    <w:rPr>
                      <w:rFonts w:hint="default" w:ascii="Times New Roman" w:hAnsi="Times New Roman" w:eastAsia="仿宋" w:cs="Times New Roman"/>
                      <w:bCs/>
                      <w:color w:val="auto"/>
                      <w:szCs w:val="21"/>
                    </w:rPr>
                  </w:pPr>
                </w:p>
              </w:tc>
              <w:tc>
                <w:tcPr>
                  <w:tcW w:w="1304" w:type="pct"/>
                  <w:gridSpan w:val="2"/>
                  <w:noWrap w:val="0"/>
                  <w:vAlign w:val="center"/>
                </w:tcPr>
                <w:p w14:paraId="6C0B0B2E">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1413" w:type="pct"/>
                  <w:noWrap w:val="0"/>
                  <w:vAlign w:val="center"/>
                </w:tcPr>
                <w:p w14:paraId="72C536D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szCs w:val="21"/>
                    </w:rPr>
                    <w:t>0.432</w:t>
                  </w:r>
                </w:p>
              </w:tc>
              <w:tc>
                <w:tcPr>
                  <w:tcW w:w="787" w:type="pct"/>
                  <w:noWrap w:val="0"/>
                  <w:vAlign w:val="center"/>
                </w:tcPr>
                <w:p w14:paraId="60694FF9">
                  <w:pPr>
                    <w:spacing w:after="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sz w:val="21"/>
                      <w:szCs w:val="21"/>
                      <w:lang w:val="en-US" w:eastAsia="zh-CN"/>
                    </w:rPr>
                    <w:t>0.099</w:t>
                  </w:r>
                </w:p>
              </w:tc>
              <w:tc>
                <w:tcPr>
                  <w:tcW w:w="982" w:type="pct"/>
                  <w:vMerge w:val="continue"/>
                  <w:noWrap w:val="0"/>
                  <w:vAlign w:val="center"/>
                </w:tcPr>
                <w:p w14:paraId="1DACFCCD">
                  <w:pPr>
                    <w:jc w:val="center"/>
                    <w:rPr>
                      <w:rFonts w:hint="default" w:ascii="Times New Roman" w:hAnsi="Times New Roman" w:eastAsia="仿宋" w:cs="Times New Roman"/>
                      <w:color w:val="auto"/>
                      <w:szCs w:val="21"/>
                      <w:lang w:val="en-US" w:eastAsia="zh-CN"/>
                    </w:rPr>
                  </w:pPr>
                </w:p>
              </w:tc>
            </w:tr>
            <w:tr w14:paraId="03754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11" w:type="pct"/>
                  <w:vMerge w:val="continue"/>
                  <w:noWrap w:val="0"/>
                  <w:vAlign w:val="center"/>
                </w:tcPr>
                <w:p w14:paraId="16C4EE61">
                  <w:pPr>
                    <w:jc w:val="center"/>
                    <w:rPr>
                      <w:rFonts w:hint="default" w:ascii="Times New Roman" w:hAnsi="Times New Roman" w:eastAsia="仿宋" w:cs="Times New Roman"/>
                      <w:bCs/>
                      <w:color w:val="auto"/>
                      <w:szCs w:val="21"/>
                    </w:rPr>
                  </w:pPr>
                </w:p>
              </w:tc>
              <w:tc>
                <w:tcPr>
                  <w:tcW w:w="1304" w:type="pct"/>
                  <w:gridSpan w:val="2"/>
                  <w:noWrap w:val="0"/>
                  <w:vAlign w:val="center"/>
                </w:tcPr>
                <w:p w14:paraId="566CDCB4">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1413" w:type="pct"/>
                  <w:noWrap w:val="0"/>
                  <w:vAlign w:val="center"/>
                </w:tcPr>
                <w:p w14:paraId="252B1B1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szCs w:val="21"/>
                    </w:rPr>
                    <w:t>0.216</w:t>
                  </w:r>
                </w:p>
              </w:tc>
              <w:tc>
                <w:tcPr>
                  <w:tcW w:w="787" w:type="pct"/>
                  <w:noWrap w:val="0"/>
                  <w:vAlign w:val="center"/>
                </w:tcPr>
                <w:p w14:paraId="570C5122">
                  <w:pPr>
                    <w:spacing w:after="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sz w:val="21"/>
                      <w:szCs w:val="21"/>
                      <w:lang w:val="en-US" w:eastAsia="zh-CN"/>
                    </w:rPr>
                    <w:t>0.053</w:t>
                  </w:r>
                </w:p>
              </w:tc>
              <w:tc>
                <w:tcPr>
                  <w:tcW w:w="982" w:type="pct"/>
                  <w:vMerge w:val="continue"/>
                  <w:noWrap w:val="0"/>
                  <w:vAlign w:val="center"/>
                </w:tcPr>
                <w:p w14:paraId="54CAE507">
                  <w:pPr>
                    <w:jc w:val="center"/>
                    <w:rPr>
                      <w:rFonts w:hint="default" w:ascii="Times New Roman" w:hAnsi="Times New Roman" w:eastAsia="仿宋" w:cs="Times New Roman"/>
                      <w:color w:val="auto"/>
                      <w:szCs w:val="21"/>
                      <w:lang w:val="en-US" w:eastAsia="zh-CN"/>
                    </w:rPr>
                  </w:pPr>
                </w:p>
              </w:tc>
            </w:tr>
            <w:tr w14:paraId="3C17F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11" w:type="pct"/>
                  <w:vMerge w:val="continue"/>
                  <w:noWrap w:val="0"/>
                  <w:vAlign w:val="center"/>
                </w:tcPr>
                <w:p w14:paraId="1B7F41D2">
                  <w:pPr>
                    <w:jc w:val="center"/>
                    <w:rPr>
                      <w:rFonts w:hint="default" w:ascii="Times New Roman" w:hAnsi="Times New Roman" w:eastAsia="仿宋" w:cs="Times New Roman"/>
                      <w:bCs/>
                      <w:color w:val="auto"/>
                      <w:szCs w:val="21"/>
                    </w:rPr>
                  </w:pPr>
                </w:p>
              </w:tc>
              <w:tc>
                <w:tcPr>
                  <w:tcW w:w="1304" w:type="pct"/>
                  <w:gridSpan w:val="2"/>
                  <w:noWrap w:val="0"/>
                  <w:vAlign w:val="center"/>
                </w:tcPr>
                <w:p w14:paraId="33337389">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氨氮</w:t>
                  </w:r>
                </w:p>
              </w:tc>
              <w:tc>
                <w:tcPr>
                  <w:tcW w:w="1413" w:type="pct"/>
                  <w:noWrap w:val="0"/>
                  <w:vAlign w:val="center"/>
                </w:tcPr>
                <w:p w14:paraId="238D7AC7">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szCs w:val="21"/>
                    </w:rPr>
                    <w:t>0.032</w:t>
                  </w:r>
                  <w:r>
                    <w:rPr>
                      <w:rFonts w:hint="default" w:ascii="Times New Roman" w:hAnsi="Times New Roman" w:cs="Times New Roman"/>
                      <w:szCs w:val="21"/>
                      <w:vertAlign w:val="superscript"/>
                    </w:rPr>
                    <w:t xml:space="preserve"> </w:t>
                  </w:r>
                </w:p>
              </w:tc>
              <w:tc>
                <w:tcPr>
                  <w:tcW w:w="787" w:type="pct"/>
                  <w:noWrap w:val="0"/>
                  <w:vAlign w:val="center"/>
                </w:tcPr>
                <w:p w14:paraId="298F8437">
                  <w:pPr>
                    <w:spacing w:after="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sz w:val="21"/>
                      <w:szCs w:val="21"/>
                      <w:lang w:val="en-US" w:eastAsia="zh-CN"/>
                    </w:rPr>
                    <w:t>0.0065</w:t>
                  </w:r>
                </w:p>
              </w:tc>
              <w:tc>
                <w:tcPr>
                  <w:tcW w:w="982" w:type="pct"/>
                  <w:vMerge w:val="continue"/>
                  <w:noWrap w:val="0"/>
                  <w:vAlign w:val="center"/>
                </w:tcPr>
                <w:p w14:paraId="113B2916">
                  <w:pPr>
                    <w:jc w:val="center"/>
                    <w:rPr>
                      <w:rFonts w:hint="default" w:ascii="Times New Roman" w:hAnsi="Times New Roman" w:eastAsia="仿宋" w:cs="Times New Roman"/>
                      <w:color w:val="auto"/>
                      <w:szCs w:val="21"/>
                      <w:lang w:val="en-US" w:eastAsia="zh-CN"/>
                    </w:rPr>
                  </w:pPr>
                </w:p>
              </w:tc>
            </w:tr>
            <w:tr w14:paraId="672FF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11" w:type="pct"/>
                  <w:vMerge w:val="continue"/>
                  <w:noWrap w:val="0"/>
                  <w:vAlign w:val="center"/>
                </w:tcPr>
                <w:p w14:paraId="5A84D27F">
                  <w:pPr>
                    <w:jc w:val="center"/>
                    <w:rPr>
                      <w:rFonts w:hint="default" w:ascii="Times New Roman" w:hAnsi="Times New Roman" w:eastAsia="仿宋" w:cs="Times New Roman"/>
                      <w:bCs/>
                      <w:color w:val="auto"/>
                      <w:szCs w:val="21"/>
                    </w:rPr>
                  </w:pPr>
                </w:p>
              </w:tc>
              <w:tc>
                <w:tcPr>
                  <w:tcW w:w="1304" w:type="pct"/>
                  <w:gridSpan w:val="2"/>
                  <w:noWrap w:val="0"/>
                  <w:vAlign w:val="center"/>
                </w:tcPr>
                <w:p w14:paraId="7FA14040">
                  <w:pPr>
                    <w:adjustRightInd w:val="0"/>
                    <w:snapToGrid w:val="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总磷</w:t>
                  </w:r>
                </w:p>
              </w:tc>
              <w:tc>
                <w:tcPr>
                  <w:tcW w:w="1413" w:type="pct"/>
                  <w:noWrap w:val="0"/>
                  <w:vAlign w:val="center"/>
                </w:tcPr>
                <w:p w14:paraId="224DF041">
                  <w:pPr>
                    <w:adjustRightInd w:val="0"/>
                    <w:snapToGrid w:val="0"/>
                    <w:jc w:val="center"/>
                    <w:rPr>
                      <w:rFonts w:hint="default" w:ascii="Times New Roman" w:hAnsi="Times New Roman" w:cs="Times New Roman"/>
                      <w:szCs w:val="21"/>
                      <w:lang w:val="en-US" w:eastAsia="zh-CN"/>
                    </w:rPr>
                  </w:pPr>
                  <w:r>
                    <w:rPr>
                      <w:rFonts w:hint="default" w:ascii="Times New Roman" w:hAnsi="Times New Roman" w:cs="Times New Roman"/>
                      <w:szCs w:val="21"/>
                    </w:rPr>
                    <w:t>0.003</w:t>
                  </w:r>
                </w:p>
              </w:tc>
              <w:tc>
                <w:tcPr>
                  <w:tcW w:w="787" w:type="pct"/>
                  <w:noWrap w:val="0"/>
                  <w:vAlign w:val="center"/>
                </w:tcPr>
                <w:p w14:paraId="1B09F0CA">
                  <w:pPr>
                    <w:adjustRightInd w:val="0"/>
                    <w:snapToGrid w:val="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0.0008</w:t>
                  </w:r>
                </w:p>
              </w:tc>
              <w:tc>
                <w:tcPr>
                  <w:tcW w:w="982" w:type="pct"/>
                  <w:vMerge w:val="continue"/>
                  <w:noWrap w:val="0"/>
                  <w:vAlign w:val="center"/>
                </w:tcPr>
                <w:p w14:paraId="43AAA4C3">
                  <w:pPr>
                    <w:jc w:val="center"/>
                    <w:rPr>
                      <w:rFonts w:hint="default" w:ascii="Times New Roman" w:hAnsi="Times New Roman" w:eastAsia="仿宋" w:cs="Times New Roman"/>
                      <w:color w:val="auto"/>
                      <w:szCs w:val="21"/>
                      <w:lang w:val="en-US" w:eastAsia="zh-CN"/>
                    </w:rPr>
                  </w:pPr>
                </w:p>
              </w:tc>
            </w:tr>
            <w:tr w14:paraId="47B0E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11" w:type="pct"/>
                  <w:vMerge w:val="continue"/>
                  <w:noWrap w:val="0"/>
                  <w:vAlign w:val="center"/>
                </w:tcPr>
                <w:p w14:paraId="41BC64A7">
                  <w:pPr>
                    <w:jc w:val="center"/>
                    <w:rPr>
                      <w:rFonts w:hint="default" w:ascii="Times New Roman" w:hAnsi="Times New Roman" w:eastAsia="仿宋" w:cs="Times New Roman"/>
                      <w:bCs/>
                      <w:color w:val="auto"/>
                      <w:szCs w:val="21"/>
                    </w:rPr>
                  </w:pPr>
                </w:p>
              </w:tc>
              <w:tc>
                <w:tcPr>
                  <w:tcW w:w="1304" w:type="pct"/>
                  <w:gridSpan w:val="2"/>
                  <w:noWrap w:val="0"/>
                  <w:vAlign w:val="center"/>
                </w:tcPr>
                <w:p w14:paraId="145D4E92">
                  <w:pPr>
                    <w:adjustRightInd w:val="0"/>
                    <w:snapToGrid w:val="0"/>
                    <w:jc w:val="center"/>
                    <w:rPr>
                      <w:rFonts w:hint="eastAsia" w:ascii="Times New Roman" w:hAnsi="Times New Roman" w:eastAsia="仿宋" w:cs="Times New Roman"/>
                      <w:color w:val="auto"/>
                      <w:szCs w:val="21"/>
                      <w:lang w:val="en-US" w:eastAsia="zh-CN"/>
                    </w:rPr>
                  </w:pPr>
                  <w:r>
                    <w:rPr>
                      <w:rFonts w:hint="eastAsia" w:eastAsia="仿宋" w:cs="Times New Roman"/>
                      <w:color w:val="auto"/>
                      <w:szCs w:val="21"/>
                      <w:lang w:val="en-US" w:eastAsia="zh-CN"/>
                    </w:rPr>
                    <w:t>总氮</w:t>
                  </w:r>
                </w:p>
              </w:tc>
              <w:tc>
                <w:tcPr>
                  <w:tcW w:w="1413" w:type="pct"/>
                  <w:shd w:val="clear" w:color="auto" w:fill="auto"/>
                  <w:noWrap w:val="0"/>
                  <w:vAlign w:val="center"/>
                </w:tcPr>
                <w:p w14:paraId="165EAE8B">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0.054</w:t>
                  </w:r>
                </w:p>
              </w:tc>
              <w:tc>
                <w:tcPr>
                  <w:tcW w:w="787" w:type="pct"/>
                  <w:shd w:val="clear" w:color="auto" w:fill="auto"/>
                  <w:noWrap w:val="0"/>
                  <w:vAlign w:val="center"/>
                </w:tcPr>
                <w:p w14:paraId="7AA6DCBE">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0.01</w:t>
                  </w:r>
                </w:p>
              </w:tc>
              <w:tc>
                <w:tcPr>
                  <w:tcW w:w="982" w:type="pct"/>
                  <w:vMerge w:val="continue"/>
                  <w:noWrap w:val="0"/>
                  <w:vAlign w:val="center"/>
                </w:tcPr>
                <w:p w14:paraId="2409E01E">
                  <w:pPr>
                    <w:jc w:val="center"/>
                    <w:rPr>
                      <w:rFonts w:hint="default" w:ascii="Times New Roman" w:hAnsi="Times New Roman" w:eastAsia="仿宋" w:cs="Times New Roman"/>
                      <w:color w:val="auto"/>
                      <w:szCs w:val="21"/>
                      <w:lang w:val="en-US" w:eastAsia="zh-CN"/>
                    </w:rPr>
                  </w:pPr>
                </w:p>
              </w:tc>
            </w:tr>
            <w:tr w14:paraId="5C8AA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11" w:type="pct"/>
                  <w:vMerge w:val="restart"/>
                  <w:noWrap w:val="0"/>
                  <w:vAlign w:val="center"/>
                </w:tcPr>
                <w:p w14:paraId="5310D9DE">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固废</w:t>
                  </w:r>
                </w:p>
              </w:tc>
              <w:tc>
                <w:tcPr>
                  <w:tcW w:w="1304" w:type="pct"/>
                  <w:gridSpan w:val="2"/>
                  <w:noWrap w:val="0"/>
                  <w:vAlign w:val="center"/>
                </w:tcPr>
                <w:p w14:paraId="4FBE0052">
                  <w:pPr>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lang w:val="en-US" w:eastAsia="zh-CN"/>
                    </w:rPr>
                    <w:t>一般工业固废</w:t>
                  </w:r>
                </w:p>
              </w:tc>
              <w:tc>
                <w:tcPr>
                  <w:tcW w:w="1413" w:type="pct"/>
                  <w:noWrap w:val="0"/>
                  <w:vAlign w:val="center"/>
                </w:tcPr>
                <w:p w14:paraId="3DDF0595">
                  <w:pPr>
                    <w:jc w:val="center"/>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Cs w:val="21"/>
                      <w:lang w:val="en-US" w:eastAsia="zh-CN"/>
                    </w:rPr>
                    <w:t>0</w:t>
                  </w:r>
                </w:p>
              </w:tc>
              <w:tc>
                <w:tcPr>
                  <w:tcW w:w="787" w:type="pct"/>
                  <w:noWrap w:val="0"/>
                  <w:vAlign w:val="center"/>
                </w:tcPr>
                <w:p w14:paraId="107AD758">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w:t>
                  </w:r>
                </w:p>
              </w:tc>
              <w:tc>
                <w:tcPr>
                  <w:tcW w:w="982" w:type="pct"/>
                  <w:noWrap w:val="0"/>
                  <w:vAlign w:val="center"/>
                </w:tcPr>
                <w:p w14:paraId="3F9AB2B6">
                  <w:pPr>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外售综合利用</w:t>
                  </w:r>
                </w:p>
              </w:tc>
            </w:tr>
            <w:tr w14:paraId="45CB6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11" w:type="pct"/>
                  <w:vMerge w:val="continue"/>
                  <w:noWrap w:val="0"/>
                  <w:vAlign w:val="center"/>
                </w:tcPr>
                <w:p w14:paraId="61FCA4C6">
                  <w:pPr>
                    <w:jc w:val="center"/>
                    <w:rPr>
                      <w:rFonts w:hint="default" w:ascii="Times New Roman" w:hAnsi="Times New Roman" w:eastAsia="仿宋" w:cs="Times New Roman"/>
                      <w:bCs/>
                      <w:color w:val="auto"/>
                      <w:szCs w:val="21"/>
                    </w:rPr>
                  </w:pPr>
                </w:p>
              </w:tc>
              <w:tc>
                <w:tcPr>
                  <w:tcW w:w="1304" w:type="pct"/>
                  <w:gridSpan w:val="2"/>
                  <w:noWrap w:val="0"/>
                  <w:vAlign w:val="center"/>
                </w:tcPr>
                <w:p w14:paraId="433BD6B4">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rPr>
                    <w:t>危险固废</w:t>
                  </w:r>
                </w:p>
              </w:tc>
              <w:tc>
                <w:tcPr>
                  <w:tcW w:w="1413" w:type="pct"/>
                  <w:noWrap w:val="0"/>
                  <w:vAlign w:val="center"/>
                </w:tcPr>
                <w:p w14:paraId="1592D62C">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rPr>
                    <w:t>0</w:t>
                  </w:r>
                </w:p>
              </w:tc>
              <w:tc>
                <w:tcPr>
                  <w:tcW w:w="787" w:type="pct"/>
                  <w:noWrap w:val="0"/>
                  <w:vAlign w:val="center"/>
                </w:tcPr>
                <w:p w14:paraId="35E5E796">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w:t>
                  </w:r>
                </w:p>
              </w:tc>
              <w:tc>
                <w:tcPr>
                  <w:tcW w:w="982" w:type="pct"/>
                  <w:noWrap w:val="0"/>
                  <w:vAlign w:val="center"/>
                </w:tcPr>
                <w:p w14:paraId="6F980CB2">
                  <w:pPr>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委托有资质单位合理处置</w:t>
                  </w:r>
                </w:p>
              </w:tc>
            </w:tr>
            <w:tr w14:paraId="492A2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11" w:type="pct"/>
                  <w:vMerge w:val="continue"/>
                  <w:noWrap w:val="0"/>
                  <w:vAlign w:val="center"/>
                </w:tcPr>
                <w:p w14:paraId="29695062">
                  <w:pPr>
                    <w:jc w:val="center"/>
                    <w:rPr>
                      <w:rFonts w:hint="default" w:ascii="Times New Roman" w:hAnsi="Times New Roman" w:eastAsia="仿宋" w:cs="Times New Roman"/>
                      <w:bCs/>
                      <w:color w:val="auto"/>
                      <w:szCs w:val="21"/>
                    </w:rPr>
                  </w:pPr>
                </w:p>
              </w:tc>
              <w:tc>
                <w:tcPr>
                  <w:tcW w:w="1304" w:type="pct"/>
                  <w:gridSpan w:val="2"/>
                  <w:noWrap w:val="0"/>
                  <w:vAlign w:val="center"/>
                </w:tcPr>
                <w:p w14:paraId="66D9487E">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生活垃圾</w:t>
                  </w:r>
                </w:p>
              </w:tc>
              <w:tc>
                <w:tcPr>
                  <w:tcW w:w="1413" w:type="pct"/>
                  <w:noWrap w:val="0"/>
                  <w:vAlign w:val="center"/>
                </w:tcPr>
                <w:p w14:paraId="11AC6BF6">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0</w:t>
                  </w:r>
                </w:p>
              </w:tc>
              <w:tc>
                <w:tcPr>
                  <w:tcW w:w="787" w:type="pct"/>
                  <w:noWrap w:val="0"/>
                  <w:vAlign w:val="center"/>
                </w:tcPr>
                <w:p w14:paraId="62B361CC">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仿宋" w:cs="Times New Roman"/>
                      <w:bCs/>
                      <w:color w:val="auto"/>
                      <w:szCs w:val="21"/>
                      <w:lang w:val="en-US" w:eastAsia="zh-CN"/>
                    </w:rPr>
                    <w:t>0</w:t>
                  </w:r>
                </w:p>
              </w:tc>
              <w:tc>
                <w:tcPr>
                  <w:tcW w:w="982" w:type="pct"/>
                  <w:noWrap w:val="0"/>
                  <w:vAlign w:val="center"/>
                </w:tcPr>
                <w:p w14:paraId="69227FF3">
                  <w:pPr>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环卫清运</w:t>
                  </w:r>
                </w:p>
              </w:tc>
            </w:tr>
          </w:tbl>
          <w:p w14:paraId="00D0D22F">
            <w:pPr>
              <w:keepNext w:val="0"/>
              <w:keepLines w:val="0"/>
              <w:pageBreakBefore w:val="0"/>
              <w:widowControl w:val="0"/>
              <w:kinsoku/>
              <w:wordWrap/>
              <w:overflowPunct/>
              <w:topLinePunct w:val="0"/>
              <w:autoSpaceDE/>
              <w:autoSpaceDN/>
              <w:bidi w:val="0"/>
              <w:adjustRightInd w:val="0"/>
              <w:snapToGrid w:val="0"/>
              <w:spacing w:line="360" w:lineRule="auto"/>
              <w:ind w:firstLine="201" w:firstLineChars="200"/>
              <w:textAlignment w:val="auto"/>
              <w:rPr>
                <w:rFonts w:hint="default" w:ascii="Times New Roman" w:hAnsi="Times New Roman" w:eastAsia="仿宋" w:cs="Times New Roman"/>
                <w:b/>
                <w:color w:val="auto"/>
                <w:sz w:val="10"/>
                <w:szCs w:val="10"/>
                <w:lang w:val="en-US" w:eastAsia="zh-CN"/>
              </w:rPr>
            </w:pPr>
          </w:p>
          <w:p w14:paraId="30E1B45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仿宋" w:cs="Times New Roman"/>
                <w:b/>
                <w:color w:val="auto"/>
                <w:sz w:val="24"/>
                <w:lang w:val="en-US" w:eastAsia="zh-CN"/>
              </w:rPr>
            </w:pPr>
            <w:r>
              <w:rPr>
                <w:rFonts w:hint="default" w:ascii="Times New Roman" w:hAnsi="Times New Roman" w:eastAsia="仿宋" w:cs="Times New Roman"/>
                <w:b/>
                <w:color w:val="auto"/>
                <w:sz w:val="24"/>
                <w:lang w:val="en-US" w:eastAsia="zh-CN"/>
              </w:rPr>
              <w:t>六</w:t>
            </w:r>
            <w:r>
              <w:rPr>
                <w:rFonts w:hint="default" w:ascii="Times New Roman" w:hAnsi="Times New Roman" w:eastAsia="仿宋" w:cs="Times New Roman"/>
                <w:b/>
                <w:color w:val="auto"/>
                <w:sz w:val="24"/>
              </w:rPr>
              <w:t>、</w:t>
            </w:r>
            <w:r>
              <w:rPr>
                <w:rFonts w:hint="default" w:ascii="Times New Roman" w:hAnsi="Times New Roman" w:eastAsia="仿宋" w:cs="Times New Roman"/>
                <w:b/>
                <w:bCs/>
                <w:sz w:val="24"/>
              </w:rPr>
              <w:t>与本项目有关</w:t>
            </w:r>
            <w:r>
              <w:rPr>
                <w:rFonts w:hint="eastAsia" w:eastAsia="仿宋" w:cs="Times New Roman"/>
                <w:b/>
                <w:bCs/>
                <w:sz w:val="24"/>
                <w:lang w:eastAsia="zh-CN"/>
              </w:rPr>
              <w:t>的</w:t>
            </w:r>
            <w:r>
              <w:rPr>
                <w:rFonts w:hint="default" w:ascii="Times New Roman" w:hAnsi="Times New Roman" w:eastAsia="仿宋" w:cs="Times New Roman"/>
                <w:b/>
                <w:bCs/>
                <w:sz w:val="24"/>
              </w:rPr>
              <w:t>原有环境污染问题</w:t>
            </w:r>
          </w:p>
          <w:p w14:paraId="1DA80C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 w:cs="Times New Roman"/>
                <w:bCs/>
                <w:color w:val="auto"/>
                <w:sz w:val="24"/>
                <w:highlight w:val="none"/>
                <w:lang w:val="en-US" w:eastAsia="zh-CN"/>
              </w:rPr>
            </w:pPr>
            <w:r>
              <w:rPr>
                <w:rFonts w:hint="eastAsia" w:eastAsia="仿宋" w:cs="Times New Roman"/>
                <w:bCs/>
                <w:color w:val="auto"/>
                <w:sz w:val="24"/>
                <w:highlight w:val="none"/>
                <w:lang w:val="en-US" w:eastAsia="zh-CN"/>
              </w:rPr>
              <w:t>1、购置车间原有情况</w:t>
            </w:r>
          </w:p>
          <w:p w14:paraId="088262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rPr>
              <w:t>本项目为</w:t>
            </w:r>
            <w:r>
              <w:rPr>
                <w:rFonts w:hint="default" w:ascii="Times New Roman" w:hAnsi="Times New Roman" w:eastAsia="仿宋" w:cs="Times New Roman"/>
                <w:bCs/>
                <w:color w:val="auto"/>
                <w:sz w:val="24"/>
                <w:highlight w:val="none"/>
                <w:lang w:val="en-US" w:eastAsia="zh-CN"/>
              </w:rPr>
              <w:t>扩建</w:t>
            </w:r>
            <w:r>
              <w:rPr>
                <w:rFonts w:hint="default" w:ascii="Times New Roman" w:hAnsi="Times New Roman" w:eastAsia="仿宋" w:cs="Times New Roman"/>
                <w:bCs/>
                <w:color w:val="auto"/>
                <w:sz w:val="24"/>
                <w:highlight w:val="none"/>
              </w:rPr>
              <w:t>项目，不新征土地、不新建厂房，</w:t>
            </w:r>
            <w:r>
              <w:rPr>
                <w:rFonts w:hint="eastAsia" w:eastAsia="仿宋" w:cs="Times New Roman"/>
                <w:bCs/>
                <w:color w:val="auto"/>
                <w:sz w:val="24"/>
                <w:highlight w:val="none"/>
                <w:lang w:val="en-US" w:eastAsia="zh-CN"/>
              </w:rPr>
              <w:t>购置</w:t>
            </w:r>
            <w:r>
              <w:rPr>
                <w:rFonts w:hint="default" w:ascii="Times New Roman" w:hAnsi="Times New Roman" w:eastAsia="仿宋" w:cs="Times New Roman"/>
                <w:bCs/>
                <w:sz w:val="24"/>
                <w:lang w:val="en-US" w:eastAsia="zh-CN"/>
              </w:rPr>
              <w:t>常州金博通众创园内8幢6号</w:t>
            </w:r>
            <w:r>
              <w:rPr>
                <w:rFonts w:hint="eastAsia" w:eastAsia="仿宋" w:cs="Times New Roman"/>
                <w:bCs/>
                <w:sz w:val="24"/>
                <w:lang w:val="en-US" w:eastAsia="zh-CN"/>
              </w:rPr>
              <w:t>闲置</w:t>
            </w:r>
            <w:r>
              <w:rPr>
                <w:rFonts w:hint="default" w:ascii="Times New Roman" w:hAnsi="Times New Roman" w:eastAsia="仿宋" w:cs="Times New Roman"/>
                <w:bCs/>
                <w:sz w:val="24"/>
                <w:lang w:val="en-US" w:eastAsia="zh-CN"/>
              </w:rPr>
              <w:t>厂房</w:t>
            </w:r>
            <w:r>
              <w:rPr>
                <w:rFonts w:hint="default" w:ascii="Times New Roman" w:hAnsi="Times New Roman" w:eastAsia="仿宋" w:cs="Times New Roman"/>
                <w:bCs/>
                <w:color w:val="auto"/>
                <w:sz w:val="24"/>
                <w:highlight w:val="none"/>
                <w:lang w:val="en-US" w:eastAsia="zh-CN"/>
              </w:rPr>
              <w:t>进行生产活动</w:t>
            </w:r>
            <w:r>
              <w:rPr>
                <w:rFonts w:hint="default" w:ascii="Times New Roman" w:hAnsi="Times New Roman" w:eastAsia="仿宋" w:cs="Times New Roman"/>
                <w:bCs/>
                <w:color w:val="auto"/>
                <w:sz w:val="24"/>
                <w:highlight w:val="none"/>
              </w:rPr>
              <w:t>。</w:t>
            </w:r>
            <w:r>
              <w:rPr>
                <w:rFonts w:eastAsia="仿宋"/>
                <w:sz w:val="24"/>
              </w:rPr>
              <w:t>本项目所</w:t>
            </w:r>
            <w:r>
              <w:rPr>
                <w:rFonts w:hint="eastAsia" w:eastAsia="仿宋"/>
                <w:sz w:val="24"/>
                <w:lang w:val="en-US" w:eastAsia="zh-CN"/>
              </w:rPr>
              <w:t>购置</w:t>
            </w:r>
            <w:r>
              <w:rPr>
                <w:rFonts w:eastAsia="仿宋"/>
                <w:sz w:val="24"/>
              </w:rPr>
              <w:t>的车间</w:t>
            </w:r>
            <w:r>
              <w:rPr>
                <w:rFonts w:eastAsia="仿宋"/>
                <w:bCs/>
                <w:sz w:val="24"/>
              </w:rPr>
              <w:t>自建成以来</w:t>
            </w:r>
            <w:r>
              <w:rPr>
                <w:rFonts w:hint="eastAsia" w:eastAsia="仿宋"/>
                <w:sz w:val="24"/>
                <w:lang w:val="en-US" w:eastAsia="zh-CN"/>
              </w:rPr>
              <w:t>一直未投入使用</w:t>
            </w:r>
            <w:r>
              <w:rPr>
                <w:rFonts w:eastAsia="仿宋"/>
                <w:sz w:val="24"/>
              </w:rPr>
              <w:t>，故无原有污染情况。</w:t>
            </w:r>
          </w:p>
          <w:p w14:paraId="48DE02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仿宋" w:cs="Times New Roman"/>
                <w:bCs/>
                <w:color w:val="auto"/>
                <w:sz w:val="24"/>
                <w:highlight w:val="none"/>
                <w:lang w:val="en-US" w:eastAsia="zh-CN"/>
              </w:rPr>
            </w:pPr>
            <w:r>
              <w:rPr>
                <w:rFonts w:hint="eastAsia" w:eastAsia="仿宋" w:cs="Times New Roman"/>
                <w:bCs/>
                <w:color w:val="auto"/>
                <w:sz w:val="24"/>
                <w:highlight w:val="none"/>
                <w:lang w:val="en-US" w:eastAsia="zh-CN"/>
              </w:rPr>
              <w:t>2、</w:t>
            </w:r>
            <w:r>
              <w:rPr>
                <w:rFonts w:eastAsia="仿宋"/>
                <w:bCs/>
                <w:sz w:val="24"/>
              </w:rPr>
              <w:t>本项目与</w:t>
            </w:r>
            <w:r>
              <w:rPr>
                <w:rFonts w:hint="eastAsia" w:eastAsia="仿宋"/>
                <w:bCs/>
                <w:sz w:val="24"/>
                <w:lang w:val="en-US" w:eastAsia="zh-CN"/>
              </w:rPr>
              <w:t>园区</w:t>
            </w:r>
            <w:r>
              <w:rPr>
                <w:rFonts w:eastAsia="仿宋"/>
                <w:bCs/>
                <w:sz w:val="24"/>
              </w:rPr>
              <w:t>依托关系及环保责任主体情况</w:t>
            </w:r>
          </w:p>
          <w:p w14:paraId="528744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（1）本项目不增设污水管网和污水排口，</w:t>
            </w:r>
            <w:r>
              <w:rPr>
                <w:rFonts w:hint="default" w:ascii="Times New Roman" w:hAnsi="Times New Roman" w:eastAsia="仿宋" w:cs="Times New Roman"/>
                <w:bCs/>
                <w:color w:val="auto"/>
                <w:sz w:val="24"/>
                <w:highlight w:val="none"/>
                <w:lang w:val="en-US" w:eastAsia="zh-CN"/>
              </w:rPr>
              <w:t>全厂</w:t>
            </w:r>
            <w:r>
              <w:rPr>
                <w:rFonts w:hint="default" w:ascii="Times New Roman" w:hAnsi="Times New Roman" w:eastAsia="仿宋" w:cs="Times New Roman"/>
                <w:bCs/>
                <w:color w:val="auto"/>
                <w:sz w:val="24"/>
                <w:highlight w:val="none"/>
              </w:rPr>
              <w:t>生活污水依托</w:t>
            </w:r>
            <w:r>
              <w:rPr>
                <w:rFonts w:hint="default" w:ascii="Times New Roman" w:hAnsi="Times New Roman" w:eastAsia="仿宋" w:cs="Times New Roman"/>
                <w:bCs/>
                <w:color w:val="auto"/>
                <w:sz w:val="24"/>
                <w:highlight w:val="none"/>
                <w:lang w:val="en-US" w:eastAsia="zh-CN"/>
              </w:rPr>
              <w:t>常州金博通众创园</w:t>
            </w:r>
            <w:r>
              <w:rPr>
                <w:rFonts w:hint="default" w:ascii="Times New Roman" w:hAnsi="Times New Roman" w:eastAsia="仿宋" w:cs="Times New Roman"/>
                <w:bCs/>
                <w:color w:val="auto"/>
                <w:sz w:val="24"/>
                <w:highlight w:val="none"/>
              </w:rPr>
              <w:t>现有污水管网和污水排口，接入区域污水管网，最终排入</w:t>
            </w:r>
            <w:r>
              <w:rPr>
                <w:rFonts w:hint="default" w:ascii="Times New Roman" w:hAnsi="Times New Roman" w:eastAsia="仿宋" w:cs="Times New Roman"/>
                <w:bCs/>
                <w:color w:val="auto"/>
                <w:sz w:val="24"/>
                <w:highlight w:val="none"/>
                <w:lang w:val="en-US" w:eastAsia="zh-CN"/>
              </w:rPr>
              <w:t>常州金坛区第二污水处理厂</w:t>
            </w:r>
            <w:r>
              <w:rPr>
                <w:rFonts w:hint="default" w:ascii="Times New Roman" w:hAnsi="Times New Roman" w:eastAsia="仿宋" w:cs="Times New Roman"/>
                <w:bCs/>
                <w:color w:val="auto"/>
                <w:sz w:val="24"/>
                <w:highlight w:val="none"/>
              </w:rPr>
              <w:t>集中</w:t>
            </w:r>
            <w:r>
              <w:rPr>
                <w:rFonts w:hint="default" w:ascii="Times New Roman" w:hAnsi="Times New Roman" w:eastAsia="仿宋" w:cs="Times New Roman"/>
                <w:color w:val="auto"/>
                <w:sz w:val="24"/>
                <w:highlight w:val="none"/>
              </w:rPr>
              <w:t>处理</w:t>
            </w:r>
            <w:r>
              <w:rPr>
                <w:rFonts w:hint="default" w:ascii="Times New Roman" w:hAnsi="Times New Roman" w:eastAsia="仿宋" w:cs="Times New Roman"/>
                <w:bCs/>
                <w:color w:val="auto"/>
                <w:sz w:val="24"/>
                <w:highlight w:val="none"/>
              </w:rPr>
              <w:t>。</w:t>
            </w:r>
          </w:p>
          <w:p w14:paraId="262B4F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（2）本项目不增设雨水管网及雨水排口，依托</w:t>
            </w:r>
            <w:r>
              <w:rPr>
                <w:rFonts w:hint="default" w:ascii="Times New Roman" w:hAnsi="Times New Roman" w:eastAsia="仿宋" w:cs="Times New Roman"/>
                <w:bCs/>
                <w:color w:val="auto"/>
                <w:sz w:val="24"/>
                <w:highlight w:val="none"/>
                <w:lang w:val="en-US" w:eastAsia="zh-CN"/>
              </w:rPr>
              <w:t>常州金博通众创园</w:t>
            </w:r>
            <w:r>
              <w:rPr>
                <w:rFonts w:hint="default" w:ascii="Times New Roman" w:hAnsi="Times New Roman" w:eastAsia="仿宋" w:cs="Times New Roman"/>
                <w:bCs/>
                <w:color w:val="auto"/>
                <w:sz w:val="24"/>
                <w:highlight w:val="none"/>
              </w:rPr>
              <w:t>现有雨水管网及雨水排口。</w:t>
            </w:r>
          </w:p>
          <w:p w14:paraId="55E25F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（3）本项目供水、供电等基础设施均依托</w:t>
            </w:r>
            <w:r>
              <w:rPr>
                <w:rFonts w:hint="default" w:ascii="Times New Roman" w:hAnsi="Times New Roman" w:eastAsia="仿宋" w:cs="Times New Roman"/>
                <w:color w:val="auto"/>
                <w:sz w:val="24"/>
                <w:lang w:eastAsia="zh-CN"/>
              </w:rPr>
              <w:t>常州金博通众创园</w:t>
            </w:r>
            <w:r>
              <w:rPr>
                <w:rFonts w:hint="default" w:ascii="Times New Roman" w:hAnsi="Times New Roman" w:eastAsia="仿宋" w:cs="Times New Roman"/>
                <w:bCs/>
                <w:color w:val="auto"/>
                <w:sz w:val="24"/>
                <w:highlight w:val="none"/>
              </w:rPr>
              <w:t>现有，不改变现有供电、供水系统。</w:t>
            </w:r>
          </w:p>
          <w:p w14:paraId="23ECA2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highlight w:val="none"/>
              </w:rPr>
              <w:t>（4）</w:t>
            </w:r>
            <w:r>
              <w:rPr>
                <w:rFonts w:hint="eastAsia" w:ascii="仿宋" w:hAnsi="仿宋" w:eastAsia="仿宋"/>
                <w:color w:val="auto"/>
                <w:sz w:val="24"/>
                <w:highlight w:val="none"/>
              </w:rPr>
              <w:t>为防止发生环境问题从而引起纠纷，现明确</w:t>
            </w:r>
            <w:r>
              <w:rPr>
                <w:rFonts w:hint="eastAsia" w:ascii="仿宋" w:hAnsi="仿宋" w:eastAsia="仿宋"/>
                <w:color w:val="auto"/>
                <w:sz w:val="24"/>
                <w:highlight w:val="none"/>
                <w:lang w:eastAsia="zh-CN"/>
              </w:rPr>
              <w:t>伊轩品牌管理（江苏）有限公司</w:t>
            </w:r>
            <w:r>
              <w:rPr>
                <w:rFonts w:hint="eastAsia" w:ascii="仿宋" w:hAnsi="仿宋" w:eastAsia="仿宋"/>
                <w:color w:val="auto"/>
                <w:sz w:val="24"/>
                <w:highlight w:val="none"/>
              </w:rPr>
              <w:t>为本项目废气排放口及噪声污染物排放的环境责任主体。本项目生活污水依托</w:t>
            </w:r>
            <w:r>
              <w:rPr>
                <w:rFonts w:hint="eastAsia" w:ascii="仿宋" w:hAnsi="仿宋" w:eastAsia="仿宋"/>
                <w:color w:val="auto"/>
                <w:sz w:val="24"/>
                <w:highlight w:val="none"/>
                <w:lang w:val="en-US" w:eastAsia="zh-CN"/>
              </w:rPr>
              <w:t>出租方</w:t>
            </w:r>
            <w:r>
              <w:rPr>
                <w:rFonts w:hint="eastAsia" w:ascii="仿宋" w:hAnsi="仿宋" w:eastAsia="仿宋"/>
                <w:color w:val="auto"/>
                <w:sz w:val="24"/>
                <w:highlight w:val="none"/>
              </w:rPr>
              <w:t>现有污水管网收集后接管排入</w:t>
            </w:r>
            <w:r>
              <w:rPr>
                <w:rFonts w:hint="default" w:ascii="Times New Roman" w:hAnsi="Times New Roman" w:eastAsia="仿宋" w:cs="Times New Roman"/>
                <w:bCs/>
                <w:color w:val="auto"/>
                <w:sz w:val="24"/>
                <w:highlight w:val="none"/>
                <w:lang w:val="en-US" w:eastAsia="zh-CN"/>
              </w:rPr>
              <w:t>常州金坛区第二污水处理厂</w:t>
            </w:r>
            <w:r>
              <w:rPr>
                <w:rFonts w:hint="eastAsia" w:ascii="仿宋" w:hAnsi="仿宋" w:eastAsia="仿宋"/>
                <w:color w:val="auto"/>
                <w:sz w:val="24"/>
                <w:highlight w:val="none"/>
              </w:rPr>
              <w:t>，本项目在污水管网的接管口前</w:t>
            </w:r>
            <w:r>
              <w:rPr>
                <w:rFonts w:hint="eastAsia" w:ascii="仿宋" w:hAnsi="仿宋" w:eastAsia="仿宋"/>
                <w:color w:val="auto"/>
                <w:sz w:val="24"/>
                <w:highlight w:val="none"/>
                <w:lang w:eastAsia="zh-CN"/>
              </w:rPr>
              <w:t>设置</w:t>
            </w:r>
            <w:r>
              <w:rPr>
                <w:rFonts w:hint="eastAsia" w:ascii="仿宋" w:hAnsi="仿宋" w:eastAsia="仿宋"/>
                <w:color w:val="auto"/>
                <w:sz w:val="24"/>
                <w:highlight w:val="none"/>
              </w:rPr>
              <w:t>环境保护提示牌，采样井依托</w:t>
            </w:r>
            <w:r>
              <w:rPr>
                <w:rFonts w:hint="eastAsia" w:ascii="仿宋" w:hAnsi="仿宋" w:eastAsia="仿宋"/>
                <w:color w:val="auto"/>
                <w:sz w:val="24"/>
                <w:highlight w:val="none"/>
                <w:lang w:val="en-US" w:eastAsia="zh-CN"/>
              </w:rPr>
              <w:t>园区现</w:t>
            </w:r>
            <w:r>
              <w:rPr>
                <w:rFonts w:hint="eastAsia" w:ascii="仿宋" w:hAnsi="仿宋" w:eastAsia="仿宋"/>
                <w:color w:val="auto"/>
                <w:sz w:val="24"/>
                <w:highlight w:val="none"/>
              </w:rPr>
              <w:t>有，采样井污水的相关环保责任由各项检测等相关证明材料来核定污染承担方。</w:t>
            </w:r>
          </w:p>
        </w:tc>
      </w:tr>
    </w:tbl>
    <w:p w14:paraId="0612A65B">
      <w:pPr>
        <w:jc w:val="center"/>
        <w:rPr>
          <w:rFonts w:hint="default" w:ascii="Times New Roman" w:hAnsi="Times New Roman" w:eastAsia="仿宋"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05B4025">
      <w:pPr>
        <w:outlineLvl w:val="0"/>
        <w:rPr>
          <w:rFonts w:hint="default" w:ascii="Times New Roman" w:hAnsi="Times New Roman" w:eastAsia="仿宋" w:cs="Times New Roman"/>
          <w:b/>
          <w:bCs/>
          <w:snapToGrid w:val="0"/>
          <w:color w:val="auto"/>
          <w:sz w:val="30"/>
          <w:szCs w:val="30"/>
          <w:highlight w:val="none"/>
        </w:rPr>
      </w:pPr>
      <w:r>
        <w:rPr>
          <w:rFonts w:hint="default" w:ascii="Times New Roman" w:hAnsi="Times New Roman" w:eastAsia="仿宋" w:cs="Times New Roman"/>
          <w:b/>
          <w:bCs/>
          <w:snapToGrid w:val="0"/>
          <w:color w:val="auto"/>
          <w:sz w:val="30"/>
          <w:szCs w:val="30"/>
          <w:highlight w:val="none"/>
        </w:rPr>
        <w:t>三、区域环境质量现状、环境保护目标及评价标准</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8385"/>
      </w:tblGrid>
      <w:tr w14:paraId="21A4A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2" w:hRule="atLeast"/>
          <w:jc w:val="center"/>
        </w:trPr>
        <w:tc>
          <w:tcPr>
            <w:tcW w:w="373" w:type="pct"/>
            <w:noWrap w:val="0"/>
            <w:vAlign w:val="center"/>
          </w:tcPr>
          <w:p w14:paraId="34EB303F">
            <w:pPr>
              <w:adjustRightInd w:val="0"/>
              <w:snapToGrid w:val="0"/>
              <w:spacing w:line="360" w:lineRule="auto"/>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区域环境质量现状</w:t>
            </w:r>
          </w:p>
        </w:tc>
        <w:tc>
          <w:tcPr>
            <w:tcW w:w="4626" w:type="pct"/>
            <w:noWrap w:val="0"/>
            <w:vAlign w:val="center"/>
          </w:tcPr>
          <w:p w14:paraId="00F2AA1F">
            <w:pPr>
              <w:adjustRightInd w:val="0"/>
              <w:snapToGrid w:val="0"/>
              <w:spacing w:before="120" w:beforeLines="50"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一、环境质量现状</w:t>
            </w:r>
          </w:p>
          <w:p w14:paraId="2A35A92B">
            <w:pPr>
              <w:adjustRightInd w:val="0"/>
              <w:snapToGrid w:val="0"/>
              <w:spacing w:line="360" w:lineRule="auto"/>
              <w:ind w:firstLine="480" w:firstLineChars="200"/>
              <w:jc w:val="left"/>
              <w:rPr>
                <w:rFonts w:hint="default" w:ascii="Times New Roman" w:hAnsi="Times New Roman" w:eastAsia="仿宋" w:cs="Times New Roman"/>
                <w:bCs/>
                <w:color w:val="auto"/>
                <w:sz w:val="28"/>
                <w:szCs w:val="28"/>
                <w:highlight w:val="none"/>
              </w:rPr>
            </w:pPr>
            <w:r>
              <w:rPr>
                <w:rFonts w:hint="default" w:ascii="Times New Roman" w:hAnsi="Times New Roman" w:eastAsia="仿宋" w:cs="Times New Roman"/>
                <w:bCs/>
                <w:color w:val="auto"/>
                <w:sz w:val="24"/>
                <w:highlight w:val="none"/>
              </w:rPr>
              <w:t>1、大气环境质量现状</w:t>
            </w:r>
          </w:p>
          <w:p w14:paraId="3387DE52">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（1）项目所在区域达标判定</w:t>
            </w:r>
          </w:p>
          <w:p w14:paraId="62E184D1">
            <w:pPr>
              <w:widowControl/>
              <w:adjustRightInd w:val="0"/>
              <w:snapToGrid w:val="0"/>
              <w:spacing w:line="360" w:lineRule="auto"/>
              <w:ind w:firstLine="480" w:firstLineChars="200"/>
              <w:rPr>
                <w:rFonts w:hint="default" w:ascii="Times New Roman" w:hAnsi="Times New Roman" w:eastAsia="仿宋" w:cs="Times New Roman"/>
                <w:color w:val="auto"/>
                <w:sz w:val="24"/>
                <w:szCs w:val="20"/>
                <w:highlight w:val="none"/>
              </w:rPr>
            </w:pPr>
            <w:r>
              <w:rPr>
                <w:rFonts w:hint="default" w:ascii="Times New Roman" w:hAnsi="Times New Roman" w:eastAsia="仿宋" w:cs="Times New Roman"/>
                <w:color w:val="auto"/>
                <w:sz w:val="24"/>
                <w:szCs w:val="20"/>
                <w:highlight w:val="none"/>
              </w:rPr>
              <w:t>为了解项目所在地区的环境质量现状，本项目引用《2024年常州市生态环境状况公报》中环境空气质量数据。本次评价选取2024年作为评价基准年，根据《2024年常州市生态环境状况公报》，项目所在区域常州市各评价因子数据见下表。</w:t>
            </w:r>
          </w:p>
          <w:p w14:paraId="2AB0E1B0">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表3-1  区域空气质量现状评价表</w:t>
            </w:r>
          </w:p>
          <w:tbl>
            <w:tblPr>
              <w:tblStyle w:val="2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62"/>
              <w:gridCol w:w="2553"/>
              <w:gridCol w:w="1188"/>
              <w:gridCol w:w="1188"/>
              <w:gridCol w:w="1188"/>
              <w:gridCol w:w="1190"/>
            </w:tblGrid>
            <w:tr w14:paraId="1683B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noWrap w:val="0"/>
                  <w:vAlign w:val="center"/>
                </w:tcPr>
                <w:p w14:paraId="27C6B508">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kern w:val="0"/>
                      <w:sz w:val="21"/>
                      <w:szCs w:val="21"/>
                      <w:highlight w:val="none"/>
                    </w:rPr>
                    <w:t>评价因子</w:t>
                  </w:r>
                </w:p>
              </w:tc>
              <w:tc>
                <w:tcPr>
                  <w:tcW w:w="1562" w:type="pct"/>
                  <w:noWrap w:val="0"/>
                  <w:vAlign w:val="center"/>
                </w:tcPr>
                <w:p w14:paraId="6DA49FA5">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kern w:val="0"/>
                      <w:sz w:val="21"/>
                      <w:szCs w:val="21"/>
                      <w:highlight w:val="none"/>
                    </w:rPr>
                    <w:t>评价指标</w:t>
                  </w:r>
                </w:p>
              </w:tc>
              <w:tc>
                <w:tcPr>
                  <w:tcW w:w="727" w:type="pct"/>
                  <w:noWrap w:val="0"/>
                  <w:vAlign w:val="center"/>
                </w:tcPr>
                <w:p w14:paraId="29BA45BB">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现状浓度</w:t>
                  </w:r>
                </w:p>
                <w:p w14:paraId="09D0D4ED">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kern w:val="0"/>
                      <w:sz w:val="21"/>
                      <w:szCs w:val="21"/>
                      <w:highlight w:val="none"/>
                    </w:rPr>
                    <w:t>（μg/m</w:t>
                  </w:r>
                  <w:r>
                    <w:rPr>
                      <w:rFonts w:hint="default" w:ascii="Times New Roman" w:hAnsi="Times New Roman" w:eastAsia="仿宋" w:cs="Times New Roman"/>
                      <w:b/>
                      <w:bCs/>
                      <w:color w:val="auto"/>
                      <w:kern w:val="0"/>
                      <w:sz w:val="21"/>
                      <w:szCs w:val="21"/>
                      <w:highlight w:val="none"/>
                      <w:vertAlign w:val="superscript"/>
                    </w:rPr>
                    <w:t>3</w:t>
                  </w:r>
                  <w:r>
                    <w:rPr>
                      <w:rFonts w:hint="default" w:ascii="Times New Roman" w:hAnsi="Times New Roman" w:eastAsia="仿宋" w:cs="Times New Roman"/>
                      <w:b/>
                      <w:bCs/>
                      <w:color w:val="auto"/>
                      <w:kern w:val="0"/>
                      <w:sz w:val="21"/>
                      <w:szCs w:val="21"/>
                      <w:highlight w:val="none"/>
                    </w:rPr>
                    <w:t>）</w:t>
                  </w:r>
                </w:p>
              </w:tc>
              <w:tc>
                <w:tcPr>
                  <w:tcW w:w="727" w:type="pct"/>
                  <w:noWrap w:val="0"/>
                  <w:vAlign w:val="center"/>
                </w:tcPr>
                <w:p w14:paraId="54DF15EE">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标准值</w:t>
                  </w:r>
                </w:p>
                <w:p w14:paraId="5C573D85">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kern w:val="0"/>
                      <w:sz w:val="21"/>
                      <w:szCs w:val="21"/>
                      <w:highlight w:val="none"/>
                    </w:rPr>
                    <w:t>（μg/m</w:t>
                  </w:r>
                  <w:r>
                    <w:rPr>
                      <w:rFonts w:hint="default" w:ascii="Times New Roman" w:hAnsi="Times New Roman" w:eastAsia="仿宋" w:cs="Times New Roman"/>
                      <w:b/>
                      <w:bCs/>
                      <w:color w:val="auto"/>
                      <w:kern w:val="0"/>
                      <w:sz w:val="21"/>
                      <w:szCs w:val="21"/>
                      <w:highlight w:val="none"/>
                      <w:vertAlign w:val="superscript"/>
                    </w:rPr>
                    <w:t>3</w:t>
                  </w:r>
                  <w:r>
                    <w:rPr>
                      <w:rFonts w:hint="default" w:ascii="Times New Roman" w:hAnsi="Times New Roman" w:eastAsia="仿宋" w:cs="Times New Roman"/>
                      <w:b/>
                      <w:bCs/>
                      <w:color w:val="auto"/>
                      <w:kern w:val="0"/>
                      <w:sz w:val="21"/>
                      <w:szCs w:val="21"/>
                      <w:highlight w:val="none"/>
                    </w:rPr>
                    <w:t>）</w:t>
                  </w:r>
                </w:p>
              </w:tc>
              <w:tc>
                <w:tcPr>
                  <w:tcW w:w="727" w:type="pct"/>
                  <w:noWrap w:val="0"/>
                  <w:vAlign w:val="center"/>
                </w:tcPr>
                <w:p w14:paraId="3291ECDF">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kern w:val="0"/>
                      <w:sz w:val="21"/>
                      <w:szCs w:val="21"/>
                      <w:highlight w:val="none"/>
                    </w:rPr>
                    <w:t>达标率/%</w:t>
                  </w:r>
                </w:p>
              </w:tc>
              <w:tc>
                <w:tcPr>
                  <w:tcW w:w="728" w:type="pct"/>
                  <w:noWrap w:val="0"/>
                  <w:vAlign w:val="center"/>
                </w:tcPr>
                <w:p w14:paraId="10F83726">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b/>
                      <w:bCs/>
                      <w:color w:val="auto"/>
                      <w:kern w:val="0"/>
                      <w:sz w:val="21"/>
                      <w:szCs w:val="21"/>
                      <w:highlight w:val="none"/>
                    </w:rPr>
                    <w:t>达标情况</w:t>
                  </w:r>
                </w:p>
              </w:tc>
            </w:tr>
            <w:tr w14:paraId="309AF7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vMerge w:val="restart"/>
                  <w:noWrap w:val="0"/>
                  <w:vAlign w:val="center"/>
                </w:tcPr>
                <w:p w14:paraId="6891884E">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SO</w:t>
                  </w:r>
                  <w:r>
                    <w:rPr>
                      <w:rFonts w:hint="default" w:ascii="Times New Roman" w:hAnsi="Times New Roman" w:eastAsia="仿宋" w:cs="Times New Roman"/>
                      <w:color w:val="auto"/>
                      <w:kern w:val="0"/>
                      <w:sz w:val="21"/>
                      <w:szCs w:val="21"/>
                      <w:highlight w:val="none"/>
                      <w:vertAlign w:val="subscript"/>
                    </w:rPr>
                    <w:t>2</w:t>
                  </w:r>
                </w:p>
              </w:tc>
              <w:tc>
                <w:tcPr>
                  <w:tcW w:w="1562" w:type="pct"/>
                  <w:noWrap w:val="0"/>
                  <w:vAlign w:val="center"/>
                </w:tcPr>
                <w:p w14:paraId="63F9064E">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年平均质量浓度</w:t>
                  </w:r>
                </w:p>
              </w:tc>
              <w:tc>
                <w:tcPr>
                  <w:tcW w:w="727" w:type="pct"/>
                  <w:noWrap w:val="0"/>
                  <w:vAlign w:val="center"/>
                </w:tcPr>
                <w:p w14:paraId="72475D2C">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w:t>
                  </w:r>
                </w:p>
              </w:tc>
              <w:tc>
                <w:tcPr>
                  <w:tcW w:w="727" w:type="pct"/>
                  <w:noWrap w:val="0"/>
                  <w:vAlign w:val="center"/>
                </w:tcPr>
                <w:p w14:paraId="24783F6A">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60</w:t>
                  </w:r>
                </w:p>
              </w:tc>
              <w:tc>
                <w:tcPr>
                  <w:tcW w:w="1188" w:type="dxa"/>
                  <w:noWrap w:val="0"/>
                  <w:vAlign w:val="center"/>
                </w:tcPr>
                <w:p w14:paraId="5DC175CA">
                  <w:pPr>
                    <w:keepNext w:val="0"/>
                    <w:keepLines w:val="0"/>
                    <w:pageBreakBefore w:val="0"/>
                    <w:widowControl w:val="0"/>
                    <w:suppressLineNumbers w:val="0"/>
                    <w:wordWrap/>
                    <w:topLinePunct w:val="0"/>
                    <w:bidi w:val="0"/>
                    <w:snapToGrid w:val="0"/>
                    <w:spacing w:before="0" w:beforeAutospacing="0" w:after="0" w:afterAutospacing="0"/>
                    <w:ind w:left="0" w:leftChars="0" w:right="0" w:right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rPr>
                    <w:t>100</w:t>
                  </w:r>
                </w:p>
              </w:tc>
              <w:tc>
                <w:tcPr>
                  <w:tcW w:w="728" w:type="pct"/>
                  <w:vMerge w:val="restart"/>
                  <w:noWrap w:val="0"/>
                  <w:vAlign w:val="center"/>
                </w:tcPr>
                <w:p w14:paraId="7230AFE2">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达标</w:t>
                  </w:r>
                </w:p>
              </w:tc>
            </w:tr>
            <w:tr w14:paraId="58DEB7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vMerge w:val="continue"/>
                  <w:noWrap w:val="0"/>
                  <w:vAlign w:val="center"/>
                </w:tcPr>
                <w:p w14:paraId="34B97DB5">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p>
              </w:tc>
              <w:tc>
                <w:tcPr>
                  <w:tcW w:w="1562" w:type="pct"/>
                  <w:noWrap w:val="0"/>
                  <w:vAlign w:val="center"/>
                </w:tcPr>
                <w:p w14:paraId="40B78147">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日均值浓度</w:t>
                  </w:r>
                </w:p>
              </w:tc>
              <w:tc>
                <w:tcPr>
                  <w:tcW w:w="727" w:type="pct"/>
                  <w:noWrap w:val="0"/>
                  <w:vAlign w:val="center"/>
                </w:tcPr>
                <w:p w14:paraId="34321BC4">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5-15</w:t>
                  </w:r>
                </w:p>
              </w:tc>
              <w:tc>
                <w:tcPr>
                  <w:tcW w:w="727" w:type="pct"/>
                  <w:noWrap w:val="0"/>
                  <w:vAlign w:val="center"/>
                </w:tcPr>
                <w:p w14:paraId="57BE7D3C">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150</w:t>
                  </w:r>
                </w:p>
              </w:tc>
              <w:tc>
                <w:tcPr>
                  <w:tcW w:w="1188" w:type="dxa"/>
                  <w:noWrap w:val="0"/>
                  <w:vAlign w:val="center"/>
                </w:tcPr>
                <w:p w14:paraId="0D16EE72">
                  <w:pPr>
                    <w:keepNext w:val="0"/>
                    <w:keepLines w:val="0"/>
                    <w:pageBreakBefore w:val="0"/>
                    <w:widowControl w:val="0"/>
                    <w:suppressLineNumbers w:val="0"/>
                    <w:wordWrap/>
                    <w:topLinePunct w:val="0"/>
                    <w:bidi w:val="0"/>
                    <w:snapToGrid w:val="0"/>
                    <w:spacing w:before="0" w:beforeAutospacing="0" w:after="0" w:afterAutospacing="0"/>
                    <w:ind w:left="0" w:leftChars="0" w:right="0" w:right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rPr>
                    <w:t>100</w:t>
                  </w:r>
                </w:p>
              </w:tc>
              <w:tc>
                <w:tcPr>
                  <w:tcW w:w="728" w:type="pct"/>
                  <w:vMerge w:val="continue"/>
                  <w:noWrap w:val="0"/>
                  <w:vAlign w:val="center"/>
                </w:tcPr>
                <w:p w14:paraId="3A71EC22">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p>
              </w:tc>
            </w:tr>
            <w:tr w14:paraId="042978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vMerge w:val="restart"/>
                  <w:noWrap w:val="0"/>
                  <w:vAlign w:val="center"/>
                </w:tcPr>
                <w:p w14:paraId="64202007">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NO</w:t>
                  </w:r>
                  <w:r>
                    <w:rPr>
                      <w:rFonts w:hint="default" w:ascii="Times New Roman" w:hAnsi="Times New Roman" w:eastAsia="仿宋" w:cs="Times New Roman"/>
                      <w:color w:val="auto"/>
                      <w:kern w:val="0"/>
                      <w:sz w:val="21"/>
                      <w:szCs w:val="21"/>
                      <w:highlight w:val="none"/>
                      <w:vertAlign w:val="subscript"/>
                    </w:rPr>
                    <w:t>2</w:t>
                  </w:r>
                </w:p>
              </w:tc>
              <w:tc>
                <w:tcPr>
                  <w:tcW w:w="1562" w:type="pct"/>
                  <w:noWrap w:val="0"/>
                  <w:vAlign w:val="center"/>
                </w:tcPr>
                <w:p w14:paraId="0D3796EA">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年平均质量浓度</w:t>
                  </w:r>
                </w:p>
              </w:tc>
              <w:tc>
                <w:tcPr>
                  <w:tcW w:w="727" w:type="pct"/>
                  <w:noWrap w:val="0"/>
                  <w:vAlign w:val="center"/>
                </w:tcPr>
                <w:p w14:paraId="44C7E111">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26</w:t>
                  </w:r>
                </w:p>
              </w:tc>
              <w:tc>
                <w:tcPr>
                  <w:tcW w:w="727" w:type="pct"/>
                  <w:noWrap w:val="0"/>
                  <w:vAlign w:val="center"/>
                </w:tcPr>
                <w:p w14:paraId="100C1A95">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w:t>
                  </w:r>
                </w:p>
              </w:tc>
              <w:tc>
                <w:tcPr>
                  <w:tcW w:w="1188" w:type="dxa"/>
                  <w:noWrap w:val="0"/>
                  <w:vAlign w:val="center"/>
                </w:tcPr>
                <w:p w14:paraId="057E6A77">
                  <w:pPr>
                    <w:keepNext w:val="0"/>
                    <w:keepLines w:val="0"/>
                    <w:pageBreakBefore w:val="0"/>
                    <w:widowControl w:val="0"/>
                    <w:suppressLineNumbers w:val="0"/>
                    <w:wordWrap/>
                    <w:topLinePunct w:val="0"/>
                    <w:bidi w:val="0"/>
                    <w:snapToGrid w:val="0"/>
                    <w:spacing w:before="0" w:beforeAutospacing="0" w:after="0" w:afterAutospacing="0"/>
                    <w:ind w:left="0" w:leftChars="0" w:right="0" w:right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rPr>
                    <w:t>100</w:t>
                  </w:r>
                </w:p>
              </w:tc>
              <w:tc>
                <w:tcPr>
                  <w:tcW w:w="728" w:type="pct"/>
                  <w:vMerge w:val="restart"/>
                  <w:noWrap w:val="0"/>
                  <w:vAlign w:val="center"/>
                </w:tcPr>
                <w:p w14:paraId="3E980DA5">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达标</w:t>
                  </w:r>
                </w:p>
              </w:tc>
            </w:tr>
            <w:tr w14:paraId="7458DD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vMerge w:val="continue"/>
                  <w:noWrap w:val="0"/>
                  <w:vAlign w:val="center"/>
                </w:tcPr>
                <w:p w14:paraId="06ACCA8A">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p>
              </w:tc>
              <w:tc>
                <w:tcPr>
                  <w:tcW w:w="1562" w:type="pct"/>
                  <w:noWrap w:val="0"/>
                  <w:vAlign w:val="center"/>
                </w:tcPr>
                <w:p w14:paraId="157D9BCD">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日均值浓度</w:t>
                  </w:r>
                </w:p>
              </w:tc>
              <w:tc>
                <w:tcPr>
                  <w:tcW w:w="727" w:type="pct"/>
                  <w:noWrap w:val="0"/>
                  <w:vAlign w:val="center"/>
                </w:tcPr>
                <w:p w14:paraId="6149EA73">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5-92</w:t>
                  </w:r>
                </w:p>
              </w:tc>
              <w:tc>
                <w:tcPr>
                  <w:tcW w:w="727" w:type="pct"/>
                  <w:noWrap w:val="0"/>
                  <w:vAlign w:val="center"/>
                </w:tcPr>
                <w:p w14:paraId="3A18446F">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80</w:t>
                  </w:r>
                </w:p>
              </w:tc>
              <w:tc>
                <w:tcPr>
                  <w:tcW w:w="1188" w:type="dxa"/>
                  <w:noWrap w:val="0"/>
                  <w:vAlign w:val="center"/>
                </w:tcPr>
                <w:p w14:paraId="3936A058">
                  <w:pPr>
                    <w:keepNext w:val="0"/>
                    <w:keepLines w:val="0"/>
                    <w:pageBreakBefore w:val="0"/>
                    <w:widowControl w:val="0"/>
                    <w:suppressLineNumbers w:val="0"/>
                    <w:wordWrap/>
                    <w:topLinePunct w:val="0"/>
                    <w:bidi w:val="0"/>
                    <w:snapToGrid w:val="0"/>
                    <w:spacing w:before="0" w:beforeAutospacing="0" w:after="0" w:afterAutospacing="0"/>
                    <w:ind w:left="0" w:leftChars="0" w:right="0" w:right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rPr>
                    <w:t>9</w:t>
                  </w:r>
                  <w:r>
                    <w:rPr>
                      <w:rFonts w:hint="default" w:ascii="Times New Roman" w:hAnsi="Times New Roman" w:eastAsia="仿宋" w:cs="Times New Roman"/>
                      <w:color w:val="auto"/>
                      <w:kern w:val="0"/>
                      <w:sz w:val="21"/>
                      <w:szCs w:val="21"/>
                      <w:lang w:val="en-US" w:eastAsia="zh-CN"/>
                    </w:rPr>
                    <w:t>9.2</w:t>
                  </w:r>
                </w:p>
              </w:tc>
              <w:tc>
                <w:tcPr>
                  <w:tcW w:w="728" w:type="pct"/>
                  <w:vMerge w:val="continue"/>
                  <w:noWrap w:val="0"/>
                  <w:vAlign w:val="center"/>
                </w:tcPr>
                <w:p w14:paraId="35DB7BEE">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p>
              </w:tc>
            </w:tr>
            <w:tr w14:paraId="7D5C38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vMerge w:val="restart"/>
                  <w:noWrap w:val="0"/>
                  <w:vAlign w:val="center"/>
                </w:tcPr>
                <w:p w14:paraId="600D485D">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PM</w:t>
                  </w:r>
                  <w:r>
                    <w:rPr>
                      <w:rFonts w:hint="default" w:ascii="Times New Roman" w:hAnsi="Times New Roman" w:eastAsia="仿宋" w:cs="Times New Roman"/>
                      <w:color w:val="auto"/>
                      <w:kern w:val="0"/>
                      <w:sz w:val="21"/>
                      <w:szCs w:val="21"/>
                      <w:highlight w:val="none"/>
                      <w:vertAlign w:val="subscript"/>
                    </w:rPr>
                    <w:t>10</w:t>
                  </w:r>
                </w:p>
              </w:tc>
              <w:tc>
                <w:tcPr>
                  <w:tcW w:w="1562" w:type="pct"/>
                  <w:noWrap w:val="0"/>
                  <w:vAlign w:val="center"/>
                </w:tcPr>
                <w:p w14:paraId="1D4AFD1D">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年平均质量浓度</w:t>
                  </w:r>
                </w:p>
              </w:tc>
              <w:tc>
                <w:tcPr>
                  <w:tcW w:w="727" w:type="pct"/>
                  <w:noWrap w:val="0"/>
                  <w:vAlign w:val="center"/>
                </w:tcPr>
                <w:p w14:paraId="495BB41A">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rPr>
                    <w:t>5</w:t>
                  </w:r>
                  <w:r>
                    <w:rPr>
                      <w:rFonts w:hint="default" w:ascii="Times New Roman" w:hAnsi="Times New Roman" w:eastAsia="仿宋" w:cs="Times New Roman"/>
                      <w:color w:val="auto"/>
                      <w:kern w:val="0"/>
                      <w:sz w:val="21"/>
                      <w:szCs w:val="21"/>
                      <w:highlight w:val="none"/>
                      <w:lang w:val="en-US" w:eastAsia="zh-CN"/>
                    </w:rPr>
                    <w:t>2</w:t>
                  </w:r>
                </w:p>
              </w:tc>
              <w:tc>
                <w:tcPr>
                  <w:tcW w:w="727" w:type="pct"/>
                  <w:noWrap w:val="0"/>
                  <w:vAlign w:val="center"/>
                </w:tcPr>
                <w:p w14:paraId="0A64592A">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60</w:t>
                  </w:r>
                </w:p>
              </w:tc>
              <w:tc>
                <w:tcPr>
                  <w:tcW w:w="1188" w:type="dxa"/>
                  <w:noWrap w:val="0"/>
                  <w:vAlign w:val="center"/>
                </w:tcPr>
                <w:p w14:paraId="26354689">
                  <w:pPr>
                    <w:keepNext w:val="0"/>
                    <w:keepLines w:val="0"/>
                    <w:pageBreakBefore w:val="0"/>
                    <w:widowControl w:val="0"/>
                    <w:suppressLineNumbers w:val="0"/>
                    <w:wordWrap/>
                    <w:topLinePunct w:val="0"/>
                    <w:bidi w:val="0"/>
                    <w:snapToGrid w:val="0"/>
                    <w:spacing w:before="0" w:beforeAutospacing="0" w:after="0" w:afterAutospacing="0"/>
                    <w:ind w:left="0" w:leftChars="0" w:right="0" w:right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rPr>
                    <w:t>100</w:t>
                  </w:r>
                </w:p>
              </w:tc>
              <w:tc>
                <w:tcPr>
                  <w:tcW w:w="728" w:type="pct"/>
                  <w:vMerge w:val="restart"/>
                  <w:noWrap w:val="0"/>
                  <w:vAlign w:val="center"/>
                </w:tcPr>
                <w:p w14:paraId="3FE20CE2">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达标</w:t>
                  </w:r>
                </w:p>
              </w:tc>
            </w:tr>
            <w:tr w14:paraId="106CC2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vMerge w:val="continue"/>
                  <w:noWrap w:val="0"/>
                  <w:vAlign w:val="center"/>
                </w:tcPr>
                <w:p w14:paraId="60F90237">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p>
              </w:tc>
              <w:tc>
                <w:tcPr>
                  <w:tcW w:w="1562" w:type="pct"/>
                  <w:noWrap w:val="0"/>
                  <w:vAlign w:val="center"/>
                </w:tcPr>
                <w:p w14:paraId="74FE6C8F">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日均值浓度</w:t>
                  </w:r>
                </w:p>
              </w:tc>
              <w:tc>
                <w:tcPr>
                  <w:tcW w:w="727" w:type="pct"/>
                  <w:noWrap w:val="0"/>
                  <w:vAlign w:val="center"/>
                </w:tcPr>
                <w:p w14:paraId="0275E651">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9-206</w:t>
                  </w:r>
                </w:p>
              </w:tc>
              <w:tc>
                <w:tcPr>
                  <w:tcW w:w="727" w:type="pct"/>
                  <w:noWrap w:val="0"/>
                  <w:vAlign w:val="center"/>
                </w:tcPr>
                <w:p w14:paraId="5968493C">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default" w:ascii="Times New Roman" w:hAnsi="Times New Roman" w:eastAsia="仿宋" w:cs="Times New Roman"/>
                      <w:color w:val="auto"/>
                      <w:kern w:val="0"/>
                      <w:sz w:val="21"/>
                      <w:szCs w:val="21"/>
                      <w:highlight w:val="none"/>
                      <w:lang w:val="en-US" w:eastAsia="zh-CN"/>
                    </w:rPr>
                    <w:t>20</w:t>
                  </w:r>
                </w:p>
              </w:tc>
              <w:tc>
                <w:tcPr>
                  <w:tcW w:w="1188" w:type="dxa"/>
                  <w:noWrap w:val="0"/>
                  <w:vAlign w:val="center"/>
                </w:tcPr>
                <w:p w14:paraId="0EF36777">
                  <w:pPr>
                    <w:keepNext w:val="0"/>
                    <w:keepLines w:val="0"/>
                    <w:pageBreakBefore w:val="0"/>
                    <w:widowControl w:val="0"/>
                    <w:suppressLineNumbers w:val="0"/>
                    <w:wordWrap/>
                    <w:topLinePunct w:val="0"/>
                    <w:bidi w:val="0"/>
                    <w:snapToGrid w:val="0"/>
                    <w:spacing w:before="0" w:beforeAutospacing="0" w:after="0" w:afterAutospacing="0"/>
                    <w:ind w:left="0" w:leftChars="0" w:right="0" w:rightChars="0"/>
                    <w:jc w:val="center"/>
                    <w:textAlignment w:val="auto"/>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rPr>
                    <w:t>98.</w:t>
                  </w:r>
                  <w:r>
                    <w:rPr>
                      <w:rFonts w:hint="default" w:ascii="Times New Roman" w:hAnsi="Times New Roman" w:eastAsia="仿宋" w:cs="Times New Roman"/>
                      <w:color w:val="auto"/>
                      <w:kern w:val="0"/>
                      <w:sz w:val="21"/>
                      <w:szCs w:val="21"/>
                      <w:lang w:val="en-US" w:eastAsia="zh-CN"/>
                    </w:rPr>
                    <w:t>3</w:t>
                  </w:r>
                </w:p>
              </w:tc>
              <w:tc>
                <w:tcPr>
                  <w:tcW w:w="728" w:type="pct"/>
                  <w:vMerge w:val="continue"/>
                  <w:noWrap w:val="0"/>
                  <w:vAlign w:val="center"/>
                </w:tcPr>
                <w:p w14:paraId="45205F6D">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p>
              </w:tc>
            </w:tr>
            <w:tr w14:paraId="1279FA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vMerge w:val="restart"/>
                  <w:noWrap w:val="0"/>
                  <w:vAlign w:val="center"/>
                </w:tcPr>
                <w:p w14:paraId="76023496">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PM</w:t>
                  </w:r>
                  <w:r>
                    <w:rPr>
                      <w:rFonts w:hint="default" w:ascii="Times New Roman" w:hAnsi="Times New Roman" w:eastAsia="仿宋" w:cs="Times New Roman"/>
                      <w:color w:val="auto"/>
                      <w:kern w:val="0"/>
                      <w:sz w:val="21"/>
                      <w:szCs w:val="21"/>
                      <w:highlight w:val="none"/>
                      <w:vertAlign w:val="subscript"/>
                    </w:rPr>
                    <w:t>2.5</w:t>
                  </w:r>
                </w:p>
              </w:tc>
              <w:tc>
                <w:tcPr>
                  <w:tcW w:w="1562" w:type="pct"/>
                  <w:noWrap w:val="0"/>
                  <w:vAlign w:val="center"/>
                </w:tcPr>
                <w:p w14:paraId="3AC5DA41">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年平均质量浓度</w:t>
                  </w:r>
                </w:p>
              </w:tc>
              <w:tc>
                <w:tcPr>
                  <w:tcW w:w="727" w:type="pct"/>
                  <w:noWrap w:val="0"/>
                  <w:vAlign w:val="center"/>
                </w:tcPr>
                <w:p w14:paraId="6BFB30BB">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rPr>
                    <w:t>3</w:t>
                  </w:r>
                  <w:r>
                    <w:rPr>
                      <w:rFonts w:hint="default" w:ascii="Times New Roman" w:hAnsi="Times New Roman" w:eastAsia="仿宋" w:cs="Times New Roman"/>
                      <w:color w:val="auto"/>
                      <w:kern w:val="0"/>
                      <w:sz w:val="21"/>
                      <w:szCs w:val="21"/>
                      <w:highlight w:val="none"/>
                      <w:lang w:val="en-US" w:eastAsia="zh-CN"/>
                    </w:rPr>
                    <w:t>2</w:t>
                  </w:r>
                </w:p>
              </w:tc>
              <w:tc>
                <w:tcPr>
                  <w:tcW w:w="727" w:type="pct"/>
                  <w:noWrap w:val="0"/>
                  <w:vAlign w:val="center"/>
                </w:tcPr>
                <w:p w14:paraId="7F8F8194">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rPr>
                    <w:t>3</w:t>
                  </w:r>
                  <w:r>
                    <w:rPr>
                      <w:rFonts w:hint="default" w:ascii="Times New Roman" w:hAnsi="Times New Roman" w:eastAsia="仿宋" w:cs="Times New Roman"/>
                      <w:color w:val="auto"/>
                      <w:kern w:val="0"/>
                      <w:sz w:val="21"/>
                      <w:szCs w:val="21"/>
                      <w:highlight w:val="none"/>
                      <w:lang w:val="en-US" w:eastAsia="zh-CN"/>
                    </w:rPr>
                    <w:t>0</w:t>
                  </w:r>
                </w:p>
              </w:tc>
              <w:tc>
                <w:tcPr>
                  <w:tcW w:w="1188" w:type="dxa"/>
                  <w:noWrap w:val="0"/>
                  <w:vAlign w:val="center"/>
                </w:tcPr>
                <w:p w14:paraId="652213E6">
                  <w:pPr>
                    <w:keepNext w:val="0"/>
                    <w:keepLines w:val="0"/>
                    <w:pageBreakBefore w:val="0"/>
                    <w:widowControl w:val="0"/>
                    <w:suppressLineNumbers w:val="0"/>
                    <w:wordWrap/>
                    <w:topLinePunct w:val="0"/>
                    <w:bidi w:val="0"/>
                    <w:snapToGrid w:val="0"/>
                    <w:spacing w:before="0" w:beforeAutospacing="0" w:after="0" w:afterAutospacing="0"/>
                    <w:ind w:left="0" w:leftChars="0" w:right="0" w:rightChars="0"/>
                    <w:jc w:val="center"/>
                    <w:textAlignment w:val="auto"/>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rPr>
                    <w:t>100</w:t>
                  </w:r>
                </w:p>
              </w:tc>
              <w:tc>
                <w:tcPr>
                  <w:tcW w:w="728" w:type="pct"/>
                  <w:vMerge w:val="restart"/>
                  <w:noWrap w:val="0"/>
                  <w:vAlign w:val="center"/>
                </w:tcPr>
                <w:p w14:paraId="14B77EF2">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不</w:t>
                  </w:r>
                  <w:r>
                    <w:rPr>
                      <w:rFonts w:hint="default" w:ascii="Times New Roman" w:hAnsi="Times New Roman" w:eastAsia="仿宋" w:cs="Times New Roman"/>
                      <w:color w:val="auto"/>
                      <w:kern w:val="0"/>
                      <w:sz w:val="21"/>
                      <w:szCs w:val="21"/>
                      <w:highlight w:val="none"/>
                    </w:rPr>
                    <w:t>达标</w:t>
                  </w:r>
                </w:p>
              </w:tc>
            </w:tr>
            <w:tr w14:paraId="40BE87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vMerge w:val="continue"/>
                  <w:noWrap w:val="0"/>
                  <w:vAlign w:val="center"/>
                </w:tcPr>
                <w:p w14:paraId="2C77665E">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p>
              </w:tc>
              <w:tc>
                <w:tcPr>
                  <w:tcW w:w="1562" w:type="pct"/>
                  <w:noWrap w:val="0"/>
                  <w:vAlign w:val="center"/>
                </w:tcPr>
                <w:p w14:paraId="5E5CEDB4">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日均值浓度</w:t>
                  </w:r>
                </w:p>
              </w:tc>
              <w:tc>
                <w:tcPr>
                  <w:tcW w:w="727" w:type="pct"/>
                  <w:noWrap w:val="0"/>
                  <w:vAlign w:val="center"/>
                </w:tcPr>
                <w:p w14:paraId="53B5108E">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5-157</w:t>
                  </w:r>
                </w:p>
              </w:tc>
              <w:tc>
                <w:tcPr>
                  <w:tcW w:w="727" w:type="pct"/>
                  <w:noWrap w:val="0"/>
                  <w:vAlign w:val="center"/>
                </w:tcPr>
                <w:p w14:paraId="0787C453">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60</w:t>
                  </w:r>
                </w:p>
              </w:tc>
              <w:tc>
                <w:tcPr>
                  <w:tcW w:w="1188" w:type="dxa"/>
                  <w:noWrap w:val="0"/>
                  <w:vAlign w:val="center"/>
                </w:tcPr>
                <w:p w14:paraId="1F0517D4">
                  <w:pPr>
                    <w:keepNext w:val="0"/>
                    <w:keepLines w:val="0"/>
                    <w:pageBreakBefore w:val="0"/>
                    <w:widowControl w:val="0"/>
                    <w:suppressLineNumbers w:val="0"/>
                    <w:wordWrap/>
                    <w:topLinePunct w:val="0"/>
                    <w:bidi w:val="0"/>
                    <w:snapToGrid w:val="0"/>
                    <w:spacing w:before="0" w:beforeAutospacing="0" w:after="0" w:afterAutospacing="0"/>
                    <w:ind w:left="0" w:leftChars="0" w:right="0" w:right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rPr>
                    <w:t>93.</w:t>
                  </w:r>
                  <w:r>
                    <w:rPr>
                      <w:rFonts w:hint="default" w:ascii="Times New Roman" w:hAnsi="Times New Roman" w:eastAsia="仿宋" w:cs="Times New Roman"/>
                      <w:color w:val="auto"/>
                      <w:kern w:val="0"/>
                      <w:sz w:val="21"/>
                      <w:szCs w:val="21"/>
                      <w:lang w:val="en-US" w:eastAsia="zh-CN"/>
                    </w:rPr>
                    <w:t>2</w:t>
                  </w:r>
                </w:p>
              </w:tc>
              <w:tc>
                <w:tcPr>
                  <w:tcW w:w="728" w:type="pct"/>
                  <w:vMerge w:val="continue"/>
                  <w:noWrap w:val="0"/>
                  <w:vAlign w:val="center"/>
                </w:tcPr>
                <w:p w14:paraId="4E1909A5">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p>
              </w:tc>
            </w:tr>
            <w:tr w14:paraId="506352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vMerge w:val="restart"/>
                  <w:noWrap w:val="0"/>
                  <w:vAlign w:val="center"/>
                </w:tcPr>
                <w:p w14:paraId="0C84C149">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CO</w:t>
                  </w:r>
                </w:p>
              </w:tc>
              <w:tc>
                <w:tcPr>
                  <w:tcW w:w="1562" w:type="pct"/>
                  <w:noWrap w:val="0"/>
                  <w:vAlign w:val="center"/>
                </w:tcPr>
                <w:p w14:paraId="4C102757">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日均值的第95百分位数</w:t>
                  </w:r>
                </w:p>
              </w:tc>
              <w:tc>
                <w:tcPr>
                  <w:tcW w:w="727" w:type="pct"/>
                  <w:noWrap w:val="0"/>
                  <w:vAlign w:val="center"/>
                </w:tcPr>
                <w:p w14:paraId="206DFB98">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1100</w:t>
                  </w:r>
                </w:p>
              </w:tc>
              <w:tc>
                <w:tcPr>
                  <w:tcW w:w="727" w:type="pct"/>
                  <w:noWrap w:val="0"/>
                  <w:vAlign w:val="center"/>
                </w:tcPr>
                <w:p w14:paraId="46AD8A57">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4000</w:t>
                  </w:r>
                </w:p>
              </w:tc>
              <w:tc>
                <w:tcPr>
                  <w:tcW w:w="1188" w:type="dxa"/>
                  <w:noWrap w:val="0"/>
                  <w:vAlign w:val="center"/>
                </w:tcPr>
                <w:p w14:paraId="6713C261">
                  <w:pPr>
                    <w:keepNext w:val="0"/>
                    <w:keepLines w:val="0"/>
                    <w:pageBreakBefore w:val="0"/>
                    <w:widowControl w:val="0"/>
                    <w:suppressLineNumbers w:val="0"/>
                    <w:wordWrap/>
                    <w:topLinePunct w:val="0"/>
                    <w:bidi w:val="0"/>
                    <w:snapToGrid w:val="0"/>
                    <w:spacing w:before="0" w:beforeAutospacing="0" w:after="0" w:afterAutospacing="0"/>
                    <w:ind w:left="0" w:leftChars="0" w:right="0" w:right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rPr>
                    <w:t>100</w:t>
                  </w:r>
                </w:p>
              </w:tc>
              <w:tc>
                <w:tcPr>
                  <w:tcW w:w="728" w:type="pct"/>
                  <w:vMerge w:val="restart"/>
                  <w:noWrap w:val="0"/>
                  <w:vAlign w:val="center"/>
                </w:tcPr>
                <w:p w14:paraId="139A2E83">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达标</w:t>
                  </w:r>
                </w:p>
              </w:tc>
            </w:tr>
            <w:tr w14:paraId="290A07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vMerge w:val="continue"/>
                  <w:noWrap w:val="0"/>
                  <w:vAlign w:val="center"/>
                </w:tcPr>
                <w:p w14:paraId="66B3CCD7">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p>
              </w:tc>
              <w:tc>
                <w:tcPr>
                  <w:tcW w:w="1562" w:type="pct"/>
                  <w:noWrap w:val="0"/>
                  <w:vAlign w:val="center"/>
                </w:tcPr>
                <w:p w14:paraId="074192C4">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日均值浓度</w:t>
                  </w:r>
                </w:p>
              </w:tc>
              <w:tc>
                <w:tcPr>
                  <w:tcW w:w="727" w:type="pct"/>
                  <w:noWrap w:val="0"/>
                  <w:vAlign w:val="center"/>
                </w:tcPr>
                <w:p w14:paraId="7EA40F18">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400-1500</w:t>
                  </w:r>
                </w:p>
              </w:tc>
              <w:tc>
                <w:tcPr>
                  <w:tcW w:w="727" w:type="pct"/>
                  <w:noWrap w:val="0"/>
                  <w:vAlign w:val="center"/>
                </w:tcPr>
                <w:p w14:paraId="53B63BC2">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lang w:val="en-US" w:eastAsia="zh-CN"/>
                    </w:rPr>
                    <w:t>10</w:t>
                  </w:r>
                  <w:r>
                    <w:rPr>
                      <w:rFonts w:hint="default" w:ascii="Times New Roman" w:hAnsi="Times New Roman" w:eastAsia="仿宋" w:cs="Times New Roman"/>
                      <w:color w:val="auto"/>
                      <w:kern w:val="0"/>
                      <w:sz w:val="21"/>
                      <w:szCs w:val="21"/>
                      <w:highlight w:val="none"/>
                    </w:rPr>
                    <w:t>000</w:t>
                  </w:r>
                </w:p>
              </w:tc>
              <w:tc>
                <w:tcPr>
                  <w:tcW w:w="1188" w:type="dxa"/>
                  <w:noWrap w:val="0"/>
                  <w:vAlign w:val="center"/>
                </w:tcPr>
                <w:p w14:paraId="08A0877E">
                  <w:pPr>
                    <w:keepNext w:val="0"/>
                    <w:keepLines w:val="0"/>
                    <w:pageBreakBefore w:val="0"/>
                    <w:widowControl w:val="0"/>
                    <w:suppressLineNumbers w:val="0"/>
                    <w:wordWrap/>
                    <w:topLinePunct w:val="0"/>
                    <w:bidi w:val="0"/>
                    <w:snapToGrid w:val="0"/>
                    <w:spacing w:before="0" w:beforeAutospacing="0" w:after="0" w:afterAutospacing="0"/>
                    <w:ind w:left="0" w:leftChars="0" w:right="0" w:rightChars="0"/>
                    <w:jc w:val="center"/>
                    <w:textAlignment w:val="auto"/>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rPr>
                    <w:t>100</w:t>
                  </w:r>
                </w:p>
              </w:tc>
              <w:tc>
                <w:tcPr>
                  <w:tcW w:w="728" w:type="pct"/>
                  <w:vMerge w:val="continue"/>
                  <w:noWrap w:val="0"/>
                  <w:vAlign w:val="center"/>
                </w:tcPr>
                <w:p w14:paraId="54B22CD2">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p>
              </w:tc>
            </w:tr>
            <w:tr w14:paraId="06ED75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528" w:type="pct"/>
                  <w:noWrap w:val="0"/>
                  <w:vAlign w:val="center"/>
                </w:tcPr>
                <w:p w14:paraId="5F65B184">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O</w:t>
                  </w:r>
                  <w:r>
                    <w:rPr>
                      <w:rFonts w:hint="default" w:ascii="Times New Roman" w:hAnsi="Times New Roman" w:eastAsia="仿宋" w:cs="Times New Roman"/>
                      <w:color w:val="auto"/>
                      <w:kern w:val="0"/>
                      <w:sz w:val="21"/>
                      <w:szCs w:val="21"/>
                      <w:highlight w:val="none"/>
                      <w:vertAlign w:val="subscript"/>
                    </w:rPr>
                    <w:t>3</w:t>
                  </w:r>
                </w:p>
              </w:tc>
              <w:tc>
                <w:tcPr>
                  <w:tcW w:w="1562" w:type="pct"/>
                  <w:noWrap w:val="0"/>
                  <w:vAlign w:val="center"/>
                </w:tcPr>
                <w:p w14:paraId="174C741E">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日最大8h滑动平均值第90百分位数</w:t>
                  </w:r>
                </w:p>
              </w:tc>
              <w:tc>
                <w:tcPr>
                  <w:tcW w:w="727" w:type="pct"/>
                  <w:noWrap w:val="0"/>
                  <w:vAlign w:val="center"/>
                </w:tcPr>
                <w:p w14:paraId="5377D885">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1</w:t>
                  </w:r>
                  <w:r>
                    <w:rPr>
                      <w:rFonts w:hint="default" w:ascii="Times New Roman" w:hAnsi="Times New Roman" w:eastAsia="仿宋" w:cs="Times New Roman"/>
                      <w:color w:val="auto"/>
                      <w:kern w:val="0"/>
                      <w:sz w:val="21"/>
                      <w:szCs w:val="21"/>
                      <w:highlight w:val="none"/>
                      <w:lang w:val="en-US" w:eastAsia="zh-CN"/>
                    </w:rPr>
                    <w:t>68</w:t>
                  </w:r>
                </w:p>
              </w:tc>
              <w:tc>
                <w:tcPr>
                  <w:tcW w:w="727" w:type="pct"/>
                  <w:noWrap w:val="0"/>
                  <w:vAlign w:val="center"/>
                </w:tcPr>
                <w:p w14:paraId="0FEC0923">
                  <w:pPr>
                    <w:keepNext w:val="0"/>
                    <w:keepLines w:val="0"/>
                    <w:suppressLineNumbers w:val="0"/>
                    <w:snapToGri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160</w:t>
                  </w:r>
                </w:p>
              </w:tc>
              <w:tc>
                <w:tcPr>
                  <w:tcW w:w="1188" w:type="dxa"/>
                  <w:noWrap w:val="0"/>
                  <w:vAlign w:val="center"/>
                </w:tcPr>
                <w:p w14:paraId="32C6EDFB">
                  <w:pPr>
                    <w:keepNext w:val="0"/>
                    <w:keepLines w:val="0"/>
                    <w:pageBreakBefore w:val="0"/>
                    <w:widowControl w:val="0"/>
                    <w:suppressLineNumbers w:val="0"/>
                    <w:wordWrap/>
                    <w:topLinePunct w:val="0"/>
                    <w:bidi w:val="0"/>
                    <w:snapToGrid w:val="0"/>
                    <w:spacing w:before="0" w:beforeAutospacing="0" w:after="0" w:afterAutospacing="0"/>
                    <w:ind w:left="0" w:leftChars="0" w:right="0" w:rightChars="0"/>
                    <w:jc w:val="center"/>
                    <w:textAlignment w:val="auto"/>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rPr>
                    <w:t>8</w:t>
                  </w:r>
                  <w:r>
                    <w:rPr>
                      <w:rFonts w:hint="default" w:ascii="Times New Roman" w:hAnsi="Times New Roman" w:eastAsia="仿宋" w:cs="Times New Roman"/>
                      <w:color w:val="auto"/>
                      <w:kern w:val="0"/>
                      <w:sz w:val="21"/>
                      <w:szCs w:val="21"/>
                      <w:lang w:val="en-US" w:eastAsia="zh-CN"/>
                    </w:rPr>
                    <w:t>6.3</w:t>
                  </w:r>
                </w:p>
              </w:tc>
              <w:tc>
                <w:tcPr>
                  <w:tcW w:w="728" w:type="pct"/>
                  <w:noWrap w:val="0"/>
                  <w:vAlign w:val="center"/>
                </w:tcPr>
                <w:p w14:paraId="4CA7551C">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不达标</w:t>
                  </w:r>
                </w:p>
              </w:tc>
            </w:tr>
          </w:tbl>
          <w:p w14:paraId="474FF6DB">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由上表可知，2024年常州市环境空气中SO</w:t>
            </w:r>
            <w:r>
              <w:rPr>
                <w:rFonts w:hint="default" w:ascii="Times New Roman" w:hAnsi="Times New Roman" w:eastAsia="仿宋" w:cs="Times New Roman"/>
                <w:bCs/>
                <w:color w:val="auto"/>
                <w:sz w:val="24"/>
                <w:vertAlign w:val="subscript"/>
              </w:rPr>
              <w:t>2</w:t>
            </w:r>
            <w:r>
              <w:rPr>
                <w:rFonts w:hint="default" w:ascii="Times New Roman" w:hAnsi="Times New Roman" w:eastAsia="仿宋" w:cs="Times New Roman"/>
                <w:bCs/>
                <w:color w:val="auto"/>
                <w:sz w:val="24"/>
              </w:rPr>
              <w:t>、NO</w:t>
            </w:r>
            <w:r>
              <w:rPr>
                <w:rFonts w:hint="default" w:ascii="Times New Roman" w:hAnsi="Times New Roman" w:eastAsia="仿宋" w:cs="Times New Roman"/>
                <w:bCs/>
                <w:color w:val="auto"/>
                <w:sz w:val="24"/>
                <w:vertAlign w:val="subscript"/>
              </w:rPr>
              <w:t>2</w:t>
            </w:r>
            <w:r>
              <w:rPr>
                <w:rFonts w:hint="default" w:ascii="Times New Roman" w:hAnsi="Times New Roman" w:eastAsia="仿宋" w:cs="Times New Roman"/>
                <w:bCs/>
                <w:color w:val="auto"/>
                <w:sz w:val="24"/>
              </w:rPr>
              <w:t>年均值和日均值的第98百分位数、PM</w:t>
            </w:r>
            <w:r>
              <w:rPr>
                <w:rFonts w:hint="default" w:ascii="Times New Roman" w:hAnsi="Times New Roman" w:eastAsia="仿宋" w:cs="Times New Roman"/>
                <w:bCs/>
                <w:color w:val="auto"/>
                <w:sz w:val="24"/>
                <w:highlight w:val="none"/>
                <w:vertAlign w:val="subscript"/>
              </w:rPr>
              <w:t>10</w:t>
            </w:r>
            <w:r>
              <w:rPr>
                <w:rFonts w:hint="default" w:ascii="Times New Roman" w:hAnsi="Times New Roman" w:eastAsia="仿宋" w:cs="Times New Roman"/>
                <w:bCs/>
                <w:color w:val="auto"/>
                <w:sz w:val="24"/>
              </w:rPr>
              <w:t>年均值和日均值的第95百分位数、PM</w:t>
            </w:r>
            <w:r>
              <w:rPr>
                <w:rFonts w:hint="default" w:ascii="Times New Roman" w:hAnsi="Times New Roman" w:eastAsia="仿宋" w:cs="Times New Roman"/>
                <w:bCs/>
                <w:color w:val="auto"/>
                <w:sz w:val="24"/>
                <w:vertAlign w:val="subscript"/>
              </w:rPr>
              <w:t>2.5</w:t>
            </w:r>
            <w:r>
              <w:rPr>
                <w:rFonts w:hint="default" w:ascii="Times New Roman" w:hAnsi="Times New Roman" w:eastAsia="仿宋" w:cs="Times New Roman"/>
                <w:bCs/>
                <w:color w:val="auto"/>
                <w:sz w:val="24"/>
              </w:rPr>
              <w:t>年均值、一氧化碳日均值的第95百分位数均达到《环境空气质量标准》（GB3095-20</w:t>
            </w:r>
            <w:r>
              <w:rPr>
                <w:rFonts w:hint="eastAsia" w:ascii="Times New Roman" w:hAnsi="Times New Roman" w:eastAsia="仿宋" w:cs="Times New Roman"/>
                <w:bCs/>
                <w:color w:val="auto"/>
                <w:sz w:val="24"/>
                <w:lang w:val="en-US" w:eastAsia="zh-CN"/>
              </w:rPr>
              <w:t>26</w:t>
            </w:r>
            <w:r>
              <w:rPr>
                <w:rFonts w:hint="default" w:ascii="Times New Roman" w:hAnsi="Times New Roman" w:eastAsia="仿宋" w:cs="Times New Roman"/>
                <w:bCs/>
                <w:color w:val="auto"/>
                <w:sz w:val="24"/>
              </w:rPr>
              <w:t>）二级标准，PM</w:t>
            </w:r>
            <w:r>
              <w:rPr>
                <w:rFonts w:hint="default" w:ascii="Times New Roman" w:hAnsi="Times New Roman" w:eastAsia="仿宋" w:cs="Times New Roman"/>
                <w:bCs/>
                <w:color w:val="auto"/>
                <w:sz w:val="24"/>
                <w:vertAlign w:val="subscript"/>
              </w:rPr>
              <w:t>2.5</w:t>
            </w:r>
            <w:r>
              <w:rPr>
                <w:rFonts w:hint="default" w:ascii="Times New Roman" w:hAnsi="Times New Roman" w:eastAsia="仿宋" w:cs="Times New Roman"/>
                <w:bCs/>
                <w:color w:val="auto"/>
                <w:sz w:val="24"/>
              </w:rPr>
              <w:t>日均值的第95百分位数、臭氧日最大8小时滑动平均值的第90百分位数浓度超过《环境空气质量标准》（</w:t>
            </w:r>
            <w:r>
              <w:rPr>
                <w:rFonts w:hint="eastAsia" w:eastAsia="仿宋" w:cs="Times New Roman"/>
                <w:bCs/>
                <w:color w:val="auto"/>
                <w:sz w:val="24"/>
                <w:lang w:eastAsia="zh-CN"/>
              </w:rPr>
              <w:t>GB3095-2026</w:t>
            </w:r>
            <w:r>
              <w:rPr>
                <w:rFonts w:hint="default" w:ascii="Times New Roman" w:hAnsi="Times New Roman" w:eastAsia="仿宋" w:cs="Times New Roman"/>
                <w:bCs/>
                <w:color w:val="auto"/>
                <w:sz w:val="24"/>
              </w:rPr>
              <w:t>）二级标准，因此判定为非达标区</w:t>
            </w:r>
          </w:p>
          <w:p w14:paraId="4C18D80D">
            <w:pPr>
              <w:adjustRightInd w:val="0"/>
              <w:snapToGrid w:val="0"/>
              <w:spacing w:line="360" w:lineRule="auto"/>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（2）大气环境质量改善方案</w:t>
            </w:r>
          </w:p>
          <w:p w14:paraId="47209EE2">
            <w:pPr>
              <w:adjustRightInd w:val="0"/>
              <w:snapToGrid w:val="0"/>
              <w:spacing w:line="360" w:lineRule="auto"/>
              <w:ind w:firstLine="482"/>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
                <w:bCs/>
                <w:color w:val="auto"/>
                <w:sz w:val="24"/>
                <w:highlight w:val="none"/>
              </w:rPr>
              <w:t>《2024年常州市生态环境状况公报》</w:t>
            </w:r>
          </w:p>
          <w:p w14:paraId="55F16316">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①产业结构调整：建立健全空间准入、总量准入和项目准入“三位一体”的环境准入制度，落实“两高”项目、铸造项目等重点项目报备制度，坚决遏制“两高”项目盲目发展。</w:t>
            </w:r>
          </w:p>
          <w:p w14:paraId="4AF7B198">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②挥发性有机物治理：开展VOCs全流程、全环节综合治理，累计完成306项VOCs治理工程、371个储罐高效呼吸阀更换，更换率全省第一。滨江化工园区VOCs年均值和最大小时浓度均值分别同比下降40.0%、50.8%，改善幅度全省领先。</w:t>
            </w:r>
          </w:p>
          <w:p w14:paraId="34C9DCCD">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③重点集群专项提升：实施重点行业超低排放与深度治理，氮氧化物排放量同比下降3.09%，在沿江八市中下降幅度最大。高质量完成全市539家铸造行业企业的综合整治。实施重点行业集群专项提升，各重点集群共退出234家企业，整治提升645家企业。</w:t>
            </w:r>
          </w:p>
          <w:p w14:paraId="381EC9D2">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④扬尘全面管控：通过热点网格、走航车、激光雷达等排查出扬尘源问题1873处，均第一时间组织整改到位。完成弘博热电等3家码头的粉尘在线监测系统安装和华宇混凝土等5家码头的厂区扬尘提标改造。</w:t>
            </w:r>
          </w:p>
          <w:p w14:paraId="654728FA">
            <w:p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sz w:val="24"/>
                <w:highlight w:val="none"/>
              </w:rPr>
              <w:t>⑤移动源排气监管：全面实施机动车排放检测与维护(I/M)制度。有效抽检柴油货车3989辆</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color w:val="auto"/>
                <w:sz w:val="24"/>
                <w:highlight w:val="none"/>
              </w:rPr>
              <w:t>次)，问题车辆均要求召回复检。对辖区内机动车排放检验机构实施全覆盖监督检查，依法依规严肃查处尾气检测弄虚作假行为。</w:t>
            </w:r>
          </w:p>
          <w:p w14:paraId="3F155FF2">
            <w:pPr>
              <w:widowControl/>
              <w:adjustRightInd w:val="0"/>
              <w:snapToGrid w:val="0"/>
              <w:spacing w:line="360" w:lineRule="auto"/>
              <w:ind w:firstLine="482"/>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●区域大气污染物削减方案及措施</w:t>
            </w:r>
          </w:p>
          <w:p w14:paraId="6783BEEB">
            <w:pPr>
              <w:adjustRightInd w:val="0"/>
              <w:snapToGrid w:val="0"/>
              <w:spacing w:line="360" w:lineRule="auto"/>
              <w:ind w:firstLine="482"/>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bCs/>
                <w:color w:val="auto"/>
                <w:sz w:val="24"/>
                <w:highlight w:val="none"/>
                <w:lang w:val="en-US" w:eastAsia="zh-CN"/>
              </w:rPr>
              <w:t>常州市人民政府2024年8月15日发布了《市政府关于印发&lt;常州市空气质量持续改善行动计划实施方案&gt;的通知》（常政发</w:t>
            </w:r>
            <w:r>
              <w:rPr>
                <w:rFonts w:hint="eastAsia" w:eastAsia="仿宋" w:cs="Times New Roman"/>
                <w:bCs/>
                <w:color w:val="auto"/>
                <w:sz w:val="24"/>
                <w:highlight w:val="none"/>
                <w:lang w:val="en-US" w:eastAsia="zh-CN"/>
              </w:rPr>
              <w:t>〔2024〕51号</w:t>
            </w:r>
            <w:r>
              <w:rPr>
                <w:rFonts w:hint="default" w:ascii="Times New Roman" w:hAnsi="Times New Roman" w:eastAsia="仿宋" w:cs="Times New Roman"/>
                <w:bCs/>
                <w:color w:val="auto"/>
                <w:sz w:val="24"/>
                <w:highlight w:val="none"/>
                <w:lang w:val="en-US" w:eastAsia="zh-CN"/>
              </w:rPr>
              <w:t>），文件要求加快调整优化产业结构，推进产业绿色低碳发展；推进能源高效利用，加快能源清洁低碳转型；优化调整交通结构，大力发展绿色运输体系；加强面源污染治理，提高精细化管理水平；强化协同减排，切实降低污染物排放强度；完善工作机制，健全大气环境管理体系。</w:t>
            </w:r>
          </w:p>
          <w:p w14:paraId="64565E7E">
            <w:pPr>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采取上述措施，本区域的大气环境质量将得到进一步改善。</w:t>
            </w:r>
          </w:p>
          <w:p w14:paraId="58D553AA">
            <w:pPr>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（3）补充监测</w:t>
            </w:r>
          </w:p>
          <w:p w14:paraId="0A76DB6A">
            <w:pPr>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本次评价非甲烷总烃数据引用江苏云居检测技术有限公司出具的《</w:t>
            </w:r>
            <w:r>
              <w:rPr>
                <w:rFonts w:hint="eastAsia" w:ascii="Times New Roman" w:hAnsi="Times New Roman" w:eastAsia="仿宋" w:cs="Times New Roman"/>
                <w:bCs/>
                <w:color w:val="auto"/>
                <w:sz w:val="24"/>
                <w:highlight w:val="none"/>
                <w:lang w:val="en-US" w:eastAsia="zh-CN"/>
              </w:rPr>
              <w:t>江苏双忆铝业</w:t>
            </w:r>
            <w:r>
              <w:rPr>
                <w:rFonts w:hint="default" w:ascii="Times New Roman" w:hAnsi="Times New Roman" w:eastAsia="仿宋" w:cs="Times New Roman"/>
                <w:bCs/>
                <w:color w:val="auto"/>
                <w:sz w:val="24"/>
                <w:highlight w:val="none"/>
              </w:rPr>
              <w:t>有限公司》检测报告（报告编号：YJH25</w:t>
            </w:r>
            <w:r>
              <w:rPr>
                <w:rFonts w:hint="eastAsia" w:eastAsia="仿宋" w:cs="Times New Roman"/>
                <w:bCs/>
                <w:color w:val="auto"/>
                <w:sz w:val="24"/>
                <w:highlight w:val="none"/>
                <w:lang w:val="en-US" w:eastAsia="zh-CN"/>
              </w:rPr>
              <w:t>052902</w:t>
            </w:r>
            <w:r>
              <w:rPr>
                <w:rFonts w:hint="default" w:ascii="Times New Roman" w:hAnsi="Times New Roman" w:eastAsia="仿宋" w:cs="Times New Roman"/>
                <w:bCs/>
                <w:color w:val="auto"/>
                <w:sz w:val="24"/>
                <w:highlight w:val="none"/>
              </w:rPr>
              <w:t>）中“G</w:t>
            </w:r>
            <w:r>
              <w:rPr>
                <w:rFonts w:hint="eastAsia" w:eastAsia="仿宋" w:cs="Times New Roman"/>
                <w:bCs/>
                <w:color w:val="auto"/>
                <w:sz w:val="24"/>
                <w:highlight w:val="none"/>
                <w:lang w:val="en-US" w:eastAsia="zh-CN"/>
              </w:rPr>
              <w:t>2城塘村</w:t>
            </w:r>
            <w:r>
              <w:rPr>
                <w:rFonts w:hint="default" w:ascii="Times New Roman" w:hAnsi="Times New Roman" w:eastAsia="仿宋" w:cs="Times New Roman"/>
                <w:bCs/>
                <w:color w:val="auto"/>
                <w:sz w:val="24"/>
                <w:highlight w:val="none"/>
              </w:rPr>
              <w:t>”点位2025年</w:t>
            </w:r>
            <w:r>
              <w:rPr>
                <w:rFonts w:hint="eastAsia" w:eastAsia="仿宋" w:cs="Times New Roman"/>
                <w:bCs/>
                <w:color w:val="auto"/>
                <w:sz w:val="24"/>
                <w:highlight w:val="none"/>
                <w:lang w:val="en-US" w:eastAsia="zh-CN"/>
              </w:rPr>
              <w:t>6</w:t>
            </w:r>
            <w:r>
              <w:rPr>
                <w:rFonts w:hint="default" w:ascii="Times New Roman" w:hAnsi="Times New Roman" w:eastAsia="仿宋" w:cs="Times New Roman"/>
                <w:bCs/>
                <w:color w:val="auto"/>
                <w:sz w:val="24"/>
                <w:highlight w:val="none"/>
              </w:rPr>
              <w:t>月</w:t>
            </w:r>
            <w:r>
              <w:rPr>
                <w:rFonts w:hint="eastAsia" w:eastAsia="仿宋" w:cs="Times New Roman"/>
                <w:bCs/>
                <w:color w:val="auto"/>
                <w:sz w:val="24"/>
                <w:highlight w:val="none"/>
                <w:lang w:val="en-US" w:eastAsia="zh-CN"/>
              </w:rPr>
              <w:t>3</w:t>
            </w:r>
            <w:r>
              <w:rPr>
                <w:rFonts w:hint="default" w:ascii="Times New Roman" w:hAnsi="Times New Roman" w:eastAsia="仿宋" w:cs="Times New Roman"/>
                <w:bCs/>
                <w:color w:val="auto"/>
                <w:sz w:val="24"/>
                <w:highlight w:val="none"/>
              </w:rPr>
              <w:t>日～</w:t>
            </w:r>
            <w:r>
              <w:rPr>
                <w:rFonts w:hint="eastAsia" w:eastAsia="仿宋" w:cs="Times New Roman"/>
                <w:bCs/>
                <w:color w:val="auto"/>
                <w:sz w:val="24"/>
                <w:highlight w:val="none"/>
                <w:lang w:val="en-US" w:eastAsia="zh-CN"/>
              </w:rPr>
              <w:t>5</w:t>
            </w:r>
            <w:r>
              <w:rPr>
                <w:rFonts w:hint="default" w:ascii="Times New Roman" w:hAnsi="Times New Roman" w:eastAsia="仿宋" w:cs="Times New Roman"/>
                <w:bCs/>
                <w:color w:val="auto"/>
                <w:sz w:val="24"/>
                <w:highlight w:val="none"/>
              </w:rPr>
              <w:t>日连续3天检测数据。具体统计结果见下表。</w:t>
            </w:r>
          </w:p>
          <w:p w14:paraId="1B2BC781">
            <w:pPr>
              <w:adjustRightInd w:val="0"/>
              <w:snapToGrid w:val="0"/>
              <w:jc w:val="center"/>
              <w:rPr>
                <w:rFonts w:hint="default" w:ascii="Times New Roman" w:hAnsi="Times New Roman" w:eastAsia="仿宋" w:cs="Times New Roman"/>
                <w:b/>
                <w:bCs/>
                <w:color w:val="auto"/>
                <w:sz w:val="24"/>
                <w:highlight w:val="none"/>
              </w:rPr>
            </w:pPr>
          </w:p>
          <w:p w14:paraId="013692B8">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表3-2  其他污染物环境质量现状（监测结果）表</w:t>
            </w:r>
          </w:p>
          <w:tbl>
            <w:tblPr>
              <w:tblStyle w:val="2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977"/>
              <w:gridCol w:w="1001"/>
              <w:gridCol w:w="1085"/>
              <w:gridCol w:w="594"/>
              <w:gridCol w:w="978"/>
              <w:gridCol w:w="566"/>
              <w:gridCol w:w="812"/>
              <w:gridCol w:w="687"/>
              <w:gridCol w:w="582"/>
              <w:gridCol w:w="527"/>
              <w:gridCol w:w="360"/>
            </w:tblGrid>
            <w:tr w14:paraId="34E397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609" w:type="pct"/>
                  <w:vMerge w:val="restart"/>
                  <w:noWrap w:val="0"/>
                  <w:vAlign w:val="center"/>
                </w:tcPr>
                <w:p w14:paraId="3D2A28F7">
                  <w:pPr>
                    <w:spacing w:line="240" w:lineRule="exact"/>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监测点位</w:t>
                  </w:r>
                </w:p>
              </w:tc>
              <w:tc>
                <w:tcPr>
                  <w:tcW w:w="1173" w:type="pct"/>
                  <w:gridSpan w:val="2"/>
                  <w:noWrap w:val="0"/>
                  <w:vAlign w:val="center"/>
                </w:tcPr>
                <w:p w14:paraId="5D7940FE">
                  <w:pPr>
                    <w:spacing w:line="240" w:lineRule="exact"/>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监测点坐标</w:t>
                  </w:r>
                </w:p>
              </w:tc>
              <w:tc>
                <w:tcPr>
                  <w:tcW w:w="375" w:type="pct"/>
                  <w:vMerge w:val="restart"/>
                  <w:noWrap w:val="0"/>
                  <w:vAlign w:val="center"/>
                </w:tcPr>
                <w:p w14:paraId="43F3BEE1">
                  <w:pPr>
                    <w:spacing w:line="240" w:lineRule="exact"/>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污染物</w:t>
                  </w:r>
                </w:p>
              </w:tc>
              <w:tc>
                <w:tcPr>
                  <w:tcW w:w="610" w:type="pct"/>
                  <w:vMerge w:val="restart"/>
                  <w:noWrap w:val="0"/>
                  <w:vAlign w:val="center"/>
                </w:tcPr>
                <w:p w14:paraId="5F0F7A52">
                  <w:pPr>
                    <w:spacing w:line="240" w:lineRule="exact"/>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监测时段</w:t>
                  </w:r>
                </w:p>
              </w:tc>
              <w:tc>
                <w:tcPr>
                  <w:tcW w:w="358" w:type="pct"/>
                  <w:vMerge w:val="restart"/>
                  <w:noWrap w:val="0"/>
                  <w:vAlign w:val="center"/>
                </w:tcPr>
                <w:p w14:paraId="41CD5F41">
                  <w:pPr>
                    <w:spacing w:line="240" w:lineRule="exact"/>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平均时间</w:t>
                  </w:r>
                </w:p>
              </w:tc>
              <w:tc>
                <w:tcPr>
                  <w:tcW w:w="508" w:type="pct"/>
                  <w:vMerge w:val="restart"/>
                  <w:noWrap w:val="0"/>
                  <w:vAlign w:val="center"/>
                </w:tcPr>
                <w:p w14:paraId="41BAD9EE">
                  <w:pPr>
                    <w:spacing w:line="240" w:lineRule="exact"/>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评价标准(mg/m</w:t>
                  </w:r>
                  <w:r>
                    <w:rPr>
                      <w:rFonts w:hint="default" w:ascii="Times New Roman" w:hAnsi="Times New Roman" w:eastAsia="仿宋" w:cs="Times New Roman"/>
                      <w:b/>
                      <w:bCs/>
                      <w:color w:val="auto"/>
                      <w:sz w:val="18"/>
                      <w:szCs w:val="18"/>
                      <w:highlight w:val="none"/>
                      <w:vertAlign w:val="superscript"/>
                    </w:rPr>
                    <w:t>3</w:t>
                  </w:r>
                  <w:r>
                    <w:rPr>
                      <w:rFonts w:hint="default" w:ascii="Times New Roman" w:hAnsi="Times New Roman" w:eastAsia="仿宋" w:cs="Times New Roman"/>
                      <w:b/>
                      <w:bCs/>
                      <w:color w:val="auto"/>
                      <w:sz w:val="18"/>
                      <w:szCs w:val="18"/>
                      <w:highlight w:val="none"/>
                    </w:rPr>
                    <w:t>)</w:t>
                  </w:r>
                </w:p>
              </w:tc>
              <w:tc>
                <w:tcPr>
                  <w:tcW w:w="432" w:type="pct"/>
                  <w:vMerge w:val="restart"/>
                  <w:noWrap w:val="0"/>
                  <w:vAlign w:val="center"/>
                </w:tcPr>
                <w:p w14:paraId="79113593">
                  <w:pPr>
                    <w:spacing w:line="240" w:lineRule="exact"/>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监测浓度范围(mg/m</w:t>
                  </w:r>
                  <w:r>
                    <w:rPr>
                      <w:rFonts w:hint="default" w:ascii="Times New Roman" w:hAnsi="Times New Roman" w:eastAsia="仿宋" w:cs="Times New Roman"/>
                      <w:b/>
                      <w:bCs/>
                      <w:color w:val="auto"/>
                      <w:sz w:val="18"/>
                      <w:szCs w:val="18"/>
                      <w:highlight w:val="none"/>
                      <w:vertAlign w:val="superscript"/>
                    </w:rPr>
                    <w:t>3</w:t>
                  </w:r>
                  <w:r>
                    <w:rPr>
                      <w:rFonts w:hint="default" w:ascii="Times New Roman" w:hAnsi="Times New Roman" w:eastAsia="仿宋" w:cs="Times New Roman"/>
                      <w:b/>
                      <w:bCs/>
                      <w:color w:val="auto"/>
                      <w:sz w:val="18"/>
                      <w:szCs w:val="18"/>
                      <w:highlight w:val="none"/>
                    </w:rPr>
                    <w:t>)</w:t>
                  </w:r>
                </w:p>
              </w:tc>
              <w:tc>
                <w:tcPr>
                  <w:tcW w:w="367" w:type="pct"/>
                  <w:vMerge w:val="restart"/>
                  <w:noWrap w:val="0"/>
                  <w:vAlign w:val="center"/>
                </w:tcPr>
                <w:p w14:paraId="69D5E8A6">
                  <w:pPr>
                    <w:spacing w:line="240" w:lineRule="exact"/>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最大浓度占标率(%)</w:t>
                  </w:r>
                </w:p>
              </w:tc>
              <w:tc>
                <w:tcPr>
                  <w:tcW w:w="333" w:type="pct"/>
                  <w:vMerge w:val="restart"/>
                  <w:noWrap w:val="0"/>
                  <w:vAlign w:val="center"/>
                </w:tcPr>
                <w:p w14:paraId="0418C025">
                  <w:pPr>
                    <w:spacing w:line="240" w:lineRule="exact"/>
                    <w:ind w:left="-105" w:leftChars="-50" w:right="-105" w:rightChars="-50"/>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超标率（%）</w:t>
                  </w:r>
                </w:p>
              </w:tc>
              <w:tc>
                <w:tcPr>
                  <w:tcW w:w="231" w:type="pct"/>
                  <w:vMerge w:val="restart"/>
                  <w:noWrap w:val="0"/>
                  <w:vAlign w:val="center"/>
                </w:tcPr>
                <w:p w14:paraId="7F33E637">
                  <w:pPr>
                    <w:spacing w:line="240" w:lineRule="exact"/>
                    <w:ind w:left="-105" w:leftChars="-50" w:right="-105" w:rightChars="-50"/>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达标情况</w:t>
                  </w:r>
                </w:p>
              </w:tc>
            </w:tr>
            <w:tr w14:paraId="1A03D9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609" w:type="pct"/>
                  <w:vMerge w:val="continue"/>
                  <w:noWrap w:val="0"/>
                  <w:vAlign w:val="center"/>
                </w:tcPr>
                <w:p w14:paraId="24302FC4">
                  <w:pPr>
                    <w:spacing w:line="240" w:lineRule="exact"/>
                    <w:jc w:val="center"/>
                    <w:rPr>
                      <w:rFonts w:hint="default" w:ascii="Times New Roman" w:hAnsi="Times New Roman" w:eastAsia="仿宋" w:cs="Times New Roman"/>
                      <w:b/>
                      <w:bCs/>
                      <w:color w:val="auto"/>
                      <w:sz w:val="18"/>
                      <w:szCs w:val="18"/>
                      <w:highlight w:val="none"/>
                    </w:rPr>
                  </w:pPr>
                </w:p>
              </w:tc>
              <w:tc>
                <w:tcPr>
                  <w:tcW w:w="579" w:type="pct"/>
                  <w:noWrap w:val="0"/>
                  <w:vAlign w:val="center"/>
                </w:tcPr>
                <w:p w14:paraId="42999EE9">
                  <w:pPr>
                    <w:spacing w:line="240" w:lineRule="exact"/>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N(°)</w:t>
                  </w:r>
                </w:p>
              </w:tc>
              <w:tc>
                <w:tcPr>
                  <w:tcW w:w="594" w:type="pct"/>
                  <w:noWrap w:val="0"/>
                  <w:vAlign w:val="center"/>
                </w:tcPr>
                <w:p w14:paraId="08C49B33">
                  <w:pPr>
                    <w:spacing w:line="240" w:lineRule="exact"/>
                    <w:jc w:val="center"/>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E(°)</w:t>
                  </w:r>
                </w:p>
              </w:tc>
              <w:tc>
                <w:tcPr>
                  <w:tcW w:w="375" w:type="pct"/>
                  <w:vMerge w:val="continue"/>
                  <w:noWrap w:val="0"/>
                  <w:vAlign w:val="center"/>
                </w:tcPr>
                <w:p w14:paraId="12C88EC7">
                  <w:pPr>
                    <w:spacing w:line="240" w:lineRule="exact"/>
                    <w:jc w:val="center"/>
                    <w:rPr>
                      <w:rFonts w:hint="default" w:ascii="Times New Roman" w:hAnsi="Times New Roman" w:eastAsia="仿宋" w:cs="Times New Roman"/>
                      <w:b/>
                      <w:bCs/>
                      <w:color w:val="auto"/>
                      <w:sz w:val="18"/>
                      <w:szCs w:val="18"/>
                      <w:highlight w:val="none"/>
                    </w:rPr>
                  </w:pPr>
                </w:p>
              </w:tc>
              <w:tc>
                <w:tcPr>
                  <w:tcW w:w="610" w:type="pct"/>
                  <w:vMerge w:val="continue"/>
                  <w:noWrap w:val="0"/>
                  <w:vAlign w:val="center"/>
                </w:tcPr>
                <w:p w14:paraId="3BC40D74">
                  <w:pPr>
                    <w:spacing w:line="240" w:lineRule="exact"/>
                    <w:jc w:val="center"/>
                    <w:rPr>
                      <w:rFonts w:hint="default" w:ascii="Times New Roman" w:hAnsi="Times New Roman" w:eastAsia="仿宋" w:cs="Times New Roman"/>
                      <w:b/>
                      <w:bCs/>
                      <w:color w:val="auto"/>
                      <w:sz w:val="18"/>
                      <w:szCs w:val="18"/>
                      <w:highlight w:val="none"/>
                    </w:rPr>
                  </w:pPr>
                </w:p>
              </w:tc>
              <w:tc>
                <w:tcPr>
                  <w:tcW w:w="358" w:type="pct"/>
                  <w:vMerge w:val="continue"/>
                  <w:noWrap w:val="0"/>
                  <w:vAlign w:val="center"/>
                </w:tcPr>
                <w:p w14:paraId="399DB1F1">
                  <w:pPr>
                    <w:spacing w:line="240" w:lineRule="exact"/>
                    <w:jc w:val="center"/>
                    <w:rPr>
                      <w:rFonts w:hint="default" w:ascii="Times New Roman" w:hAnsi="Times New Roman" w:eastAsia="仿宋" w:cs="Times New Roman"/>
                      <w:b/>
                      <w:bCs/>
                      <w:color w:val="auto"/>
                      <w:sz w:val="18"/>
                      <w:szCs w:val="18"/>
                      <w:highlight w:val="none"/>
                    </w:rPr>
                  </w:pPr>
                </w:p>
              </w:tc>
              <w:tc>
                <w:tcPr>
                  <w:tcW w:w="508" w:type="pct"/>
                  <w:vMerge w:val="continue"/>
                  <w:noWrap w:val="0"/>
                  <w:vAlign w:val="center"/>
                </w:tcPr>
                <w:p w14:paraId="2D25D2F9">
                  <w:pPr>
                    <w:spacing w:line="240" w:lineRule="exact"/>
                    <w:jc w:val="center"/>
                    <w:rPr>
                      <w:rFonts w:hint="default" w:ascii="Times New Roman" w:hAnsi="Times New Roman" w:eastAsia="仿宋" w:cs="Times New Roman"/>
                      <w:b/>
                      <w:bCs/>
                      <w:color w:val="auto"/>
                      <w:sz w:val="18"/>
                      <w:szCs w:val="18"/>
                      <w:highlight w:val="none"/>
                    </w:rPr>
                  </w:pPr>
                </w:p>
              </w:tc>
              <w:tc>
                <w:tcPr>
                  <w:tcW w:w="432" w:type="pct"/>
                  <w:vMerge w:val="continue"/>
                  <w:noWrap w:val="0"/>
                  <w:vAlign w:val="center"/>
                </w:tcPr>
                <w:p w14:paraId="2857BBE2">
                  <w:pPr>
                    <w:spacing w:line="240" w:lineRule="exact"/>
                    <w:jc w:val="center"/>
                    <w:rPr>
                      <w:rFonts w:hint="default" w:ascii="Times New Roman" w:hAnsi="Times New Roman" w:eastAsia="仿宋" w:cs="Times New Roman"/>
                      <w:b/>
                      <w:bCs/>
                      <w:color w:val="auto"/>
                      <w:sz w:val="18"/>
                      <w:szCs w:val="18"/>
                      <w:highlight w:val="none"/>
                    </w:rPr>
                  </w:pPr>
                </w:p>
              </w:tc>
              <w:tc>
                <w:tcPr>
                  <w:tcW w:w="367" w:type="pct"/>
                  <w:vMerge w:val="continue"/>
                  <w:noWrap w:val="0"/>
                  <w:vAlign w:val="center"/>
                </w:tcPr>
                <w:p w14:paraId="031B2B1B">
                  <w:pPr>
                    <w:spacing w:line="240" w:lineRule="exact"/>
                    <w:jc w:val="center"/>
                    <w:rPr>
                      <w:rFonts w:hint="default" w:ascii="Times New Roman" w:hAnsi="Times New Roman" w:eastAsia="仿宋" w:cs="Times New Roman"/>
                      <w:b/>
                      <w:bCs/>
                      <w:color w:val="auto"/>
                      <w:sz w:val="18"/>
                      <w:szCs w:val="18"/>
                      <w:highlight w:val="none"/>
                    </w:rPr>
                  </w:pPr>
                </w:p>
              </w:tc>
              <w:tc>
                <w:tcPr>
                  <w:tcW w:w="333" w:type="pct"/>
                  <w:vMerge w:val="continue"/>
                  <w:noWrap w:val="0"/>
                  <w:vAlign w:val="center"/>
                </w:tcPr>
                <w:p w14:paraId="7A47054D">
                  <w:pPr>
                    <w:spacing w:line="240" w:lineRule="exact"/>
                    <w:ind w:left="-105" w:leftChars="-50" w:right="-105" w:rightChars="-50"/>
                    <w:jc w:val="center"/>
                    <w:rPr>
                      <w:rFonts w:hint="default" w:ascii="Times New Roman" w:hAnsi="Times New Roman" w:eastAsia="仿宋" w:cs="Times New Roman"/>
                      <w:b/>
                      <w:bCs/>
                      <w:color w:val="auto"/>
                      <w:sz w:val="18"/>
                      <w:szCs w:val="18"/>
                      <w:highlight w:val="none"/>
                    </w:rPr>
                  </w:pPr>
                </w:p>
              </w:tc>
              <w:tc>
                <w:tcPr>
                  <w:tcW w:w="231" w:type="pct"/>
                  <w:vMerge w:val="continue"/>
                  <w:noWrap w:val="0"/>
                  <w:vAlign w:val="center"/>
                </w:tcPr>
                <w:p w14:paraId="1F4888FC">
                  <w:pPr>
                    <w:spacing w:line="240" w:lineRule="exact"/>
                    <w:ind w:left="-105" w:leftChars="-50" w:right="-105" w:rightChars="-50"/>
                    <w:jc w:val="center"/>
                    <w:rPr>
                      <w:rFonts w:hint="default" w:ascii="Times New Roman" w:hAnsi="Times New Roman" w:eastAsia="仿宋" w:cs="Times New Roman"/>
                      <w:b/>
                      <w:bCs/>
                      <w:color w:val="auto"/>
                      <w:sz w:val="18"/>
                      <w:szCs w:val="18"/>
                      <w:highlight w:val="none"/>
                    </w:rPr>
                  </w:pPr>
                </w:p>
              </w:tc>
            </w:tr>
            <w:tr w14:paraId="6F587D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609" w:type="pct"/>
                  <w:noWrap w:val="0"/>
                  <w:vAlign w:val="center"/>
                </w:tcPr>
                <w:p w14:paraId="5A42E048">
                  <w:pPr>
                    <w:spacing w:line="240" w:lineRule="exact"/>
                    <w:ind w:left="-105" w:leftChars="-50" w:right="-105" w:rightChars="-5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rPr>
                    <w:t>G1</w:t>
                  </w:r>
                  <w:r>
                    <w:rPr>
                      <w:rFonts w:hint="eastAsia" w:eastAsia="仿宋" w:cs="Times New Roman"/>
                      <w:color w:val="auto"/>
                      <w:sz w:val="18"/>
                      <w:szCs w:val="18"/>
                      <w:highlight w:val="none"/>
                      <w:lang w:val="en-US" w:eastAsia="zh-CN"/>
                    </w:rPr>
                    <w:t>城塘村</w:t>
                  </w:r>
                  <w:r>
                    <w:rPr>
                      <w:rFonts w:hint="default" w:ascii="Times New Roman" w:hAnsi="Times New Roman" w:eastAsia="仿宋" w:cs="Times New Roman"/>
                      <w:color w:val="auto"/>
                      <w:sz w:val="18"/>
                      <w:szCs w:val="18"/>
                      <w:highlight w:val="none"/>
                      <w:lang w:eastAsia="zh-CN"/>
                    </w:rPr>
                    <w:t>（</w:t>
                  </w:r>
                  <w:r>
                    <w:rPr>
                      <w:rFonts w:hint="default" w:ascii="Times New Roman" w:hAnsi="Times New Roman" w:eastAsia="仿宋" w:cs="Times New Roman"/>
                      <w:color w:val="auto"/>
                      <w:sz w:val="18"/>
                      <w:szCs w:val="18"/>
                      <w:highlight w:val="none"/>
                      <w:lang w:val="en-US" w:eastAsia="zh-CN"/>
                    </w:rPr>
                    <w:t>引用点位</w:t>
                  </w:r>
                  <w:r>
                    <w:rPr>
                      <w:rFonts w:hint="default" w:ascii="Times New Roman" w:hAnsi="Times New Roman" w:eastAsia="仿宋" w:cs="Times New Roman"/>
                      <w:color w:val="auto"/>
                      <w:sz w:val="18"/>
                      <w:szCs w:val="18"/>
                      <w:highlight w:val="none"/>
                      <w:lang w:eastAsia="zh-CN"/>
                    </w:rPr>
                    <w:t>）</w:t>
                  </w:r>
                </w:p>
              </w:tc>
              <w:tc>
                <w:tcPr>
                  <w:tcW w:w="579" w:type="pct"/>
                  <w:noWrap w:val="0"/>
                  <w:vAlign w:val="center"/>
                </w:tcPr>
                <w:p w14:paraId="3FCA122B">
                  <w:pPr>
                    <w:spacing w:line="240" w:lineRule="exact"/>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31.</w:t>
                  </w:r>
                  <w:r>
                    <w:rPr>
                      <w:rFonts w:hint="eastAsia" w:eastAsia="仿宋" w:cs="Times New Roman"/>
                      <w:color w:val="auto"/>
                      <w:sz w:val="18"/>
                      <w:szCs w:val="18"/>
                      <w:highlight w:val="none"/>
                      <w:lang w:val="en-US" w:eastAsia="zh-CN"/>
                    </w:rPr>
                    <w:t>63592918</w:t>
                  </w:r>
                </w:p>
              </w:tc>
              <w:tc>
                <w:tcPr>
                  <w:tcW w:w="594" w:type="pct"/>
                  <w:noWrap w:val="0"/>
                  <w:vAlign w:val="center"/>
                </w:tcPr>
                <w:p w14:paraId="026B0348">
                  <w:pPr>
                    <w:spacing w:line="240" w:lineRule="exact"/>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119.</w:t>
                  </w:r>
                  <w:r>
                    <w:rPr>
                      <w:rFonts w:hint="eastAsia" w:eastAsia="仿宋" w:cs="Times New Roman"/>
                      <w:color w:val="auto"/>
                      <w:sz w:val="18"/>
                      <w:szCs w:val="18"/>
                      <w:highlight w:val="none"/>
                      <w:lang w:val="en-US" w:eastAsia="zh-CN"/>
                    </w:rPr>
                    <w:t>77353146</w:t>
                  </w:r>
                </w:p>
              </w:tc>
              <w:tc>
                <w:tcPr>
                  <w:tcW w:w="375" w:type="pct"/>
                  <w:noWrap w:val="0"/>
                  <w:vAlign w:val="center"/>
                </w:tcPr>
                <w:p w14:paraId="4B626649">
                  <w:pPr>
                    <w:spacing w:line="240" w:lineRule="exact"/>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非甲烷总烃</w:t>
                  </w:r>
                </w:p>
              </w:tc>
              <w:tc>
                <w:tcPr>
                  <w:tcW w:w="610" w:type="pct"/>
                  <w:noWrap w:val="0"/>
                  <w:vAlign w:val="center"/>
                </w:tcPr>
                <w:p w14:paraId="2C250C40">
                  <w:pPr>
                    <w:spacing w:line="240" w:lineRule="exact"/>
                    <w:jc w:val="center"/>
                    <w:rPr>
                      <w:rFonts w:hint="eastAsia"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rPr>
                    <w:t>2025.</w:t>
                  </w:r>
                  <w:r>
                    <w:rPr>
                      <w:rFonts w:hint="eastAsia" w:eastAsia="仿宋" w:cs="Times New Roman"/>
                      <w:color w:val="auto"/>
                      <w:sz w:val="18"/>
                      <w:szCs w:val="18"/>
                      <w:highlight w:val="none"/>
                      <w:lang w:val="en-US" w:eastAsia="zh-CN"/>
                    </w:rPr>
                    <w:t>6</w:t>
                  </w:r>
                  <w:r>
                    <w:rPr>
                      <w:rFonts w:hint="default" w:ascii="Times New Roman" w:hAnsi="Times New Roman" w:eastAsia="仿宋" w:cs="Times New Roman"/>
                      <w:color w:val="auto"/>
                      <w:sz w:val="18"/>
                      <w:szCs w:val="18"/>
                      <w:highlight w:val="none"/>
                    </w:rPr>
                    <w:t>.</w:t>
                  </w:r>
                  <w:r>
                    <w:rPr>
                      <w:rFonts w:hint="eastAsia" w:eastAsia="仿宋" w:cs="Times New Roman"/>
                      <w:color w:val="auto"/>
                      <w:sz w:val="18"/>
                      <w:szCs w:val="18"/>
                      <w:highlight w:val="none"/>
                      <w:lang w:val="en-US" w:eastAsia="zh-CN"/>
                    </w:rPr>
                    <w:t>3</w:t>
                  </w:r>
                  <w:r>
                    <w:rPr>
                      <w:rFonts w:hint="default" w:ascii="Times New Roman" w:hAnsi="Times New Roman" w:eastAsia="仿宋" w:cs="Times New Roman"/>
                      <w:color w:val="auto"/>
                      <w:sz w:val="18"/>
                      <w:szCs w:val="18"/>
                      <w:highlight w:val="none"/>
                    </w:rPr>
                    <w:t>-2025.</w:t>
                  </w:r>
                  <w:r>
                    <w:rPr>
                      <w:rFonts w:hint="eastAsia" w:eastAsia="仿宋" w:cs="Times New Roman"/>
                      <w:color w:val="auto"/>
                      <w:sz w:val="18"/>
                      <w:szCs w:val="18"/>
                      <w:highlight w:val="none"/>
                      <w:lang w:val="en-US" w:eastAsia="zh-CN"/>
                    </w:rPr>
                    <w:t>6</w:t>
                  </w:r>
                  <w:r>
                    <w:rPr>
                      <w:rFonts w:hint="default" w:ascii="Times New Roman" w:hAnsi="Times New Roman" w:eastAsia="仿宋" w:cs="Times New Roman"/>
                      <w:color w:val="auto"/>
                      <w:sz w:val="18"/>
                      <w:szCs w:val="18"/>
                      <w:highlight w:val="none"/>
                    </w:rPr>
                    <w:t>.</w:t>
                  </w:r>
                  <w:r>
                    <w:rPr>
                      <w:rFonts w:hint="eastAsia" w:eastAsia="仿宋" w:cs="Times New Roman"/>
                      <w:color w:val="auto"/>
                      <w:sz w:val="18"/>
                      <w:szCs w:val="18"/>
                      <w:highlight w:val="none"/>
                      <w:lang w:val="en-US" w:eastAsia="zh-CN"/>
                    </w:rPr>
                    <w:t>5</w:t>
                  </w:r>
                </w:p>
              </w:tc>
              <w:tc>
                <w:tcPr>
                  <w:tcW w:w="358" w:type="pct"/>
                  <w:noWrap w:val="0"/>
                  <w:vAlign w:val="center"/>
                </w:tcPr>
                <w:p w14:paraId="5733E890">
                  <w:pPr>
                    <w:spacing w:line="240" w:lineRule="exact"/>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一次值</w:t>
                  </w:r>
                </w:p>
              </w:tc>
              <w:tc>
                <w:tcPr>
                  <w:tcW w:w="508" w:type="pct"/>
                  <w:noWrap w:val="0"/>
                  <w:vAlign w:val="center"/>
                </w:tcPr>
                <w:p w14:paraId="7A7C57F5">
                  <w:pPr>
                    <w:spacing w:line="240" w:lineRule="exact"/>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2.0</w:t>
                  </w:r>
                </w:p>
              </w:tc>
              <w:tc>
                <w:tcPr>
                  <w:tcW w:w="432" w:type="pct"/>
                  <w:noWrap w:val="0"/>
                  <w:vAlign w:val="center"/>
                </w:tcPr>
                <w:p w14:paraId="255AD536">
                  <w:pPr>
                    <w:spacing w:line="240" w:lineRule="exact"/>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0.73-0.90</w:t>
                  </w:r>
                </w:p>
              </w:tc>
              <w:tc>
                <w:tcPr>
                  <w:tcW w:w="367" w:type="pct"/>
                  <w:noWrap w:val="0"/>
                  <w:vAlign w:val="center"/>
                </w:tcPr>
                <w:p w14:paraId="7B549878">
                  <w:pPr>
                    <w:spacing w:line="240" w:lineRule="exact"/>
                    <w:jc w:val="center"/>
                    <w:rPr>
                      <w:rFonts w:hint="default" w:ascii="Times New Roman" w:hAnsi="Times New Roman" w:eastAsia="仿宋" w:cs="Times New Roman"/>
                      <w:color w:val="auto"/>
                      <w:sz w:val="18"/>
                      <w:szCs w:val="18"/>
                      <w:highlight w:val="none"/>
                    </w:rPr>
                  </w:pPr>
                  <w:r>
                    <w:rPr>
                      <w:rFonts w:hint="eastAsia" w:eastAsia="仿宋" w:cs="Times New Roman"/>
                      <w:color w:val="auto"/>
                      <w:sz w:val="18"/>
                      <w:szCs w:val="18"/>
                      <w:highlight w:val="none"/>
                      <w:lang w:val="en-US" w:eastAsia="zh-CN"/>
                    </w:rPr>
                    <w:t>3</w:t>
                  </w:r>
                  <w:r>
                    <w:rPr>
                      <w:rFonts w:hint="default" w:ascii="Times New Roman" w:hAnsi="Times New Roman" w:eastAsia="仿宋" w:cs="Times New Roman"/>
                      <w:color w:val="auto"/>
                      <w:sz w:val="18"/>
                      <w:szCs w:val="18"/>
                      <w:highlight w:val="none"/>
                    </w:rPr>
                    <w:t>5</w:t>
                  </w:r>
                </w:p>
              </w:tc>
              <w:tc>
                <w:tcPr>
                  <w:tcW w:w="333" w:type="pct"/>
                  <w:noWrap w:val="0"/>
                  <w:vAlign w:val="center"/>
                </w:tcPr>
                <w:p w14:paraId="00D171CF">
                  <w:pPr>
                    <w:spacing w:line="240" w:lineRule="exact"/>
                    <w:ind w:left="-105" w:leftChars="-50" w:right="-105" w:rightChars="-5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0</w:t>
                  </w:r>
                </w:p>
              </w:tc>
              <w:tc>
                <w:tcPr>
                  <w:tcW w:w="231" w:type="pct"/>
                  <w:noWrap w:val="0"/>
                  <w:vAlign w:val="center"/>
                </w:tcPr>
                <w:p w14:paraId="35B4FD4E">
                  <w:pPr>
                    <w:spacing w:line="240" w:lineRule="exact"/>
                    <w:ind w:left="-105" w:leftChars="-50" w:right="-105" w:rightChars="-5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达标</w:t>
                  </w:r>
                </w:p>
              </w:tc>
            </w:tr>
          </w:tbl>
          <w:p w14:paraId="17982B40">
            <w:pPr>
              <w:keepNext w:val="0"/>
              <w:keepLines w:val="0"/>
              <w:pageBreakBefore w:val="0"/>
              <w:widowControl/>
              <w:kinsoku/>
              <w:wordWrap/>
              <w:overflowPunct/>
              <w:topLinePunct w:val="0"/>
              <w:autoSpaceDE/>
              <w:autoSpaceDN/>
              <w:bidi w:val="0"/>
              <w:adjustRightInd w:val="0"/>
              <w:snapToGrid w:val="0"/>
              <w:ind w:firstLine="200" w:firstLineChars="200"/>
              <w:textAlignment w:val="auto"/>
              <w:rPr>
                <w:rFonts w:hint="default" w:ascii="Times New Roman" w:hAnsi="Times New Roman" w:eastAsia="仿宋" w:cs="Times New Roman"/>
                <w:bCs/>
                <w:color w:val="auto"/>
                <w:sz w:val="10"/>
                <w:szCs w:val="10"/>
                <w:highlight w:val="none"/>
              </w:rPr>
            </w:pPr>
          </w:p>
          <w:p w14:paraId="273D54F0">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b/>
                <w:color w:val="auto"/>
                <w:sz w:val="24"/>
                <w:highlight w:val="none"/>
              </w:rPr>
              <w:t>引用点位数据可行性分析</w:t>
            </w:r>
            <w:r>
              <w:rPr>
                <w:rFonts w:hint="default" w:ascii="Times New Roman" w:hAnsi="Times New Roman" w:eastAsia="仿宋" w:cs="Times New Roman"/>
                <w:color w:val="auto"/>
                <w:sz w:val="24"/>
                <w:highlight w:val="none"/>
              </w:rPr>
              <w:t>：根据《建设项目环境影响报告表编制技术指南（污染影响类）（试行）》：“排放国家、地方环境空气质量标准中有标准限值要求的特征污染物时，引用建设项目周边5千米范围内近3年的现有监测数据。”环境空气引用点位“</w:t>
            </w:r>
            <w:r>
              <w:rPr>
                <w:rFonts w:hint="default" w:ascii="Times New Roman" w:hAnsi="Times New Roman" w:eastAsia="仿宋" w:cs="Times New Roman"/>
                <w:bCs/>
                <w:color w:val="auto"/>
                <w:sz w:val="24"/>
                <w:highlight w:val="none"/>
              </w:rPr>
              <w:t>G1</w:t>
            </w:r>
            <w:r>
              <w:rPr>
                <w:rFonts w:hint="eastAsia" w:eastAsia="仿宋" w:cs="Times New Roman"/>
                <w:bCs/>
                <w:color w:val="auto"/>
                <w:sz w:val="24"/>
                <w:highlight w:val="none"/>
                <w:lang w:val="en-US" w:eastAsia="zh-CN"/>
              </w:rPr>
              <w:t>城塘村</w:t>
            </w:r>
            <w:r>
              <w:rPr>
                <w:rFonts w:hint="default" w:ascii="Times New Roman" w:hAnsi="Times New Roman" w:eastAsia="仿宋" w:cs="Times New Roman"/>
                <w:color w:val="auto"/>
                <w:sz w:val="24"/>
                <w:highlight w:val="none"/>
              </w:rPr>
              <w:t>”位于本项目东</w:t>
            </w:r>
            <w:r>
              <w:rPr>
                <w:rFonts w:hint="eastAsia" w:eastAsia="仿宋" w:cs="Times New Roman"/>
                <w:color w:val="auto"/>
                <w:sz w:val="24"/>
                <w:highlight w:val="none"/>
                <w:lang w:val="en-US" w:eastAsia="zh-CN"/>
              </w:rPr>
              <w:t>南</w:t>
            </w:r>
            <w:r>
              <w:rPr>
                <w:rFonts w:hint="default" w:ascii="Times New Roman" w:hAnsi="Times New Roman" w:eastAsia="仿宋" w:cs="Times New Roman"/>
                <w:color w:val="auto"/>
                <w:sz w:val="24"/>
                <w:highlight w:val="none"/>
              </w:rPr>
              <w:t>方向，直线距离约为</w:t>
            </w:r>
            <w:r>
              <w:rPr>
                <w:rFonts w:hint="eastAsia" w:eastAsia="仿宋" w:cs="Times New Roman"/>
                <w:color w:val="auto"/>
                <w:sz w:val="24"/>
                <w:highlight w:val="none"/>
                <w:lang w:val="en-US" w:eastAsia="zh-CN"/>
              </w:rPr>
              <w:t>4.4</w:t>
            </w:r>
            <w:r>
              <w:rPr>
                <w:rFonts w:hint="default" w:ascii="Times New Roman" w:hAnsi="Times New Roman" w:eastAsia="仿宋" w:cs="Times New Roman"/>
                <w:color w:val="auto"/>
                <w:sz w:val="24"/>
                <w:highlight w:val="none"/>
              </w:rPr>
              <w:t>km，数据检测时间为2025年</w:t>
            </w:r>
            <w:r>
              <w:rPr>
                <w:rFonts w:hint="eastAsia" w:eastAsia="仿宋" w:cs="Times New Roman"/>
                <w:color w:val="auto"/>
                <w:sz w:val="24"/>
                <w:highlight w:val="none"/>
                <w:lang w:val="en-US" w:eastAsia="zh-CN"/>
              </w:rPr>
              <w:t>6</w:t>
            </w:r>
            <w:r>
              <w:rPr>
                <w:rFonts w:hint="default" w:ascii="Times New Roman" w:hAnsi="Times New Roman" w:eastAsia="仿宋" w:cs="Times New Roman"/>
                <w:color w:val="auto"/>
                <w:sz w:val="24"/>
                <w:highlight w:val="none"/>
              </w:rPr>
              <w:t>月，因此，本项目引用的非甲烷总烃历史监测数据可行。</w:t>
            </w:r>
          </w:p>
          <w:p w14:paraId="21B35A50">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从上表可以看出，项目所在区域环境空气中非甲烷总烃检测浓度符合《大气污染物综合排放标准详解》中</w:t>
            </w:r>
            <w:r>
              <w:rPr>
                <w:rFonts w:hint="default" w:ascii="Times New Roman" w:hAnsi="Times New Roman" w:eastAsia="仿宋" w:cs="Times New Roman"/>
                <w:bCs/>
                <w:color w:val="auto"/>
                <w:sz w:val="24"/>
                <w:highlight w:val="none"/>
                <w:lang w:val="en-US" w:eastAsia="zh-CN"/>
              </w:rPr>
              <w:t>相关</w:t>
            </w:r>
            <w:r>
              <w:rPr>
                <w:rFonts w:hint="default" w:ascii="Times New Roman" w:hAnsi="Times New Roman" w:eastAsia="仿宋" w:cs="Times New Roman"/>
                <w:bCs/>
                <w:color w:val="auto"/>
                <w:sz w:val="24"/>
                <w:highlight w:val="none"/>
              </w:rPr>
              <w:t>标准。</w:t>
            </w:r>
          </w:p>
          <w:p w14:paraId="50B20E82">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w:t>
            </w:r>
            <w:r>
              <w:rPr>
                <w:rFonts w:hint="default" w:ascii="Times New Roman" w:hAnsi="Times New Roman" w:eastAsia="仿宋" w:cs="Times New Roman"/>
                <w:color w:val="auto"/>
                <w:sz w:val="24"/>
                <w:highlight w:val="none"/>
              </w:rPr>
              <w:t>地表水环境质量现状</w:t>
            </w:r>
          </w:p>
          <w:p w14:paraId="3E80BC73">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（1）饮用水水源水质</w:t>
            </w:r>
          </w:p>
          <w:p w14:paraId="57E32F43">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常州市城市饮用水以集中供水为主，2024年全市5个县级及以上城市集中式饮用水水源地(含备用)，取水总量为5.23亿吨，全年每月监测均达标。</w:t>
            </w:r>
          </w:p>
          <w:p w14:paraId="2E00B258">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（2）国省考断面</w:t>
            </w:r>
          </w:p>
          <w:p w14:paraId="03ED14A5">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2024年，常州市纳入“十四五”国家地表水环境质量考核的20个断面，年均水质达到或好于《地表水环境质量标准》(GB3838-2002)Ⅲ类标准的断面比例为85%，无劣V类断面。纳入江苏省“十四五”水环境质量目标考核的51个断面，年均水质达到或好于Ⅲ类的比例为94.1%，无劣V类断面。</w:t>
            </w:r>
          </w:p>
          <w:p w14:paraId="01527F9C">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（3）太湖及主要入湖河道</w:t>
            </w:r>
          </w:p>
          <w:p w14:paraId="24F393EB">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2024年，太湖水质自2007年蓝藻事件以来首次达Ⅲ、重回“良好”湖泊，其中我市椒山点位首次达到Ⅲ类，太湖常州水域总磷同比改善24%，对全湖总磷改善幅度贡献率达182%，位列环湖城市第一，太湖入湖河道通量最大的百</w:t>
            </w:r>
            <w:r>
              <w:rPr>
                <w:rFonts w:hint="default" w:ascii="Times New Roman" w:hAnsi="Times New Roman" w:eastAsia="仿宋" w:cs="Times New Roman"/>
                <w:color w:val="auto"/>
                <w:sz w:val="24"/>
                <w:highlight w:val="none"/>
                <w:lang w:val="en-US" w:eastAsia="zh-CN"/>
              </w:rPr>
              <w:t>渎</w:t>
            </w:r>
            <w:r>
              <w:rPr>
                <w:rFonts w:hint="default" w:ascii="Times New Roman" w:hAnsi="Times New Roman" w:eastAsia="仿宋" w:cs="Times New Roman"/>
                <w:color w:val="auto"/>
                <w:sz w:val="24"/>
                <w:highlight w:val="none"/>
              </w:rPr>
              <w:t>港总磷同比下降17.6%。</w:t>
            </w:r>
          </w:p>
          <w:p w14:paraId="62AF6312">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（4）境内主要湖泊</w:t>
            </w:r>
          </w:p>
          <w:p w14:paraId="4FF5B085">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长荡湖水质稳定达到IV类，水生植物覆盖度达38.4%，由“藻型湖”逐步向“草型湖”转变；</w:t>
            </w:r>
            <w:r>
              <w:rPr>
                <w:rFonts w:hint="default" w:ascii="Times New Roman" w:hAnsi="Times New Roman" w:eastAsia="仿宋" w:cs="Times New Roman"/>
                <w:color w:val="auto"/>
                <w:sz w:val="24"/>
                <w:highlight w:val="none"/>
                <w:lang w:val="en-US" w:eastAsia="zh-CN"/>
              </w:rPr>
              <w:t>滆湖</w:t>
            </w:r>
            <w:r>
              <w:rPr>
                <w:rFonts w:hint="default" w:ascii="Times New Roman" w:hAnsi="Times New Roman" w:eastAsia="仿宋" w:cs="Times New Roman"/>
                <w:color w:val="auto"/>
                <w:sz w:val="24"/>
                <w:highlight w:val="none"/>
              </w:rPr>
              <w:t>常州水域水质首次达到IV类，总磷同比改善27.9%，营养状态从“中度”改善至“轻度”。长荡湖水质稳定达到IV类。</w:t>
            </w:r>
          </w:p>
          <w:p w14:paraId="332E66CF">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（5）长江干流（常州段）及主要通江支流</w:t>
            </w:r>
          </w:p>
          <w:p w14:paraId="5AD7D0BF">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2024年，长江干流魏村(右岸)断面水质连续八年达到Ⅱ类；新孟河、德胜河、澡港河等3条主要通江支流上5个国省考断面年均水质均达到或优于Ⅲ类。</w:t>
            </w:r>
          </w:p>
          <w:p w14:paraId="4538ACB1">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（6）京杭大运河常州段</w:t>
            </w:r>
          </w:p>
          <w:p w14:paraId="022A7595">
            <w:pPr>
              <w:widowControl/>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2024年，京杭大运河（常州段）沿线五牧、连江桥下、戚墅堰等3个国省考断面年均水质均达到或好于Ⅲ类。</w:t>
            </w:r>
          </w:p>
          <w:p w14:paraId="282E4E65">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（7）地表水环境质量现状引用结果及评价</w:t>
            </w:r>
          </w:p>
          <w:p w14:paraId="4CC950AF">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本次评价</w:t>
            </w:r>
            <w:r>
              <w:rPr>
                <w:rFonts w:hint="default" w:ascii="Times New Roman" w:hAnsi="Times New Roman" w:eastAsia="仿宋" w:cs="Times New Roman"/>
                <w:bCs/>
                <w:color w:val="auto"/>
                <w:sz w:val="24"/>
                <w:highlight w:val="none"/>
              </w:rPr>
              <w:t>引用江苏云居检测技术有限公司出具的《江苏万泉金属制品有限公司》检测报告（报告编号：YJH25010301）中</w:t>
            </w:r>
            <w:r>
              <w:rPr>
                <w:rFonts w:hint="default" w:ascii="Times New Roman" w:hAnsi="Times New Roman" w:eastAsia="仿宋" w:cs="Times New Roman"/>
                <w:color w:val="auto"/>
                <w:sz w:val="24"/>
                <w:highlight w:val="none"/>
              </w:rPr>
              <w:t>“W1点（金坛第二污水处理厂排污口上游500m）、W2点（金坛第二污水处理厂排污口下游2000m）”地表水断面检测结果，监测时间为2025年1月7日～1月9日。具体检测结果见下表。</w:t>
            </w:r>
          </w:p>
          <w:p w14:paraId="3B2E3CF8">
            <w:pPr>
              <w:jc w:val="righ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 xml:space="preserve">表3-3  地表水环境质量现状评价结果表   </w:t>
            </w:r>
            <w:r>
              <w:rPr>
                <w:rFonts w:hint="default" w:ascii="Times New Roman" w:hAnsi="Times New Roman" w:eastAsia="仿宋" w:cs="Times New Roman"/>
                <w:b/>
                <w:bCs/>
                <w:color w:val="auto"/>
                <w:sz w:val="24"/>
                <w:highlight w:val="none"/>
                <w:lang w:val="en-US" w:eastAsia="zh-CN"/>
              </w:rPr>
              <w:t xml:space="preserve">   </w:t>
            </w:r>
            <w:r>
              <w:rPr>
                <w:rFonts w:hint="default" w:ascii="Times New Roman" w:hAnsi="Times New Roman" w:eastAsia="仿宋" w:cs="Times New Roman"/>
                <w:b/>
                <w:bCs/>
                <w:color w:val="auto"/>
                <w:sz w:val="24"/>
                <w:highlight w:val="none"/>
              </w:rPr>
              <w:t xml:space="preserve">  单位：mg/L</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378"/>
              <w:gridCol w:w="1342"/>
              <w:gridCol w:w="1074"/>
              <w:gridCol w:w="683"/>
              <w:gridCol w:w="747"/>
              <w:gridCol w:w="747"/>
              <w:gridCol w:w="748"/>
              <w:gridCol w:w="755"/>
            </w:tblGrid>
            <w:tr w14:paraId="67C5B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restart"/>
                  <w:noWrap w:val="0"/>
                  <w:vAlign w:val="center"/>
                </w:tcPr>
                <w:p w14:paraId="264FADDE">
                  <w:pPr>
                    <w:contextualSpacing/>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highlight w:val="none"/>
                    </w:rPr>
                    <w:t>水域名称</w:t>
                  </w:r>
                </w:p>
              </w:tc>
              <w:tc>
                <w:tcPr>
                  <w:tcW w:w="847" w:type="pct"/>
                  <w:vMerge w:val="restart"/>
                  <w:noWrap w:val="0"/>
                  <w:vAlign w:val="center"/>
                </w:tcPr>
                <w:p w14:paraId="181D2422">
                  <w:pPr>
                    <w:contextualSpacing/>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highlight w:val="none"/>
                    </w:rPr>
                    <w:t>采样断面</w:t>
                  </w:r>
                </w:p>
              </w:tc>
              <w:tc>
                <w:tcPr>
                  <w:tcW w:w="825" w:type="pct"/>
                  <w:vMerge w:val="restart"/>
                  <w:noWrap w:val="0"/>
                  <w:vAlign w:val="center"/>
                </w:tcPr>
                <w:p w14:paraId="2438A804">
                  <w:pPr>
                    <w:contextualSpacing/>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highlight w:val="none"/>
                    </w:rPr>
                    <w:t>项目</w:t>
                  </w:r>
                </w:p>
              </w:tc>
              <w:tc>
                <w:tcPr>
                  <w:tcW w:w="2898" w:type="pct"/>
                  <w:gridSpan w:val="6"/>
                  <w:noWrap w:val="0"/>
                  <w:vAlign w:val="center"/>
                </w:tcPr>
                <w:p w14:paraId="121D28FF">
                  <w:pPr>
                    <w:contextualSpacing/>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检测结果</w:t>
                  </w:r>
                </w:p>
              </w:tc>
            </w:tr>
            <w:tr w14:paraId="3D0D2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5979461A">
                  <w:pPr>
                    <w:contextualSpacing/>
                    <w:jc w:val="center"/>
                    <w:rPr>
                      <w:rFonts w:hint="default" w:ascii="Times New Roman" w:hAnsi="Times New Roman" w:eastAsia="仿宋" w:cs="Times New Roman"/>
                      <w:b/>
                      <w:bCs/>
                      <w:color w:val="auto"/>
                      <w:kern w:val="0"/>
                      <w:highlight w:val="none"/>
                    </w:rPr>
                  </w:pPr>
                </w:p>
              </w:tc>
              <w:tc>
                <w:tcPr>
                  <w:tcW w:w="847" w:type="pct"/>
                  <w:vMerge w:val="continue"/>
                  <w:noWrap w:val="0"/>
                  <w:vAlign w:val="center"/>
                </w:tcPr>
                <w:p w14:paraId="42CF88B7">
                  <w:pPr>
                    <w:contextualSpacing/>
                    <w:jc w:val="center"/>
                    <w:rPr>
                      <w:rFonts w:hint="default" w:ascii="Times New Roman" w:hAnsi="Times New Roman" w:eastAsia="仿宋" w:cs="Times New Roman"/>
                      <w:b/>
                      <w:bCs/>
                      <w:color w:val="auto"/>
                      <w:kern w:val="0"/>
                      <w:highlight w:val="none"/>
                    </w:rPr>
                  </w:pPr>
                </w:p>
              </w:tc>
              <w:tc>
                <w:tcPr>
                  <w:tcW w:w="825" w:type="pct"/>
                  <w:vMerge w:val="continue"/>
                  <w:noWrap w:val="0"/>
                  <w:vAlign w:val="center"/>
                </w:tcPr>
                <w:p w14:paraId="3564944F">
                  <w:pPr>
                    <w:contextualSpacing/>
                    <w:jc w:val="center"/>
                    <w:rPr>
                      <w:rFonts w:hint="default" w:ascii="Times New Roman" w:hAnsi="Times New Roman" w:eastAsia="仿宋" w:cs="Times New Roman"/>
                      <w:b/>
                      <w:bCs/>
                      <w:color w:val="auto"/>
                      <w:kern w:val="0"/>
                      <w:highlight w:val="none"/>
                    </w:rPr>
                  </w:pPr>
                </w:p>
              </w:tc>
              <w:tc>
                <w:tcPr>
                  <w:tcW w:w="661" w:type="pct"/>
                  <w:tcBorders>
                    <w:right w:val="single" w:color="000000" w:sz="4" w:space="0"/>
                  </w:tcBorders>
                  <w:noWrap w:val="0"/>
                  <w:vAlign w:val="center"/>
                </w:tcPr>
                <w:p w14:paraId="74999FF7">
                  <w:pPr>
                    <w:contextualSpacing/>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pH</w:t>
                  </w:r>
                </w:p>
                <w:p w14:paraId="4AC6D17A">
                  <w:pPr>
                    <w:ind w:left="-105" w:leftChars="-50" w:right="-105" w:rightChars="-50"/>
                    <w:contextualSpacing/>
                    <w:jc w:val="center"/>
                    <w:rPr>
                      <w:rFonts w:hint="default" w:ascii="Times New Roman" w:hAnsi="Times New Roman" w:eastAsia="仿宋" w:cs="Times New Roman"/>
                      <w:b/>
                      <w:bCs/>
                      <w:color w:val="auto"/>
                      <w:szCs w:val="21"/>
                      <w:highlight w:val="none"/>
                      <w:vertAlign w:val="subscript"/>
                    </w:rPr>
                  </w:pPr>
                  <w:r>
                    <w:rPr>
                      <w:rFonts w:hint="default" w:ascii="Times New Roman" w:hAnsi="Times New Roman" w:eastAsia="仿宋" w:cs="Times New Roman"/>
                      <w:b/>
                      <w:bCs/>
                      <w:color w:val="auto"/>
                      <w:highlight w:val="none"/>
                    </w:rPr>
                    <w:t>（无量纲）</w:t>
                  </w:r>
                </w:p>
              </w:tc>
              <w:tc>
                <w:tcPr>
                  <w:tcW w:w="389" w:type="pct"/>
                  <w:tcBorders>
                    <w:left w:val="single" w:color="000000" w:sz="4" w:space="0"/>
                  </w:tcBorders>
                  <w:noWrap w:val="0"/>
                  <w:vAlign w:val="center"/>
                </w:tcPr>
                <w:p w14:paraId="2FA53BD1">
                  <w:pPr>
                    <w:contextualSpacing/>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highlight w:val="none"/>
                    </w:rPr>
                    <w:t>COD</w:t>
                  </w:r>
                </w:p>
              </w:tc>
              <w:tc>
                <w:tcPr>
                  <w:tcW w:w="461" w:type="pct"/>
                  <w:tcBorders>
                    <w:right w:val="single" w:color="000000" w:sz="4" w:space="0"/>
                  </w:tcBorders>
                  <w:noWrap w:val="0"/>
                  <w:vAlign w:val="center"/>
                </w:tcPr>
                <w:p w14:paraId="3568AE32">
                  <w:pPr>
                    <w:contextualSpacing/>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SS</w:t>
                  </w:r>
                </w:p>
              </w:tc>
              <w:tc>
                <w:tcPr>
                  <w:tcW w:w="461" w:type="pct"/>
                  <w:tcBorders>
                    <w:left w:val="single" w:color="000000" w:sz="4" w:space="0"/>
                  </w:tcBorders>
                  <w:noWrap w:val="0"/>
                  <w:vAlign w:val="center"/>
                </w:tcPr>
                <w:p w14:paraId="0B0746CF">
                  <w:pPr>
                    <w:contextualSpacing/>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rPr>
                    <w:t>氨氮</w:t>
                  </w:r>
                </w:p>
              </w:tc>
              <w:tc>
                <w:tcPr>
                  <w:tcW w:w="461" w:type="pct"/>
                  <w:noWrap w:val="0"/>
                  <w:vAlign w:val="center"/>
                </w:tcPr>
                <w:p w14:paraId="14A3B8CF">
                  <w:pPr>
                    <w:contextualSpacing/>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highlight w:val="none"/>
                    </w:rPr>
                    <w:t>总磷</w:t>
                  </w:r>
                </w:p>
              </w:tc>
              <w:tc>
                <w:tcPr>
                  <w:tcW w:w="462" w:type="pct"/>
                  <w:noWrap w:val="0"/>
                  <w:vAlign w:val="center"/>
                </w:tcPr>
                <w:p w14:paraId="02EADCB1">
                  <w:pPr>
                    <w:contextualSpacing/>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总氮</w:t>
                  </w:r>
                </w:p>
              </w:tc>
            </w:tr>
            <w:tr w14:paraId="41594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restart"/>
                  <w:noWrap w:val="0"/>
                  <w:vAlign w:val="center"/>
                </w:tcPr>
                <w:p w14:paraId="5192C29F">
                  <w:pPr>
                    <w:ind w:left="-105" w:leftChars="-50" w:right="-105" w:rightChars="-50"/>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尧塘河</w:t>
                  </w:r>
                </w:p>
              </w:tc>
              <w:tc>
                <w:tcPr>
                  <w:tcW w:w="847" w:type="pct"/>
                  <w:vMerge w:val="restart"/>
                  <w:noWrap w:val="0"/>
                  <w:vAlign w:val="center"/>
                </w:tcPr>
                <w:p w14:paraId="19E31793">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W1点（金坛第二污水处理厂排污口上游500m）</w:t>
                  </w:r>
                </w:p>
              </w:tc>
              <w:tc>
                <w:tcPr>
                  <w:tcW w:w="825" w:type="pct"/>
                  <w:noWrap w:val="0"/>
                  <w:vAlign w:val="center"/>
                </w:tcPr>
                <w:p w14:paraId="6E2D54AC">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最大值</w:t>
                  </w:r>
                </w:p>
              </w:tc>
              <w:tc>
                <w:tcPr>
                  <w:tcW w:w="661" w:type="pct"/>
                  <w:tcBorders>
                    <w:right w:val="single" w:color="000000" w:sz="4" w:space="0"/>
                  </w:tcBorders>
                  <w:noWrap w:val="0"/>
                  <w:vAlign w:val="center"/>
                </w:tcPr>
                <w:p w14:paraId="3A7EBC95">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8.2</w:t>
                  </w:r>
                </w:p>
              </w:tc>
              <w:tc>
                <w:tcPr>
                  <w:tcW w:w="389" w:type="pct"/>
                  <w:tcBorders>
                    <w:left w:val="single" w:color="000000" w:sz="4" w:space="0"/>
                  </w:tcBorders>
                  <w:noWrap w:val="0"/>
                  <w:vAlign w:val="center"/>
                </w:tcPr>
                <w:p w14:paraId="1078B35D">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18</w:t>
                  </w:r>
                </w:p>
              </w:tc>
              <w:tc>
                <w:tcPr>
                  <w:tcW w:w="742" w:type="dxa"/>
                  <w:tcBorders>
                    <w:right w:val="single" w:color="000000" w:sz="4" w:space="0"/>
                  </w:tcBorders>
                  <w:noWrap w:val="0"/>
                  <w:vAlign w:val="center"/>
                </w:tcPr>
                <w:p w14:paraId="615CBF04">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37</w:t>
                  </w:r>
                </w:p>
              </w:tc>
              <w:tc>
                <w:tcPr>
                  <w:tcW w:w="461" w:type="pct"/>
                  <w:tcBorders>
                    <w:left w:val="single" w:color="000000" w:sz="4" w:space="0"/>
                  </w:tcBorders>
                  <w:noWrap w:val="0"/>
                  <w:vAlign w:val="center"/>
                </w:tcPr>
                <w:p w14:paraId="7054CA30">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0.447</w:t>
                  </w:r>
                </w:p>
              </w:tc>
              <w:tc>
                <w:tcPr>
                  <w:tcW w:w="461" w:type="pct"/>
                  <w:noWrap w:val="0"/>
                  <w:vAlign w:val="center"/>
                </w:tcPr>
                <w:p w14:paraId="2480D26F">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0.13</w:t>
                  </w:r>
                </w:p>
              </w:tc>
              <w:tc>
                <w:tcPr>
                  <w:tcW w:w="462" w:type="pct"/>
                  <w:noWrap w:val="0"/>
                  <w:vAlign w:val="center"/>
                </w:tcPr>
                <w:p w14:paraId="78A7EE66">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0.888</w:t>
                  </w:r>
                </w:p>
              </w:tc>
            </w:tr>
            <w:tr w14:paraId="01810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42091F2A">
                  <w:pPr>
                    <w:contextualSpacing/>
                    <w:jc w:val="center"/>
                    <w:rPr>
                      <w:rFonts w:hint="default" w:ascii="Times New Roman" w:hAnsi="Times New Roman" w:eastAsia="仿宋" w:cs="Times New Roman"/>
                      <w:color w:val="auto"/>
                      <w:kern w:val="0"/>
                      <w:szCs w:val="21"/>
                      <w:highlight w:val="none"/>
                    </w:rPr>
                  </w:pPr>
                </w:p>
              </w:tc>
              <w:tc>
                <w:tcPr>
                  <w:tcW w:w="847" w:type="pct"/>
                  <w:vMerge w:val="continue"/>
                  <w:noWrap w:val="0"/>
                  <w:vAlign w:val="center"/>
                </w:tcPr>
                <w:p w14:paraId="31298F0E">
                  <w:pPr>
                    <w:contextualSpacing/>
                    <w:jc w:val="center"/>
                    <w:rPr>
                      <w:rFonts w:hint="default" w:ascii="Times New Roman" w:hAnsi="Times New Roman" w:eastAsia="仿宋" w:cs="Times New Roman"/>
                      <w:color w:val="auto"/>
                      <w:kern w:val="0"/>
                      <w:highlight w:val="none"/>
                    </w:rPr>
                  </w:pPr>
                </w:p>
              </w:tc>
              <w:tc>
                <w:tcPr>
                  <w:tcW w:w="825" w:type="pct"/>
                  <w:noWrap w:val="0"/>
                  <w:vAlign w:val="center"/>
                </w:tcPr>
                <w:p w14:paraId="3A4D79D8">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最小值</w:t>
                  </w:r>
                </w:p>
              </w:tc>
              <w:tc>
                <w:tcPr>
                  <w:tcW w:w="661" w:type="pct"/>
                  <w:tcBorders>
                    <w:right w:val="single" w:color="000000" w:sz="4" w:space="0"/>
                  </w:tcBorders>
                  <w:noWrap w:val="0"/>
                  <w:vAlign w:val="center"/>
                </w:tcPr>
                <w:p w14:paraId="7D27F0C5">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7.7</w:t>
                  </w:r>
                </w:p>
              </w:tc>
              <w:tc>
                <w:tcPr>
                  <w:tcW w:w="389" w:type="pct"/>
                  <w:tcBorders>
                    <w:left w:val="single" w:color="000000" w:sz="4" w:space="0"/>
                  </w:tcBorders>
                  <w:noWrap w:val="0"/>
                  <w:vAlign w:val="center"/>
                </w:tcPr>
                <w:p w14:paraId="6AEF745F">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16</w:t>
                  </w:r>
                </w:p>
              </w:tc>
              <w:tc>
                <w:tcPr>
                  <w:tcW w:w="742" w:type="dxa"/>
                  <w:tcBorders>
                    <w:right w:val="single" w:color="000000" w:sz="4" w:space="0"/>
                  </w:tcBorders>
                  <w:noWrap w:val="0"/>
                  <w:vAlign w:val="center"/>
                </w:tcPr>
                <w:p w14:paraId="5BF67F6A">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24</w:t>
                  </w:r>
                </w:p>
              </w:tc>
              <w:tc>
                <w:tcPr>
                  <w:tcW w:w="461" w:type="pct"/>
                  <w:tcBorders>
                    <w:left w:val="single" w:color="000000" w:sz="4" w:space="0"/>
                  </w:tcBorders>
                  <w:noWrap w:val="0"/>
                  <w:vAlign w:val="center"/>
                </w:tcPr>
                <w:p w14:paraId="4210D03E">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0.263</w:t>
                  </w:r>
                </w:p>
              </w:tc>
              <w:tc>
                <w:tcPr>
                  <w:tcW w:w="461" w:type="pct"/>
                  <w:noWrap w:val="0"/>
                  <w:vAlign w:val="center"/>
                </w:tcPr>
                <w:p w14:paraId="749EEDB6">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0.07</w:t>
                  </w:r>
                </w:p>
              </w:tc>
              <w:tc>
                <w:tcPr>
                  <w:tcW w:w="462" w:type="pct"/>
                  <w:noWrap w:val="0"/>
                  <w:vAlign w:val="center"/>
                </w:tcPr>
                <w:p w14:paraId="3362CF2C">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0.723</w:t>
                  </w:r>
                </w:p>
              </w:tc>
            </w:tr>
            <w:tr w14:paraId="39B0B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62DF2CA5">
                  <w:pPr>
                    <w:contextualSpacing/>
                    <w:jc w:val="center"/>
                    <w:rPr>
                      <w:rFonts w:hint="default" w:ascii="Times New Roman" w:hAnsi="Times New Roman" w:eastAsia="仿宋" w:cs="Times New Roman"/>
                      <w:color w:val="auto"/>
                      <w:kern w:val="0"/>
                      <w:szCs w:val="21"/>
                      <w:highlight w:val="none"/>
                    </w:rPr>
                  </w:pPr>
                </w:p>
              </w:tc>
              <w:tc>
                <w:tcPr>
                  <w:tcW w:w="847" w:type="pct"/>
                  <w:vMerge w:val="continue"/>
                  <w:noWrap w:val="0"/>
                  <w:vAlign w:val="center"/>
                </w:tcPr>
                <w:p w14:paraId="09D7EEFA">
                  <w:pPr>
                    <w:contextualSpacing/>
                    <w:jc w:val="center"/>
                    <w:rPr>
                      <w:rFonts w:hint="default" w:ascii="Times New Roman" w:hAnsi="Times New Roman" w:eastAsia="仿宋" w:cs="Times New Roman"/>
                      <w:color w:val="auto"/>
                      <w:kern w:val="0"/>
                      <w:highlight w:val="none"/>
                    </w:rPr>
                  </w:pPr>
                </w:p>
              </w:tc>
              <w:tc>
                <w:tcPr>
                  <w:tcW w:w="825" w:type="pct"/>
                  <w:noWrap w:val="0"/>
                  <w:vAlign w:val="center"/>
                </w:tcPr>
                <w:p w14:paraId="3C62AC1F">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平均值</w:t>
                  </w:r>
                </w:p>
              </w:tc>
              <w:tc>
                <w:tcPr>
                  <w:tcW w:w="661" w:type="pct"/>
                  <w:tcBorders>
                    <w:right w:val="single" w:color="000000" w:sz="4" w:space="0"/>
                  </w:tcBorders>
                  <w:noWrap w:val="0"/>
                  <w:vAlign w:val="center"/>
                </w:tcPr>
                <w:p w14:paraId="48278605">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7.9</w:t>
                  </w:r>
                </w:p>
              </w:tc>
              <w:tc>
                <w:tcPr>
                  <w:tcW w:w="389" w:type="pct"/>
                  <w:tcBorders>
                    <w:left w:val="single" w:color="000000" w:sz="4" w:space="0"/>
                  </w:tcBorders>
                  <w:noWrap w:val="0"/>
                  <w:vAlign w:val="center"/>
                </w:tcPr>
                <w:p w14:paraId="0C78F663">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17</w:t>
                  </w:r>
                </w:p>
              </w:tc>
              <w:tc>
                <w:tcPr>
                  <w:tcW w:w="742" w:type="dxa"/>
                  <w:tcBorders>
                    <w:right w:val="single" w:color="000000" w:sz="4" w:space="0"/>
                  </w:tcBorders>
                  <w:noWrap w:val="0"/>
                  <w:vAlign w:val="center"/>
                </w:tcPr>
                <w:p w14:paraId="628C9D13">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31</w:t>
                  </w:r>
                </w:p>
              </w:tc>
              <w:tc>
                <w:tcPr>
                  <w:tcW w:w="461" w:type="pct"/>
                  <w:tcBorders>
                    <w:left w:val="single" w:color="000000" w:sz="4" w:space="0"/>
                  </w:tcBorders>
                  <w:noWrap w:val="0"/>
                  <w:vAlign w:val="center"/>
                </w:tcPr>
                <w:p w14:paraId="216958D4">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0.356</w:t>
                  </w:r>
                </w:p>
              </w:tc>
              <w:tc>
                <w:tcPr>
                  <w:tcW w:w="461" w:type="pct"/>
                  <w:noWrap w:val="0"/>
                  <w:vAlign w:val="center"/>
                </w:tcPr>
                <w:p w14:paraId="33DBE768">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0.10</w:t>
                  </w:r>
                </w:p>
              </w:tc>
              <w:tc>
                <w:tcPr>
                  <w:tcW w:w="462" w:type="pct"/>
                  <w:noWrap w:val="0"/>
                  <w:vAlign w:val="center"/>
                </w:tcPr>
                <w:p w14:paraId="1B1ABCF0">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0.826</w:t>
                  </w:r>
                </w:p>
              </w:tc>
            </w:tr>
            <w:tr w14:paraId="37252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0435A41D">
                  <w:pPr>
                    <w:contextualSpacing/>
                    <w:jc w:val="center"/>
                    <w:rPr>
                      <w:rFonts w:hint="default" w:ascii="Times New Roman" w:hAnsi="Times New Roman" w:eastAsia="仿宋" w:cs="Times New Roman"/>
                      <w:color w:val="auto"/>
                      <w:kern w:val="0"/>
                      <w:szCs w:val="21"/>
                      <w:highlight w:val="none"/>
                    </w:rPr>
                  </w:pPr>
                </w:p>
              </w:tc>
              <w:tc>
                <w:tcPr>
                  <w:tcW w:w="847" w:type="pct"/>
                  <w:vMerge w:val="continue"/>
                  <w:noWrap w:val="0"/>
                  <w:vAlign w:val="center"/>
                </w:tcPr>
                <w:p w14:paraId="7299BA37">
                  <w:pPr>
                    <w:contextualSpacing/>
                    <w:jc w:val="center"/>
                    <w:rPr>
                      <w:rFonts w:hint="default" w:ascii="Times New Roman" w:hAnsi="Times New Roman" w:eastAsia="仿宋" w:cs="Times New Roman"/>
                      <w:color w:val="auto"/>
                      <w:kern w:val="0"/>
                      <w:highlight w:val="none"/>
                    </w:rPr>
                  </w:pPr>
                </w:p>
              </w:tc>
              <w:tc>
                <w:tcPr>
                  <w:tcW w:w="825" w:type="pct"/>
                  <w:noWrap w:val="0"/>
                  <w:vAlign w:val="center"/>
                </w:tcPr>
                <w:p w14:paraId="395A0256">
                  <w:pPr>
                    <w:ind w:left="-105" w:leftChars="-50" w:right="-105" w:rightChars="-50"/>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超标率（%）</w:t>
                  </w:r>
                </w:p>
              </w:tc>
              <w:tc>
                <w:tcPr>
                  <w:tcW w:w="661" w:type="pct"/>
                  <w:tcBorders>
                    <w:right w:val="single" w:color="000000" w:sz="4" w:space="0"/>
                  </w:tcBorders>
                  <w:noWrap w:val="0"/>
                  <w:vAlign w:val="center"/>
                </w:tcPr>
                <w:p w14:paraId="75530FA0">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0</w:t>
                  </w:r>
                </w:p>
              </w:tc>
              <w:tc>
                <w:tcPr>
                  <w:tcW w:w="389" w:type="pct"/>
                  <w:tcBorders>
                    <w:left w:val="single" w:color="000000" w:sz="4" w:space="0"/>
                  </w:tcBorders>
                  <w:noWrap w:val="0"/>
                  <w:vAlign w:val="center"/>
                </w:tcPr>
                <w:p w14:paraId="128BF0D5">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0</w:t>
                  </w:r>
                </w:p>
              </w:tc>
              <w:tc>
                <w:tcPr>
                  <w:tcW w:w="461" w:type="pct"/>
                  <w:tcBorders>
                    <w:right w:val="single" w:color="000000" w:sz="4" w:space="0"/>
                  </w:tcBorders>
                  <w:noWrap w:val="0"/>
                  <w:vAlign w:val="center"/>
                </w:tcPr>
                <w:p w14:paraId="0A964E34">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w:t>
                  </w:r>
                </w:p>
              </w:tc>
              <w:tc>
                <w:tcPr>
                  <w:tcW w:w="461" w:type="pct"/>
                  <w:tcBorders>
                    <w:left w:val="single" w:color="000000" w:sz="4" w:space="0"/>
                  </w:tcBorders>
                  <w:noWrap w:val="0"/>
                  <w:vAlign w:val="center"/>
                </w:tcPr>
                <w:p w14:paraId="01718A0A">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0</w:t>
                  </w:r>
                </w:p>
              </w:tc>
              <w:tc>
                <w:tcPr>
                  <w:tcW w:w="461" w:type="pct"/>
                  <w:noWrap w:val="0"/>
                  <w:vAlign w:val="center"/>
                </w:tcPr>
                <w:p w14:paraId="680E5D0E">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0</w:t>
                  </w:r>
                </w:p>
              </w:tc>
              <w:tc>
                <w:tcPr>
                  <w:tcW w:w="462" w:type="pct"/>
                  <w:noWrap w:val="0"/>
                  <w:vAlign w:val="center"/>
                </w:tcPr>
                <w:p w14:paraId="5768DC20">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0</w:t>
                  </w:r>
                </w:p>
              </w:tc>
            </w:tr>
            <w:tr w14:paraId="48855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799C2215">
                  <w:pPr>
                    <w:contextualSpacing/>
                    <w:jc w:val="center"/>
                    <w:rPr>
                      <w:rFonts w:hint="default" w:ascii="Times New Roman" w:hAnsi="Times New Roman" w:eastAsia="仿宋" w:cs="Times New Roman"/>
                      <w:color w:val="auto"/>
                      <w:kern w:val="0"/>
                      <w:szCs w:val="21"/>
                      <w:highlight w:val="none"/>
                    </w:rPr>
                  </w:pPr>
                </w:p>
              </w:tc>
              <w:tc>
                <w:tcPr>
                  <w:tcW w:w="847" w:type="pct"/>
                  <w:vMerge w:val="continue"/>
                  <w:noWrap w:val="0"/>
                  <w:vAlign w:val="center"/>
                </w:tcPr>
                <w:p w14:paraId="7E945E07">
                  <w:pPr>
                    <w:contextualSpacing/>
                    <w:jc w:val="center"/>
                    <w:rPr>
                      <w:rFonts w:hint="default" w:ascii="Times New Roman" w:hAnsi="Times New Roman" w:eastAsia="仿宋" w:cs="Times New Roman"/>
                      <w:color w:val="auto"/>
                      <w:kern w:val="0"/>
                      <w:highlight w:val="none"/>
                    </w:rPr>
                  </w:pPr>
                </w:p>
              </w:tc>
              <w:tc>
                <w:tcPr>
                  <w:tcW w:w="825" w:type="pct"/>
                  <w:noWrap w:val="0"/>
                  <w:vAlign w:val="center"/>
                </w:tcPr>
                <w:p w14:paraId="0D3DE32B">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highlight w:val="none"/>
                    </w:rPr>
                    <w:t>最大超标倍数（%）</w:t>
                  </w:r>
                </w:p>
              </w:tc>
              <w:tc>
                <w:tcPr>
                  <w:tcW w:w="661" w:type="pct"/>
                  <w:tcBorders>
                    <w:right w:val="single" w:color="000000" w:sz="4" w:space="0"/>
                  </w:tcBorders>
                  <w:noWrap w:val="0"/>
                  <w:vAlign w:val="center"/>
                </w:tcPr>
                <w:p w14:paraId="48603AAA">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w:t>
                  </w:r>
                </w:p>
              </w:tc>
              <w:tc>
                <w:tcPr>
                  <w:tcW w:w="389" w:type="pct"/>
                  <w:tcBorders>
                    <w:left w:val="single" w:color="000000" w:sz="4" w:space="0"/>
                  </w:tcBorders>
                  <w:noWrap w:val="0"/>
                  <w:vAlign w:val="center"/>
                </w:tcPr>
                <w:p w14:paraId="17A456AD">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w:t>
                  </w:r>
                </w:p>
              </w:tc>
              <w:tc>
                <w:tcPr>
                  <w:tcW w:w="461" w:type="pct"/>
                  <w:tcBorders>
                    <w:right w:val="single" w:color="000000" w:sz="4" w:space="0"/>
                  </w:tcBorders>
                  <w:noWrap w:val="0"/>
                  <w:vAlign w:val="center"/>
                </w:tcPr>
                <w:p w14:paraId="3AE23489">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w:t>
                  </w:r>
                </w:p>
              </w:tc>
              <w:tc>
                <w:tcPr>
                  <w:tcW w:w="461" w:type="pct"/>
                  <w:tcBorders>
                    <w:left w:val="single" w:color="000000" w:sz="4" w:space="0"/>
                  </w:tcBorders>
                  <w:noWrap w:val="0"/>
                  <w:vAlign w:val="center"/>
                </w:tcPr>
                <w:p w14:paraId="6893033B">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w:t>
                  </w:r>
                </w:p>
              </w:tc>
              <w:tc>
                <w:tcPr>
                  <w:tcW w:w="461" w:type="pct"/>
                  <w:noWrap w:val="0"/>
                  <w:vAlign w:val="center"/>
                </w:tcPr>
                <w:p w14:paraId="01945D93">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w:t>
                  </w:r>
                </w:p>
              </w:tc>
              <w:tc>
                <w:tcPr>
                  <w:tcW w:w="462" w:type="pct"/>
                  <w:noWrap w:val="0"/>
                  <w:vAlign w:val="center"/>
                </w:tcPr>
                <w:p w14:paraId="681CA690">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w:t>
                  </w:r>
                </w:p>
              </w:tc>
            </w:tr>
            <w:tr w14:paraId="06071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39DDA6DF">
                  <w:pPr>
                    <w:contextualSpacing/>
                    <w:jc w:val="center"/>
                    <w:rPr>
                      <w:rFonts w:hint="default" w:ascii="Times New Roman" w:hAnsi="Times New Roman" w:eastAsia="仿宋" w:cs="Times New Roman"/>
                      <w:color w:val="auto"/>
                      <w:kern w:val="0"/>
                      <w:szCs w:val="21"/>
                      <w:highlight w:val="none"/>
                    </w:rPr>
                  </w:pPr>
                </w:p>
              </w:tc>
              <w:tc>
                <w:tcPr>
                  <w:tcW w:w="847" w:type="pct"/>
                  <w:vMerge w:val="restart"/>
                  <w:noWrap w:val="0"/>
                  <w:vAlign w:val="center"/>
                </w:tcPr>
                <w:p w14:paraId="677708B3">
                  <w:pPr>
                    <w:ind w:left="-105" w:leftChars="-50" w:right="-105" w:rightChars="-50"/>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W2点（金坛第二污水处理厂排污口下游2000m）</w:t>
                  </w:r>
                </w:p>
              </w:tc>
              <w:tc>
                <w:tcPr>
                  <w:tcW w:w="825" w:type="pct"/>
                  <w:noWrap w:val="0"/>
                  <w:vAlign w:val="center"/>
                </w:tcPr>
                <w:p w14:paraId="367EAEA2">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最大值</w:t>
                  </w:r>
                </w:p>
              </w:tc>
              <w:tc>
                <w:tcPr>
                  <w:tcW w:w="661" w:type="pct"/>
                  <w:tcBorders>
                    <w:right w:val="single" w:color="000000" w:sz="4" w:space="0"/>
                  </w:tcBorders>
                  <w:noWrap w:val="0"/>
                  <w:vAlign w:val="center"/>
                </w:tcPr>
                <w:p w14:paraId="63032309">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szCs w:val="21"/>
                      <w:highlight w:val="none"/>
                    </w:rPr>
                    <w:t>7.9</w:t>
                  </w:r>
                </w:p>
              </w:tc>
              <w:tc>
                <w:tcPr>
                  <w:tcW w:w="389" w:type="pct"/>
                  <w:tcBorders>
                    <w:left w:val="single" w:color="000000" w:sz="4" w:space="0"/>
                  </w:tcBorders>
                  <w:noWrap w:val="0"/>
                  <w:vAlign w:val="center"/>
                </w:tcPr>
                <w:p w14:paraId="3566151E">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19</w:t>
                  </w:r>
                </w:p>
              </w:tc>
              <w:tc>
                <w:tcPr>
                  <w:tcW w:w="742" w:type="dxa"/>
                  <w:tcBorders>
                    <w:right w:val="single" w:color="000000" w:sz="4" w:space="0"/>
                  </w:tcBorders>
                  <w:noWrap w:val="0"/>
                  <w:vAlign w:val="center"/>
                </w:tcPr>
                <w:p w14:paraId="2F2F0114">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38</w:t>
                  </w:r>
                </w:p>
              </w:tc>
              <w:tc>
                <w:tcPr>
                  <w:tcW w:w="461" w:type="pct"/>
                  <w:tcBorders>
                    <w:left w:val="single" w:color="000000" w:sz="4" w:space="0"/>
                  </w:tcBorders>
                  <w:noWrap w:val="0"/>
                  <w:vAlign w:val="center"/>
                </w:tcPr>
                <w:p w14:paraId="3B80AE82">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0.395</w:t>
                  </w:r>
                </w:p>
              </w:tc>
              <w:tc>
                <w:tcPr>
                  <w:tcW w:w="461" w:type="pct"/>
                  <w:noWrap w:val="0"/>
                  <w:vAlign w:val="center"/>
                </w:tcPr>
                <w:p w14:paraId="472C16C0">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0.12</w:t>
                  </w:r>
                </w:p>
              </w:tc>
              <w:tc>
                <w:tcPr>
                  <w:tcW w:w="462" w:type="pct"/>
                  <w:noWrap w:val="0"/>
                  <w:vAlign w:val="center"/>
                </w:tcPr>
                <w:p w14:paraId="4E50BFC4">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0.953</w:t>
                  </w:r>
                </w:p>
              </w:tc>
            </w:tr>
            <w:tr w14:paraId="53B14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58584C40">
                  <w:pPr>
                    <w:contextualSpacing/>
                    <w:jc w:val="center"/>
                    <w:rPr>
                      <w:rFonts w:hint="default" w:ascii="Times New Roman" w:hAnsi="Times New Roman" w:eastAsia="仿宋" w:cs="Times New Roman"/>
                      <w:color w:val="auto"/>
                      <w:kern w:val="0"/>
                      <w:szCs w:val="21"/>
                      <w:highlight w:val="none"/>
                    </w:rPr>
                  </w:pPr>
                </w:p>
              </w:tc>
              <w:tc>
                <w:tcPr>
                  <w:tcW w:w="847" w:type="pct"/>
                  <w:vMerge w:val="continue"/>
                  <w:noWrap w:val="0"/>
                  <w:vAlign w:val="center"/>
                </w:tcPr>
                <w:p w14:paraId="501F03FF">
                  <w:pPr>
                    <w:contextualSpacing/>
                    <w:jc w:val="center"/>
                    <w:rPr>
                      <w:rFonts w:hint="default" w:ascii="Times New Roman" w:hAnsi="Times New Roman" w:eastAsia="仿宋" w:cs="Times New Roman"/>
                      <w:color w:val="auto"/>
                      <w:kern w:val="0"/>
                      <w:szCs w:val="21"/>
                      <w:highlight w:val="none"/>
                    </w:rPr>
                  </w:pPr>
                </w:p>
              </w:tc>
              <w:tc>
                <w:tcPr>
                  <w:tcW w:w="825" w:type="pct"/>
                  <w:noWrap w:val="0"/>
                  <w:vAlign w:val="center"/>
                </w:tcPr>
                <w:p w14:paraId="2F2C9D7D">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最小值</w:t>
                  </w:r>
                </w:p>
              </w:tc>
              <w:tc>
                <w:tcPr>
                  <w:tcW w:w="661" w:type="pct"/>
                  <w:tcBorders>
                    <w:right w:val="single" w:color="000000" w:sz="4" w:space="0"/>
                  </w:tcBorders>
                  <w:noWrap w:val="0"/>
                  <w:vAlign w:val="center"/>
                </w:tcPr>
                <w:p w14:paraId="2A4D187C">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szCs w:val="21"/>
                      <w:highlight w:val="none"/>
                    </w:rPr>
                    <w:t>7.2</w:t>
                  </w:r>
                </w:p>
              </w:tc>
              <w:tc>
                <w:tcPr>
                  <w:tcW w:w="389" w:type="pct"/>
                  <w:tcBorders>
                    <w:left w:val="single" w:color="000000" w:sz="4" w:space="0"/>
                  </w:tcBorders>
                  <w:noWrap w:val="0"/>
                  <w:vAlign w:val="center"/>
                </w:tcPr>
                <w:p w14:paraId="262A4276">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18</w:t>
                  </w:r>
                </w:p>
              </w:tc>
              <w:tc>
                <w:tcPr>
                  <w:tcW w:w="742" w:type="dxa"/>
                  <w:tcBorders>
                    <w:right w:val="single" w:color="000000" w:sz="4" w:space="0"/>
                  </w:tcBorders>
                  <w:noWrap w:val="0"/>
                  <w:vAlign w:val="center"/>
                </w:tcPr>
                <w:p w14:paraId="0F466037">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20</w:t>
                  </w:r>
                </w:p>
              </w:tc>
              <w:tc>
                <w:tcPr>
                  <w:tcW w:w="461" w:type="pct"/>
                  <w:tcBorders>
                    <w:left w:val="single" w:color="000000" w:sz="4" w:space="0"/>
                  </w:tcBorders>
                  <w:noWrap w:val="0"/>
                  <w:vAlign w:val="center"/>
                </w:tcPr>
                <w:p w14:paraId="21865FE4">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0.356</w:t>
                  </w:r>
                </w:p>
              </w:tc>
              <w:tc>
                <w:tcPr>
                  <w:tcW w:w="461" w:type="pct"/>
                  <w:noWrap w:val="0"/>
                  <w:vAlign w:val="center"/>
                </w:tcPr>
                <w:p w14:paraId="424F387F">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0.06</w:t>
                  </w:r>
                </w:p>
              </w:tc>
              <w:tc>
                <w:tcPr>
                  <w:tcW w:w="462" w:type="pct"/>
                  <w:noWrap w:val="0"/>
                  <w:vAlign w:val="center"/>
                </w:tcPr>
                <w:p w14:paraId="3392C6F9">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0.783</w:t>
                  </w:r>
                </w:p>
              </w:tc>
            </w:tr>
            <w:tr w14:paraId="6F615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42BE6284">
                  <w:pPr>
                    <w:contextualSpacing/>
                    <w:jc w:val="center"/>
                    <w:rPr>
                      <w:rFonts w:hint="default" w:ascii="Times New Roman" w:hAnsi="Times New Roman" w:eastAsia="仿宋" w:cs="Times New Roman"/>
                      <w:color w:val="auto"/>
                      <w:kern w:val="0"/>
                      <w:szCs w:val="21"/>
                      <w:highlight w:val="none"/>
                    </w:rPr>
                  </w:pPr>
                </w:p>
              </w:tc>
              <w:tc>
                <w:tcPr>
                  <w:tcW w:w="847" w:type="pct"/>
                  <w:vMerge w:val="continue"/>
                  <w:noWrap w:val="0"/>
                  <w:vAlign w:val="center"/>
                </w:tcPr>
                <w:p w14:paraId="069D53D8">
                  <w:pPr>
                    <w:contextualSpacing/>
                    <w:jc w:val="center"/>
                    <w:rPr>
                      <w:rFonts w:hint="default" w:ascii="Times New Roman" w:hAnsi="Times New Roman" w:eastAsia="仿宋" w:cs="Times New Roman"/>
                      <w:color w:val="auto"/>
                      <w:kern w:val="0"/>
                      <w:szCs w:val="21"/>
                      <w:highlight w:val="none"/>
                    </w:rPr>
                  </w:pPr>
                </w:p>
              </w:tc>
              <w:tc>
                <w:tcPr>
                  <w:tcW w:w="825" w:type="pct"/>
                  <w:noWrap w:val="0"/>
                  <w:vAlign w:val="center"/>
                </w:tcPr>
                <w:p w14:paraId="7954AB23">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平均值</w:t>
                  </w:r>
                </w:p>
              </w:tc>
              <w:tc>
                <w:tcPr>
                  <w:tcW w:w="661" w:type="pct"/>
                  <w:tcBorders>
                    <w:right w:val="single" w:color="000000" w:sz="4" w:space="0"/>
                  </w:tcBorders>
                  <w:noWrap w:val="0"/>
                  <w:vAlign w:val="center"/>
                </w:tcPr>
                <w:p w14:paraId="21666870">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7.7</w:t>
                  </w:r>
                </w:p>
              </w:tc>
              <w:tc>
                <w:tcPr>
                  <w:tcW w:w="389" w:type="pct"/>
                  <w:tcBorders>
                    <w:left w:val="single" w:color="000000" w:sz="4" w:space="0"/>
                  </w:tcBorders>
                  <w:noWrap w:val="0"/>
                  <w:vAlign w:val="center"/>
                </w:tcPr>
                <w:p w14:paraId="2EF0F1FC">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18</w:t>
                  </w:r>
                </w:p>
              </w:tc>
              <w:tc>
                <w:tcPr>
                  <w:tcW w:w="742" w:type="dxa"/>
                  <w:tcBorders>
                    <w:right w:val="single" w:color="000000" w:sz="4" w:space="0"/>
                  </w:tcBorders>
                  <w:noWrap w:val="0"/>
                  <w:vAlign w:val="center"/>
                </w:tcPr>
                <w:p w14:paraId="38ABC971">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27</w:t>
                  </w:r>
                </w:p>
              </w:tc>
              <w:tc>
                <w:tcPr>
                  <w:tcW w:w="461" w:type="pct"/>
                  <w:tcBorders>
                    <w:left w:val="single" w:color="000000" w:sz="4" w:space="0"/>
                  </w:tcBorders>
                  <w:noWrap w:val="0"/>
                  <w:vAlign w:val="center"/>
                </w:tcPr>
                <w:p w14:paraId="4C8230D4">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0.374</w:t>
                  </w:r>
                </w:p>
              </w:tc>
              <w:tc>
                <w:tcPr>
                  <w:tcW w:w="461" w:type="pct"/>
                  <w:noWrap w:val="0"/>
                  <w:vAlign w:val="center"/>
                </w:tcPr>
                <w:p w14:paraId="08E48817">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0.09</w:t>
                  </w:r>
                </w:p>
              </w:tc>
              <w:tc>
                <w:tcPr>
                  <w:tcW w:w="462" w:type="pct"/>
                  <w:noWrap w:val="0"/>
                  <w:vAlign w:val="center"/>
                </w:tcPr>
                <w:p w14:paraId="56074016">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0.861</w:t>
                  </w:r>
                </w:p>
              </w:tc>
            </w:tr>
            <w:tr w14:paraId="052357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024F2C79">
                  <w:pPr>
                    <w:contextualSpacing/>
                    <w:jc w:val="center"/>
                    <w:rPr>
                      <w:rFonts w:hint="default" w:ascii="Times New Roman" w:hAnsi="Times New Roman" w:eastAsia="仿宋" w:cs="Times New Roman"/>
                      <w:color w:val="auto"/>
                      <w:kern w:val="0"/>
                      <w:szCs w:val="21"/>
                      <w:highlight w:val="none"/>
                    </w:rPr>
                  </w:pPr>
                </w:p>
              </w:tc>
              <w:tc>
                <w:tcPr>
                  <w:tcW w:w="847" w:type="pct"/>
                  <w:vMerge w:val="continue"/>
                  <w:noWrap w:val="0"/>
                  <w:vAlign w:val="center"/>
                </w:tcPr>
                <w:p w14:paraId="1946E712">
                  <w:pPr>
                    <w:contextualSpacing/>
                    <w:jc w:val="center"/>
                    <w:rPr>
                      <w:rFonts w:hint="default" w:ascii="Times New Roman" w:hAnsi="Times New Roman" w:eastAsia="仿宋" w:cs="Times New Roman"/>
                      <w:color w:val="auto"/>
                      <w:kern w:val="0"/>
                      <w:szCs w:val="21"/>
                      <w:highlight w:val="none"/>
                    </w:rPr>
                  </w:pPr>
                </w:p>
              </w:tc>
              <w:tc>
                <w:tcPr>
                  <w:tcW w:w="825" w:type="pct"/>
                  <w:noWrap w:val="0"/>
                  <w:vAlign w:val="center"/>
                </w:tcPr>
                <w:p w14:paraId="33AFA041">
                  <w:pPr>
                    <w:ind w:left="-105" w:leftChars="-50" w:right="-105" w:rightChars="-50"/>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超标率（%）</w:t>
                  </w:r>
                </w:p>
              </w:tc>
              <w:tc>
                <w:tcPr>
                  <w:tcW w:w="661" w:type="pct"/>
                  <w:tcBorders>
                    <w:right w:val="single" w:color="000000" w:sz="4" w:space="0"/>
                  </w:tcBorders>
                  <w:noWrap w:val="0"/>
                  <w:vAlign w:val="center"/>
                </w:tcPr>
                <w:p w14:paraId="0C08E640">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0</w:t>
                  </w:r>
                </w:p>
              </w:tc>
              <w:tc>
                <w:tcPr>
                  <w:tcW w:w="389" w:type="pct"/>
                  <w:tcBorders>
                    <w:left w:val="single" w:color="000000" w:sz="4" w:space="0"/>
                  </w:tcBorders>
                  <w:noWrap w:val="0"/>
                  <w:vAlign w:val="center"/>
                </w:tcPr>
                <w:p w14:paraId="208E63E2">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0</w:t>
                  </w:r>
                </w:p>
              </w:tc>
              <w:tc>
                <w:tcPr>
                  <w:tcW w:w="461" w:type="pct"/>
                  <w:tcBorders>
                    <w:right w:val="single" w:color="000000" w:sz="4" w:space="0"/>
                  </w:tcBorders>
                  <w:noWrap w:val="0"/>
                  <w:vAlign w:val="center"/>
                </w:tcPr>
                <w:p w14:paraId="699650DC">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w:t>
                  </w:r>
                </w:p>
              </w:tc>
              <w:tc>
                <w:tcPr>
                  <w:tcW w:w="461" w:type="pct"/>
                  <w:tcBorders>
                    <w:left w:val="single" w:color="000000" w:sz="4" w:space="0"/>
                  </w:tcBorders>
                  <w:noWrap w:val="0"/>
                  <w:vAlign w:val="center"/>
                </w:tcPr>
                <w:p w14:paraId="5AB70A3B">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0</w:t>
                  </w:r>
                </w:p>
              </w:tc>
              <w:tc>
                <w:tcPr>
                  <w:tcW w:w="461" w:type="pct"/>
                  <w:noWrap w:val="0"/>
                  <w:vAlign w:val="center"/>
                </w:tcPr>
                <w:p w14:paraId="55F6B3DB">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0</w:t>
                  </w:r>
                </w:p>
              </w:tc>
              <w:tc>
                <w:tcPr>
                  <w:tcW w:w="462" w:type="pct"/>
                  <w:noWrap w:val="0"/>
                  <w:vAlign w:val="center"/>
                </w:tcPr>
                <w:p w14:paraId="2EB1B611">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0</w:t>
                  </w:r>
                </w:p>
              </w:tc>
            </w:tr>
            <w:tr w14:paraId="3270D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vMerge w:val="continue"/>
                  <w:noWrap w:val="0"/>
                  <w:vAlign w:val="center"/>
                </w:tcPr>
                <w:p w14:paraId="510F5A05">
                  <w:pPr>
                    <w:contextualSpacing/>
                    <w:jc w:val="center"/>
                    <w:rPr>
                      <w:rFonts w:hint="default" w:ascii="Times New Roman" w:hAnsi="Times New Roman" w:eastAsia="仿宋" w:cs="Times New Roman"/>
                      <w:color w:val="auto"/>
                      <w:kern w:val="0"/>
                      <w:szCs w:val="21"/>
                      <w:highlight w:val="none"/>
                    </w:rPr>
                  </w:pPr>
                </w:p>
              </w:tc>
              <w:tc>
                <w:tcPr>
                  <w:tcW w:w="847" w:type="pct"/>
                  <w:vMerge w:val="continue"/>
                  <w:noWrap w:val="0"/>
                  <w:vAlign w:val="center"/>
                </w:tcPr>
                <w:p w14:paraId="63A0122F">
                  <w:pPr>
                    <w:contextualSpacing/>
                    <w:jc w:val="center"/>
                    <w:rPr>
                      <w:rFonts w:hint="default" w:ascii="Times New Roman" w:hAnsi="Times New Roman" w:eastAsia="仿宋" w:cs="Times New Roman"/>
                      <w:color w:val="auto"/>
                      <w:kern w:val="0"/>
                      <w:szCs w:val="21"/>
                      <w:highlight w:val="none"/>
                    </w:rPr>
                  </w:pPr>
                </w:p>
              </w:tc>
              <w:tc>
                <w:tcPr>
                  <w:tcW w:w="825" w:type="pct"/>
                  <w:noWrap w:val="0"/>
                  <w:vAlign w:val="center"/>
                </w:tcPr>
                <w:p w14:paraId="5B2D4F60">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highlight w:val="none"/>
                    </w:rPr>
                    <w:t>最大超标倍数（%）</w:t>
                  </w:r>
                </w:p>
              </w:tc>
              <w:tc>
                <w:tcPr>
                  <w:tcW w:w="661" w:type="pct"/>
                  <w:tcBorders>
                    <w:right w:val="single" w:color="000000" w:sz="4" w:space="0"/>
                  </w:tcBorders>
                  <w:noWrap w:val="0"/>
                  <w:vAlign w:val="center"/>
                </w:tcPr>
                <w:p w14:paraId="3E69B95F">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w:t>
                  </w:r>
                </w:p>
              </w:tc>
              <w:tc>
                <w:tcPr>
                  <w:tcW w:w="389" w:type="pct"/>
                  <w:tcBorders>
                    <w:left w:val="single" w:color="000000" w:sz="4" w:space="0"/>
                  </w:tcBorders>
                  <w:noWrap w:val="0"/>
                  <w:vAlign w:val="center"/>
                </w:tcPr>
                <w:p w14:paraId="5A64C690">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w:t>
                  </w:r>
                </w:p>
              </w:tc>
              <w:tc>
                <w:tcPr>
                  <w:tcW w:w="461" w:type="pct"/>
                  <w:tcBorders>
                    <w:right w:val="single" w:color="000000" w:sz="4" w:space="0"/>
                  </w:tcBorders>
                  <w:noWrap w:val="0"/>
                  <w:vAlign w:val="center"/>
                </w:tcPr>
                <w:p w14:paraId="3005E09F">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szCs w:val="21"/>
                      <w:highlight w:val="none"/>
                    </w:rPr>
                    <w:t>-</w:t>
                  </w:r>
                </w:p>
              </w:tc>
              <w:tc>
                <w:tcPr>
                  <w:tcW w:w="461" w:type="pct"/>
                  <w:tcBorders>
                    <w:left w:val="single" w:color="000000" w:sz="4" w:space="0"/>
                  </w:tcBorders>
                  <w:noWrap w:val="0"/>
                  <w:vAlign w:val="center"/>
                </w:tcPr>
                <w:p w14:paraId="1AC453FA">
                  <w:pPr>
                    <w:contextualSpacing/>
                    <w:jc w:val="center"/>
                    <w:rPr>
                      <w:rFonts w:hint="default" w:ascii="Times New Roman" w:hAnsi="Times New Roman" w:eastAsia="仿宋" w:cs="Times New Roman"/>
                      <w:color w:val="auto"/>
                      <w:kern w:val="0"/>
                      <w:highlight w:val="none"/>
                    </w:rPr>
                  </w:pPr>
                  <w:r>
                    <w:rPr>
                      <w:rFonts w:hint="default" w:ascii="Times New Roman" w:hAnsi="Times New Roman" w:eastAsia="仿宋" w:cs="Times New Roman"/>
                      <w:color w:val="auto"/>
                      <w:kern w:val="0"/>
                      <w:highlight w:val="none"/>
                    </w:rPr>
                    <w:t>-</w:t>
                  </w:r>
                </w:p>
              </w:tc>
              <w:tc>
                <w:tcPr>
                  <w:tcW w:w="461" w:type="pct"/>
                  <w:noWrap w:val="0"/>
                  <w:vAlign w:val="center"/>
                </w:tcPr>
                <w:p w14:paraId="7ED20567">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w:t>
                  </w:r>
                </w:p>
              </w:tc>
              <w:tc>
                <w:tcPr>
                  <w:tcW w:w="462" w:type="pct"/>
                  <w:noWrap w:val="0"/>
                  <w:vAlign w:val="center"/>
                </w:tcPr>
                <w:p w14:paraId="2044FC62">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w:t>
                  </w:r>
                </w:p>
              </w:tc>
            </w:tr>
            <w:tr w14:paraId="46245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1" w:type="pct"/>
                  <w:gridSpan w:val="3"/>
                  <w:noWrap w:val="0"/>
                  <w:vAlign w:val="center"/>
                </w:tcPr>
                <w:p w14:paraId="2BF16EFE">
                  <w:pPr>
                    <w:contextualSpacing/>
                    <w:jc w:val="center"/>
                    <w:rPr>
                      <w:rFonts w:hint="default" w:ascii="Times New Roman" w:hAnsi="Times New Roman" w:eastAsia="仿宋" w:cs="Times New Roman"/>
                      <w:color w:val="auto"/>
                      <w:kern w:val="0"/>
                      <w:szCs w:val="21"/>
                      <w:highlight w:val="none"/>
                    </w:rPr>
                  </w:pPr>
                  <w:r>
                    <w:rPr>
                      <w:rFonts w:hint="default" w:ascii="Times New Roman" w:hAnsi="Times New Roman" w:eastAsia="仿宋" w:cs="Times New Roman"/>
                      <w:color w:val="auto"/>
                      <w:kern w:val="0"/>
                      <w:highlight w:val="none"/>
                    </w:rPr>
                    <w:t>标准值</w:t>
                  </w:r>
                </w:p>
              </w:tc>
              <w:tc>
                <w:tcPr>
                  <w:tcW w:w="661" w:type="pct"/>
                  <w:tcBorders>
                    <w:right w:val="single" w:color="000000" w:sz="4" w:space="0"/>
                  </w:tcBorders>
                  <w:noWrap w:val="0"/>
                  <w:vAlign w:val="center"/>
                </w:tcPr>
                <w:p w14:paraId="07BF471D">
                  <w:pPr>
                    <w:contextualSpacing/>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6～9</w:t>
                  </w:r>
                </w:p>
              </w:tc>
              <w:tc>
                <w:tcPr>
                  <w:tcW w:w="389" w:type="pct"/>
                  <w:tcBorders>
                    <w:left w:val="single" w:color="000000" w:sz="4" w:space="0"/>
                  </w:tcBorders>
                  <w:noWrap w:val="0"/>
                  <w:vAlign w:val="center"/>
                </w:tcPr>
                <w:p w14:paraId="1DFF09F4">
                  <w:pPr>
                    <w:contextualSpacing/>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w:t>
                  </w:r>
                </w:p>
              </w:tc>
              <w:tc>
                <w:tcPr>
                  <w:tcW w:w="461" w:type="pct"/>
                  <w:tcBorders>
                    <w:right w:val="single" w:color="000000" w:sz="4" w:space="0"/>
                  </w:tcBorders>
                  <w:noWrap w:val="0"/>
                  <w:vAlign w:val="center"/>
                </w:tcPr>
                <w:p w14:paraId="52FE1C38">
                  <w:pPr>
                    <w:contextualSpacing/>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461" w:type="pct"/>
                  <w:tcBorders>
                    <w:left w:val="single" w:color="000000" w:sz="4" w:space="0"/>
                  </w:tcBorders>
                  <w:noWrap w:val="0"/>
                  <w:vAlign w:val="center"/>
                </w:tcPr>
                <w:p w14:paraId="2A218840">
                  <w:pPr>
                    <w:contextualSpacing/>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1.0</w:t>
                  </w:r>
                </w:p>
              </w:tc>
              <w:tc>
                <w:tcPr>
                  <w:tcW w:w="461" w:type="pct"/>
                  <w:noWrap w:val="0"/>
                  <w:vAlign w:val="center"/>
                </w:tcPr>
                <w:p w14:paraId="027A12D8">
                  <w:pPr>
                    <w:contextualSpacing/>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0.2</w:t>
                  </w:r>
                </w:p>
              </w:tc>
              <w:tc>
                <w:tcPr>
                  <w:tcW w:w="462" w:type="pct"/>
                  <w:noWrap w:val="0"/>
                  <w:vAlign w:val="center"/>
                </w:tcPr>
                <w:p w14:paraId="4D076EAF">
                  <w:pPr>
                    <w:contextualSpacing/>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1.0</w:t>
                  </w:r>
                </w:p>
              </w:tc>
            </w:tr>
          </w:tbl>
          <w:p w14:paraId="1C994E4E">
            <w:pPr>
              <w:adjustRightInd w:val="0"/>
              <w:snapToGrid w:val="0"/>
              <w:spacing w:before="120" w:beforeLines="50" w:line="360" w:lineRule="auto"/>
              <w:ind w:firstLine="480" w:firstLineChars="200"/>
              <w:rPr>
                <w:rFonts w:hint="default" w:ascii="Times New Roman" w:hAnsi="Times New Roman" w:eastAsia="仿宋" w:cs="Times New Roman"/>
                <w:bCs/>
                <w:color w:val="auto"/>
                <w:sz w:val="28"/>
                <w:szCs w:val="28"/>
                <w:highlight w:val="none"/>
              </w:rPr>
            </w:pPr>
            <w:r>
              <w:rPr>
                <w:rFonts w:hint="default" w:ascii="Times New Roman" w:hAnsi="Times New Roman" w:eastAsia="仿宋" w:cs="Times New Roman"/>
                <w:color w:val="auto"/>
                <w:sz w:val="24"/>
                <w:highlight w:val="none"/>
              </w:rPr>
              <w:t>检测数据表明，尧塘河水质满足《地表水环境质量标准》（GB3838-2002）中Ⅲ类标准，水质良好。</w:t>
            </w:r>
          </w:p>
          <w:p w14:paraId="5D820405">
            <w:pPr>
              <w:adjustRightInd w:val="0"/>
              <w:snapToGrid w:val="0"/>
              <w:spacing w:before="120" w:beforeLines="50"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3、声环境质量现状</w:t>
            </w:r>
          </w:p>
          <w:p w14:paraId="6F4D3E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根据</w:t>
            </w:r>
            <w:r>
              <w:rPr>
                <w:rFonts w:hint="default" w:ascii="Times New Roman" w:hAnsi="Times New Roman" w:eastAsia="仿宋" w:cs="Times New Roman"/>
                <w:color w:val="auto"/>
                <w:sz w:val="24"/>
                <w:highlight w:val="none"/>
                <w:lang w:val="en-US" w:eastAsia="zh-CN"/>
              </w:rPr>
              <w:t>江苏</w:t>
            </w:r>
            <w:r>
              <w:rPr>
                <w:rFonts w:hint="eastAsia" w:ascii="Times New Roman" w:hAnsi="Times New Roman" w:eastAsia="仿宋" w:cs="Times New Roman"/>
                <w:color w:val="auto"/>
                <w:sz w:val="24"/>
                <w:highlight w:val="none"/>
                <w:lang w:val="en-US" w:eastAsia="zh-CN"/>
              </w:rPr>
              <w:t>云居检测技术</w:t>
            </w:r>
            <w:r>
              <w:rPr>
                <w:rFonts w:hint="default" w:ascii="Times New Roman" w:hAnsi="Times New Roman" w:eastAsia="仿宋" w:cs="Times New Roman"/>
                <w:color w:val="auto"/>
                <w:sz w:val="24"/>
                <w:highlight w:val="none"/>
                <w:lang w:val="en-US" w:eastAsia="zh-CN"/>
              </w:rPr>
              <w:t>有限公司</w:t>
            </w:r>
            <w:r>
              <w:rPr>
                <w:rFonts w:hint="default" w:ascii="Times New Roman" w:hAnsi="Times New Roman" w:eastAsia="仿宋" w:cs="Times New Roman"/>
                <w:color w:val="auto"/>
                <w:sz w:val="24"/>
                <w:highlight w:val="none"/>
              </w:rPr>
              <w:t>提供的检测报告（报告编号：</w:t>
            </w:r>
            <w:r>
              <w:rPr>
                <w:rFonts w:hint="eastAsia" w:ascii="Times New Roman" w:hAnsi="Times New Roman" w:eastAsia="仿宋" w:cs="Times New Roman"/>
                <w:color w:val="auto"/>
                <w:sz w:val="24"/>
                <w:highlight w:val="none"/>
                <w:lang w:val="en-US" w:eastAsia="zh-CN"/>
              </w:rPr>
              <w:t>YJH26022401</w:t>
            </w:r>
            <w:r>
              <w:rPr>
                <w:rFonts w:hint="default" w:ascii="Times New Roman" w:hAnsi="Times New Roman" w:eastAsia="仿宋" w:cs="Times New Roman"/>
                <w:color w:val="auto"/>
                <w:sz w:val="24"/>
                <w:highlight w:val="none"/>
              </w:rPr>
              <w:t>），20</w:t>
            </w:r>
            <w:r>
              <w:rPr>
                <w:rFonts w:hint="default" w:ascii="Times New Roman" w:hAnsi="Times New Roman" w:eastAsia="仿宋" w:cs="Times New Roman"/>
                <w:color w:val="auto"/>
                <w:sz w:val="24"/>
                <w:highlight w:val="none"/>
                <w:lang w:val="en-US" w:eastAsia="zh-CN"/>
              </w:rPr>
              <w:t>2</w:t>
            </w:r>
            <w:r>
              <w:rPr>
                <w:rFonts w:hint="eastAsia" w:ascii="Times New Roman" w:hAnsi="Times New Roman" w:eastAsia="仿宋" w:cs="Times New Roman"/>
                <w:color w:val="auto"/>
                <w:sz w:val="24"/>
                <w:highlight w:val="none"/>
                <w:lang w:val="en-US" w:eastAsia="zh-CN"/>
              </w:rPr>
              <w:t>6</w:t>
            </w:r>
            <w:r>
              <w:rPr>
                <w:rFonts w:hint="default" w:ascii="Times New Roman" w:hAnsi="Times New Roman" w:eastAsia="仿宋" w:cs="Times New Roman"/>
                <w:color w:val="auto"/>
                <w:sz w:val="24"/>
                <w:highlight w:val="none"/>
              </w:rPr>
              <w:t>年</w:t>
            </w:r>
            <w:r>
              <w:rPr>
                <w:rFonts w:hint="eastAsia" w:ascii="Times New Roman" w:hAnsi="Times New Roman"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rPr>
              <w:t>月</w:t>
            </w:r>
            <w:r>
              <w:rPr>
                <w:rFonts w:hint="default" w:ascii="Times New Roman" w:hAnsi="Times New Roman" w:eastAsia="仿宋" w:cs="Times New Roman"/>
                <w:color w:val="auto"/>
                <w:sz w:val="24"/>
                <w:highlight w:val="none"/>
                <w:lang w:val="en-US" w:eastAsia="zh-CN"/>
              </w:rPr>
              <w:t>2</w:t>
            </w:r>
            <w:r>
              <w:rPr>
                <w:rFonts w:hint="eastAsia" w:ascii="Times New Roman" w:hAnsi="Times New Roman" w:eastAsia="仿宋" w:cs="Times New Roman"/>
                <w:color w:val="auto"/>
                <w:sz w:val="24"/>
                <w:highlight w:val="none"/>
                <w:lang w:val="en-US" w:eastAsia="zh-CN"/>
              </w:rPr>
              <w:t>5</w:t>
            </w:r>
            <w:r>
              <w:rPr>
                <w:rFonts w:hint="default" w:ascii="Times New Roman" w:hAnsi="Times New Roman" w:eastAsia="仿宋" w:cs="Times New Roman"/>
                <w:color w:val="auto"/>
                <w:sz w:val="24"/>
                <w:highlight w:val="none"/>
              </w:rPr>
              <w:t>日</w:t>
            </w:r>
            <w:r>
              <w:rPr>
                <w:rFonts w:hint="eastAsia" w:ascii="Times New Roman" w:hAnsi="Times New Roman"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rPr>
              <w:t>月</w:t>
            </w:r>
            <w:r>
              <w:rPr>
                <w:rFonts w:hint="default" w:ascii="Times New Roman" w:hAnsi="Times New Roman" w:eastAsia="仿宋" w:cs="Times New Roman"/>
                <w:color w:val="auto"/>
                <w:sz w:val="24"/>
                <w:highlight w:val="none"/>
                <w:lang w:val="en-US" w:eastAsia="zh-CN"/>
              </w:rPr>
              <w:t>2</w:t>
            </w:r>
            <w:r>
              <w:rPr>
                <w:rFonts w:hint="eastAsia" w:ascii="Times New Roman" w:hAnsi="Times New Roman" w:eastAsia="仿宋" w:cs="Times New Roman"/>
                <w:color w:val="auto"/>
                <w:sz w:val="24"/>
                <w:highlight w:val="none"/>
                <w:lang w:val="en-US" w:eastAsia="zh-CN"/>
              </w:rPr>
              <w:t>6</w:t>
            </w:r>
            <w:r>
              <w:rPr>
                <w:rFonts w:hint="default" w:ascii="Times New Roman" w:hAnsi="Times New Roman" w:eastAsia="仿宋" w:cs="Times New Roman"/>
                <w:color w:val="auto"/>
                <w:sz w:val="24"/>
                <w:highlight w:val="none"/>
              </w:rPr>
              <w:t>日</w:t>
            </w:r>
            <w:r>
              <w:rPr>
                <w:rFonts w:hint="default" w:ascii="Times New Roman" w:hAnsi="Times New Roman" w:eastAsia="仿宋" w:cs="Times New Roman"/>
                <w:color w:val="auto"/>
                <w:sz w:val="24"/>
                <w:highlight w:val="none"/>
                <w:lang w:val="en-US" w:eastAsia="zh-CN"/>
              </w:rPr>
              <w:t>昼夜</w:t>
            </w:r>
            <w:r>
              <w:rPr>
                <w:rFonts w:hint="default" w:ascii="Times New Roman" w:hAnsi="Times New Roman" w:eastAsia="仿宋" w:cs="Times New Roman"/>
                <w:color w:val="auto"/>
                <w:sz w:val="24"/>
                <w:highlight w:val="none"/>
              </w:rPr>
              <w:t>对项目所在地环境噪声现状进行监测，具体见表3-</w:t>
            </w:r>
            <w:r>
              <w:rPr>
                <w:rFonts w:hint="eastAsia" w:ascii="Times New Roman" w:hAnsi="Times New Roman" w:eastAsia="仿宋" w:cs="Times New Roman"/>
                <w:color w:val="auto"/>
                <w:sz w:val="24"/>
                <w:highlight w:val="none"/>
                <w:lang w:val="en-US" w:eastAsia="zh-CN"/>
              </w:rPr>
              <w:t>4</w:t>
            </w:r>
            <w:r>
              <w:rPr>
                <w:rFonts w:hint="default" w:ascii="Times New Roman" w:hAnsi="Times New Roman" w:eastAsia="仿宋" w:cs="Times New Roman"/>
                <w:color w:val="auto"/>
                <w:sz w:val="24"/>
                <w:highlight w:val="none"/>
              </w:rPr>
              <w:t>。</w:t>
            </w:r>
          </w:p>
          <w:p w14:paraId="24814882">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default" w:ascii="Times New Roman" w:hAnsi="Times New Roman" w:eastAsia="仿宋" w:cs="Times New Roman"/>
                <w:b/>
                <w:bCs/>
                <w:color w:val="0000FF"/>
              </w:rPr>
            </w:pPr>
            <w:r>
              <w:rPr>
                <w:rFonts w:hint="default" w:ascii="Times New Roman" w:hAnsi="Times New Roman" w:eastAsia="仿宋" w:cs="Times New Roman"/>
                <w:b/>
                <w:bCs/>
                <w:color w:val="auto"/>
                <w:sz w:val="24"/>
                <w:highlight w:val="none"/>
              </w:rPr>
              <w:t>表3-</w:t>
            </w:r>
            <w:r>
              <w:rPr>
                <w:rFonts w:hint="eastAsia" w:ascii="Times New Roman" w:hAnsi="Times New Roman" w:eastAsia="仿宋" w:cs="Times New Roman"/>
                <w:b/>
                <w:bCs/>
                <w:color w:val="auto"/>
                <w:sz w:val="24"/>
                <w:highlight w:val="none"/>
                <w:lang w:val="en-US" w:eastAsia="zh-CN"/>
              </w:rPr>
              <w:t>4</w:t>
            </w:r>
            <w:r>
              <w:rPr>
                <w:rFonts w:hint="default" w:ascii="Times New Roman" w:hAnsi="Times New Roman" w:eastAsia="仿宋" w:cs="Times New Roman"/>
                <w:b/>
                <w:bCs/>
                <w:color w:val="auto"/>
                <w:sz w:val="24"/>
                <w:highlight w:val="none"/>
              </w:rPr>
              <w:t xml:space="preserve">  环境噪声现状监测结果   </w:t>
            </w:r>
            <w:r>
              <w:rPr>
                <w:rFonts w:hint="eastAsia" w:ascii="Times New Roman" w:hAnsi="Times New Roman" w:eastAsia="仿宋" w:cs="Times New Roman"/>
                <w:b/>
                <w:bCs/>
                <w:color w:val="auto"/>
                <w:sz w:val="24"/>
                <w:highlight w:val="none"/>
                <w:lang w:val="en-US" w:eastAsia="zh-CN"/>
              </w:rPr>
              <w:t xml:space="preserve">     </w:t>
            </w:r>
            <w:r>
              <w:rPr>
                <w:rFonts w:hint="default" w:ascii="Times New Roman" w:hAnsi="Times New Roman" w:eastAsia="仿宋" w:cs="Times New Roman"/>
                <w:b/>
                <w:bCs/>
                <w:color w:val="auto"/>
                <w:sz w:val="24"/>
                <w:highlight w:val="none"/>
              </w:rPr>
              <w:t xml:space="preserve">       单位：dB（A）</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719"/>
              <w:gridCol w:w="1554"/>
              <w:gridCol w:w="1554"/>
              <w:gridCol w:w="1554"/>
              <w:gridCol w:w="1557"/>
            </w:tblGrid>
            <w:tr w14:paraId="129C8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1193" w:type="pct"/>
                  <w:gridSpan w:val="2"/>
                  <w:tcBorders>
                    <w:top w:val="single" w:color="auto" w:sz="12" w:space="0"/>
                    <w:bottom w:val="single" w:color="auto" w:sz="4" w:space="0"/>
                    <w:tl2br w:val="single" w:color="auto" w:sz="4" w:space="0"/>
                  </w:tcBorders>
                  <w:noWrap w:val="0"/>
                  <w:vAlign w:val="center"/>
                </w:tcPr>
                <w:p w14:paraId="7DFEA709">
                  <w:pPr>
                    <w:jc w:val="right"/>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检测点位</w:t>
                  </w:r>
                </w:p>
                <w:p w14:paraId="0CB51533">
                  <w:pPr>
                    <w:jc w:val="left"/>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检测时间</w:t>
                  </w:r>
                </w:p>
              </w:tc>
              <w:tc>
                <w:tcPr>
                  <w:tcW w:w="951" w:type="pct"/>
                  <w:noWrap w:val="0"/>
                  <w:vAlign w:val="center"/>
                </w:tcPr>
                <w:p w14:paraId="1E8E9F4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N1（东厂界）</w:t>
                  </w:r>
                </w:p>
              </w:tc>
              <w:tc>
                <w:tcPr>
                  <w:tcW w:w="951" w:type="pct"/>
                  <w:noWrap w:val="0"/>
                  <w:vAlign w:val="center"/>
                </w:tcPr>
                <w:p w14:paraId="1EE31706">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N2</w:t>
                  </w:r>
                  <w:r>
                    <w:rPr>
                      <w:rFonts w:hint="default" w:ascii="Times New Roman" w:hAnsi="Times New Roman" w:eastAsia="仿宋" w:cs="Times New Roman"/>
                      <w:b/>
                      <w:color w:val="auto"/>
                      <w:szCs w:val="21"/>
                      <w:lang w:eastAsia="zh-CN"/>
                    </w:rPr>
                    <w:t>（</w:t>
                  </w:r>
                  <w:r>
                    <w:rPr>
                      <w:rFonts w:hint="default" w:ascii="Times New Roman" w:hAnsi="Times New Roman" w:eastAsia="仿宋" w:cs="Times New Roman"/>
                      <w:b/>
                      <w:color w:val="auto"/>
                      <w:szCs w:val="21"/>
                    </w:rPr>
                    <w:t>南厂界</w:t>
                  </w:r>
                  <w:r>
                    <w:rPr>
                      <w:rFonts w:hint="default" w:ascii="Times New Roman" w:hAnsi="Times New Roman" w:eastAsia="仿宋" w:cs="Times New Roman"/>
                      <w:b/>
                      <w:color w:val="auto"/>
                      <w:szCs w:val="21"/>
                      <w:lang w:eastAsia="zh-CN"/>
                    </w:rPr>
                    <w:t>）</w:t>
                  </w:r>
                </w:p>
              </w:tc>
              <w:tc>
                <w:tcPr>
                  <w:tcW w:w="951" w:type="pct"/>
                  <w:noWrap w:val="0"/>
                  <w:vAlign w:val="center"/>
                </w:tcPr>
                <w:p w14:paraId="577530DF">
                  <w:pPr>
                    <w:jc w:val="center"/>
                    <w:rPr>
                      <w:rFonts w:hint="default" w:ascii="Times New Roman" w:hAnsi="Times New Roman" w:eastAsia="仿宋" w:cs="Times New Roman"/>
                      <w:b/>
                      <w:color w:val="auto"/>
                      <w:kern w:val="2"/>
                      <w:sz w:val="21"/>
                      <w:szCs w:val="21"/>
                      <w:lang w:val="en-US" w:eastAsia="zh-CN" w:bidi="ar-SA"/>
                    </w:rPr>
                  </w:pPr>
                  <w:r>
                    <w:rPr>
                      <w:rFonts w:hint="default" w:ascii="Times New Roman" w:hAnsi="Times New Roman" w:eastAsia="仿宋" w:cs="Times New Roman"/>
                      <w:b/>
                      <w:color w:val="auto"/>
                      <w:szCs w:val="21"/>
                    </w:rPr>
                    <w:t>N3</w:t>
                  </w:r>
                  <w:r>
                    <w:rPr>
                      <w:rFonts w:hint="default" w:ascii="Times New Roman" w:hAnsi="Times New Roman" w:eastAsia="仿宋" w:cs="Times New Roman"/>
                      <w:b/>
                      <w:color w:val="auto"/>
                      <w:szCs w:val="21"/>
                      <w:lang w:eastAsia="zh-CN"/>
                    </w:rPr>
                    <w:t>（</w:t>
                  </w:r>
                  <w:r>
                    <w:rPr>
                      <w:rFonts w:hint="default" w:ascii="Times New Roman" w:hAnsi="Times New Roman" w:eastAsia="仿宋" w:cs="Times New Roman"/>
                      <w:b/>
                      <w:color w:val="auto"/>
                      <w:szCs w:val="21"/>
                    </w:rPr>
                    <w:t>西厂界</w:t>
                  </w:r>
                  <w:r>
                    <w:rPr>
                      <w:rFonts w:hint="default" w:ascii="Times New Roman" w:hAnsi="Times New Roman" w:eastAsia="仿宋" w:cs="Times New Roman"/>
                      <w:b/>
                      <w:color w:val="auto"/>
                      <w:szCs w:val="21"/>
                      <w:lang w:eastAsia="zh-CN"/>
                    </w:rPr>
                    <w:t>）</w:t>
                  </w:r>
                </w:p>
              </w:tc>
              <w:tc>
                <w:tcPr>
                  <w:tcW w:w="952" w:type="pct"/>
                  <w:noWrap w:val="0"/>
                  <w:vAlign w:val="center"/>
                </w:tcPr>
                <w:p w14:paraId="4929ED0D">
                  <w:pPr>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N4（北厂界</w:t>
                  </w:r>
                  <w:r>
                    <w:rPr>
                      <w:rFonts w:hint="default" w:ascii="Times New Roman" w:hAnsi="Times New Roman" w:eastAsia="仿宋" w:cs="Times New Roman"/>
                      <w:b/>
                      <w:color w:val="auto"/>
                      <w:szCs w:val="21"/>
                      <w:lang w:eastAsia="zh-CN"/>
                    </w:rPr>
                    <w:t>）</w:t>
                  </w:r>
                </w:p>
              </w:tc>
            </w:tr>
            <w:tr w14:paraId="23324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753" w:type="pct"/>
                  <w:vMerge w:val="restart"/>
                  <w:tcBorders>
                    <w:top w:val="single" w:color="auto" w:sz="4" w:space="0"/>
                    <w:right w:val="single" w:color="000000" w:sz="4" w:space="0"/>
                  </w:tcBorders>
                  <w:noWrap w:val="0"/>
                  <w:vAlign w:val="center"/>
                </w:tcPr>
                <w:p w14:paraId="728C89C2">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202</w:t>
                  </w:r>
                  <w:r>
                    <w:rPr>
                      <w:rFonts w:hint="eastAsia" w:eastAsia="仿宋" w:cs="Times New Roman"/>
                      <w:color w:val="auto"/>
                      <w:szCs w:val="21"/>
                      <w:lang w:val="en-US" w:eastAsia="zh-CN"/>
                    </w:rPr>
                    <w:t>6.2.25</w:t>
                  </w:r>
                </w:p>
              </w:tc>
              <w:tc>
                <w:tcPr>
                  <w:tcW w:w="440" w:type="pct"/>
                  <w:tcBorders>
                    <w:top w:val="single" w:color="auto" w:sz="4" w:space="0"/>
                    <w:left w:val="single" w:color="000000" w:sz="4" w:space="0"/>
                  </w:tcBorders>
                  <w:noWrap w:val="0"/>
                  <w:vAlign w:val="center"/>
                </w:tcPr>
                <w:p w14:paraId="0898FB6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昼间</w:t>
                  </w:r>
                </w:p>
              </w:tc>
              <w:tc>
                <w:tcPr>
                  <w:tcW w:w="1554" w:type="dxa"/>
                  <w:noWrap w:val="0"/>
                  <w:vAlign w:val="center"/>
                </w:tcPr>
                <w:p w14:paraId="3789477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56</w:t>
                  </w:r>
                </w:p>
              </w:tc>
              <w:tc>
                <w:tcPr>
                  <w:tcW w:w="1554" w:type="dxa"/>
                  <w:noWrap w:val="0"/>
                  <w:vAlign w:val="center"/>
                </w:tcPr>
                <w:p w14:paraId="2D25FD27">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59</w:t>
                  </w:r>
                </w:p>
              </w:tc>
              <w:tc>
                <w:tcPr>
                  <w:tcW w:w="1554" w:type="dxa"/>
                  <w:noWrap w:val="0"/>
                  <w:vAlign w:val="center"/>
                </w:tcPr>
                <w:p w14:paraId="766D71FF">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58</w:t>
                  </w:r>
                </w:p>
              </w:tc>
              <w:tc>
                <w:tcPr>
                  <w:tcW w:w="1557" w:type="dxa"/>
                  <w:noWrap w:val="0"/>
                  <w:vAlign w:val="center"/>
                </w:tcPr>
                <w:p w14:paraId="1D04E0B5">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58</w:t>
                  </w:r>
                </w:p>
              </w:tc>
            </w:tr>
            <w:tr w14:paraId="356C3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753" w:type="pct"/>
                  <w:vMerge w:val="continue"/>
                  <w:tcBorders>
                    <w:right w:val="single" w:color="000000" w:sz="4" w:space="0"/>
                  </w:tcBorders>
                  <w:noWrap w:val="0"/>
                  <w:vAlign w:val="center"/>
                </w:tcPr>
                <w:p w14:paraId="55D2F6F3">
                  <w:pPr>
                    <w:jc w:val="center"/>
                    <w:rPr>
                      <w:rFonts w:hint="default" w:ascii="Times New Roman" w:hAnsi="Times New Roman" w:eastAsia="仿宋" w:cs="Times New Roman"/>
                      <w:color w:val="auto"/>
                      <w:szCs w:val="21"/>
                    </w:rPr>
                  </w:pPr>
                </w:p>
              </w:tc>
              <w:tc>
                <w:tcPr>
                  <w:tcW w:w="440" w:type="pct"/>
                  <w:tcBorders>
                    <w:top w:val="single" w:color="auto" w:sz="4" w:space="0"/>
                    <w:left w:val="single" w:color="000000" w:sz="4" w:space="0"/>
                  </w:tcBorders>
                  <w:noWrap w:val="0"/>
                  <w:vAlign w:val="center"/>
                </w:tcPr>
                <w:p w14:paraId="6787D7BB">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夜间</w:t>
                  </w:r>
                </w:p>
              </w:tc>
              <w:tc>
                <w:tcPr>
                  <w:tcW w:w="1554" w:type="dxa"/>
                  <w:noWrap w:val="0"/>
                  <w:vAlign w:val="center"/>
                </w:tcPr>
                <w:p w14:paraId="124E27EE">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47</w:t>
                  </w:r>
                </w:p>
              </w:tc>
              <w:tc>
                <w:tcPr>
                  <w:tcW w:w="1554" w:type="dxa"/>
                  <w:noWrap w:val="0"/>
                  <w:vAlign w:val="center"/>
                </w:tcPr>
                <w:p w14:paraId="19FA2BE8">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47</w:t>
                  </w:r>
                </w:p>
              </w:tc>
              <w:tc>
                <w:tcPr>
                  <w:tcW w:w="1554" w:type="dxa"/>
                  <w:noWrap w:val="0"/>
                  <w:vAlign w:val="center"/>
                </w:tcPr>
                <w:p w14:paraId="26B927B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49</w:t>
                  </w:r>
                </w:p>
              </w:tc>
              <w:tc>
                <w:tcPr>
                  <w:tcW w:w="1557" w:type="dxa"/>
                  <w:noWrap w:val="0"/>
                  <w:vAlign w:val="center"/>
                </w:tcPr>
                <w:p w14:paraId="43AC4AC6">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48</w:t>
                  </w:r>
                </w:p>
              </w:tc>
            </w:tr>
            <w:tr w14:paraId="0A21D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753" w:type="pct"/>
                  <w:vMerge w:val="restart"/>
                  <w:tcBorders>
                    <w:right w:val="single" w:color="000000" w:sz="4" w:space="0"/>
                  </w:tcBorders>
                  <w:noWrap w:val="0"/>
                  <w:vAlign w:val="center"/>
                </w:tcPr>
                <w:p w14:paraId="4D47B261">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2026.2.26</w:t>
                  </w:r>
                </w:p>
              </w:tc>
              <w:tc>
                <w:tcPr>
                  <w:tcW w:w="440" w:type="pct"/>
                  <w:tcBorders>
                    <w:top w:val="single" w:color="auto" w:sz="4" w:space="0"/>
                    <w:left w:val="single" w:color="000000" w:sz="4" w:space="0"/>
                  </w:tcBorders>
                  <w:shd w:val="clear" w:color="auto" w:fill="auto"/>
                  <w:noWrap w:val="0"/>
                  <w:vAlign w:val="center"/>
                </w:tcPr>
                <w:p w14:paraId="7206ADE2">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rPr>
                    <w:t>昼间</w:t>
                  </w:r>
                </w:p>
              </w:tc>
              <w:tc>
                <w:tcPr>
                  <w:tcW w:w="951" w:type="pct"/>
                  <w:noWrap w:val="0"/>
                  <w:vAlign w:val="center"/>
                </w:tcPr>
                <w:p w14:paraId="06D01EFC">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49</w:t>
                  </w:r>
                </w:p>
              </w:tc>
              <w:tc>
                <w:tcPr>
                  <w:tcW w:w="951" w:type="pct"/>
                  <w:noWrap w:val="0"/>
                  <w:vAlign w:val="center"/>
                </w:tcPr>
                <w:p w14:paraId="7AE4B28D">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45</w:t>
                  </w:r>
                </w:p>
              </w:tc>
              <w:tc>
                <w:tcPr>
                  <w:tcW w:w="951" w:type="pct"/>
                  <w:noWrap w:val="0"/>
                  <w:vAlign w:val="center"/>
                </w:tcPr>
                <w:p w14:paraId="5913E9F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44</w:t>
                  </w:r>
                </w:p>
              </w:tc>
              <w:tc>
                <w:tcPr>
                  <w:tcW w:w="952" w:type="pct"/>
                  <w:noWrap w:val="0"/>
                  <w:vAlign w:val="center"/>
                </w:tcPr>
                <w:p w14:paraId="383CE7F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45</w:t>
                  </w:r>
                </w:p>
              </w:tc>
            </w:tr>
            <w:tr w14:paraId="538A7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753" w:type="pct"/>
                  <w:vMerge w:val="continue"/>
                  <w:tcBorders>
                    <w:right w:val="single" w:color="000000" w:sz="4" w:space="0"/>
                  </w:tcBorders>
                  <w:noWrap w:val="0"/>
                  <w:vAlign w:val="center"/>
                </w:tcPr>
                <w:p w14:paraId="7D64F347">
                  <w:pPr>
                    <w:jc w:val="center"/>
                    <w:rPr>
                      <w:rFonts w:hint="default" w:ascii="Times New Roman" w:hAnsi="Times New Roman" w:eastAsia="仿宋" w:cs="Times New Roman"/>
                      <w:color w:val="auto"/>
                      <w:szCs w:val="21"/>
                    </w:rPr>
                  </w:pPr>
                </w:p>
              </w:tc>
              <w:tc>
                <w:tcPr>
                  <w:tcW w:w="440" w:type="pct"/>
                  <w:tcBorders>
                    <w:top w:val="single" w:color="auto" w:sz="4" w:space="0"/>
                    <w:left w:val="single" w:color="000000" w:sz="4" w:space="0"/>
                  </w:tcBorders>
                  <w:shd w:val="clear" w:color="auto" w:fill="auto"/>
                  <w:noWrap w:val="0"/>
                  <w:vAlign w:val="center"/>
                </w:tcPr>
                <w:p w14:paraId="68E1A9AA">
                  <w:pPr>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Cs w:val="21"/>
                      <w:lang w:val="en-US" w:eastAsia="zh-CN"/>
                    </w:rPr>
                    <w:t>夜间</w:t>
                  </w:r>
                </w:p>
              </w:tc>
              <w:tc>
                <w:tcPr>
                  <w:tcW w:w="951" w:type="pct"/>
                  <w:noWrap w:val="0"/>
                  <w:vAlign w:val="center"/>
                </w:tcPr>
                <w:p w14:paraId="6C8C21F5">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45</w:t>
                  </w:r>
                </w:p>
              </w:tc>
              <w:tc>
                <w:tcPr>
                  <w:tcW w:w="951" w:type="pct"/>
                  <w:noWrap w:val="0"/>
                  <w:vAlign w:val="center"/>
                </w:tcPr>
                <w:p w14:paraId="2562D5C6">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42</w:t>
                  </w:r>
                </w:p>
              </w:tc>
              <w:tc>
                <w:tcPr>
                  <w:tcW w:w="951" w:type="pct"/>
                  <w:noWrap w:val="0"/>
                  <w:vAlign w:val="center"/>
                </w:tcPr>
                <w:p w14:paraId="4CFB7E96">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45</w:t>
                  </w:r>
                </w:p>
              </w:tc>
              <w:tc>
                <w:tcPr>
                  <w:tcW w:w="952" w:type="pct"/>
                  <w:noWrap w:val="0"/>
                  <w:vAlign w:val="center"/>
                </w:tcPr>
                <w:p w14:paraId="220D37A2">
                  <w:pPr>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44</w:t>
                  </w:r>
                </w:p>
              </w:tc>
            </w:tr>
            <w:tr w14:paraId="4C08B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1193" w:type="pct"/>
                  <w:gridSpan w:val="2"/>
                  <w:noWrap w:val="0"/>
                  <w:vAlign w:val="center"/>
                </w:tcPr>
                <w:p w14:paraId="151D007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标准限值</w:t>
                  </w:r>
                </w:p>
              </w:tc>
              <w:tc>
                <w:tcPr>
                  <w:tcW w:w="3806" w:type="pct"/>
                  <w:gridSpan w:val="4"/>
                  <w:noWrap w:val="0"/>
                  <w:vAlign w:val="center"/>
                </w:tcPr>
                <w:p w14:paraId="3D50C03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昼间≤</w:t>
                  </w:r>
                  <w:r>
                    <w:rPr>
                      <w:rFonts w:hint="default" w:ascii="Times New Roman" w:hAnsi="Times New Roman" w:eastAsia="仿宋" w:cs="Times New Roman"/>
                      <w:color w:val="auto"/>
                      <w:szCs w:val="21"/>
                      <w:lang w:val="en-US" w:eastAsia="zh-CN"/>
                    </w:rPr>
                    <w:t>65</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lang w:val="en-US" w:eastAsia="zh-CN"/>
                    </w:rPr>
                    <w:t>夜间≤55</w:t>
                  </w:r>
                </w:p>
              </w:tc>
            </w:tr>
          </w:tbl>
          <w:p w14:paraId="539F09C1">
            <w:pPr>
              <w:spacing w:line="360" w:lineRule="auto"/>
              <w:ind w:firstLine="482"/>
              <w:rPr>
                <w:rFonts w:hint="default" w:ascii="Times New Roman" w:hAnsi="Times New Roman" w:eastAsia="仿宋" w:cs="Times New Roman"/>
                <w:b/>
                <w:color w:val="auto"/>
                <w:sz w:val="24"/>
                <w:highlight w:val="none"/>
                <w:lang w:val="en-US" w:eastAsia="zh-CN"/>
              </w:rPr>
            </w:pPr>
            <w:r>
              <w:rPr>
                <w:rFonts w:hint="default" w:ascii="Times New Roman" w:hAnsi="Times New Roman" w:eastAsia="仿宋" w:cs="Times New Roman"/>
                <w:bCs/>
                <w:color w:val="auto"/>
                <w:sz w:val="24"/>
              </w:rPr>
              <w:t>由上表可见，</w:t>
            </w:r>
            <w:r>
              <w:rPr>
                <w:rFonts w:hint="default" w:ascii="Times New Roman" w:hAnsi="Times New Roman" w:eastAsia="仿宋" w:cs="Times New Roman"/>
                <w:bCs/>
                <w:color w:val="auto"/>
                <w:sz w:val="24"/>
                <w:lang w:val="en-US" w:eastAsia="zh-CN"/>
              </w:rPr>
              <w:t>各厂界</w:t>
            </w:r>
            <w:r>
              <w:rPr>
                <w:rFonts w:hint="default" w:ascii="Times New Roman" w:hAnsi="Times New Roman" w:eastAsia="仿宋" w:cs="Times New Roman"/>
                <w:bCs/>
                <w:color w:val="auto"/>
                <w:sz w:val="24"/>
              </w:rPr>
              <w:t>昼间</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夜间</w:t>
            </w:r>
            <w:r>
              <w:rPr>
                <w:rFonts w:hint="default" w:ascii="Times New Roman" w:hAnsi="Times New Roman" w:eastAsia="仿宋" w:cs="Times New Roman"/>
                <w:bCs/>
                <w:color w:val="auto"/>
                <w:sz w:val="24"/>
              </w:rPr>
              <w:t>噪声值</w:t>
            </w:r>
            <w:r>
              <w:rPr>
                <w:rFonts w:hint="default" w:ascii="Times New Roman" w:hAnsi="Times New Roman" w:eastAsia="仿宋" w:cs="Times New Roman"/>
                <w:bCs/>
                <w:color w:val="auto"/>
                <w:sz w:val="24"/>
                <w:lang w:val="en-US" w:eastAsia="zh-CN"/>
              </w:rPr>
              <w:t>均</w:t>
            </w:r>
            <w:r>
              <w:rPr>
                <w:rFonts w:hint="default" w:ascii="Times New Roman" w:hAnsi="Times New Roman" w:eastAsia="仿宋" w:cs="Times New Roman"/>
                <w:bCs/>
                <w:color w:val="auto"/>
                <w:sz w:val="24"/>
              </w:rPr>
              <w:t>符合《声环境质量标准》（GB3096-2008）中</w:t>
            </w:r>
            <w:r>
              <w:rPr>
                <w:rFonts w:hint="default" w:ascii="Times New Roman" w:hAnsi="Times New Roman" w:eastAsia="仿宋" w:cs="Times New Roman"/>
                <w:bCs/>
                <w:color w:val="auto"/>
                <w:sz w:val="24"/>
                <w:lang w:val="en-US" w:eastAsia="zh-CN"/>
              </w:rPr>
              <w:t>3</w:t>
            </w:r>
            <w:r>
              <w:rPr>
                <w:rFonts w:hint="default" w:ascii="Times New Roman" w:hAnsi="Times New Roman" w:eastAsia="仿宋" w:cs="Times New Roman"/>
                <w:bCs/>
                <w:color w:val="auto"/>
                <w:sz w:val="24"/>
              </w:rPr>
              <w:t>类声环境区环境噪声限值要求</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环境噪声现状良好。</w:t>
            </w:r>
          </w:p>
          <w:p w14:paraId="75F56328">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4、生态</w:t>
            </w:r>
          </w:p>
          <w:p w14:paraId="0D66D0F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w:t>
            </w:r>
            <w:r>
              <w:rPr>
                <w:rFonts w:hint="eastAsia" w:eastAsia="仿宋" w:cs="Times New Roman"/>
                <w:bCs/>
                <w:color w:val="auto"/>
                <w:sz w:val="24"/>
                <w:highlight w:val="none"/>
                <w:lang w:val="en-US" w:eastAsia="zh-CN"/>
              </w:rPr>
              <w:t>购置</w:t>
            </w:r>
            <w:r>
              <w:rPr>
                <w:rFonts w:hint="eastAsia" w:ascii="Times New Roman" w:hAnsi="Times New Roman" w:eastAsia="仿宋" w:cs="Times New Roman"/>
                <w:bCs/>
                <w:color w:val="auto"/>
                <w:sz w:val="24"/>
                <w:highlight w:val="none"/>
                <w:lang w:val="en-US" w:eastAsia="zh-CN"/>
              </w:rPr>
              <w:t>现有厂房</w:t>
            </w:r>
            <w:r>
              <w:rPr>
                <w:rFonts w:hint="default" w:ascii="Times New Roman" w:hAnsi="Times New Roman" w:eastAsia="仿宋" w:cs="Times New Roman"/>
                <w:bCs/>
                <w:color w:val="auto"/>
                <w:sz w:val="24"/>
                <w:highlight w:val="none"/>
              </w:rPr>
              <w:t>进行生产，</w:t>
            </w:r>
            <w:r>
              <w:rPr>
                <w:rFonts w:hint="default" w:ascii="Times New Roman" w:hAnsi="Times New Roman" w:eastAsia="仿宋" w:cs="Times New Roman"/>
                <w:bCs/>
                <w:color w:val="auto"/>
                <w:sz w:val="24"/>
              </w:rPr>
              <w:t>不新增用地，不涉及生态环境保护目标，故无需进行生态现状调查。</w:t>
            </w:r>
          </w:p>
          <w:p w14:paraId="2158854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5、电磁辐射</w:t>
            </w:r>
          </w:p>
          <w:p w14:paraId="437F309E">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本项目不涉及电磁辐射。</w:t>
            </w:r>
          </w:p>
          <w:p w14:paraId="56EE51F6">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6、</w:t>
            </w:r>
            <w:r>
              <w:rPr>
                <w:rFonts w:hint="default" w:ascii="Times New Roman" w:hAnsi="Times New Roman" w:eastAsia="仿宋" w:cs="Times New Roman"/>
                <w:bCs/>
                <w:color w:val="auto"/>
                <w:sz w:val="24"/>
                <w:highlight w:val="none"/>
              </w:rPr>
              <w:t>土壤及地下水环境质量现状</w:t>
            </w:r>
          </w:p>
          <w:p w14:paraId="23678E50">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lang w:val="en-US" w:eastAsia="zh-CN"/>
              </w:rPr>
              <w:t>本项目购置的现有厂房已做好地面</w:t>
            </w:r>
            <w:r>
              <w:rPr>
                <w:rFonts w:hint="eastAsia" w:ascii="Times New Roman" w:hAnsi="Times New Roman" w:eastAsia="仿宋" w:cs="Times New Roman"/>
                <w:color w:val="auto"/>
                <w:sz w:val="24"/>
                <w:highlight w:val="none"/>
              </w:rPr>
              <w:t>防渗措施，可有效阻断土壤、地下水污染途径，同时</w:t>
            </w:r>
            <w:r>
              <w:rPr>
                <w:rFonts w:hint="default" w:ascii="Times New Roman" w:hAnsi="Times New Roman" w:eastAsia="仿宋" w:cs="Times New Roman"/>
                <w:color w:val="auto"/>
                <w:sz w:val="24"/>
                <w:highlight w:val="none"/>
              </w:rPr>
              <w:t>根据</w:t>
            </w:r>
            <w:r>
              <w:rPr>
                <w:rFonts w:hint="default" w:ascii="Times New Roman" w:hAnsi="Times New Roman" w:eastAsia="仿宋" w:cs="Times New Roman"/>
                <w:color w:val="auto"/>
                <w:sz w:val="24"/>
                <w:szCs w:val="20"/>
                <w:highlight w:val="none"/>
              </w:rPr>
              <w:t>《建设项目环境影响报告表编制技术指南（污染影响类）（试行）》，项目原则上不开展环境质量现状调查，故本项目无需开展土壤、地下水现状调查和评价</w:t>
            </w:r>
            <w:r>
              <w:rPr>
                <w:rFonts w:hint="default" w:ascii="Times New Roman" w:hAnsi="Times New Roman" w:eastAsia="仿宋" w:cs="Times New Roman"/>
                <w:color w:val="auto"/>
                <w:sz w:val="24"/>
                <w:highlight w:val="none"/>
              </w:rPr>
              <w:t>。</w:t>
            </w:r>
          </w:p>
          <w:p w14:paraId="6A4356A6">
            <w:pPr>
              <w:adjustRightInd w:val="0"/>
              <w:snapToGrid w:val="0"/>
              <w:spacing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二、环境质量标准</w:t>
            </w:r>
          </w:p>
          <w:p w14:paraId="534E8EED">
            <w:pPr>
              <w:tabs>
                <w:tab w:val="left" w:pos="5142"/>
              </w:tabs>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1、大气环境质量标准</w:t>
            </w:r>
          </w:p>
          <w:p w14:paraId="3CE2C4E8">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根据《常州市环境空气质量功能区划分规定（2017）》（常政发</w:t>
            </w:r>
            <w:r>
              <w:rPr>
                <w:rFonts w:hint="eastAsia" w:eastAsia="仿宋" w:cs="Times New Roman"/>
                <w:color w:val="auto"/>
                <w:sz w:val="24"/>
                <w:highlight w:val="none"/>
                <w:lang w:eastAsia="zh-CN"/>
              </w:rPr>
              <w:t>〔2017〕160号</w:t>
            </w:r>
            <w:r>
              <w:rPr>
                <w:rFonts w:hint="default" w:ascii="Times New Roman" w:hAnsi="Times New Roman" w:eastAsia="仿宋" w:cs="Times New Roman"/>
                <w:color w:val="auto"/>
                <w:sz w:val="24"/>
                <w:highlight w:val="none"/>
              </w:rPr>
              <w:t>），项目所在地环境空气质量功能区为二类区。基本污染物及其他污染物执行标准具体见下表。</w:t>
            </w:r>
          </w:p>
          <w:p w14:paraId="1E50E41B">
            <w:pPr>
              <w:snapToGrid w:val="0"/>
              <w:jc w:val="center"/>
              <w:rPr>
                <w:rFonts w:hint="default" w:ascii="Times New Roman" w:hAnsi="Times New Roman" w:eastAsia="仿宋" w:cs="Times New Roman"/>
                <w:b/>
                <w:bCs/>
                <w:color w:val="auto"/>
                <w:kern w:val="0"/>
                <w:sz w:val="24"/>
                <w:highlight w:val="none"/>
              </w:rPr>
            </w:pPr>
            <w:r>
              <w:rPr>
                <w:rFonts w:hint="default" w:ascii="Times New Roman" w:hAnsi="Times New Roman" w:eastAsia="仿宋" w:cs="Times New Roman"/>
                <w:b/>
                <w:bCs/>
                <w:color w:val="auto"/>
                <w:kern w:val="0"/>
                <w:sz w:val="24"/>
                <w:highlight w:val="none"/>
              </w:rPr>
              <w:t>表3-</w:t>
            </w:r>
            <w:r>
              <w:rPr>
                <w:rFonts w:hint="eastAsia" w:eastAsia="仿宋" w:cs="Times New Roman"/>
                <w:b/>
                <w:bCs/>
                <w:color w:val="auto"/>
                <w:kern w:val="0"/>
                <w:sz w:val="24"/>
                <w:highlight w:val="none"/>
                <w:lang w:val="en-US" w:eastAsia="zh-CN"/>
              </w:rPr>
              <w:t>5</w:t>
            </w:r>
            <w:r>
              <w:rPr>
                <w:rFonts w:hint="default" w:ascii="Times New Roman" w:hAnsi="Times New Roman" w:eastAsia="仿宋" w:cs="Times New Roman"/>
                <w:b/>
                <w:bCs/>
                <w:color w:val="auto"/>
                <w:kern w:val="0"/>
                <w:sz w:val="24"/>
                <w:highlight w:val="none"/>
              </w:rPr>
              <w:t xml:space="preserve">  </w:t>
            </w:r>
            <w:r>
              <w:rPr>
                <w:rFonts w:hint="default" w:ascii="Times New Roman" w:hAnsi="Times New Roman" w:eastAsia="仿宋" w:cs="Times New Roman"/>
                <w:b/>
                <w:bCs/>
                <w:color w:val="auto"/>
                <w:sz w:val="24"/>
                <w:highlight w:val="none"/>
              </w:rPr>
              <w:t>环境空气质量标准</w:t>
            </w:r>
            <w:r>
              <w:rPr>
                <w:rFonts w:hint="default" w:ascii="Times New Roman" w:hAnsi="Times New Roman" w:eastAsia="仿宋" w:cs="Times New Roman"/>
                <w:b/>
                <w:bCs/>
                <w:color w:val="auto"/>
                <w:kern w:val="0"/>
                <w:sz w:val="24"/>
                <w:highlight w:val="none"/>
              </w:rPr>
              <w:t>浓度限值</w:t>
            </w:r>
          </w:p>
          <w:tbl>
            <w:tblPr>
              <w:tblStyle w:val="29"/>
              <w:tblW w:w="4998" w:type="pct"/>
              <w:jc w:val="center"/>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1846"/>
              <w:gridCol w:w="1121"/>
              <w:gridCol w:w="992"/>
              <w:gridCol w:w="776"/>
              <w:gridCol w:w="2145"/>
            </w:tblGrid>
            <w:tr w14:paraId="59093F37">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noWrap w:val="0"/>
                  <w:vAlign w:val="center"/>
                </w:tcPr>
                <w:p w14:paraId="09A0184B">
                  <w:pPr>
                    <w:spacing w:before="24" w:after="24"/>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污染物名称</w:t>
                  </w:r>
                </w:p>
              </w:tc>
              <w:tc>
                <w:tcPr>
                  <w:tcW w:w="1130" w:type="pct"/>
                  <w:tcBorders>
                    <w:bottom w:val="single" w:color="auto" w:sz="4" w:space="0"/>
                  </w:tcBorders>
                  <w:noWrap w:val="0"/>
                  <w:vAlign w:val="center"/>
                </w:tcPr>
                <w:p w14:paraId="729DFECA">
                  <w:pPr>
                    <w:spacing w:before="24" w:after="24"/>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取值时间</w:t>
                  </w:r>
                </w:p>
              </w:tc>
              <w:tc>
                <w:tcPr>
                  <w:tcW w:w="686" w:type="pct"/>
                  <w:tcBorders>
                    <w:bottom w:val="single" w:color="auto" w:sz="4" w:space="0"/>
                  </w:tcBorders>
                  <w:noWrap w:val="0"/>
                  <w:vAlign w:val="center"/>
                </w:tcPr>
                <w:p w14:paraId="17D16FD1">
                  <w:pPr>
                    <w:spacing w:before="24" w:after="24"/>
                    <w:jc w:val="center"/>
                    <w:rPr>
                      <w:rFonts w:hint="default" w:ascii="Times New Roman" w:hAnsi="Times New Roman" w:eastAsia="仿宋" w:cs="Times New Roman"/>
                      <w:b/>
                      <w:bCs/>
                      <w:color w:val="auto"/>
                      <w:szCs w:val="21"/>
                      <w:highlight w:val="none"/>
                    </w:rPr>
                  </w:pPr>
                  <w:r>
                    <w:rPr>
                      <w:rFonts w:hint="eastAsia" w:ascii="Times New Roman" w:hAnsi="Times New Roman" w:eastAsia="仿宋" w:cs="Times New Roman"/>
                      <w:b/>
                      <w:bCs/>
                      <w:color w:val="auto"/>
                      <w:szCs w:val="21"/>
                      <w:highlight w:val="none"/>
                      <w:lang w:val="en-US" w:eastAsia="zh-CN"/>
                    </w:rPr>
                    <w:t>过渡阶段</w:t>
                  </w:r>
                  <w:r>
                    <w:rPr>
                      <w:rFonts w:hint="default" w:ascii="Times New Roman" w:hAnsi="Times New Roman" w:eastAsia="仿宋" w:cs="Times New Roman"/>
                      <w:b/>
                      <w:bCs/>
                      <w:color w:val="auto"/>
                      <w:szCs w:val="21"/>
                      <w:highlight w:val="none"/>
                      <w:lang w:val="en-US" w:eastAsia="zh-CN"/>
                    </w:rPr>
                    <w:t>浓度限值</w:t>
                  </w:r>
                </w:p>
              </w:tc>
              <w:tc>
                <w:tcPr>
                  <w:tcW w:w="606" w:type="pct"/>
                  <w:tcBorders>
                    <w:bottom w:val="single" w:color="auto" w:sz="4" w:space="0"/>
                  </w:tcBorders>
                  <w:noWrap w:val="0"/>
                  <w:vAlign w:val="center"/>
                </w:tcPr>
                <w:p w14:paraId="13349444">
                  <w:pPr>
                    <w:spacing w:before="24" w:after="24"/>
                    <w:jc w:val="center"/>
                    <w:rPr>
                      <w:rFonts w:hint="eastAsia" w:eastAsia="宋体"/>
                      <w:lang w:val="en-US" w:eastAsia="zh-CN"/>
                    </w:rPr>
                  </w:pPr>
                  <w:r>
                    <w:rPr>
                      <w:rFonts w:hint="eastAsia" w:ascii="Times New Roman" w:hAnsi="Times New Roman" w:eastAsia="仿宋" w:cs="Times New Roman"/>
                      <w:b/>
                      <w:bCs/>
                      <w:color w:val="auto"/>
                      <w:szCs w:val="21"/>
                      <w:highlight w:val="none"/>
                      <w:lang w:val="en-US" w:eastAsia="zh-CN"/>
                    </w:rPr>
                    <w:t>浓度限值</w:t>
                  </w:r>
                </w:p>
              </w:tc>
              <w:tc>
                <w:tcPr>
                  <w:tcW w:w="475" w:type="pct"/>
                  <w:tcBorders>
                    <w:bottom w:val="single" w:color="auto" w:sz="4" w:space="0"/>
                  </w:tcBorders>
                  <w:noWrap w:val="0"/>
                  <w:vAlign w:val="center"/>
                </w:tcPr>
                <w:p w14:paraId="2E22B884">
                  <w:pPr>
                    <w:spacing w:before="24" w:after="24"/>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单位</w:t>
                  </w:r>
                </w:p>
              </w:tc>
              <w:tc>
                <w:tcPr>
                  <w:tcW w:w="1313" w:type="pct"/>
                  <w:noWrap w:val="0"/>
                  <w:vAlign w:val="center"/>
                </w:tcPr>
                <w:p w14:paraId="2FBC6047">
                  <w:pPr>
                    <w:spacing w:before="24" w:after="24"/>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标准来源</w:t>
                  </w:r>
                </w:p>
              </w:tc>
            </w:tr>
            <w:tr w14:paraId="4CF71BC2">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restart"/>
                  <w:noWrap w:val="0"/>
                  <w:vAlign w:val="center"/>
                </w:tcPr>
                <w:p w14:paraId="59ECE047">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SO</w:t>
                  </w:r>
                  <w:r>
                    <w:rPr>
                      <w:rFonts w:hint="default" w:ascii="Times New Roman" w:hAnsi="Times New Roman" w:eastAsia="仿宋" w:cs="Times New Roman"/>
                      <w:color w:val="auto"/>
                      <w:szCs w:val="21"/>
                      <w:highlight w:val="none"/>
                      <w:vertAlign w:val="subscript"/>
                    </w:rPr>
                    <w:t>2</w:t>
                  </w:r>
                </w:p>
              </w:tc>
              <w:tc>
                <w:tcPr>
                  <w:tcW w:w="1130" w:type="pct"/>
                  <w:tcBorders>
                    <w:top w:val="single" w:color="auto" w:sz="4" w:space="0"/>
                    <w:bottom w:val="single" w:color="auto" w:sz="4" w:space="0"/>
                  </w:tcBorders>
                  <w:noWrap w:val="0"/>
                  <w:vAlign w:val="center"/>
                </w:tcPr>
                <w:p w14:paraId="41142346">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年平均</w:t>
                  </w:r>
                </w:p>
              </w:tc>
              <w:tc>
                <w:tcPr>
                  <w:tcW w:w="686" w:type="pct"/>
                  <w:tcBorders>
                    <w:top w:val="single" w:color="auto" w:sz="4" w:space="0"/>
                    <w:bottom w:val="single" w:color="auto" w:sz="4" w:space="0"/>
                  </w:tcBorders>
                  <w:noWrap w:val="0"/>
                  <w:vAlign w:val="center"/>
                </w:tcPr>
                <w:p w14:paraId="3AE455FA">
                  <w:pPr>
                    <w:pStyle w:val="65"/>
                    <w:spacing w:before="24" w:after="24" w:line="240"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60</w:t>
                  </w:r>
                </w:p>
              </w:tc>
              <w:tc>
                <w:tcPr>
                  <w:tcW w:w="606" w:type="pct"/>
                  <w:tcBorders>
                    <w:top w:val="single" w:color="auto" w:sz="4" w:space="0"/>
                  </w:tcBorders>
                  <w:noWrap w:val="0"/>
                  <w:vAlign w:val="center"/>
                </w:tcPr>
                <w:p w14:paraId="68FE3244">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20</w:t>
                  </w:r>
                </w:p>
              </w:tc>
              <w:tc>
                <w:tcPr>
                  <w:tcW w:w="475" w:type="pct"/>
                  <w:vMerge w:val="restart"/>
                  <w:tcBorders>
                    <w:top w:val="single" w:color="auto" w:sz="4" w:space="0"/>
                  </w:tcBorders>
                  <w:noWrap w:val="0"/>
                  <w:vAlign w:val="center"/>
                </w:tcPr>
                <w:p w14:paraId="31C8CE0C">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μg/m</w:t>
                  </w:r>
                  <w:r>
                    <w:rPr>
                      <w:rFonts w:hint="default" w:ascii="Times New Roman" w:hAnsi="Times New Roman" w:eastAsia="仿宋" w:cs="Times New Roman"/>
                      <w:color w:val="auto"/>
                      <w:szCs w:val="21"/>
                      <w:highlight w:val="none"/>
                      <w:vertAlign w:val="superscript"/>
                    </w:rPr>
                    <w:t>3</w:t>
                  </w:r>
                </w:p>
              </w:tc>
              <w:tc>
                <w:tcPr>
                  <w:tcW w:w="1313" w:type="pct"/>
                  <w:vMerge w:val="restart"/>
                  <w:noWrap w:val="0"/>
                  <w:vAlign w:val="center"/>
                </w:tcPr>
                <w:p w14:paraId="6A920160">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eastAsia="zh-CN"/>
                    </w:rPr>
                    <w:t>《环境空气质量标准》（GB3095-2026）</w:t>
                  </w:r>
                  <w:r>
                    <w:rPr>
                      <w:rFonts w:hint="eastAsia" w:eastAsia="仿宋" w:cs="Times New Roman"/>
                      <w:color w:val="auto"/>
                      <w:szCs w:val="21"/>
                      <w:highlight w:val="none"/>
                      <w:lang w:val="en-US" w:eastAsia="zh-CN"/>
                    </w:rPr>
                    <w:t>*</w:t>
                  </w:r>
                  <w:r>
                    <w:rPr>
                      <w:rFonts w:hint="default" w:ascii="Times New Roman" w:hAnsi="Times New Roman" w:eastAsia="仿宋" w:cs="Times New Roman"/>
                      <w:color w:val="auto"/>
                      <w:szCs w:val="21"/>
                      <w:highlight w:val="none"/>
                    </w:rPr>
                    <w:t>中二级标准</w:t>
                  </w:r>
                </w:p>
              </w:tc>
            </w:tr>
            <w:tr w14:paraId="715129C3">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continue"/>
                  <w:noWrap w:val="0"/>
                  <w:vAlign w:val="center"/>
                </w:tcPr>
                <w:p w14:paraId="6E9BD19D">
                  <w:pPr>
                    <w:spacing w:before="24" w:after="24"/>
                    <w:jc w:val="center"/>
                    <w:rPr>
                      <w:rFonts w:hint="default" w:ascii="Times New Roman" w:hAnsi="Times New Roman" w:eastAsia="仿宋" w:cs="Times New Roman"/>
                      <w:color w:val="auto"/>
                      <w:szCs w:val="21"/>
                      <w:highlight w:val="none"/>
                    </w:rPr>
                  </w:pPr>
                </w:p>
              </w:tc>
              <w:tc>
                <w:tcPr>
                  <w:tcW w:w="1130" w:type="pct"/>
                  <w:tcBorders>
                    <w:top w:val="single" w:color="auto" w:sz="4" w:space="0"/>
                  </w:tcBorders>
                  <w:noWrap w:val="0"/>
                  <w:vAlign w:val="center"/>
                </w:tcPr>
                <w:p w14:paraId="7F1E7395">
                  <w:pPr>
                    <w:spacing w:before="24" w:after="24"/>
                    <w:jc w:val="center"/>
                    <w:rPr>
                      <w:rFonts w:hint="default" w:ascii="Times New Roman" w:hAnsi="Times New Roman" w:eastAsia="仿宋" w:cs="Times New Roman"/>
                      <w:color w:val="auto"/>
                      <w:szCs w:val="21"/>
                      <w:highlight w:val="none"/>
                    </w:rPr>
                  </w:pPr>
                  <w:r>
                    <w:rPr>
                      <w:rFonts w:hint="eastAsia" w:eastAsia="仿宋" w:cs="Times New Roman"/>
                      <w:color w:val="auto"/>
                      <w:szCs w:val="21"/>
                      <w:highlight w:val="none"/>
                      <w:lang w:val="en-US" w:eastAsia="zh-CN"/>
                    </w:rPr>
                    <w:t>日</w:t>
                  </w:r>
                  <w:r>
                    <w:rPr>
                      <w:rFonts w:hint="default" w:ascii="Times New Roman" w:hAnsi="Times New Roman" w:eastAsia="仿宋" w:cs="Times New Roman"/>
                      <w:color w:val="auto"/>
                      <w:szCs w:val="21"/>
                      <w:highlight w:val="none"/>
                    </w:rPr>
                    <w:t>平均</w:t>
                  </w:r>
                </w:p>
              </w:tc>
              <w:tc>
                <w:tcPr>
                  <w:tcW w:w="686" w:type="pct"/>
                  <w:tcBorders>
                    <w:top w:val="single" w:color="auto" w:sz="4" w:space="0"/>
                  </w:tcBorders>
                  <w:noWrap w:val="0"/>
                  <w:vAlign w:val="center"/>
                </w:tcPr>
                <w:p w14:paraId="74500A63">
                  <w:pPr>
                    <w:pStyle w:val="65"/>
                    <w:spacing w:before="24" w:after="24" w:line="240"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150</w:t>
                  </w:r>
                </w:p>
              </w:tc>
              <w:tc>
                <w:tcPr>
                  <w:tcW w:w="606" w:type="pct"/>
                  <w:noWrap w:val="0"/>
                  <w:vAlign w:val="center"/>
                </w:tcPr>
                <w:p w14:paraId="6712CD9E">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50</w:t>
                  </w:r>
                </w:p>
              </w:tc>
              <w:tc>
                <w:tcPr>
                  <w:tcW w:w="475" w:type="pct"/>
                  <w:vMerge w:val="continue"/>
                  <w:noWrap w:val="0"/>
                  <w:vAlign w:val="center"/>
                </w:tcPr>
                <w:p w14:paraId="1F01D4EC">
                  <w:pPr>
                    <w:spacing w:before="24" w:after="24"/>
                    <w:jc w:val="center"/>
                    <w:rPr>
                      <w:rFonts w:hint="default" w:ascii="Times New Roman" w:hAnsi="Times New Roman" w:eastAsia="仿宋" w:cs="Times New Roman"/>
                      <w:color w:val="auto"/>
                      <w:szCs w:val="21"/>
                      <w:highlight w:val="none"/>
                    </w:rPr>
                  </w:pPr>
                </w:p>
              </w:tc>
              <w:tc>
                <w:tcPr>
                  <w:tcW w:w="1313" w:type="pct"/>
                  <w:vMerge w:val="continue"/>
                  <w:noWrap w:val="0"/>
                  <w:vAlign w:val="center"/>
                </w:tcPr>
                <w:p w14:paraId="08991738">
                  <w:pPr>
                    <w:spacing w:before="24" w:after="24"/>
                    <w:jc w:val="center"/>
                    <w:rPr>
                      <w:rFonts w:hint="default" w:ascii="Times New Roman" w:hAnsi="Times New Roman" w:eastAsia="仿宋" w:cs="Times New Roman"/>
                      <w:color w:val="auto"/>
                      <w:szCs w:val="21"/>
                      <w:highlight w:val="none"/>
                    </w:rPr>
                  </w:pPr>
                </w:p>
              </w:tc>
            </w:tr>
            <w:tr w14:paraId="58F80844">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continue"/>
                  <w:noWrap w:val="0"/>
                  <w:vAlign w:val="center"/>
                </w:tcPr>
                <w:p w14:paraId="57FA6D08">
                  <w:pPr>
                    <w:spacing w:before="24" w:after="24"/>
                    <w:jc w:val="center"/>
                    <w:rPr>
                      <w:rFonts w:hint="default" w:ascii="Times New Roman" w:hAnsi="Times New Roman" w:eastAsia="仿宋" w:cs="Times New Roman"/>
                      <w:color w:val="auto"/>
                      <w:szCs w:val="21"/>
                      <w:highlight w:val="none"/>
                    </w:rPr>
                  </w:pPr>
                </w:p>
              </w:tc>
              <w:tc>
                <w:tcPr>
                  <w:tcW w:w="1130" w:type="pct"/>
                  <w:noWrap w:val="0"/>
                  <w:vAlign w:val="center"/>
                </w:tcPr>
                <w:p w14:paraId="75DDFEC7">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1小时平均</w:t>
                  </w:r>
                </w:p>
              </w:tc>
              <w:tc>
                <w:tcPr>
                  <w:tcW w:w="686" w:type="pct"/>
                  <w:noWrap w:val="0"/>
                  <w:vAlign w:val="center"/>
                </w:tcPr>
                <w:p w14:paraId="020EC326">
                  <w:pPr>
                    <w:pStyle w:val="65"/>
                    <w:spacing w:before="24" w:after="24" w:line="240"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500</w:t>
                  </w:r>
                </w:p>
              </w:tc>
              <w:tc>
                <w:tcPr>
                  <w:tcW w:w="606" w:type="pct"/>
                  <w:noWrap w:val="0"/>
                  <w:vAlign w:val="center"/>
                </w:tcPr>
                <w:p w14:paraId="6AE30EA8">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150</w:t>
                  </w:r>
                </w:p>
              </w:tc>
              <w:tc>
                <w:tcPr>
                  <w:tcW w:w="475" w:type="pct"/>
                  <w:vMerge w:val="continue"/>
                  <w:noWrap w:val="0"/>
                  <w:vAlign w:val="center"/>
                </w:tcPr>
                <w:p w14:paraId="1748C793">
                  <w:pPr>
                    <w:spacing w:before="24" w:after="24"/>
                    <w:jc w:val="center"/>
                    <w:rPr>
                      <w:rFonts w:hint="default" w:ascii="Times New Roman" w:hAnsi="Times New Roman" w:eastAsia="仿宋" w:cs="Times New Roman"/>
                      <w:color w:val="auto"/>
                      <w:szCs w:val="21"/>
                      <w:highlight w:val="none"/>
                    </w:rPr>
                  </w:pPr>
                </w:p>
              </w:tc>
              <w:tc>
                <w:tcPr>
                  <w:tcW w:w="1313" w:type="pct"/>
                  <w:vMerge w:val="continue"/>
                  <w:noWrap w:val="0"/>
                  <w:vAlign w:val="center"/>
                </w:tcPr>
                <w:p w14:paraId="0186DA62">
                  <w:pPr>
                    <w:spacing w:before="24" w:after="24"/>
                    <w:jc w:val="center"/>
                    <w:rPr>
                      <w:rFonts w:hint="default" w:ascii="Times New Roman" w:hAnsi="Times New Roman" w:eastAsia="仿宋" w:cs="Times New Roman"/>
                      <w:color w:val="auto"/>
                      <w:szCs w:val="21"/>
                      <w:highlight w:val="none"/>
                    </w:rPr>
                  </w:pPr>
                </w:p>
              </w:tc>
            </w:tr>
            <w:tr w14:paraId="206E8D07">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restart"/>
                  <w:noWrap w:val="0"/>
                  <w:vAlign w:val="center"/>
                </w:tcPr>
                <w:p w14:paraId="57BCE61B">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NO</w:t>
                  </w:r>
                  <w:r>
                    <w:rPr>
                      <w:rFonts w:hint="default" w:ascii="Times New Roman" w:hAnsi="Times New Roman" w:eastAsia="仿宋" w:cs="Times New Roman"/>
                      <w:color w:val="auto"/>
                      <w:szCs w:val="21"/>
                      <w:highlight w:val="none"/>
                      <w:vertAlign w:val="subscript"/>
                    </w:rPr>
                    <w:t>2</w:t>
                  </w:r>
                </w:p>
              </w:tc>
              <w:tc>
                <w:tcPr>
                  <w:tcW w:w="1130" w:type="pct"/>
                  <w:noWrap w:val="0"/>
                  <w:vAlign w:val="center"/>
                </w:tcPr>
                <w:p w14:paraId="09DCBAFE">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年平均</w:t>
                  </w:r>
                </w:p>
              </w:tc>
              <w:tc>
                <w:tcPr>
                  <w:tcW w:w="686" w:type="pct"/>
                  <w:noWrap w:val="0"/>
                  <w:vAlign w:val="center"/>
                </w:tcPr>
                <w:p w14:paraId="2C7CC007">
                  <w:pPr>
                    <w:pStyle w:val="65"/>
                    <w:spacing w:before="24" w:after="24" w:line="240"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40</w:t>
                  </w:r>
                </w:p>
              </w:tc>
              <w:tc>
                <w:tcPr>
                  <w:tcW w:w="606" w:type="pct"/>
                  <w:noWrap w:val="0"/>
                  <w:vAlign w:val="center"/>
                </w:tcPr>
                <w:p w14:paraId="2E23A61E">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30</w:t>
                  </w:r>
                </w:p>
              </w:tc>
              <w:tc>
                <w:tcPr>
                  <w:tcW w:w="475" w:type="pct"/>
                  <w:vMerge w:val="continue"/>
                  <w:noWrap w:val="0"/>
                  <w:vAlign w:val="center"/>
                </w:tcPr>
                <w:p w14:paraId="0A639BCD">
                  <w:pPr>
                    <w:spacing w:before="24" w:after="24"/>
                    <w:jc w:val="center"/>
                    <w:rPr>
                      <w:rFonts w:hint="default" w:ascii="Times New Roman" w:hAnsi="Times New Roman" w:eastAsia="仿宋" w:cs="Times New Roman"/>
                      <w:color w:val="auto"/>
                      <w:szCs w:val="21"/>
                      <w:highlight w:val="none"/>
                    </w:rPr>
                  </w:pPr>
                </w:p>
              </w:tc>
              <w:tc>
                <w:tcPr>
                  <w:tcW w:w="1313" w:type="pct"/>
                  <w:vMerge w:val="continue"/>
                  <w:noWrap w:val="0"/>
                  <w:vAlign w:val="center"/>
                </w:tcPr>
                <w:p w14:paraId="5CAEF8F0">
                  <w:pPr>
                    <w:spacing w:before="24" w:after="24"/>
                    <w:jc w:val="center"/>
                    <w:rPr>
                      <w:rFonts w:hint="default" w:ascii="Times New Roman" w:hAnsi="Times New Roman" w:eastAsia="仿宋" w:cs="Times New Roman"/>
                      <w:color w:val="auto"/>
                      <w:szCs w:val="21"/>
                      <w:highlight w:val="none"/>
                    </w:rPr>
                  </w:pPr>
                </w:p>
              </w:tc>
            </w:tr>
            <w:tr w14:paraId="399DB215">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continue"/>
                  <w:noWrap w:val="0"/>
                  <w:vAlign w:val="center"/>
                </w:tcPr>
                <w:p w14:paraId="59251392">
                  <w:pPr>
                    <w:spacing w:before="24" w:after="24"/>
                    <w:jc w:val="center"/>
                    <w:rPr>
                      <w:rFonts w:hint="default" w:ascii="Times New Roman" w:hAnsi="Times New Roman" w:eastAsia="仿宋" w:cs="Times New Roman"/>
                      <w:color w:val="auto"/>
                      <w:szCs w:val="21"/>
                      <w:highlight w:val="none"/>
                    </w:rPr>
                  </w:pPr>
                </w:p>
              </w:tc>
              <w:tc>
                <w:tcPr>
                  <w:tcW w:w="1130" w:type="pct"/>
                  <w:noWrap w:val="0"/>
                  <w:vAlign w:val="center"/>
                </w:tcPr>
                <w:p w14:paraId="256F7B32">
                  <w:pPr>
                    <w:spacing w:before="24" w:after="24"/>
                    <w:jc w:val="center"/>
                    <w:rPr>
                      <w:rFonts w:hint="default" w:ascii="Times New Roman" w:hAnsi="Times New Roman" w:eastAsia="仿宋" w:cs="Times New Roman"/>
                      <w:color w:val="auto"/>
                      <w:szCs w:val="21"/>
                      <w:highlight w:val="none"/>
                    </w:rPr>
                  </w:pPr>
                  <w:r>
                    <w:rPr>
                      <w:rFonts w:hint="eastAsia" w:eastAsia="仿宋" w:cs="Times New Roman"/>
                      <w:color w:val="auto"/>
                      <w:szCs w:val="21"/>
                      <w:highlight w:val="none"/>
                      <w:lang w:val="en-US" w:eastAsia="zh-CN"/>
                    </w:rPr>
                    <w:t>日</w:t>
                  </w:r>
                  <w:r>
                    <w:rPr>
                      <w:rFonts w:hint="default" w:ascii="Times New Roman" w:hAnsi="Times New Roman" w:eastAsia="仿宋" w:cs="Times New Roman"/>
                      <w:color w:val="auto"/>
                      <w:szCs w:val="21"/>
                      <w:highlight w:val="none"/>
                    </w:rPr>
                    <w:t>平均</w:t>
                  </w:r>
                </w:p>
              </w:tc>
              <w:tc>
                <w:tcPr>
                  <w:tcW w:w="686" w:type="pct"/>
                  <w:noWrap w:val="0"/>
                  <w:vAlign w:val="center"/>
                </w:tcPr>
                <w:p w14:paraId="78C391AC">
                  <w:pPr>
                    <w:pStyle w:val="65"/>
                    <w:spacing w:before="24" w:after="24" w:line="240"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80</w:t>
                  </w:r>
                </w:p>
              </w:tc>
              <w:tc>
                <w:tcPr>
                  <w:tcW w:w="606" w:type="pct"/>
                  <w:noWrap w:val="0"/>
                  <w:vAlign w:val="center"/>
                </w:tcPr>
                <w:p w14:paraId="6C15A071">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50</w:t>
                  </w:r>
                </w:p>
              </w:tc>
              <w:tc>
                <w:tcPr>
                  <w:tcW w:w="475" w:type="pct"/>
                  <w:vMerge w:val="continue"/>
                  <w:noWrap w:val="0"/>
                  <w:vAlign w:val="center"/>
                </w:tcPr>
                <w:p w14:paraId="38D0E62F">
                  <w:pPr>
                    <w:spacing w:before="24" w:after="24"/>
                    <w:jc w:val="center"/>
                    <w:rPr>
                      <w:rFonts w:hint="default" w:ascii="Times New Roman" w:hAnsi="Times New Roman" w:eastAsia="仿宋" w:cs="Times New Roman"/>
                      <w:color w:val="auto"/>
                      <w:szCs w:val="21"/>
                      <w:highlight w:val="none"/>
                    </w:rPr>
                  </w:pPr>
                </w:p>
              </w:tc>
              <w:tc>
                <w:tcPr>
                  <w:tcW w:w="1313" w:type="pct"/>
                  <w:vMerge w:val="continue"/>
                  <w:noWrap w:val="0"/>
                  <w:vAlign w:val="center"/>
                </w:tcPr>
                <w:p w14:paraId="0FBFC181">
                  <w:pPr>
                    <w:spacing w:before="24" w:after="24"/>
                    <w:jc w:val="center"/>
                    <w:rPr>
                      <w:rFonts w:hint="default" w:ascii="Times New Roman" w:hAnsi="Times New Roman" w:eastAsia="仿宋" w:cs="Times New Roman"/>
                      <w:color w:val="auto"/>
                      <w:szCs w:val="21"/>
                      <w:highlight w:val="none"/>
                    </w:rPr>
                  </w:pPr>
                </w:p>
              </w:tc>
            </w:tr>
            <w:tr w14:paraId="49CDACCD">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continue"/>
                  <w:noWrap w:val="0"/>
                  <w:vAlign w:val="center"/>
                </w:tcPr>
                <w:p w14:paraId="4288299E">
                  <w:pPr>
                    <w:spacing w:before="24" w:after="24"/>
                    <w:jc w:val="center"/>
                    <w:rPr>
                      <w:rFonts w:hint="default" w:ascii="Times New Roman" w:hAnsi="Times New Roman" w:eastAsia="仿宋" w:cs="Times New Roman"/>
                      <w:color w:val="auto"/>
                      <w:szCs w:val="21"/>
                      <w:highlight w:val="none"/>
                    </w:rPr>
                  </w:pPr>
                </w:p>
              </w:tc>
              <w:tc>
                <w:tcPr>
                  <w:tcW w:w="1130" w:type="pct"/>
                  <w:noWrap w:val="0"/>
                  <w:vAlign w:val="center"/>
                </w:tcPr>
                <w:p w14:paraId="0BF0451C">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1小时平均</w:t>
                  </w:r>
                </w:p>
              </w:tc>
              <w:tc>
                <w:tcPr>
                  <w:tcW w:w="686" w:type="pct"/>
                  <w:noWrap w:val="0"/>
                  <w:vAlign w:val="center"/>
                </w:tcPr>
                <w:p w14:paraId="644A9EB1">
                  <w:pPr>
                    <w:pStyle w:val="65"/>
                    <w:spacing w:before="24" w:after="24" w:line="240"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200</w:t>
                  </w:r>
                </w:p>
              </w:tc>
              <w:tc>
                <w:tcPr>
                  <w:tcW w:w="606" w:type="pct"/>
                  <w:tcBorders>
                    <w:bottom w:val="single" w:color="auto" w:sz="4" w:space="0"/>
                  </w:tcBorders>
                  <w:noWrap w:val="0"/>
                  <w:vAlign w:val="center"/>
                </w:tcPr>
                <w:p w14:paraId="3215C4E4">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200</w:t>
                  </w:r>
                </w:p>
              </w:tc>
              <w:tc>
                <w:tcPr>
                  <w:tcW w:w="475" w:type="pct"/>
                  <w:vMerge w:val="continue"/>
                  <w:tcBorders>
                    <w:bottom w:val="single" w:color="auto" w:sz="4" w:space="0"/>
                  </w:tcBorders>
                  <w:noWrap w:val="0"/>
                  <w:vAlign w:val="center"/>
                </w:tcPr>
                <w:p w14:paraId="13CA12BA">
                  <w:pPr>
                    <w:spacing w:before="24" w:after="24"/>
                    <w:jc w:val="center"/>
                    <w:rPr>
                      <w:rFonts w:hint="default" w:ascii="Times New Roman" w:hAnsi="Times New Roman" w:eastAsia="仿宋" w:cs="Times New Roman"/>
                      <w:color w:val="auto"/>
                      <w:szCs w:val="21"/>
                      <w:highlight w:val="none"/>
                    </w:rPr>
                  </w:pPr>
                </w:p>
              </w:tc>
              <w:tc>
                <w:tcPr>
                  <w:tcW w:w="1313" w:type="pct"/>
                  <w:vMerge w:val="continue"/>
                  <w:noWrap w:val="0"/>
                  <w:vAlign w:val="center"/>
                </w:tcPr>
                <w:p w14:paraId="20B6088B">
                  <w:pPr>
                    <w:spacing w:before="24" w:after="24"/>
                    <w:jc w:val="center"/>
                    <w:rPr>
                      <w:rFonts w:hint="default" w:ascii="Times New Roman" w:hAnsi="Times New Roman" w:eastAsia="仿宋" w:cs="Times New Roman"/>
                      <w:color w:val="auto"/>
                      <w:szCs w:val="21"/>
                      <w:highlight w:val="none"/>
                    </w:rPr>
                  </w:pPr>
                </w:p>
              </w:tc>
            </w:tr>
            <w:tr w14:paraId="1ACBB3D3">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restart"/>
                  <w:noWrap w:val="0"/>
                  <w:vAlign w:val="center"/>
                </w:tcPr>
                <w:p w14:paraId="59FE8D21">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CO</w:t>
                  </w:r>
                </w:p>
              </w:tc>
              <w:tc>
                <w:tcPr>
                  <w:tcW w:w="1130" w:type="pct"/>
                  <w:noWrap w:val="0"/>
                  <w:vAlign w:val="center"/>
                </w:tcPr>
                <w:p w14:paraId="4D53D1D5">
                  <w:pPr>
                    <w:spacing w:before="24" w:after="24"/>
                    <w:jc w:val="center"/>
                    <w:rPr>
                      <w:rFonts w:hint="default" w:ascii="Times New Roman" w:hAnsi="Times New Roman" w:eastAsia="仿宋" w:cs="Times New Roman"/>
                      <w:color w:val="auto"/>
                      <w:szCs w:val="21"/>
                      <w:highlight w:val="none"/>
                    </w:rPr>
                  </w:pPr>
                  <w:r>
                    <w:rPr>
                      <w:rFonts w:hint="eastAsia" w:eastAsia="仿宋" w:cs="Times New Roman"/>
                      <w:color w:val="auto"/>
                      <w:szCs w:val="21"/>
                      <w:highlight w:val="none"/>
                      <w:lang w:val="en-US" w:eastAsia="zh-CN"/>
                    </w:rPr>
                    <w:t>日</w:t>
                  </w:r>
                  <w:r>
                    <w:rPr>
                      <w:rFonts w:hint="default" w:ascii="Times New Roman" w:hAnsi="Times New Roman" w:eastAsia="仿宋" w:cs="Times New Roman"/>
                      <w:color w:val="auto"/>
                      <w:szCs w:val="21"/>
                      <w:highlight w:val="none"/>
                    </w:rPr>
                    <w:t>平均</w:t>
                  </w:r>
                </w:p>
              </w:tc>
              <w:tc>
                <w:tcPr>
                  <w:tcW w:w="686" w:type="pct"/>
                  <w:noWrap w:val="0"/>
                  <w:vAlign w:val="center"/>
                </w:tcPr>
                <w:p w14:paraId="06892795">
                  <w:pPr>
                    <w:pStyle w:val="65"/>
                    <w:spacing w:before="24" w:after="24" w:line="240"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4</w:t>
                  </w:r>
                </w:p>
              </w:tc>
              <w:tc>
                <w:tcPr>
                  <w:tcW w:w="606" w:type="pct"/>
                  <w:tcBorders>
                    <w:top w:val="single" w:color="auto" w:sz="4" w:space="0"/>
                  </w:tcBorders>
                  <w:noWrap w:val="0"/>
                  <w:vAlign w:val="center"/>
                </w:tcPr>
                <w:p w14:paraId="1DC42940">
                  <w:pPr>
                    <w:pStyle w:val="65"/>
                    <w:spacing w:before="24" w:after="24" w:line="240" w:lineRule="auto"/>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4</w:t>
                  </w:r>
                </w:p>
              </w:tc>
              <w:tc>
                <w:tcPr>
                  <w:tcW w:w="475" w:type="pct"/>
                  <w:vMerge w:val="restart"/>
                  <w:tcBorders>
                    <w:top w:val="single" w:color="auto" w:sz="4" w:space="0"/>
                  </w:tcBorders>
                  <w:noWrap w:val="0"/>
                  <w:vAlign w:val="center"/>
                </w:tcPr>
                <w:p w14:paraId="3F281FBB">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0"/>
                      <w:szCs w:val="21"/>
                      <w:highlight w:val="none"/>
                    </w:rPr>
                    <w:t>mg/m</w:t>
                  </w:r>
                  <w:r>
                    <w:rPr>
                      <w:rFonts w:hint="default" w:ascii="Times New Roman" w:hAnsi="Times New Roman" w:eastAsia="仿宋" w:cs="Times New Roman"/>
                      <w:color w:val="auto"/>
                      <w:kern w:val="0"/>
                      <w:szCs w:val="21"/>
                      <w:highlight w:val="none"/>
                      <w:vertAlign w:val="superscript"/>
                    </w:rPr>
                    <w:t>3</w:t>
                  </w:r>
                </w:p>
              </w:tc>
              <w:tc>
                <w:tcPr>
                  <w:tcW w:w="1313" w:type="pct"/>
                  <w:vMerge w:val="continue"/>
                  <w:noWrap w:val="0"/>
                  <w:vAlign w:val="center"/>
                </w:tcPr>
                <w:p w14:paraId="3F341990">
                  <w:pPr>
                    <w:pStyle w:val="23"/>
                    <w:rPr>
                      <w:rFonts w:hint="default" w:ascii="Times New Roman" w:hAnsi="Times New Roman" w:eastAsia="仿宋" w:cs="Times New Roman"/>
                      <w:color w:val="auto"/>
                      <w:sz w:val="21"/>
                      <w:szCs w:val="21"/>
                      <w:highlight w:val="none"/>
                    </w:rPr>
                  </w:pPr>
                </w:p>
              </w:tc>
            </w:tr>
            <w:tr w14:paraId="762E4141">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continue"/>
                  <w:noWrap w:val="0"/>
                  <w:vAlign w:val="center"/>
                </w:tcPr>
                <w:p w14:paraId="60C29C1A">
                  <w:pPr>
                    <w:spacing w:before="24" w:after="24"/>
                    <w:jc w:val="center"/>
                    <w:rPr>
                      <w:rFonts w:hint="default" w:ascii="Times New Roman" w:hAnsi="Times New Roman" w:eastAsia="仿宋" w:cs="Times New Roman"/>
                      <w:color w:val="auto"/>
                      <w:szCs w:val="21"/>
                      <w:highlight w:val="none"/>
                    </w:rPr>
                  </w:pPr>
                </w:p>
              </w:tc>
              <w:tc>
                <w:tcPr>
                  <w:tcW w:w="1130" w:type="pct"/>
                  <w:noWrap w:val="0"/>
                  <w:vAlign w:val="center"/>
                </w:tcPr>
                <w:p w14:paraId="4D03DCFC">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1小时平均</w:t>
                  </w:r>
                </w:p>
              </w:tc>
              <w:tc>
                <w:tcPr>
                  <w:tcW w:w="686" w:type="pct"/>
                  <w:noWrap w:val="0"/>
                  <w:vAlign w:val="center"/>
                </w:tcPr>
                <w:p w14:paraId="04C90B9F">
                  <w:pPr>
                    <w:pStyle w:val="65"/>
                    <w:spacing w:before="24" w:after="24" w:line="240"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10</w:t>
                  </w:r>
                </w:p>
              </w:tc>
              <w:tc>
                <w:tcPr>
                  <w:tcW w:w="606" w:type="pct"/>
                  <w:noWrap w:val="0"/>
                  <w:vAlign w:val="center"/>
                </w:tcPr>
                <w:p w14:paraId="0085E5B6">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10</w:t>
                  </w:r>
                </w:p>
              </w:tc>
              <w:tc>
                <w:tcPr>
                  <w:tcW w:w="475" w:type="pct"/>
                  <w:vMerge w:val="continue"/>
                  <w:noWrap w:val="0"/>
                  <w:vAlign w:val="center"/>
                </w:tcPr>
                <w:p w14:paraId="15C86EDC">
                  <w:pPr>
                    <w:spacing w:before="24" w:after="24"/>
                    <w:jc w:val="center"/>
                    <w:rPr>
                      <w:rFonts w:hint="default" w:ascii="Times New Roman" w:hAnsi="Times New Roman" w:eastAsia="仿宋" w:cs="Times New Roman"/>
                      <w:color w:val="auto"/>
                      <w:szCs w:val="21"/>
                      <w:highlight w:val="none"/>
                    </w:rPr>
                  </w:pPr>
                </w:p>
              </w:tc>
              <w:tc>
                <w:tcPr>
                  <w:tcW w:w="1313" w:type="pct"/>
                  <w:vMerge w:val="continue"/>
                  <w:noWrap w:val="0"/>
                  <w:vAlign w:val="center"/>
                </w:tcPr>
                <w:p w14:paraId="5D518FBC">
                  <w:pPr>
                    <w:pStyle w:val="23"/>
                    <w:rPr>
                      <w:rFonts w:hint="default" w:ascii="Times New Roman" w:hAnsi="Times New Roman" w:eastAsia="仿宋" w:cs="Times New Roman"/>
                      <w:color w:val="auto"/>
                      <w:sz w:val="21"/>
                      <w:szCs w:val="21"/>
                      <w:highlight w:val="none"/>
                    </w:rPr>
                  </w:pPr>
                </w:p>
              </w:tc>
            </w:tr>
            <w:tr w14:paraId="441A25C2">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restart"/>
                  <w:noWrap w:val="0"/>
                  <w:vAlign w:val="center"/>
                </w:tcPr>
                <w:p w14:paraId="42D2F888">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O</w:t>
                  </w:r>
                  <w:r>
                    <w:rPr>
                      <w:rFonts w:hint="default" w:ascii="Times New Roman" w:hAnsi="Times New Roman" w:eastAsia="仿宋" w:cs="Times New Roman"/>
                      <w:color w:val="auto"/>
                      <w:szCs w:val="21"/>
                      <w:highlight w:val="none"/>
                      <w:vertAlign w:val="subscript"/>
                    </w:rPr>
                    <w:t>3</w:t>
                  </w:r>
                </w:p>
              </w:tc>
              <w:tc>
                <w:tcPr>
                  <w:tcW w:w="1130" w:type="pct"/>
                  <w:noWrap w:val="0"/>
                  <w:vAlign w:val="center"/>
                </w:tcPr>
                <w:p w14:paraId="48DCA268">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日最大8小时平均</w:t>
                  </w:r>
                </w:p>
              </w:tc>
              <w:tc>
                <w:tcPr>
                  <w:tcW w:w="686" w:type="pct"/>
                  <w:noWrap w:val="0"/>
                  <w:vAlign w:val="center"/>
                </w:tcPr>
                <w:p w14:paraId="66C2639F">
                  <w:pPr>
                    <w:pStyle w:val="65"/>
                    <w:spacing w:before="24" w:after="24" w:line="240"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160</w:t>
                  </w:r>
                </w:p>
              </w:tc>
              <w:tc>
                <w:tcPr>
                  <w:tcW w:w="606" w:type="pct"/>
                  <w:noWrap w:val="0"/>
                  <w:vAlign w:val="center"/>
                </w:tcPr>
                <w:p w14:paraId="44CB3F7C">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160</w:t>
                  </w:r>
                </w:p>
              </w:tc>
              <w:tc>
                <w:tcPr>
                  <w:tcW w:w="475" w:type="pct"/>
                  <w:vMerge w:val="restart"/>
                  <w:noWrap w:val="0"/>
                  <w:vAlign w:val="center"/>
                </w:tcPr>
                <w:p w14:paraId="484CF8DC">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μg/m</w:t>
                  </w:r>
                  <w:r>
                    <w:rPr>
                      <w:rFonts w:hint="default" w:ascii="Times New Roman" w:hAnsi="Times New Roman" w:eastAsia="仿宋" w:cs="Times New Roman"/>
                      <w:color w:val="auto"/>
                      <w:szCs w:val="21"/>
                      <w:highlight w:val="none"/>
                      <w:vertAlign w:val="superscript"/>
                    </w:rPr>
                    <w:t>3</w:t>
                  </w:r>
                </w:p>
              </w:tc>
              <w:tc>
                <w:tcPr>
                  <w:tcW w:w="1313" w:type="pct"/>
                  <w:vMerge w:val="continue"/>
                  <w:noWrap w:val="0"/>
                  <w:vAlign w:val="center"/>
                </w:tcPr>
                <w:p w14:paraId="1F4D45D1">
                  <w:pPr>
                    <w:pStyle w:val="23"/>
                    <w:rPr>
                      <w:rFonts w:hint="default" w:ascii="Times New Roman" w:hAnsi="Times New Roman" w:eastAsia="仿宋" w:cs="Times New Roman"/>
                      <w:color w:val="auto"/>
                      <w:sz w:val="21"/>
                      <w:szCs w:val="21"/>
                      <w:highlight w:val="none"/>
                    </w:rPr>
                  </w:pPr>
                </w:p>
              </w:tc>
            </w:tr>
            <w:tr w14:paraId="62040514">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continue"/>
                  <w:noWrap w:val="0"/>
                  <w:vAlign w:val="center"/>
                </w:tcPr>
                <w:p w14:paraId="753DDB77">
                  <w:pPr>
                    <w:spacing w:before="24" w:after="24"/>
                    <w:jc w:val="center"/>
                    <w:rPr>
                      <w:rFonts w:hint="default" w:ascii="Times New Roman" w:hAnsi="Times New Roman" w:eastAsia="仿宋" w:cs="Times New Roman"/>
                      <w:color w:val="auto"/>
                      <w:szCs w:val="21"/>
                      <w:highlight w:val="none"/>
                    </w:rPr>
                  </w:pPr>
                </w:p>
              </w:tc>
              <w:tc>
                <w:tcPr>
                  <w:tcW w:w="1130" w:type="pct"/>
                  <w:noWrap w:val="0"/>
                  <w:vAlign w:val="center"/>
                </w:tcPr>
                <w:p w14:paraId="3B86B831">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1小时平均</w:t>
                  </w:r>
                </w:p>
              </w:tc>
              <w:tc>
                <w:tcPr>
                  <w:tcW w:w="686" w:type="pct"/>
                  <w:noWrap w:val="0"/>
                  <w:vAlign w:val="center"/>
                </w:tcPr>
                <w:p w14:paraId="1D502702">
                  <w:pPr>
                    <w:pStyle w:val="65"/>
                    <w:spacing w:before="24" w:after="24" w:line="240"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200</w:t>
                  </w:r>
                </w:p>
              </w:tc>
              <w:tc>
                <w:tcPr>
                  <w:tcW w:w="606" w:type="pct"/>
                  <w:noWrap w:val="0"/>
                  <w:vAlign w:val="center"/>
                </w:tcPr>
                <w:p w14:paraId="00DFD63D">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200</w:t>
                  </w:r>
                </w:p>
              </w:tc>
              <w:tc>
                <w:tcPr>
                  <w:tcW w:w="475" w:type="pct"/>
                  <w:vMerge w:val="continue"/>
                  <w:noWrap w:val="0"/>
                  <w:vAlign w:val="center"/>
                </w:tcPr>
                <w:p w14:paraId="71C842E0">
                  <w:pPr>
                    <w:spacing w:before="24" w:after="24"/>
                    <w:jc w:val="center"/>
                    <w:rPr>
                      <w:rFonts w:hint="default" w:ascii="Times New Roman" w:hAnsi="Times New Roman" w:eastAsia="仿宋" w:cs="Times New Roman"/>
                      <w:color w:val="auto"/>
                      <w:szCs w:val="21"/>
                      <w:highlight w:val="none"/>
                    </w:rPr>
                  </w:pPr>
                </w:p>
              </w:tc>
              <w:tc>
                <w:tcPr>
                  <w:tcW w:w="1313" w:type="pct"/>
                  <w:vMerge w:val="continue"/>
                  <w:noWrap w:val="0"/>
                  <w:vAlign w:val="center"/>
                </w:tcPr>
                <w:p w14:paraId="713CEA2E">
                  <w:pPr>
                    <w:pStyle w:val="23"/>
                    <w:rPr>
                      <w:rFonts w:hint="default" w:ascii="Times New Roman" w:hAnsi="Times New Roman" w:eastAsia="仿宋" w:cs="Times New Roman"/>
                      <w:color w:val="auto"/>
                      <w:sz w:val="21"/>
                      <w:szCs w:val="21"/>
                      <w:highlight w:val="none"/>
                    </w:rPr>
                  </w:pPr>
                </w:p>
              </w:tc>
            </w:tr>
            <w:tr w14:paraId="09512D31">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7" w:type="pct"/>
                  <w:vMerge w:val="restart"/>
                  <w:noWrap w:val="0"/>
                  <w:vAlign w:val="center"/>
                </w:tcPr>
                <w:p w14:paraId="3285220F">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PM</w:t>
                  </w:r>
                  <w:r>
                    <w:rPr>
                      <w:rFonts w:hint="default" w:ascii="Times New Roman" w:hAnsi="Times New Roman" w:eastAsia="仿宋" w:cs="Times New Roman"/>
                      <w:color w:val="auto"/>
                      <w:szCs w:val="21"/>
                      <w:highlight w:val="none"/>
                      <w:vertAlign w:val="subscript"/>
                    </w:rPr>
                    <w:t>10</w:t>
                  </w:r>
                </w:p>
              </w:tc>
              <w:tc>
                <w:tcPr>
                  <w:tcW w:w="1130" w:type="pct"/>
                  <w:noWrap w:val="0"/>
                  <w:vAlign w:val="center"/>
                </w:tcPr>
                <w:p w14:paraId="48575708">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年平均</w:t>
                  </w:r>
                </w:p>
              </w:tc>
              <w:tc>
                <w:tcPr>
                  <w:tcW w:w="686" w:type="pct"/>
                  <w:noWrap w:val="0"/>
                  <w:vAlign w:val="center"/>
                </w:tcPr>
                <w:p w14:paraId="74DD9FB2">
                  <w:pPr>
                    <w:pStyle w:val="65"/>
                    <w:spacing w:before="24" w:after="24" w:line="240" w:lineRule="auto"/>
                    <w:rPr>
                      <w:rFonts w:hint="default" w:ascii="Times New Roman" w:hAnsi="Times New Roman" w:eastAsia="仿宋" w:cs="Times New Roman"/>
                      <w:color w:val="auto"/>
                      <w:szCs w:val="21"/>
                      <w:highlight w:val="none"/>
                    </w:rPr>
                  </w:pPr>
                  <w:r>
                    <w:rPr>
                      <w:rFonts w:hint="eastAsia" w:ascii="Times New Roman" w:hAnsi="Times New Roman" w:eastAsia="仿宋" w:cs="Times New Roman"/>
                      <w:szCs w:val="21"/>
                      <w:lang w:val="en-US" w:eastAsia="zh-CN"/>
                    </w:rPr>
                    <w:t>60</w:t>
                  </w:r>
                </w:p>
              </w:tc>
              <w:tc>
                <w:tcPr>
                  <w:tcW w:w="606" w:type="pct"/>
                  <w:noWrap w:val="0"/>
                  <w:vAlign w:val="center"/>
                </w:tcPr>
                <w:p w14:paraId="39B06091">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50</w:t>
                  </w:r>
                </w:p>
              </w:tc>
              <w:tc>
                <w:tcPr>
                  <w:tcW w:w="475" w:type="pct"/>
                  <w:vMerge w:val="continue"/>
                  <w:noWrap w:val="0"/>
                  <w:vAlign w:val="center"/>
                </w:tcPr>
                <w:p w14:paraId="1EAD7175">
                  <w:pPr>
                    <w:spacing w:before="24" w:after="24"/>
                    <w:jc w:val="center"/>
                    <w:rPr>
                      <w:rFonts w:hint="default" w:ascii="Times New Roman" w:hAnsi="Times New Roman" w:eastAsia="仿宋" w:cs="Times New Roman"/>
                      <w:color w:val="auto"/>
                      <w:szCs w:val="21"/>
                      <w:highlight w:val="none"/>
                    </w:rPr>
                  </w:pPr>
                </w:p>
              </w:tc>
              <w:tc>
                <w:tcPr>
                  <w:tcW w:w="1313" w:type="pct"/>
                  <w:vMerge w:val="continue"/>
                  <w:noWrap w:val="0"/>
                  <w:vAlign w:val="center"/>
                </w:tcPr>
                <w:p w14:paraId="685ED966">
                  <w:pPr>
                    <w:pStyle w:val="23"/>
                    <w:rPr>
                      <w:rFonts w:hint="default" w:ascii="Times New Roman" w:hAnsi="Times New Roman" w:eastAsia="仿宋" w:cs="Times New Roman"/>
                      <w:color w:val="auto"/>
                      <w:sz w:val="21"/>
                      <w:szCs w:val="21"/>
                      <w:highlight w:val="none"/>
                    </w:rPr>
                  </w:pPr>
                </w:p>
              </w:tc>
            </w:tr>
            <w:tr w14:paraId="4EFD0063">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continue"/>
                  <w:noWrap w:val="0"/>
                  <w:vAlign w:val="center"/>
                </w:tcPr>
                <w:p w14:paraId="721B356A">
                  <w:pPr>
                    <w:spacing w:before="24" w:after="24"/>
                    <w:jc w:val="center"/>
                    <w:rPr>
                      <w:rFonts w:hint="default" w:ascii="Times New Roman" w:hAnsi="Times New Roman" w:eastAsia="仿宋" w:cs="Times New Roman"/>
                      <w:color w:val="auto"/>
                      <w:szCs w:val="21"/>
                      <w:highlight w:val="none"/>
                    </w:rPr>
                  </w:pPr>
                </w:p>
              </w:tc>
              <w:tc>
                <w:tcPr>
                  <w:tcW w:w="1130" w:type="pct"/>
                  <w:noWrap w:val="0"/>
                  <w:vAlign w:val="center"/>
                </w:tcPr>
                <w:p w14:paraId="6D0A19EB">
                  <w:pPr>
                    <w:spacing w:before="24" w:after="24"/>
                    <w:jc w:val="center"/>
                    <w:rPr>
                      <w:rFonts w:hint="default" w:ascii="Times New Roman" w:hAnsi="Times New Roman" w:eastAsia="仿宋" w:cs="Times New Roman"/>
                      <w:color w:val="auto"/>
                      <w:szCs w:val="21"/>
                      <w:highlight w:val="none"/>
                    </w:rPr>
                  </w:pPr>
                  <w:r>
                    <w:rPr>
                      <w:rFonts w:hint="eastAsia" w:eastAsia="仿宋" w:cs="Times New Roman"/>
                      <w:color w:val="auto"/>
                      <w:szCs w:val="21"/>
                      <w:highlight w:val="none"/>
                      <w:lang w:val="en-US" w:eastAsia="zh-CN"/>
                    </w:rPr>
                    <w:t>日</w:t>
                  </w:r>
                  <w:r>
                    <w:rPr>
                      <w:rFonts w:hint="default" w:ascii="Times New Roman" w:hAnsi="Times New Roman" w:eastAsia="仿宋" w:cs="Times New Roman"/>
                      <w:color w:val="auto"/>
                      <w:szCs w:val="21"/>
                      <w:highlight w:val="none"/>
                    </w:rPr>
                    <w:t>平均</w:t>
                  </w:r>
                </w:p>
              </w:tc>
              <w:tc>
                <w:tcPr>
                  <w:tcW w:w="686" w:type="pct"/>
                  <w:noWrap w:val="0"/>
                  <w:vAlign w:val="center"/>
                </w:tcPr>
                <w:p w14:paraId="674829A9">
                  <w:pPr>
                    <w:pStyle w:val="65"/>
                    <w:spacing w:before="24" w:after="24" w:line="240"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1</w:t>
                  </w:r>
                  <w:r>
                    <w:rPr>
                      <w:rFonts w:hint="eastAsia" w:ascii="Times New Roman" w:hAnsi="Times New Roman" w:eastAsia="仿宋" w:cs="Times New Roman"/>
                      <w:szCs w:val="21"/>
                      <w:lang w:val="en-US" w:eastAsia="zh-CN"/>
                    </w:rPr>
                    <w:t>20</w:t>
                  </w:r>
                </w:p>
              </w:tc>
              <w:tc>
                <w:tcPr>
                  <w:tcW w:w="606" w:type="pct"/>
                  <w:noWrap w:val="0"/>
                  <w:vAlign w:val="center"/>
                </w:tcPr>
                <w:p w14:paraId="670DA8FD">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100</w:t>
                  </w:r>
                </w:p>
              </w:tc>
              <w:tc>
                <w:tcPr>
                  <w:tcW w:w="475" w:type="pct"/>
                  <w:vMerge w:val="continue"/>
                  <w:noWrap w:val="0"/>
                  <w:vAlign w:val="center"/>
                </w:tcPr>
                <w:p w14:paraId="5A374355">
                  <w:pPr>
                    <w:spacing w:before="24" w:after="24"/>
                    <w:jc w:val="center"/>
                    <w:rPr>
                      <w:rFonts w:hint="default" w:ascii="Times New Roman" w:hAnsi="Times New Roman" w:eastAsia="仿宋" w:cs="Times New Roman"/>
                      <w:color w:val="auto"/>
                      <w:szCs w:val="21"/>
                      <w:highlight w:val="none"/>
                    </w:rPr>
                  </w:pPr>
                </w:p>
              </w:tc>
              <w:tc>
                <w:tcPr>
                  <w:tcW w:w="1313" w:type="pct"/>
                  <w:vMerge w:val="continue"/>
                  <w:noWrap w:val="0"/>
                  <w:vAlign w:val="center"/>
                </w:tcPr>
                <w:p w14:paraId="36002728">
                  <w:pPr>
                    <w:pStyle w:val="23"/>
                    <w:rPr>
                      <w:rFonts w:hint="default" w:ascii="Times New Roman" w:hAnsi="Times New Roman" w:eastAsia="仿宋" w:cs="Times New Roman"/>
                      <w:color w:val="auto"/>
                      <w:sz w:val="21"/>
                      <w:szCs w:val="21"/>
                      <w:highlight w:val="none"/>
                    </w:rPr>
                  </w:pPr>
                </w:p>
              </w:tc>
            </w:tr>
            <w:tr w14:paraId="5E36B48F">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restart"/>
                  <w:noWrap w:val="0"/>
                  <w:vAlign w:val="center"/>
                </w:tcPr>
                <w:p w14:paraId="6C9E515B">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PM</w:t>
                  </w:r>
                  <w:r>
                    <w:rPr>
                      <w:rFonts w:hint="default" w:ascii="Times New Roman" w:hAnsi="Times New Roman" w:eastAsia="仿宋" w:cs="Times New Roman"/>
                      <w:color w:val="auto"/>
                      <w:szCs w:val="21"/>
                      <w:highlight w:val="none"/>
                      <w:vertAlign w:val="subscript"/>
                    </w:rPr>
                    <w:t>2.5</w:t>
                  </w:r>
                </w:p>
              </w:tc>
              <w:tc>
                <w:tcPr>
                  <w:tcW w:w="1130" w:type="pct"/>
                  <w:noWrap w:val="0"/>
                  <w:vAlign w:val="center"/>
                </w:tcPr>
                <w:p w14:paraId="3A33C8E0">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年平均</w:t>
                  </w:r>
                </w:p>
              </w:tc>
              <w:tc>
                <w:tcPr>
                  <w:tcW w:w="686" w:type="pct"/>
                  <w:noWrap w:val="0"/>
                  <w:vAlign w:val="center"/>
                </w:tcPr>
                <w:p w14:paraId="650E5645">
                  <w:pPr>
                    <w:pStyle w:val="65"/>
                    <w:spacing w:before="24" w:after="24" w:line="240" w:lineRule="auto"/>
                    <w:rPr>
                      <w:rFonts w:hint="default" w:ascii="Times New Roman" w:hAnsi="Times New Roman" w:eastAsia="仿宋" w:cs="Times New Roman"/>
                      <w:color w:val="auto"/>
                      <w:szCs w:val="21"/>
                      <w:highlight w:val="none"/>
                    </w:rPr>
                  </w:pPr>
                  <w:r>
                    <w:rPr>
                      <w:rFonts w:hint="eastAsia" w:ascii="Times New Roman" w:hAnsi="Times New Roman" w:eastAsia="仿宋" w:cs="Times New Roman"/>
                      <w:szCs w:val="21"/>
                      <w:lang w:val="en-US" w:eastAsia="zh-CN"/>
                    </w:rPr>
                    <w:t>30</w:t>
                  </w:r>
                </w:p>
              </w:tc>
              <w:tc>
                <w:tcPr>
                  <w:tcW w:w="606" w:type="pct"/>
                  <w:noWrap w:val="0"/>
                  <w:vAlign w:val="center"/>
                </w:tcPr>
                <w:p w14:paraId="27314B3C">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25</w:t>
                  </w:r>
                </w:p>
              </w:tc>
              <w:tc>
                <w:tcPr>
                  <w:tcW w:w="475" w:type="pct"/>
                  <w:vMerge w:val="continue"/>
                  <w:noWrap w:val="0"/>
                  <w:vAlign w:val="center"/>
                </w:tcPr>
                <w:p w14:paraId="5078D7B0">
                  <w:pPr>
                    <w:spacing w:before="24" w:after="24"/>
                    <w:jc w:val="center"/>
                    <w:rPr>
                      <w:rFonts w:hint="default" w:ascii="Times New Roman" w:hAnsi="Times New Roman" w:eastAsia="仿宋" w:cs="Times New Roman"/>
                      <w:color w:val="auto"/>
                      <w:szCs w:val="21"/>
                      <w:highlight w:val="none"/>
                    </w:rPr>
                  </w:pPr>
                </w:p>
              </w:tc>
              <w:tc>
                <w:tcPr>
                  <w:tcW w:w="1313" w:type="pct"/>
                  <w:vMerge w:val="continue"/>
                  <w:noWrap w:val="0"/>
                  <w:vAlign w:val="center"/>
                </w:tcPr>
                <w:p w14:paraId="3AEA7B21">
                  <w:pPr>
                    <w:pStyle w:val="23"/>
                    <w:rPr>
                      <w:rFonts w:hint="default" w:ascii="Times New Roman" w:hAnsi="Times New Roman" w:eastAsia="仿宋" w:cs="Times New Roman"/>
                      <w:color w:val="auto"/>
                      <w:sz w:val="21"/>
                      <w:szCs w:val="21"/>
                      <w:highlight w:val="none"/>
                    </w:rPr>
                  </w:pPr>
                </w:p>
              </w:tc>
            </w:tr>
            <w:tr w14:paraId="4F5DF8AF">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vMerge w:val="continue"/>
                  <w:noWrap w:val="0"/>
                  <w:vAlign w:val="center"/>
                </w:tcPr>
                <w:p w14:paraId="7EF04FFB">
                  <w:pPr>
                    <w:spacing w:before="24" w:after="24"/>
                    <w:jc w:val="center"/>
                    <w:rPr>
                      <w:rFonts w:hint="default" w:ascii="Times New Roman" w:hAnsi="Times New Roman" w:eastAsia="仿宋" w:cs="Times New Roman"/>
                      <w:color w:val="auto"/>
                      <w:szCs w:val="21"/>
                      <w:highlight w:val="none"/>
                    </w:rPr>
                  </w:pPr>
                </w:p>
              </w:tc>
              <w:tc>
                <w:tcPr>
                  <w:tcW w:w="1130" w:type="pct"/>
                  <w:noWrap w:val="0"/>
                  <w:vAlign w:val="center"/>
                </w:tcPr>
                <w:p w14:paraId="5E1EE57A">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24小时平均</w:t>
                  </w:r>
                </w:p>
              </w:tc>
              <w:tc>
                <w:tcPr>
                  <w:tcW w:w="686" w:type="pct"/>
                  <w:noWrap w:val="0"/>
                  <w:vAlign w:val="center"/>
                </w:tcPr>
                <w:p w14:paraId="008699F0">
                  <w:pPr>
                    <w:pStyle w:val="65"/>
                    <w:spacing w:before="24" w:after="24" w:line="240" w:lineRule="auto"/>
                    <w:rPr>
                      <w:rFonts w:hint="default" w:ascii="Times New Roman" w:hAnsi="Times New Roman" w:eastAsia="仿宋" w:cs="Times New Roman"/>
                      <w:color w:val="auto"/>
                      <w:szCs w:val="21"/>
                      <w:highlight w:val="none"/>
                    </w:rPr>
                  </w:pPr>
                  <w:r>
                    <w:rPr>
                      <w:rFonts w:hint="eastAsia" w:ascii="Times New Roman" w:hAnsi="Times New Roman" w:eastAsia="仿宋" w:cs="Times New Roman"/>
                      <w:szCs w:val="21"/>
                      <w:lang w:val="en-US" w:eastAsia="zh-CN"/>
                    </w:rPr>
                    <w:t>60</w:t>
                  </w:r>
                </w:p>
              </w:tc>
              <w:tc>
                <w:tcPr>
                  <w:tcW w:w="606" w:type="pct"/>
                  <w:noWrap w:val="0"/>
                  <w:vAlign w:val="center"/>
                </w:tcPr>
                <w:p w14:paraId="55F07F4C">
                  <w:pPr>
                    <w:pStyle w:val="65"/>
                    <w:spacing w:before="24" w:after="24" w:line="240" w:lineRule="auto"/>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50</w:t>
                  </w:r>
                </w:p>
              </w:tc>
              <w:tc>
                <w:tcPr>
                  <w:tcW w:w="475" w:type="pct"/>
                  <w:vMerge w:val="continue"/>
                  <w:noWrap w:val="0"/>
                  <w:vAlign w:val="center"/>
                </w:tcPr>
                <w:p w14:paraId="6062F6CB">
                  <w:pPr>
                    <w:spacing w:before="24" w:after="24"/>
                    <w:jc w:val="center"/>
                    <w:rPr>
                      <w:rFonts w:hint="default" w:ascii="Times New Roman" w:hAnsi="Times New Roman" w:eastAsia="仿宋" w:cs="Times New Roman"/>
                      <w:color w:val="auto"/>
                      <w:szCs w:val="21"/>
                      <w:highlight w:val="none"/>
                    </w:rPr>
                  </w:pPr>
                </w:p>
              </w:tc>
              <w:tc>
                <w:tcPr>
                  <w:tcW w:w="1313" w:type="pct"/>
                  <w:vMerge w:val="continue"/>
                  <w:noWrap w:val="0"/>
                  <w:vAlign w:val="center"/>
                </w:tcPr>
                <w:p w14:paraId="7AA553E1">
                  <w:pPr>
                    <w:pStyle w:val="23"/>
                    <w:rPr>
                      <w:rFonts w:hint="default" w:ascii="Times New Roman" w:hAnsi="Times New Roman" w:eastAsia="仿宋" w:cs="Times New Roman"/>
                      <w:color w:val="auto"/>
                      <w:sz w:val="21"/>
                      <w:szCs w:val="21"/>
                      <w:highlight w:val="none"/>
                    </w:rPr>
                  </w:pPr>
                </w:p>
              </w:tc>
            </w:tr>
            <w:tr w14:paraId="10C12E10">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7" w:type="pct"/>
                  <w:noWrap w:val="0"/>
                  <w:vAlign w:val="center"/>
                </w:tcPr>
                <w:p w14:paraId="48C39B60">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非甲烷总烃</w:t>
                  </w:r>
                </w:p>
              </w:tc>
              <w:tc>
                <w:tcPr>
                  <w:tcW w:w="1130" w:type="pct"/>
                  <w:noWrap w:val="0"/>
                  <w:vAlign w:val="center"/>
                </w:tcPr>
                <w:p w14:paraId="4D209650">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一次值</w:t>
                  </w:r>
                </w:p>
              </w:tc>
              <w:tc>
                <w:tcPr>
                  <w:tcW w:w="1293" w:type="pct"/>
                  <w:gridSpan w:val="2"/>
                  <w:noWrap w:val="0"/>
                  <w:vAlign w:val="center"/>
                </w:tcPr>
                <w:p w14:paraId="4DD91F2F">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2.0</w:t>
                  </w:r>
                </w:p>
              </w:tc>
              <w:tc>
                <w:tcPr>
                  <w:tcW w:w="475" w:type="pct"/>
                  <w:noWrap w:val="0"/>
                  <w:vAlign w:val="center"/>
                </w:tcPr>
                <w:p w14:paraId="6A97CDFC">
                  <w:pPr>
                    <w:spacing w:before="24" w:after="24"/>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mg/m</w:t>
                  </w:r>
                  <w:r>
                    <w:rPr>
                      <w:rFonts w:hint="default" w:ascii="Times New Roman" w:hAnsi="Times New Roman" w:eastAsia="仿宋" w:cs="Times New Roman"/>
                      <w:color w:val="auto"/>
                      <w:szCs w:val="21"/>
                      <w:highlight w:val="none"/>
                      <w:vertAlign w:val="superscript"/>
                    </w:rPr>
                    <w:t>3</w:t>
                  </w:r>
                </w:p>
              </w:tc>
              <w:tc>
                <w:tcPr>
                  <w:tcW w:w="1313" w:type="pct"/>
                  <w:noWrap w:val="0"/>
                  <w:vAlign w:val="center"/>
                </w:tcPr>
                <w:p w14:paraId="5CE8F462">
                  <w:pPr>
                    <w:spacing w:before="24" w:after="24"/>
                    <w:jc w:val="center"/>
                    <w:rPr>
                      <w:rFonts w:hint="default" w:ascii="Times New Roman" w:hAnsi="Times New Roman" w:eastAsia="仿宋" w:cs="Times New Roman"/>
                      <w:color w:val="auto"/>
                      <w:szCs w:val="21"/>
                      <w:highlight w:val="none"/>
                      <w:lang w:eastAsia="zh-CN"/>
                    </w:rPr>
                  </w:pPr>
                  <w:r>
                    <w:rPr>
                      <w:rFonts w:hint="default" w:ascii="Times New Roman" w:hAnsi="Times New Roman" w:eastAsia="仿宋" w:cs="Times New Roman"/>
                      <w:color w:val="auto"/>
                      <w:szCs w:val="21"/>
                      <w:highlight w:val="none"/>
                    </w:rPr>
                    <w:t>《大气污染物综合排放标准详解》</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国家环境保护局科技标准司</w:t>
                  </w:r>
                  <w:r>
                    <w:rPr>
                      <w:rFonts w:hint="default" w:ascii="Times New Roman" w:hAnsi="Times New Roman" w:eastAsia="仿宋" w:cs="Times New Roman"/>
                      <w:color w:val="auto"/>
                      <w:szCs w:val="21"/>
                      <w:highlight w:val="none"/>
                      <w:lang w:eastAsia="zh-CN"/>
                    </w:rPr>
                    <w:t>）</w:t>
                  </w:r>
                </w:p>
              </w:tc>
            </w:tr>
          </w:tbl>
          <w:p w14:paraId="25DB2B9B">
            <w:pPr>
              <w:keepNext w:val="0"/>
              <w:keepLines w:val="0"/>
              <w:pageBreakBefore w:val="0"/>
              <w:widowControl w:val="0"/>
              <w:tabs>
                <w:tab w:val="left" w:pos="5142"/>
              </w:tabs>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仿宋" w:cs="Times New Roman"/>
                <w:color w:val="auto"/>
                <w:spacing w:val="-6"/>
                <w:sz w:val="18"/>
                <w:szCs w:val="18"/>
                <w:lang w:val="en-US" w:eastAsia="zh-CN"/>
              </w:rPr>
              <w:t>注：至2030年12月31日止，环境空气污染物基本项目实施过渡阶段浓度限值;自2031年1月1日起，实施基本项目表1浓度限值。</w:t>
            </w:r>
          </w:p>
          <w:p w14:paraId="19ED4BAF">
            <w:pPr>
              <w:keepNext w:val="0"/>
              <w:keepLines w:val="0"/>
              <w:pageBreakBefore w:val="0"/>
              <w:widowControl w:val="0"/>
              <w:tabs>
                <w:tab w:val="left" w:pos="5142"/>
              </w:tabs>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2、地表水环境质量标准</w:t>
            </w:r>
          </w:p>
          <w:p w14:paraId="6F736A7D">
            <w:pPr>
              <w:spacing w:line="360" w:lineRule="auto"/>
              <w:ind w:firstLine="480" w:firstLineChars="200"/>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color w:val="auto"/>
                <w:sz w:val="24"/>
                <w:highlight w:val="none"/>
              </w:rPr>
              <w:t>根据《江苏省地表水（环境）功能区划（2021-2030年）》，尧塘河水质执行《地表水环境质量标准》（GB3838-2002）Ⅲ类标准，具体见下表。</w:t>
            </w:r>
          </w:p>
          <w:p w14:paraId="3DA0574C">
            <w:pPr>
              <w:jc w:val="right"/>
              <w:rPr>
                <w:rFonts w:hint="default" w:ascii="Times New Roman" w:hAnsi="Times New Roman" w:eastAsia="仿宋" w:cs="Times New Roman"/>
                <w:color w:val="auto"/>
                <w:sz w:val="24"/>
                <w:highlight w:val="none"/>
              </w:rPr>
            </w:pPr>
            <w:r>
              <w:rPr>
                <w:rFonts w:hint="default" w:ascii="Times New Roman" w:hAnsi="Times New Roman" w:eastAsia="仿宋" w:cs="Times New Roman"/>
                <w:b/>
                <w:bCs/>
                <w:color w:val="auto"/>
                <w:sz w:val="24"/>
                <w:highlight w:val="none"/>
              </w:rPr>
              <w:t>表3-</w:t>
            </w:r>
            <w:r>
              <w:rPr>
                <w:rFonts w:hint="eastAsia" w:eastAsia="仿宋" w:cs="Times New Roman"/>
                <w:b/>
                <w:bCs/>
                <w:color w:val="auto"/>
                <w:sz w:val="24"/>
                <w:highlight w:val="none"/>
                <w:lang w:val="en-US" w:eastAsia="zh-CN"/>
              </w:rPr>
              <w:t>6</w:t>
            </w:r>
            <w:r>
              <w:rPr>
                <w:rFonts w:hint="default" w:ascii="Times New Roman" w:hAnsi="Times New Roman" w:eastAsia="仿宋" w:cs="Times New Roman"/>
                <w:b/>
                <w:bCs/>
                <w:color w:val="auto"/>
                <w:sz w:val="24"/>
                <w:highlight w:val="none"/>
              </w:rPr>
              <w:t xml:space="preserve">  </w:t>
            </w:r>
            <w:r>
              <w:rPr>
                <w:rFonts w:hint="default" w:ascii="Times New Roman" w:hAnsi="Times New Roman" w:eastAsia="仿宋" w:cs="Times New Roman"/>
                <w:b/>
                <w:bCs/>
                <w:color w:val="auto"/>
                <w:kern w:val="0"/>
                <w:sz w:val="24"/>
                <w:highlight w:val="none"/>
              </w:rPr>
              <w:t xml:space="preserve">地表水环境质量标准限值      </w:t>
            </w:r>
            <w:r>
              <w:rPr>
                <w:rFonts w:hint="eastAsia" w:eastAsia="仿宋" w:cs="Times New Roman"/>
                <w:b/>
                <w:bCs/>
                <w:color w:val="auto"/>
                <w:kern w:val="0"/>
                <w:sz w:val="24"/>
                <w:highlight w:val="none"/>
                <w:lang w:val="en-US" w:eastAsia="zh-CN"/>
              </w:rPr>
              <w:t xml:space="preserve">  </w:t>
            </w:r>
            <w:r>
              <w:rPr>
                <w:rFonts w:hint="default" w:ascii="Times New Roman" w:hAnsi="Times New Roman" w:eastAsia="仿宋" w:cs="Times New Roman"/>
                <w:b/>
                <w:bCs/>
                <w:color w:val="auto"/>
                <w:kern w:val="0"/>
                <w:sz w:val="24"/>
                <w:highlight w:val="none"/>
              </w:rPr>
              <w:t xml:space="preserve">   单位：mg/L</w:t>
            </w:r>
          </w:p>
          <w:tbl>
            <w:tblPr>
              <w:tblStyle w:val="29"/>
              <w:tblW w:w="5000" w:type="pct"/>
              <w:jc w:val="center"/>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88"/>
              <w:gridCol w:w="2305"/>
              <w:gridCol w:w="3076"/>
            </w:tblGrid>
            <w:tr w14:paraId="5F854E56">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6" w:type="pct"/>
                  <w:tcBorders>
                    <w:left w:val="nil"/>
                    <w:bottom w:val="single" w:color="auto" w:sz="4" w:space="0"/>
                    <w:right w:val="single" w:color="auto" w:sz="4" w:space="0"/>
                  </w:tcBorders>
                  <w:noWrap w:val="0"/>
                  <w:vAlign w:val="center"/>
                </w:tcPr>
                <w:p w14:paraId="365D4635">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bCs/>
                      <w:color w:val="auto"/>
                      <w:kern w:val="0"/>
                      <w:sz w:val="21"/>
                      <w:szCs w:val="21"/>
                      <w:highlight w:val="none"/>
                    </w:rPr>
                    <w:t>分类项</w:t>
                  </w:r>
                </w:p>
              </w:tc>
              <w:tc>
                <w:tcPr>
                  <w:tcW w:w="1410" w:type="pct"/>
                  <w:tcBorders>
                    <w:left w:val="single" w:color="auto" w:sz="4" w:space="0"/>
                    <w:bottom w:val="single" w:color="auto" w:sz="4" w:space="0"/>
                    <w:right w:val="single" w:color="auto" w:sz="4" w:space="0"/>
                  </w:tcBorders>
                  <w:noWrap w:val="0"/>
                  <w:vAlign w:val="center"/>
                </w:tcPr>
                <w:p w14:paraId="46F4C506">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bCs/>
                      <w:color w:val="auto"/>
                      <w:kern w:val="0"/>
                      <w:sz w:val="21"/>
                      <w:szCs w:val="21"/>
                      <w:highlight w:val="none"/>
                    </w:rPr>
                    <w:t>Ⅲ类标准值</w:t>
                  </w:r>
                </w:p>
              </w:tc>
              <w:tc>
                <w:tcPr>
                  <w:tcW w:w="1882" w:type="pct"/>
                  <w:tcBorders>
                    <w:left w:val="single" w:color="auto" w:sz="4" w:space="0"/>
                    <w:bottom w:val="single" w:color="000000" w:sz="4" w:space="0"/>
                    <w:right w:val="nil"/>
                  </w:tcBorders>
                  <w:noWrap w:val="0"/>
                  <w:vAlign w:val="center"/>
                </w:tcPr>
                <w:p w14:paraId="59B47FE5">
                  <w:pPr>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b/>
                      <w:bCs/>
                      <w:color w:val="auto"/>
                      <w:kern w:val="0"/>
                      <w:sz w:val="21"/>
                      <w:szCs w:val="21"/>
                      <w:highlight w:val="none"/>
                    </w:rPr>
                    <w:t>标准来源</w:t>
                  </w:r>
                </w:p>
              </w:tc>
            </w:tr>
            <w:tr w14:paraId="655AD015">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6" w:type="pct"/>
                  <w:tcBorders>
                    <w:top w:val="single" w:color="auto" w:sz="4" w:space="0"/>
                    <w:left w:val="nil"/>
                    <w:right w:val="single" w:color="auto" w:sz="4" w:space="0"/>
                  </w:tcBorders>
                  <w:noWrap w:val="0"/>
                  <w:vAlign w:val="center"/>
                </w:tcPr>
                <w:p w14:paraId="1F1D35F3">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rPr>
                    <w:t>pH值（无量纲）</w:t>
                  </w:r>
                </w:p>
              </w:tc>
              <w:tc>
                <w:tcPr>
                  <w:tcW w:w="1410" w:type="pct"/>
                  <w:tcBorders>
                    <w:top w:val="single" w:color="auto" w:sz="4" w:space="0"/>
                    <w:left w:val="single" w:color="auto" w:sz="4" w:space="0"/>
                    <w:bottom w:val="single" w:color="auto" w:sz="4" w:space="0"/>
                    <w:right w:val="single" w:color="auto" w:sz="4" w:space="0"/>
                  </w:tcBorders>
                  <w:noWrap w:val="0"/>
                  <w:vAlign w:val="center"/>
                </w:tcPr>
                <w:p w14:paraId="4AF67E7E">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6～9</w:t>
                  </w:r>
                </w:p>
              </w:tc>
              <w:tc>
                <w:tcPr>
                  <w:tcW w:w="1882" w:type="pct"/>
                  <w:vMerge w:val="restart"/>
                  <w:tcBorders>
                    <w:top w:val="single" w:color="000000" w:sz="4" w:space="0"/>
                    <w:left w:val="single" w:color="auto" w:sz="4" w:space="0"/>
                    <w:right w:val="nil"/>
                  </w:tcBorders>
                  <w:noWrap w:val="0"/>
                  <w:vAlign w:val="center"/>
                </w:tcPr>
                <w:p w14:paraId="2ACE2BD2">
                  <w:pPr>
                    <w:jc w:val="center"/>
                    <w:rPr>
                      <w:rFonts w:hint="default" w:ascii="Times New Roman" w:hAnsi="Times New Roman" w:eastAsia="仿宋" w:cs="Times New Roman"/>
                      <w:b/>
                      <w:bCs/>
                      <w:color w:val="auto"/>
                      <w:kern w:val="0"/>
                      <w:sz w:val="21"/>
                      <w:szCs w:val="21"/>
                      <w:highlight w:val="none"/>
                    </w:rPr>
                  </w:pPr>
                  <w:r>
                    <w:rPr>
                      <w:rFonts w:hint="default" w:ascii="Times New Roman" w:hAnsi="Times New Roman" w:eastAsia="仿宋" w:cs="Times New Roman"/>
                      <w:color w:val="auto"/>
                      <w:sz w:val="21"/>
                      <w:szCs w:val="21"/>
                      <w:highlight w:val="none"/>
                    </w:rPr>
                    <w:t>《地表水环境质量标准》（GB3838-2002）</w:t>
                  </w:r>
                </w:p>
              </w:tc>
            </w:tr>
            <w:tr w14:paraId="0913BA1F">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6" w:type="pct"/>
                  <w:tcBorders>
                    <w:top w:val="single" w:color="auto" w:sz="4" w:space="0"/>
                    <w:left w:val="nil"/>
                    <w:bottom w:val="single" w:color="000000" w:sz="4" w:space="0"/>
                    <w:right w:val="single" w:color="000000" w:sz="4" w:space="0"/>
                  </w:tcBorders>
                  <w:noWrap w:val="0"/>
                  <w:vAlign w:val="center"/>
                </w:tcPr>
                <w:p w14:paraId="461DA3E6">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化学需氧量</w:t>
                  </w:r>
                </w:p>
              </w:tc>
              <w:tc>
                <w:tcPr>
                  <w:tcW w:w="1410" w:type="pct"/>
                  <w:tcBorders>
                    <w:top w:val="single" w:color="auto" w:sz="4" w:space="0"/>
                    <w:left w:val="single" w:color="000000" w:sz="4" w:space="0"/>
                    <w:bottom w:val="single" w:color="000000" w:sz="4" w:space="0"/>
                    <w:right w:val="single" w:color="000000" w:sz="4" w:space="0"/>
                  </w:tcBorders>
                  <w:noWrap w:val="0"/>
                  <w:vAlign w:val="center"/>
                </w:tcPr>
                <w:p w14:paraId="3490CAD8">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≤20</w:t>
                  </w:r>
                </w:p>
              </w:tc>
              <w:tc>
                <w:tcPr>
                  <w:tcW w:w="1882" w:type="pct"/>
                  <w:vMerge w:val="continue"/>
                  <w:tcBorders>
                    <w:left w:val="single" w:color="auto" w:sz="4" w:space="0"/>
                    <w:right w:val="nil"/>
                  </w:tcBorders>
                  <w:noWrap w:val="0"/>
                  <w:vAlign w:val="center"/>
                </w:tcPr>
                <w:p w14:paraId="6EE9C98A">
                  <w:pPr>
                    <w:spacing w:before="24" w:after="24"/>
                    <w:jc w:val="center"/>
                    <w:rPr>
                      <w:rFonts w:hint="default" w:ascii="Times New Roman" w:hAnsi="Times New Roman" w:eastAsia="仿宋" w:cs="Times New Roman"/>
                      <w:color w:val="auto"/>
                      <w:sz w:val="21"/>
                      <w:szCs w:val="21"/>
                      <w:highlight w:val="none"/>
                    </w:rPr>
                  </w:pPr>
                </w:p>
              </w:tc>
            </w:tr>
            <w:tr w14:paraId="450DF7D1">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6" w:type="pct"/>
                  <w:tcBorders>
                    <w:top w:val="single" w:color="000000" w:sz="4" w:space="0"/>
                    <w:left w:val="nil"/>
                    <w:bottom w:val="single" w:color="000000" w:sz="4" w:space="0"/>
                    <w:right w:val="single" w:color="000000" w:sz="4" w:space="0"/>
                  </w:tcBorders>
                  <w:noWrap w:val="0"/>
                  <w:vAlign w:val="center"/>
                </w:tcPr>
                <w:p w14:paraId="536482FC">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氨氮（NH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1410" w:type="pct"/>
                  <w:tcBorders>
                    <w:top w:val="single" w:color="000000" w:sz="4" w:space="0"/>
                    <w:left w:val="single" w:color="000000" w:sz="4" w:space="0"/>
                    <w:bottom w:val="single" w:color="000000" w:sz="4" w:space="0"/>
                    <w:right w:val="single" w:color="000000" w:sz="4" w:space="0"/>
                  </w:tcBorders>
                  <w:noWrap w:val="0"/>
                  <w:vAlign w:val="center"/>
                </w:tcPr>
                <w:p w14:paraId="6B1E7094">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≤1.0</w:t>
                  </w:r>
                </w:p>
              </w:tc>
              <w:tc>
                <w:tcPr>
                  <w:tcW w:w="1882" w:type="pct"/>
                  <w:vMerge w:val="continue"/>
                  <w:tcBorders>
                    <w:left w:val="single" w:color="auto" w:sz="4" w:space="0"/>
                    <w:right w:val="nil"/>
                  </w:tcBorders>
                  <w:noWrap w:val="0"/>
                  <w:vAlign w:val="center"/>
                </w:tcPr>
                <w:p w14:paraId="51FEF417">
                  <w:pPr>
                    <w:spacing w:before="24" w:after="24"/>
                    <w:jc w:val="center"/>
                    <w:rPr>
                      <w:rFonts w:hint="default" w:ascii="Times New Roman" w:hAnsi="Times New Roman" w:eastAsia="仿宋" w:cs="Times New Roman"/>
                      <w:color w:val="auto"/>
                      <w:sz w:val="21"/>
                      <w:szCs w:val="21"/>
                      <w:highlight w:val="none"/>
                    </w:rPr>
                  </w:pPr>
                </w:p>
              </w:tc>
            </w:tr>
            <w:tr w14:paraId="2AEB83A8">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6" w:type="pct"/>
                  <w:tcBorders>
                    <w:top w:val="single" w:color="000000" w:sz="4" w:space="0"/>
                    <w:left w:val="nil"/>
                    <w:bottom w:val="single" w:color="000000" w:sz="4" w:space="0"/>
                    <w:right w:val="single" w:color="000000" w:sz="4" w:space="0"/>
                  </w:tcBorders>
                  <w:noWrap w:val="0"/>
                  <w:vAlign w:val="center"/>
                </w:tcPr>
                <w:p w14:paraId="4CA9E66A">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总磷（以P计）</w:t>
                  </w:r>
                </w:p>
              </w:tc>
              <w:tc>
                <w:tcPr>
                  <w:tcW w:w="1410" w:type="pct"/>
                  <w:tcBorders>
                    <w:top w:val="single" w:color="000000" w:sz="4" w:space="0"/>
                    <w:left w:val="single" w:color="000000" w:sz="4" w:space="0"/>
                    <w:bottom w:val="single" w:color="000000" w:sz="4" w:space="0"/>
                    <w:right w:val="single" w:color="000000" w:sz="4" w:space="0"/>
                  </w:tcBorders>
                  <w:noWrap w:val="0"/>
                  <w:vAlign w:val="center"/>
                </w:tcPr>
                <w:p w14:paraId="00946B95">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≤0.2</w:t>
                  </w:r>
                </w:p>
              </w:tc>
              <w:tc>
                <w:tcPr>
                  <w:tcW w:w="1882" w:type="pct"/>
                  <w:vMerge w:val="continue"/>
                  <w:tcBorders>
                    <w:left w:val="single" w:color="auto" w:sz="4" w:space="0"/>
                    <w:right w:val="nil"/>
                  </w:tcBorders>
                  <w:noWrap w:val="0"/>
                  <w:vAlign w:val="center"/>
                </w:tcPr>
                <w:p w14:paraId="2BE4505D">
                  <w:pPr>
                    <w:spacing w:before="24" w:after="24"/>
                    <w:jc w:val="center"/>
                    <w:rPr>
                      <w:rFonts w:hint="default" w:ascii="Times New Roman" w:hAnsi="Times New Roman" w:eastAsia="仿宋" w:cs="Times New Roman"/>
                      <w:color w:val="auto"/>
                      <w:sz w:val="21"/>
                      <w:szCs w:val="21"/>
                      <w:highlight w:val="none"/>
                    </w:rPr>
                  </w:pPr>
                </w:p>
              </w:tc>
            </w:tr>
            <w:tr w14:paraId="3D81CA71">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6" w:type="pct"/>
                  <w:tcBorders>
                    <w:top w:val="single" w:color="000000" w:sz="4" w:space="0"/>
                    <w:left w:val="nil"/>
                    <w:bottom w:val="single" w:color="000000" w:sz="4" w:space="0"/>
                    <w:right w:val="single" w:color="000000" w:sz="4" w:space="0"/>
                  </w:tcBorders>
                  <w:noWrap w:val="0"/>
                  <w:vAlign w:val="center"/>
                </w:tcPr>
                <w:p w14:paraId="45EC4BB8">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总氮</w:t>
                  </w:r>
                </w:p>
              </w:tc>
              <w:tc>
                <w:tcPr>
                  <w:tcW w:w="1410" w:type="pct"/>
                  <w:tcBorders>
                    <w:top w:val="single" w:color="000000" w:sz="4" w:space="0"/>
                    <w:left w:val="single" w:color="000000" w:sz="4" w:space="0"/>
                    <w:bottom w:val="single" w:color="000000" w:sz="4" w:space="0"/>
                    <w:right w:val="single" w:color="000000" w:sz="4" w:space="0"/>
                  </w:tcBorders>
                  <w:noWrap w:val="0"/>
                  <w:vAlign w:val="center"/>
                </w:tcPr>
                <w:p w14:paraId="66213D40">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≤1.0</w:t>
                  </w:r>
                </w:p>
              </w:tc>
              <w:tc>
                <w:tcPr>
                  <w:tcW w:w="1882" w:type="pct"/>
                  <w:vMerge w:val="continue"/>
                  <w:tcBorders>
                    <w:left w:val="single" w:color="auto" w:sz="4" w:space="0"/>
                    <w:bottom w:val="single" w:color="000000" w:sz="4" w:space="0"/>
                    <w:right w:val="nil"/>
                  </w:tcBorders>
                  <w:noWrap w:val="0"/>
                  <w:vAlign w:val="center"/>
                </w:tcPr>
                <w:p w14:paraId="0AB30939">
                  <w:pPr>
                    <w:spacing w:before="24" w:after="24"/>
                    <w:jc w:val="center"/>
                    <w:rPr>
                      <w:rFonts w:hint="default" w:ascii="Times New Roman" w:hAnsi="Times New Roman" w:eastAsia="仿宋" w:cs="Times New Roman"/>
                      <w:color w:val="auto"/>
                      <w:sz w:val="21"/>
                      <w:szCs w:val="21"/>
                      <w:highlight w:val="none"/>
                    </w:rPr>
                  </w:pPr>
                </w:p>
              </w:tc>
            </w:tr>
            <w:tr w14:paraId="02EAA66B">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06" w:type="pct"/>
                  <w:tcBorders>
                    <w:top w:val="single" w:color="000000" w:sz="4" w:space="0"/>
                    <w:left w:val="nil"/>
                    <w:bottom w:val="single" w:color="auto" w:sz="12" w:space="0"/>
                    <w:right w:val="single" w:color="000000" w:sz="4" w:space="0"/>
                  </w:tcBorders>
                  <w:noWrap w:val="0"/>
                  <w:vAlign w:val="center"/>
                </w:tcPr>
                <w:p w14:paraId="3E1E5DAC">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适用地表水水系</w:t>
                  </w:r>
                </w:p>
              </w:tc>
              <w:tc>
                <w:tcPr>
                  <w:tcW w:w="1410" w:type="pct"/>
                  <w:tcBorders>
                    <w:top w:val="single" w:color="000000" w:sz="4" w:space="0"/>
                    <w:left w:val="single" w:color="000000" w:sz="4" w:space="0"/>
                    <w:bottom w:val="single" w:color="auto" w:sz="12" w:space="0"/>
                    <w:right w:val="single" w:color="000000" w:sz="4" w:space="0"/>
                  </w:tcBorders>
                  <w:noWrap w:val="0"/>
                  <w:vAlign w:val="center"/>
                </w:tcPr>
                <w:p w14:paraId="22DFF0ED">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尧塘河</w:t>
                  </w:r>
                </w:p>
              </w:tc>
              <w:tc>
                <w:tcPr>
                  <w:tcW w:w="1882" w:type="pct"/>
                  <w:tcBorders>
                    <w:top w:val="single" w:color="000000" w:sz="4" w:space="0"/>
                    <w:left w:val="single" w:color="000000" w:sz="4" w:space="0"/>
                    <w:bottom w:val="single" w:color="auto" w:sz="12" w:space="0"/>
                    <w:right w:val="nil"/>
                  </w:tcBorders>
                  <w:noWrap w:val="0"/>
                  <w:vAlign w:val="center"/>
                </w:tcPr>
                <w:p w14:paraId="05C56749">
                  <w:pPr>
                    <w:spacing w:before="24" w:after="24"/>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bl>
          <w:p w14:paraId="4720E198">
            <w:pPr>
              <w:snapToGrid w:val="0"/>
              <w:spacing w:before="120" w:beforeLines="50"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3、声环境质量标准</w:t>
            </w:r>
          </w:p>
          <w:p w14:paraId="1CED5C8D">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bCs/>
                <w:color w:val="auto"/>
                <w:sz w:val="24"/>
                <w:highlight w:val="none"/>
              </w:rPr>
              <w:t>根据《常州市市区声环境功能区划（2017）》（苏政发</w:t>
            </w:r>
            <w:r>
              <w:rPr>
                <w:rFonts w:hint="eastAsia" w:eastAsia="仿宋" w:cs="Times New Roman"/>
                <w:bCs/>
                <w:color w:val="auto"/>
                <w:sz w:val="24"/>
                <w:highlight w:val="none"/>
                <w:lang w:eastAsia="zh-CN"/>
              </w:rPr>
              <w:t>〔2017〕161号</w:t>
            </w:r>
            <w:r>
              <w:rPr>
                <w:rFonts w:hint="default" w:ascii="Times New Roman" w:hAnsi="Times New Roman" w:eastAsia="仿宋" w:cs="Times New Roman"/>
                <w:bCs/>
                <w:color w:val="auto"/>
                <w:sz w:val="24"/>
                <w:highlight w:val="none"/>
              </w:rPr>
              <w:t>），项目所在区域环境噪声执行《声环境质量标准》（GB3096-2008）中3类声环境功能区环境噪声限值。</w:t>
            </w:r>
            <w:r>
              <w:rPr>
                <w:rFonts w:hint="default" w:ascii="Times New Roman" w:hAnsi="Times New Roman" w:eastAsia="仿宋" w:cs="Times New Roman"/>
                <w:color w:val="auto"/>
                <w:sz w:val="24"/>
                <w:highlight w:val="none"/>
              </w:rPr>
              <w:t>具体标准限值见下表。</w:t>
            </w:r>
          </w:p>
          <w:p w14:paraId="7B0F48EF">
            <w:pPr>
              <w:snapToGrid w:val="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bCs/>
                <w:color w:val="auto"/>
                <w:sz w:val="24"/>
                <w:highlight w:val="none"/>
              </w:rPr>
              <w:t>表3-</w:t>
            </w:r>
            <w:r>
              <w:rPr>
                <w:rFonts w:hint="eastAsia" w:eastAsia="仿宋" w:cs="Times New Roman"/>
                <w:b/>
                <w:bCs/>
                <w:color w:val="auto"/>
                <w:sz w:val="24"/>
                <w:highlight w:val="none"/>
                <w:lang w:val="en-US" w:eastAsia="zh-CN"/>
              </w:rPr>
              <w:t>7</w:t>
            </w:r>
            <w:r>
              <w:rPr>
                <w:rFonts w:hint="default" w:ascii="Times New Roman" w:hAnsi="Times New Roman" w:eastAsia="仿宋" w:cs="Times New Roman"/>
                <w:b/>
                <w:bCs/>
                <w:color w:val="auto"/>
                <w:sz w:val="24"/>
                <w:highlight w:val="none"/>
              </w:rPr>
              <w:t xml:space="preserve">  </w:t>
            </w:r>
            <w:r>
              <w:rPr>
                <w:rFonts w:hint="default" w:ascii="Times New Roman" w:hAnsi="Times New Roman" w:eastAsia="仿宋" w:cs="Times New Roman"/>
                <w:b/>
                <w:color w:val="auto"/>
                <w:sz w:val="24"/>
                <w:highlight w:val="none"/>
              </w:rPr>
              <w:t>环境噪声标准限值</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862"/>
              <w:gridCol w:w="2651"/>
              <w:gridCol w:w="2656"/>
            </w:tblGrid>
            <w:tr w14:paraId="279551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752" w:type="pct"/>
                  <w:tcBorders>
                    <w:top w:val="single" w:color="auto" w:sz="12" w:space="0"/>
                    <w:bottom w:val="single" w:color="auto" w:sz="4" w:space="0"/>
                    <w:right w:val="single" w:color="auto" w:sz="4" w:space="0"/>
                    <w:tl2br w:val="single" w:color="auto" w:sz="4" w:space="0"/>
                  </w:tcBorders>
                  <w:noWrap w:val="0"/>
                  <w:vAlign w:val="center"/>
                </w:tcPr>
                <w:p w14:paraId="381B0459">
                  <w:pPr>
                    <w:jc w:val="right"/>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时段</w:t>
                  </w:r>
                </w:p>
                <w:p w14:paraId="4904747E">
                  <w:pP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声环境功能区类别</w:t>
                  </w:r>
                </w:p>
              </w:tc>
              <w:tc>
                <w:tcPr>
                  <w:tcW w:w="1622" w:type="pct"/>
                  <w:tcBorders>
                    <w:top w:val="single" w:color="auto" w:sz="12" w:space="0"/>
                    <w:left w:val="single" w:color="auto" w:sz="4" w:space="0"/>
                    <w:bottom w:val="single" w:color="auto" w:sz="4" w:space="0"/>
                    <w:right w:val="single" w:color="auto" w:sz="4" w:space="0"/>
                  </w:tcBorders>
                  <w:noWrap w:val="0"/>
                  <w:vAlign w:val="center"/>
                </w:tcPr>
                <w:p w14:paraId="1FCF0E03">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昼间（</w:t>
                  </w:r>
                  <w:r>
                    <w:rPr>
                      <w:rFonts w:hint="default" w:ascii="Times New Roman" w:hAnsi="Times New Roman" w:eastAsia="仿宋" w:cs="Times New Roman"/>
                      <w:b/>
                      <w:color w:val="auto"/>
                      <w:szCs w:val="21"/>
                      <w:highlight w:val="none"/>
                    </w:rPr>
                    <w:t>dB（A））</w:t>
                  </w:r>
                </w:p>
              </w:tc>
              <w:tc>
                <w:tcPr>
                  <w:tcW w:w="1625" w:type="pct"/>
                  <w:tcBorders>
                    <w:top w:val="single" w:color="auto" w:sz="12" w:space="0"/>
                    <w:left w:val="single" w:color="auto" w:sz="4" w:space="0"/>
                    <w:bottom w:val="single" w:color="auto" w:sz="4" w:space="0"/>
                  </w:tcBorders>
                  <w:noWrap w:val="0"/>
                  <w:vAlign w:val="center"/>
                </w:tcPr>
                <w:p w14:paraId="3F125781">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夜间（</w:t>
                  </w:r>
                  <w:r>
                    <w:rPr>
                      <w:rFonts w:hint="default" w:ascii="Times New Roman" w:hAnsi="Times New Roman" w:eastAsia="仿宋" w:cs="Times New Roman"/>
                      <w:b/>
                      <w:color w:val="auto"/>
                      <w:szCs w:val="21"/>
                      <w:highlight w:val="none"/>
                    </w:rPr>
                    <w:t>dB（A））</w:t>
                  </w:r>
                </w:p>
              </w:tc>
            </w:tr>
            <w:tr w14:paraId="3977E5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752" w:type="pct"/>
                  <w:tcBorders>
                    <w:top w:val="single" w:color="auto" w:sz="4" w:space="0"/>
                    <w:bottom w:val="single" w:color="auto" w:sz="12" w:space="0"/>
                    <w:right w:val="single" w:color="auto" w:sz="4" w:space="0"/>
                  </w:tcBorders>
                  <w:noWrap w:val="0"/>
                  <w:vAlign w:val="center"/>
                </w:tcPr>
                <w:p w14:paraId="61C21632">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3</w:t>
                  </w:r>
                </w:p>
              </w:tc>
              <w:tc>
                <w:tcPr>
                  <w:tcW w:w="1622" w:type="pct"/>
                  <w:tcBorders>
                    <w:top w:val="single" w:color="auto" w:sz="4" w:space="0"/>
                    <w:left w:val="single" w:color="auto" w:sz="4" w:space="0"/>
                    <w:bottom w:val="single" w:color="auto" w:sz="12" w:space="0"/>
                    <w:right w:val="single" w:color="auto" w:sz="4" w:space="0"/>
                  </w:tcBorders>
                  <w:noWrap w:val="0"/>
                  <w:vAlign w:val="center"/>
                </w:tcPr>
                <w:p w14:paraId="3D6355E6">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65</w:t>
                  </w:r>
                </w:p>
              </w:tc>
              <w:tc>
                <w:tcPr>
                  <w:tcW w:w="1625" w:type="pct"/>
                  <w:tcBorders>
                    <w:top w:val="single" w:color="auto" w:sz="4" w:space="0"/>
                    <w:left w:val="single" w:color="auto" w:sz="4" w:space="0"/>
                    <w:bottom w:val="single" w:color="auto" w:sz="12" w:space="0"/>
                  </w:tcBorders>
                  <w:noWrap w:val="0"/>
                  <w:vAlign w:val="center"/>
                </w:tcPr>
                <w:p w14:paraId="1E7E6D25">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55</w:t>
                  </w:r>
                </w:p>
              </w:tc>
            </w:tr>
          </w:tbl>
          <w:p w14:paraId="796DC323">
            <w:pPr>
              <w:adjustRightInd w:val="0"/>
              <w:snapToGrid w:val="0"/>
              <w:spacing w:line="360" w:lineRule="auto"/>
              <w:jc w:val="left"/>
              <w:rPr>
                <w:rFonts w:hint="default" w:ascii="Times New Roman" w:hAnsi="Times New Roman" w:eastAsia="仿宋" w:cs="Times New Roman"/>
                <w:color w:val="auto"/>
                <w:sz w:val="24"/>
                <w:highlight w:val="none"/>
              </w:rPr>
            </w:pPr>
          </w:p>
        </w:tc>
      </w:tr>
      <w:tr w14:paraId="0B097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3" w:type="pct"/>
            <w:noWrap w:val="0"/>
            <w:vAlign w:val="center"/>
          </w:tcPr>
          <w:p w14:paraId="1FAC4EA7">
            <w:pPr>
              <w:adjustRightInd w:val="0"/>
              <w:snapToGrid w:val="0"/>
              <w:spacing w:line="360" w:lineRule="auto"/>
              <w:ind w:left="-105" w:leftChars="-50" w:right="-105" w:rightChars="-50"/>
              <w:jc w:val="center"/>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kern w:val="0"/>
                <w:sz w:val="24"/>
                <w:highlight w:val="none"/>
              </w:rPr>
              <w:t>环境保护目标</w:t>
            </w:r>
          </w:p>
        </w:tc>
        <w:tc>
          <w:tcPr>
            <w:tcW w:w="4626" w:type="pct"/>
            <w:noWrap w:val="0"/>
            <w:vAlign w:val="center"/>
          </w:tcPr>
          <w:p w14:paraId="529FCDE2">
            <w:pPr>
              <w:adjustRightInd w:val="0"/>
              <w:snapToGrid w:val="0"/>
              <w:spacing w:before="120" w:beforeLines="5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主要环境保护目标（列出名单及保护级别）：</w:t>
            </w:r>
          </w:p>
          <w:p w14:paraId="29C01F58">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1、大气环境</w:t>
            </w:r>
          </w:p>
          <w:p w14:paraId="70B16B9E">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经现场实地踏勘，</w:t>
            </w:r>
            <w:r>
              <w:rPr>
                <w:rFonts w:hint="default" w:ascii="Times New Roman" w:hAnsi="Times New Roman" w:eastAsia="仿宋" w:cs="Times New Roman"/>
                <w:bCs/>
                <w:color w:val="auto"/>
                <w:sz w:val="24"/>
              </w:rPr>
              <w:t>本项目厂界外500米范围内无大气、风险环境保护目标</w:t>
            </w:r>
            <w:r>
              <w:rPr>
                <w:rFonts w:hint="default" w:ascii="Times New Roman" w:hAnsi="Times New Roman" w:eastAsia="仿宋" w:cs="Times New Roman"/>
                <w:bCs/>
                <w:color w:val="auto"/>
                <w:sz w:val="24"/>
                <w:highlight w:val="none"/>
              </w:rPr>
              <w:t>。</w:t>
            </w:r>
          </w:p>
          <w:p w14:paraId="23E8828D">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2、地表水环境</w:t>
            </w:r>
          </w:p>
          <w:p w14:paraId="3DE0F1E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经现场实地踏勘，本项目地表水环境保护目标见表3-</w:t>
            </w:r>
            <w:r>
              <w:rPr>
                <w:rFonts w:hint="eastAsia" w:eastAsia="仿宋" w:cs="Times New Roman"/>
                <w:bCs/>
                <w:color w:val="auto"/>
                <w:sz w:val="24"/>
                <w:highlight w:val="none"/>
                <w:lang w:val="en-US" w:eastAsia="zh-CN"/>
              </w:rPr>
              <w:t>8</w:t>
            </w:r>
            <w:r>
              <w:rPr>
                <w:rFonts w:hint="default" w:ascii="Times New Roman" w:hAnsi="Times New Roman" w:eastAsia="仿宋" w:cs="Times New Roman"/>
                <w:bCs/>
                <w:color w:val="auto"/>
                <w:sz w:val="24"/>
                <w:highlight w:val="none"/>
              </w:rPr>
              <w:t>。</w:t>
            </w:r>
          </w:p>
          <w:p w14:paraId="5FC55A7E">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表3-</w:t>
            </w:r>
            <w:r>
              <w:rPr>
                <w:rFonts w:hint="eastAsia" w:eastAsia="仿宋" w:cs="Times New Roman"/>
                <w:b/>
                <w:bCs/>
                <w:color w:val="auto"/>
                <w:sz w:val="24"/>
                <w:highlight w:val="none"/>
                <w:lang w:val="en-US" w:eastAsia="zh-CN"/>
              </w:rPr>
              <w:t>8</w:t>
            </w:r>
            <w:r>
              <w:rPr>
                <w:rFonts w:hint="default" w:ascii="Times New Roman" w:hAnsi="Times New Roman" w:eastAsia="仿宋" w:cs="Times New Roman"/>
                <w:b/>
                <w:bCs/>
                <w:color w:val="auto"/>
                <w:sz w:val="24"/>
                <w:highlight w:val="none"/>
              </w:rPr>
              <w:t xml:space="preserve">  地表水环境保护目标及环境功能区划情况一览表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56"/>
              <w:gridCol w:w="1111"/>
              <w:gridCol w:w="759"/>
              <w:gridCol w:w="759"/>
              <w:gridCol w:w="759"/>
              <w:gridCol w:w="2033"/>
              <w:gridCol w:w="1792"/>
            </w:tblGrid>
            <w:tr w14:paraId="33A14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85" w:type="pct"/>
                  <w:noWrap w:val="0"/>
                  <w:vAlign w:val="center"/>
                </w:tcPr>
                <w:p w14:paraId="102D2D9A">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环境要素</w:t>
                  </w:r>
                </w:p>
              </w:tc>
              <w:tc>
                <w:tcPr>
                  <w:tcW w:w="680" w:type="pct"/>
                  <w:noWrap w:val="0"/>
                  <w:vAlign w:val="center"/>
                </w:tcPr>
                <w:p w14:paraId="02DF73CB">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保护对象</w:t>
                  </w:r>
                </w:p>
                <w:p w14:paraId="27BE724C">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名称</w:t>
                  </w:r>
                </w:p>
              </w:tc>
              <w:tc>
                <w:tcPr>
                  <w:tcW w:w="464" w:type="pct"/>
                  <w:noWrap w:val="0"/>
                  <w:vAlign w:val="center"/>
                </w:tcPr>
                <w:p w14:paraId="6AC88FED">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方位</w:t>
                  </w:r>
                </w:p>
              </w:tc>
              <w:tc>
                <w:tcPr>
                  <w:tcW w:w="464" w:type="pct"/>
                  <w:noWrap w:val="0"/>
                  <w:vAlign w:val="center"/>
                </w:tcPr>
                <w:p w14:paraId="551D5FCC">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距离</w:t>
                  </w:r>
                </w:p>
              </w:tc>
              <w:tc>
                <w:tcPr>
                  <w:tcW w:w="464" w:type="pct"/>
                  <w:noWrap w:val="0"/>
                  <w:vAlign w:val="center"/>
                </w:tcPr>
                <w:p w14:paraId="658A7BDE">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规模</w:t>
                  </w:r>
                </w:p>
              </w:tc>
              <w:tc>
                <w:tcPr>
                  <w:tcW w:w="1243" w:type="pct"/>
                  <w:noWrap w:val="0"/>
                  <w:vAlign w:val="center"/>
                </w:tcPr>
                <w:p w14:paraId="1F088A3D">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环境功能区划</w:t>
                  </w:r>
                </w:p>
              </w:tc>
              <w:tc>
                <w:tcPr>
                  <w:tcW w:w="1096" w:type="pct"/>
                  <w:noWrap w:val="0"/>
                  <w:vAlign w:val="center"/>
                </w:tcPr>
                <w:p w14:paraId="529031E7">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依据</w:t>
                  </w:r>
                </w:p>
              </w:tc>
            </w:tr>
            <w:tr w14:paraId="623A3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85" w:type="pct"/>
                  <w:vMerge w:val="restart"/>
                  <w:noWrap w:val="0"/>
                  <w:vAlign w:val="center"/>
                </w:tcPr>
                <w:p w14:paraId="438E0188">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水环境</w:t>
                  </w:r>
                </w:p>
              </w:tc>
              <w:tc>
                <w:tcPr>
                  <w:tcW w:w="680" w:type="pct"/>
                  <w:noWrap w:val="0"/>
                  <w:vAlign w:val="center"/>
                </w:tcPr>
                <w:p w14:paraId="38F65C0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丹金溧漕河</w:t>
                  </w:r>
                </w:p>
              </w:tc>
              <w:tc>
                <w:tcPr>
                  <w:tcW w:w="464" w:type="pct"/>
                  <w:noWrap w:val="0"/>
                  <w:vAlign w:val="center"/>
                </w:tcPr>
                <w:p w14:paraId="002C0DF0">
                  <w:pPr>
                    <w:jc w:val="center"/>
                    <w:rPr>
                      <w:rFonts w:hint="eastAsia" w:ascii="Times New Roman" w:hAnsi="Times New Roman" w:eastAsia="仿宋" w:cs="Times New Roman"/>
                      <w:color w:val="auto"/>
                      <w:szCs w:val="21"/>
                      <w:highlight w:val="none"/>
                      <w:lang w:eastAsia="zh-CN"/>
                    </w:rPr>
                  </w:pPr>
                  <w:r>
                    <w:rPr>
                      <w:rFonts w:hint="eastAsia" w:ascii="Times New Roman" w:hAnsi="Times New Roman" w:eastAsia="仿宋" w:cs="Times New Roman"/>
                      <w:color w:val="auto"/>
                      <w:szCs w:val="21"/>
                      <w:highlight w:val="none"/>
                      <w:lang w:val="en-US" w:eastAsia="zh-CN"/>
                    </w:rPr>
                    <w:t>W</w:t>
                  </w:r>
                </w:p>
              </w:tc>
              <w:tc>
                <w:tcPr>
                  <w:tcW w:w="464" w:type="pct"/>
                  <w:noWrap w:val="0"/>
                  <w:vAlign w:val="center"/>
                </w:tcPr>
                <w:p w14:paraId="687170CE">
                  <w:pPr>
                    <w:jc w:val="center"/>
                    <w:rPr>
                      <w:rFonts w:hint="default" w:ascii="Times New Roman" w:hAnsi="Times New Roman" w:eastAsia="仿宋" w:cs="Times New Roman"/>
                      <w:color w:val="auto"/>
                      <w:szCs w:val="21"/>
                      <w:highlight w:val="none"/>
                    </w:rPr>
                  </w:pPr>
                  <w:r>
                    <w:rPr>
                      <w:rFonts w:hint="eastAsia" w:ascii="Times New Roman" w:hAnsi="Times New Roman" w:eastAsia="仿宋" w:cs="Times New Roman"/>
                      <w:color w:val="auto"/>
                      <w:szCs w:val="21"/>
                      <w:highlight w:val="none"/>
                      <w:lang w:val="en-US" w:eastAsia="zh-CN"/>
                    </w:rPr>
                    <w:t>870</w:t>
                  </w:r>
                  <w:r>
                    <w:rPr>
                      <w:rFonts w:hint="default" w:ascii="Times New Roman" w:hAnsi="Times New Roman" w:eastAsia="仿宋" w:cs="Times New Roman"/>
                      <w:color w:val="auto"/>
                      <w:szCs w:val="21"/>
                      <w:highlight w:val="none"/>
                    </w:rPr>
                    <w:t>m</w:t>
                  </w:r>
                </w:p>
              </w:tc>
              <w:tc>
                <w:tcPr>
                  <w:tcW w:w="464" w:type="pct"/>
                  <w:noWrap w:val="0"/>
                  <w:vAlign w:val="center"/>
                </w:tcPr>
                <w:p w14:paraId="744628DD">
                  <w:pPr>
                    <w:jc w:val="center"/>
                    <w:rPr>
                      <w:rFonts w:hint="default" w:ascii="Times New Roman" w:hAnsi="Times New Roman" w:eastAsia="仿宋" w:cs="Times New Roman"/>
                      <w:color w:val="auto"/>
                      <w:szCs w:val="21"/>
                      <w:highlight w:val="none"/>
                    </w:rPr>
                  </w:pPr>
                  <w:r>
                    <w:rPr>
                      <w:rFonts w:hint="eastAsia" w:eastAsia="仿宋" w:cs="Times New Roman"/>
                      <w:color w:val="auto"/>
                      <w:szCs w:val="21"/>
                      <w:highlight w:val="none"/>
                      <w:lang w:val="en-US" w:eastAsia="zh-CN"/>
                    </w:rPr>
                    <w:t>中</w:t>
                  </w:r>
                  <w:r>
                    <w:rPr>
                      <w:rFonts w:hint="default" w:ascii="Times New Roman" w:hAnsi="Times New Roman" w:eastAsia="仿宋" w:cs="Times New Roman"/>
                      <w:color w:val="auto"/>
                      <w:szCs w:val="21"/>
                      <w:highlight w:val="none"/>
                    </w:rPr>
                    <w:t>河</w:t>
                  </w:r>
                </w:p>
              </w:tc>
              <w:tc>
                <w:tcPr>
                  <w:tcW w:w="1243" w:type="pct"/>
                  <w:noWrap w:val="0"/>
                  <w:vAlign w:val="center"/>
                </w:tcPr>
                <w:p w14:paraId="0953E789">
                  <w:pPr>
                    <w:jc w:val="center"/>
                    <w:rPr>
                      <w:rFonts w:hint="default" w:ascii="Times New Roman" w:hAnsi="Times New Roman" w:eastAsia="仿宋" w:cs="Times New Roman"/>
                      <w:color w:val="auto"/>
                      <w:szCs w:val="21"/>
                      <w:highlight w:val="none"/>
                    </w:rPr>
                  </w:pPr>
                  <w:bookmarkStart w:id="5" w:name="_Hlk113625541"/>
                  <w:r>
                    <w:rPr>
                      <w:rFonts w:hint="default" w:ascii="Times New Roman" w:hAnsi="Times New Roman" w:eastAsia="仿宋" w:cs="Times New Roman"/>
                      <w:color w:val="auto"/>
                      <w:szCs w:val="21"/>
                      <w:highlight w:val="none"/>
                    </w:rPr>
                    <w:t>《地表水环境质量标准》（GB3838-2002）中Ⅲ类水质标准</w:t>
                  </w:r>
                  <w:bookmarkEnd w:id="5"/>
                </w:p>
              </w:tc>
              <w:tc>
                <w:tcPr>
                  <w:tcW w:w="1096" w:type="pct"/>
                  <w:noWrap w:val="0"/>
                  <w:vAlign w:val="center"/>
                </w:tcPr>
                <w:p w14:paraId="18E2C89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《江苏省地表水(环境)功能区划(2021-2030年)》</w:t>
                  </w:r>
                </w:p>
              </w:tc>
            </w:tr>
            <w:tr w14:paraId="235D6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85" w:type="pct"/>
                  <w:vMerge w:val="continue"/>
                  <w:noWrap w:val="0"/>
                  <w:vAlign w:val="center"/>
                </w:tcPr>
                <w:p w14:paraId="703C1BAF">
                  <w:pPr>
                    <w:jc w:val="center"/>
                    <w:rPr>
                      <w:rFonts w:hint="default" w:ascii="Times New Roman" w:hAnsi="Times New Roman" w:eastAsia="仿宋" w:cs="Times New Roman"/>
                      <w:color w:val="auto"/>
                      <w:szCs w:val="21"/>
                      <w:highlight w:val="none"/>
                    </w:rPr>
                  </w:pPr>
                </w:p>
              </w:tc>
              <w:tc>
                <w:tcPr>
                  <w:tcW w:w="680" w:type="pct"/>
                  <w:shd w:val="clear" w:color="auto" w:fill="auto"/>
                  <w:noWrap w:val="0"/>
                  <w:vAlign w:val="center"/>
                </w:tcPr>
                <w:p w14:paraId="20FD99D8">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rPr>
                    <w:t>小拓荡河</w:t>
                  </w:r>
                </w:p>
              </w:tc>
              <w:tc>
                <w:tcPr>
                  <w:tcW w:w="464" w:type="pct"/>
                  <w:shd w:val="clear" w:color="auto" w:fill="auto"/>
                  <w:noWrap w:val="0"/>
                  <w:vAlign w:val="center"/>
                </w:tcPr>
                <w:p w14:paraId="47C6073D">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rPr>
                    <w:t>S</w:t>
                  </w:r>
                </w:p>
              </w:tc>
              <w:tc>
                <w:tcPr>
                  <w:tcW w:w="464" w:type="pct"/>
                  <w:shd w:val="clear" w:color="auto" w:fill="auto"/>
                  <w:noWrap w:val="0"/>
                  <w:vAlign w:val="center"/>
                </w:tcPr>
                <w:p w14:paraId="56EC7746">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rPr>
                    <w:t>30</w:t>
                  </w:r>
                  <w:r>
                    <w:rPr>
                      <w:rFonts w:hint="eastAsia" w:ascii="Times New Roman" w:hAnsi="Times New Roman" w:eastAsia="仿宋" w:cs="Times New Roman"/>
                      <w:color w:val="auto"/>
                      <w:szCs w:val="21"/>
                      <w:highlight w:val="none"/>
                      <w:lang w:val="en-US" w:eastAsia="zh-CN"/>
                    </w:rPr>
                    <w:t>0</w:t>
                  </w:r>
                  <w:r>
                    <w:rPr>
                      <w:rFonts w:hint="eastAsia" w:ascii="Times New Roman" w:hAnsi="Times New Roman" w:eastAsia="仿宋" w:cs="Times New Roman"/>
                      <w:color w:val="auto"/>
                      <w:szCs w:val="21"/>
                      <w:highlight w:val="none"/>
                    </w:rPr>
                    <w:t>m</w:t>
                  </w:r>
                </w:p>
              </w:tc>
              <w:tc>
                <w:tcPr>
                  <w:tcW w:w="464" w:type="pct"/>
                  <w:shd w:val="clear" w:color="auto" w:fill="auto"/>
                  <w:noWrap w:val="0"/>
                  <w:vAlign w:val="center"/>
                </w:tcPr>
                <w:p w14:paraId="3A4375A1">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rPr>
                    <w:t>小河</w:t>
                  </w:r>
                </w:p>
              </w:tc>
              <w:tc>
                <w:tcPr>
                  <w:tcW w:w="1243" w:type="pct"/>
                  <w:noWrap w:val="0"/>
                  <w:vAlign w:val="center"/>
                </w:tcPr>
                <w:p w14:paraId="6559FD0F">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《地表水环境质量标准》（GB3838-2002）中Ⅳ类水质标准</w:t>
                  </w:r>
                </w:p>
              </w:tc>
              <w:tc>
                <w:tcPr>
                  <w:tcW w:w="1096" w:type="pct"/>
                  <w:noWrap w:val="0"/>
                  <w:vAlign w:val="center"/>
                </w:tcPr>
                <w:p w14:paraId="350F917D">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《地表水环境质量标准》（GB3838-2002）</w:t>
                  </w:r>
                </w:p>
              </w:tc>
            </w:tr>
            <w:tr w14:paraId="67CDC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585" w:type="pct"/>
                  <w:vMerge w:val="continue"/>
                  <w:noWrap w:val="0"/>
                  <w:vAlign w:val="center"/>
                </w:tcPr>
                <w:p w14:paraId="5F45A4A0">
                  <w:pPr>
                    <w:jc w:val="center"/>
                    <w:rPr>
                      <w:rFonts w:hint="default" w:ascii="Times New Roman" w:hAnsi="Times New Roman" w:eastAsia="仿宋" w:cs="Times New Roman"/>
                      <w:color w:val="auto"/>
                      <w:szCs w:val="21"/>
                      <w:highlight w:val="none"/>
                    </w:rPr>
                  </w:pPr>
                </w:p>
              </w:tc>
              <w:tc>
                <w:tcPr>
                  <w:tcW w:w="680" w:type="pct"/>
                  <w:shd w:val="clear" w:color="auto" w:fill="auto"/>
                  <w:noWrap w:val="0"/>
                  <w:vAlign w:val="center"/>
                </w:tcPr>
                <w:p w14:paraId="6D8A1D4A">
                  <w:pPr>
                    <w:jc w:val="center"/>
                    <w:rPr>
                      <w:rFonts w:hint="eastAsia"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尧塘河</w:t>
                  </w:r>
                </w:p>
              </w:tc>
              <w:tc>
                <w:tcPr>
                  <w:tcW w:w="464" w:type="pct"/>
                  <w:shd w:val="clear" w:color="auto" w:fill="auto"/>
                  <w:noWrap w:val="0"/>
                  <w:vAlign w:val="center"/>
                </w:tcPr>
                <w:p w14:paraId="358F38BD">
                  <w:pPr>
                    <w:jc w:val="center"/>
                    <w:rPr>
                      <w:rFonts w:hint="eastAsia" w:ascii="Times New Roman" w:hAnsi="Times New Roman" w:eastAsia="仿宋" w:cs="Times New Roman"/>
                      <w:color w:val="auto"/>
                      <w:szCs w:val="21"/>
                      <w:highlight w:val="none"/>
                    </w:rPr>
                  </w:pPr>
                  <w:r>
                    <w:rPr>
                      <w:rFonts w:hint="eastAsia" w:ascii="Times New Roman" w:hAnsi="Times New Roman" w:eastAsia="仿宋" w:cs="Times New Roman"/>
                      <w:color w:val="auto"/>
                      <w:szCs w:val="21"/>
                      <w:highlight w:val="none"/>
                    </w:rPr>
                    <w:t>S</w:t>
                  </w:r>
                </w:p>
              </w:tc>
              <w:tc>
                <w:tcPr>
                  <w:tcW w:w="464" w:type="pct"/>
                  <w:shd w:val="clear" w:color="auto" w:fill="auto"/>
                  <w:noWrap w:val="0"/>
                  <w:vAlign w:val="center"/>
                </w:tcPr>
                <w:p w14:paraId="321CDE8C">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1.4km</w:t>
                  </w:r>
                </w:p>
              </w:tc>
              <w:tc>
                <w:tcPr>
                  <w:tcW w:w="464" w:type="pct"/>
                  <w:shd w:val="clear" w:color="auto" w:fill="auto"/>
                  <w:noWrap w:val="0"/>
                  <w:vAlign w:val="center"/>
                </w:tcPr>
                <w:p w14:paraId="40F8EA5C">
                  <w:pPr>
                    <w:jc w:val="center"/>
                    <w:rPr>
                      <w:rFonts w:hint="eastAsia"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rPr>
                    <w:t>中河</w:t>
                  </w:r>
                </w:p>
              </w:tc>
              <w:tc>
                <w:tcPr>
                  <w:tcW w:w="1243" w:type="pct"/>
                  <w:shd w:val="clear" w:color="auto" w:fill="auto"/>
                  <w:noWrap w:val="0"/>
                  <w:vAlign w:val="center"/>
                </w:tcPr>
                <w:p w14:paraId="000F7A80">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rPr>
                    <w:t>《地表水环境质量标准》（GB3838-2002）中Ⅲ类水质标准</w:t>
                  </w:r>
                </w:p>
              </w:tc>
              <w:tc>
                <w:tcPr>
                  <w:tcW w:w="1096" w:type="pct"/>
                  <w:shd w:val="clear" w:color="auto" w:fill="auto"/>
                  <w:noWrap w:val="0"/>
                  <w:vAlign w:val="center"/>
                </w:tcPr>
                <w:p w14:paraId="25E75514">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rPr>
                    <w:t>《江苏省地表水(环境)功能区划(2021-2030年)》</w:t>
                  </w:r>
                </w:p>
              </w:tc>
            </w:tr>
          </w:tbl>
          <w:p w14:paraId="4CA840E8">
            <w:pPr>
              <w:adjustRightInd w:val="0"/>
              <w:snapToGrid w:val="0"/>
              <w:spacing w:before="120" w:beforeLines="50"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3、声环境</w:t>
            </w:r>
          </w:p>
          <w:p w14:paraId="12C9B691">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经现场实地踏勘，本项目厂界外50米范围内无声环境保护目标。</w:t>
            </w:r>
          </w:p>
          <w:p w14:paraId="3BAF00B2">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4、地下水环境</w:t>
            </w:r>
          </w:p>
          <w:p w14:paraId="7A662328">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经现场实地踏勘，本项目厂界外500米范围内无地下水集中式饮用水水源和热水、矿泉水、温泉等特殊地下水资源。</w:t>
            </w:r>
          </w:p>
          <w:p w14:paraId="47A3D9D5">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5、生态环境</w:t>
            </w:r>
          </w:p>
          <w:p w14:paraId="6E5D9DD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w:t>
            </w:r>
            <w:r>
              <w:rPr>
                <w:rFonts w:hint="eastAsia" w:eastAsia="仿宋" w:cs="Times New Roman"/>
                <w:bCs/>
                <w:color w:val="auto"/>
                <w:sz w:val="24"/>
                <w:highlight w:val="none"/>
                <w:lang w:val="en-US" w:eastAsia="zh-CN"/>
              </w:rPr>
              <w:t>购置</w:t>
            </w:r>
            <w:r>
              <w:rPr>
                <w:rFonts w:hint="eastAsia" w:ascii="Times New Roman" w:hAnsi="Times New Roman" w:eastAsia="仿宋" w:cs="Times New Roman"/>
                <w:bCs/>
                <w:color w:val="auto"/>
                <w:sz w:val="24"/>
                <w:highlight w:val="none"/>
                <w:lang w:val="en-US" w:eastAsia="zh-CN"/>
              </w:rPr>
              <w:t>现有</w:t>
            </w:r>
            <w:r>
              <w:rPr>
                <w:rFonts w:hint="default" w:ascii="Times New Roman" w:hAnsi="Times New Roman" w:eastAsia="仿宋" w:cs="Times New Roman"/>
                <w:bCs/>
                <w:color w:val="auto"/>
                <w:sz w:val="24"/>
                <w:highlight w:val="none"/>
              </w:rPr>
              <w:t>厂房进行生产，不新增用地，不涉及生态环境保护目标。</w:t>
            </w:r>
          </w:p>
          <w:p w14:paraId="234DC26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1E4A5C31">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73A5126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21B9964F">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57BCFD7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19AC3A4F">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0D2F3260">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27281B1C">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610CC3B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582FE03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1DA24F6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6F089B03">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51EF00E0">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5628C2A8">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3D8B20A1">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5D210125">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72186C0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057EFA94">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4C2C9C41">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32164B4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5A7D5C29">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62B69003">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08AAE2E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4FFDD68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4135369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7A4BCED4">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36148DE5">
            <w:pPr>
              <w:adjustRightInd w:val="0"/>
              <w:snapToGrid w:val="0"/>
              <w:spacing w:line="360" w:lineRule="auto"/>
              <w:rPr>
                <w:rFonts w:hint="default" w:ascii="Times New Roman" w:hAnsi="Times New Roman" w:eastAsia="仿宋" w:cs="Times New Roman"/>
                <w:bCs/>
                <w:color w:val="auto"/>
                <w:sz w:val="24"/>
                <w:highlight w:val="none"/>
              </w:rPr>
            </w:pPr>
          </w:p>
        </w:tc>
      </w:tr>
      <w:tr w14:paraId="5DF7D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61" w:hRule="atLeast"/>
          <w:jc w:val="center"/>
        </w:trPr>
        <w:tc>
          <w:tcPr>
            <w:tcW w:w="373" w:type="pct"/>
            <w:noWrap w:val="0"/>
            <w:tcMar>
              <w:left w:w="28" w:type="dxa"/>
              <w:right w:w="28" w:type="dxa"/>
            </w:tcMar>
            <w:vAlign w:val="center"/>
          </w:tcPr>
          <w:p w14:paraId="1A735AFA">
            <w:pPr>
              <w:adjustRightInd w:val="0"/>
              <w:snapToGrid w:val="0"/>
              <w:spacing w:line="360" w:lineRule="auto"/>
              <w:jc w:val="center"/>
              <w:rPr>
                <w:rFonts w:hint="default" w:ascii="Times New Roman" w:hAnsi="Times New Roman" w:eastAsia="仿宋" w:cs="Times New Roman"/>
                <w:color w:val="auto"/>
                <w:kern w:val="0"/>
                <w:sz w:val="28"/>
                <w:szCs w:val="28"/>
                <w:highlight w:val="none"/>
              </w:rPr>
            </w:pPr>
            <w:r>
              <w:rPr>
                <w:rFonts w:hint="default" w:ascii="Times New Roman" w:hAnsi="Times New Roman" w:eastAsia="仿宋" w:cs="Times New Roman"/>
                <w:color w:val="auto"/>
                <w:kern w:val="0"/>
                <w:sz w:val="24"/>
                <w:highlight w:val="none"/>
              </w:rPr>
              <w:t>污染物排放控制标准</w:t>
            </w:r>
          </w:p>
        </w:tc>
        <w:tc>
          <w:tcPr>
            <w:tcW w:w="4626" w:type="pct"/>
            <w:noWrap w:val="0"/>
            <w:vAlign w:val="center"/>
          </w:tcPr>
          <w:p w14:paraId="448E3C4F">
            <w:pPr>
              <w:adjustRightInd w:val="0"/>
              <w:snapToGrid w:val="0"/>
              <w:spacing w:before="120" w:beforeLines="50" w:line="360" w:lineRule="auto"/>
              <w:ind w:firstLine="482" w:firstLineChars="200"/>
              <w:jc w:val="left"/>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1、大气污染物排放标准</w:t>
            </w:r>
          </w:p>
          <w:p w14:paraId="387655F5">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w:t>
            </w:r>
            <w:r>
              <w:rPr>
                <w:rFonts w:hint="eastAsia" w:ascii="Times New Roman" w:hAnsi="Times New Roman" w:eastAsia="仿宋" w:cs="Times New Roman"/>
                <w:color w:val="auto"/>
                <w:sz w:val="24"/>
                <w:highlight w:val="none"/>
                <w:lang w:val="en-US" w:eastAsia="zh-CN"/>
              </w:rPr>
              <w:t>颗粒物</w:t>
            </w:r>
            <w:r>
              <w:rPr>
                <w:rFonts w:hint="eastAsia" w:eastAsia="仿宋" w:cs="Times New Roman"/>
                <w:color w:val="auto"/>
                <w:sz w:val="24"/>
                <w:highlight w:val="none"/>
                <w:lang w:val="en-US" w:eastAsia="zh-CN"/>
              </w:rPr>
              <w:t>、</w:t>
            </w:r>
            <w:r>
              <w:rPr>
                <w:rFonts w:hint="eastAsia" w:ascii="Times New Roman" w:hAnsi="Times New Roman" w:eastAsia="仿宋" w:cs="Times New Roman"/>
                <w:color w:val="auto"/>
                <w:sz w:val="24"/>
                <w:highlight w:val="none"/>
                <w:lang w:val="en-US" w:eastAsia="zh-CN"/>
              </w:rPr>
              <w:t>非甲烷总烃</w:t>
            </w:r>
            <w:r>
              <w:rPr>
                <w:rFonts w:hint="default" w:ascii="Times New Roman" w:hAnsi="Times New Roman" w:eastAsia="仿宋" w:cs="Times New Roman"/>
                <w:color w:val="auto"/>
                <w:sz w:val="24"/>
                <w:highlight w:val="none"/>
              </w:rPr>
              <w:t>排放执行《大气污染物综合排放标准》（DB32/4041-2021）中相关限值，具体标准限值见下表。</w:t>
            </w:r>
          </w:p>
          <w:p w14:paraId="1C7C6BC5">
            <w:pPr>
              <w:adjustRightInd w:val="0"/>
              <w:snapToGrid w:val="0"/>
              <w:jc w:val="center"/>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sz w:val="24"/>
                <w:highlight w:val="none"/>
              </w:rPr>
              <w:t>表3-</w:t>
            </w:r>
            <w:r>
              <w:rPr>
                <w:rFonts w:hint="eastAsia" w:eastAsia="仿宋" w:cs="Times New Roman"/>
                <w:b/>
                <w:bCs/>
                <w:color w:val="auto"/>
                <w:sz w:val="24"/>
                <w:highlight w:val="none"/>
                <w:lang w:val="en-US" w:eastAsia="zh-CN"/>
              </w:rPr>
              <w:t>9</w:t>
            </w:r>
            <w:r>
              <w:rPr>
                <w:rFonts w:hint="default" w:ascii="Times New Roman" w:hAnsi="Times New Roman" w:eastAsia="仿宋" w:cs="Times New Roman"/>
                <w:b/>
                <w:bCs/>
                <w:color w:val="auto"/>
                <w:sz w:val="24"/>
                <w:highlight w:val="none"/>
              </w:rPr>
              <w:t xml:space="preserve">  废气污染物排放标准表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05"/>
              <w:gridCol w:w="806"/>
              <w:gridCol w:w="1005"/>
              <w:gridCol w:w="1028"/>
              <w:gridCol w:w="1389"/>
              <w:gridCol w:w="1188"/>
              <w:gridCol w:w="2148"/>
            </w:tblGrid>
            <w:tr w14:paraId="76BFEA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6" w:hRule="atLeast"/>
              </w:trPr>
              <w:tc>
                <w:tcPr>
                  <w:tcW w:w="370" w:type="pct"/>
                  <w:vMerge w:val="restart"/>
                  <w:tcBorders>
                    <w:top w:val="single" w:color="000000" w:sz="12" w:space="0"/>
                    <w:right w:val="single" w:color="auto" w:sz="4" w:space="0"/>
                  </w:tcBorders>
                  <w:noWrap w:val="0"/>
                  <w:vAlign w:val="center"/>
                </w:tcPr>
                <w:p w14:paraId="7D7DECA9">
                  <w:pPr>
                    <w:snapToGrid w:val="0"/>
                    <w:spacing w:line="280" w:lineRule="exact"/>
                    <w:jc w:val="center"/>
                    <w:rPr>
                      <w:rFonts w:hint="eastAsia" w:ascii="Times New Roman" w:hAnsi="Times New Roman" w:eastAsia="仿宋" w:cs="Times New Roman"/>
                      <w:b/>
                      <w:color w:val="auto"/>
                      <w:szCs w:val="21"/>
                      <w:highlight w:val="none"/>
                      <w:lang w:val="en-US" w:eastAsia="zh-CN"/>
                    </w:rPr>
                  </w:pPr>
                  <w:r>
                    <w:rPr>
                      <w:rFonts w:hint="eastAsia" w:ascii="Times New Roman" w:hAnsi="Times New Roman" w:eastAsia="仿宋" w:cs="Times New Roman"/>
                      <w:b/>
                      <w:color w:val="auto"/>
                      <w:szCs w:val="21"/>
                      <w:highlight w:val="none"/>
                      <w:lang w:val="en-US" w:eastAsia="zh-CN"/>
                    </w:rPr>
                    <w:t>排气筒</w:t>
                  </w:r>
                </w:p>
              </w:tc>
              <w:tc>
                <w:tcPr>
                  <w:tcW w:w="492" w:type="pct"/>
                  <w:vMerge w:val="restart"/>
                  <w:tcBorders>
                    <w:top w:val="single" w:color="000000" w:sz="12" w:space="0"/>
                    <w:left w:val="single" w:color="auto" w:sz="4" w:space="0"/>
                    <w:right w:val="single" w:color="000000" w:sz="4" w:space="0"/>
                  </w:tcBorders>
                  <w:noWrap w:val="0"/>
                  <w:vAlign w:val="center"/>
                </w:tcPr>
                <w:p w14:paraId="60AE46AB">
                  <w:pPr>
                    <w:snapToGrid w:val="0"/>
                    <w:spacing w:line="28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污染物名称</w:t>
                  </w:r>
                </w:p>
              </w:tc>
              <w:tc>
                <w:tcPr>
                  <w:tcW w:w="615" w:type="pct"/>
                  <w:vMerge w:val="restart"/>
                  <w:tcBorders>
                    <w:top w:val="single" w:color="000000" w:sz="12" w:space="0"/>
                    <w:left w:val="single" w:color="000000" w:sz="4" w:space="0"/>
                    <w:bottom w:val="single" w:color="000000" w:sz="4" w:space="0"/>
                    <w:right w:val="single" w:color="000000" w:sz="4" w:space="0"/>
                  </w:tcBorders>
                  <w:noWrap w:val="0"/>
                  <w:vAlign w:val="center"/>
                </w:tcPr>
                <w:p w14:paraId="26CDD796">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最高允许排放浓度</w:t>
                  </w:r>
                </w:p>
                <w:p w14:paraId="7D689F42">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mg/m</w:t>
                  </w:r>
                  <w:r>
                    <w:rPr>
                      <w:rFonts w:hint="default" w:ascii="Times New Roman" w:hAnsi="Times New Roman" w:eastAsia="仿宋" w:cs="Times New Roman"/>
                      <w:b/>
                      <w:bCs/>
                      <w:color w:val="auto"/>
                      <w:szCs w:val="21"/>
                      <w:highlight w:val="none"/>
                      <w:vertAlign w:val="superscript"/>
                    </w:rPr>
                    <w:t>3</w:t>
                  </w:r>
                </w:p>
              </w:tc>
              <w:tc>
                <w:tcPr>
                  <w:tcW w:w="629" w:type="pct"/>
                  <w:vMerge w:val="restart"/>
                  <w:tcBorders>
                    <w:top w:val="single" w:color="000000" w:sz="12" w:space="0"/>
                    <w:left w:val="single" w:color="000000" w:sz="4" w:space="0"/>
                    <w:bottom w:val="single" w:color="000000" w:sz="4" w:space="0"/>
                    <w:right w:val="single" w:color="000000" w:sz="4" w:space="0"/>
                  </w:tcBorders>
                  <w:noWrap w:val="0"/>
                  <w:vAlign w:val="center"/>
                </w:tcPr>
                <w:p w14:paraId="1140BAC7">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最高允许排放速率</w:t>
                  </w:r>
                </w:p>
                <w:p w14:paraId="5625CD0E">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kg/h</w:t>
                  </w:r>
                </w:p>
              </w:tc>
              <w:tc>
                <w:tcPr>
                  <w:tcW w:w="1577" w:type="pct"/>
                  <w:gridSpan w:val="2"/>
                  <w:tcBorders>
                    <w:top w:val="single" w:color="000000" w:sz="12" w:space="0"/>
                    <w:left w:val="single" w:color="000000" w:sz="4" w:space="0"/>
                    <w:bottom w:val="single" w:color="000000" w:sz="4" w:space="0"/>
                    <w:right w:val="single" w:color="000000" w:sz="4" w:space="0"/>
                  </w:tcBorders>
                  <w:noWrap w:val="0"/>
                  <w:vAlign w:val="center"/>
                </w:tcPr>
                <w:p w14:paraId="39D817BF">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单位边界大气污染物排放监控浓度限值</w:t>
                  </w:r>
                </w:p>
              </w:tc>
              <w:tc>
                <w:tcPr>
                  <w:tcW w:w="1314" w:type="pct"/>
                  <w:vMerge w:val="restart"/>
                  <w:tcBorders>
                    <w:left w:val="single" w:color="000000" w:sz="4" w:space="0"/>
                  </w:tcBorders>
                  <w:noWrap w:val="0"/>
                  <w:vAlign w:val="center"/>
                </w:tcPr>
                <w:p w14:paraId="751FDE1A">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标准来源</w:t>
                  </w:r>
                </w:p>
              </w:tc>
            </w:tr>
            <w:tr w14:paraId="1FC4B4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6" w:hRule="atLeast"/>
              </w:trPr>
              <w:tc>
                <w:tcPr>
                  <w:tcW w:w="370" w:type="pct"/>
                  <w:vMerge w:val="continue"/>
                  <w:tcBorders>
                    <w:right w:val="single" w:color="auto" w:sz="4" w:space="0"/>
                  </w:tcBorders>
                  <w:noWrap w:val="0"/>
                  <w:vAlign w:val="center"/>
                </w:tcPr>
                <w:p w14:paraId="69BFA382">
                  <w:pPr>
                    <w:snapToGrid w:val="0"/>
                    <w:spacing w:line="280" w:lineRule="exact"/>
                    <w:jc w:val="center"/>
                    <w:rPr>
                      <w:rFonts w:hint="default" w:ascii="Times New Roman" w:hAnsi="Times New Roman" w:eastAsia="仿宋" w:cs="Times New Roman"/>
                      <w:b/>
                      <w:color w:val="auto"/>
                      <w:szCs w:val="21"/>
                      <w:highlight w:val="none"/>
                    </w:rPr>
                  </w:pPr>
                </w:p>
              </w:tc>
              <w:tc>
                <w:tcPr>
                  <w:tcW w:w="492" w:type="pct"/>
                  <w:vMerge w:val="continue"/>
                  <w:tcBorders>
                    <w:left w:val="single" w:color="auto" w:sz="4" w:space="0"/>
                    <w:right w:val="single" w:color="000000" w:sz="4" w:space="0"/>
                  </w:tcBorders>
                  <w:noWrap w:val="0"/>
                  <w:vAlign w:val="center"/>
                </w:tcPr>
                <w:p w14:paraId="1C39654B">
                  <w:pPr>
                    <w:snapToGrid w:val="0"/>
                    <w:spacing w:line="280" w:lineRule="exact"/>
                    <w:jc w:val="center"/>
                    <w:rPr>
                      <w:rFonts w:hint="default" w:ascii="Times New Roman" w:hAnsi="Times New Roman" w:eastAsia="仿宋" w:cs="Times New Roman"/>
                      <w:b/>
                      <w:color w:val="auto"/>
                      <w:szCs w:val="21"/>
                      <w:highlight w:val="none"/>
                    </w:rPr>
                  </w:pPr>
                </w:p>
              </w:tc>
              <w:tc>
                <w:tcPr>
                  <w:tcW w:w="61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B98FBE">
                  <w:pPr>
                    <w:adjustRightInd w:val="0"/>
                    <w:snapToGrid w:val="0"/>
                    <w:jc w:val="center"/>
                    <w:rPr>
                      <w:rFonts w:hint="default" w:ascii="Times New Roman" w:hAnsi="Times New Roman" w:eastAsia="仿宋" w:cs="Times New Roman"/>
                      <w:b/>
                      <w:bCs/>
                      <w:color w:val="auto"/>
                      <w:szCs w:val="21"/>
                      <w:highlight w:val="none"/>
                    </w:rPr>
                  </w:pPr>
                </w:p>
              </w:tc>
              <w:tc>
                <w:tcPr>
                  <w:tcW w:w="62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B9D644">
                  <w:pPr>
                    <w:adjustRightInd w:val="0"/>
                    <w:snapToGrid w:val="0"/>
                    <w:jc w:val="center"/>
                    <w:rPr>
                      <w:rFonts w:hint="default" w:ascii="Times New Roman" w:hAnsi="Times New Roman" w:eastAsia="仿宋" w:cs="Times New Roman"/>
                      <w:b/>
                      <w:bCs/>
                      <w:color w:val="auto"/>
                      <w:szCs w:val="21"/>
                      <w:highlight w:val="none"/>
                    </w:rPr>
                  </w:pP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5FB36FBF">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监控位置</w:t>
                  </w: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589FFC14">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监控浓度限值</w:t>
                  </w:r>
                  <w:r>
                    <w:rPr>
                      <w:rFonts w:hint="default" w:ascii="Times New Roman" w:hAnsi="Times New Roman" w:eastAsia="仿宋" w:cs="Times New Roman"/>
                      <w:b/>
                      <w:bCs/>
                      <w:color w:val="auto"/>
                      <w:highlight w:val="none"/>
                    </w:rPr>
                    <w:t>mg/m</w:t>
                  </w:r>
                  <w:r>
                    <w:rPr>
                      <w:rFonts w:hint="default" w:ascii="Times New Roman" w:hAnsi="Times New Roman" w:eastAsia="仿宋" w:cs="Times New Roman"/>
                      <w:b/>
                      <w:bCs/>
                      <w:color w:val="auto"/>
                      <w:highlight w:val="none"/>
                      <w:vertAlign w:val="superscript"/>
                    </w:rPr>
                    <w:t>3</w:t>
                  </w:r>
                </w:p>
              </w:tc>
              <w:tc>
                <w:tcPr>
                  <w:tcW w:w="1314" w:type="pct"/>
                  <w:vMerge w:val="continue"/>
                  <w:tcBorders>
                    <w:left w:val="single" w:color="000000" w:sz="4" w:space="0"/>
                  </w:tcBorders>
                  <w:noWrap w:val="0"/>
                  <w:vAlign w:val="center"/>
                </w:tcPr>
                <w:p w14:paraId="59A07C88">
                  <w:pPr>
                    <w:adjustRightInd w:val="0"/>
                    <w:snapToGrid w:val="0"/>
                    <w:jc w:val="center"/>
                    <w:rPr>
                      <w:rFonts w:hint="default" w:ascii="Times New Roman" w:hAnsi="Times New Roman" w:eastAsia="仿宋" w:cs="Times New Roman"/>
                      <w:b/>
                      <w:bCs/>
                      <w:color w:val="auto"/>
                      <w:szCs w:val="21"/>
                      <w:highlight w:val="none"/>
                    </w:rPr>
                  </w:pPr>
                </w:p>
              </w:tc>
            </w:tr>
            <w:tr w14:paraId="241E86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6" w:hRule="atLeast"/>
              </w:trPr>
              <w:tc>
                <w:tcPr>
                  <w:tcW w:w="370" w:type="pct"/>
                  <w:tcBorders>
                    <w:right w:val="single" w:color="auto" w:sz="4" w:space="0"/>
                  </w:tcBorders>
                  <w:noWrap w:val="0"/>
                  <w:vAlign w:val="center"/>
                </w:tcPr>
                <w:p w14:paraId="781498EC">
                  <w:pPr>
                    <w:snapToGrid w:val="0"/>
                    <w:spacing w:line="280" w:lineRule="exact"/>
                    <w:jc w:val="center"/>
                    <w:rPr>
                      <w:rFonts w:hint="eastAsia" w:ascii="Times New Roman" w:hAnsi="Times New Roman" w:eastAsia="仿宋" w:cs="Times New Roman"/>
                      <w:color w:val="0000FF"/>
                      <w:szCs w:val="21"/>
                      <w:highlight w:val="none"/>
                      <w:lang w:val="en-US" w:eastAsia="zh-CN"/>
                    </w:rPr>
                  </w:pPr>
                  <w:r>
                    <w:rPr>
                      <w:rFonts w:hint="eastAsia" w:ascii="Times New Roman" w:hAnsi="Times New Roman" w:eastAsia="仿宋" w:cs="Times New Roman"/>
                      <w:color w:val="0000FF"/>
                      <w:szCs w:val="21"/>
                      <w:highlight w:val="none"/>
                      <w:lang w:val="en-US" w:eastAsia="zh-CN"/>
                    </w:rPr>
                    <w:t>FQ-5</w:t>
                  </w:r>
                </w:p>
                <w:p w14:paraId="684AC530">
                  <w:pPr>
                    <w:snapToGrid w:val="0"/>
                    <w:spacing w:line="280" w:lineRule="exact"/>
                    <w:jc w:val="center"/>
                    <w:rPr>
                      <w:rFonts w:hint="default" w:ascii="Times New Roman" w:hAnsi="Times New Roman" w:eastAsia="仿宋" w:cs="Times New Roman"/>
                      <w:color w:val="0000FF"/>
                      <w:szCs w:val="21"/>
                      <w:highlight w:val="none"/>
                      <w:lang w:val="en-US" w:eastAsia="zh-CN"/>
                    </w:rPr>
                  </w:pPr>
                  <w:r>
                    <w:rPr>
                      <w:rFonts w:hint="eastAsia" w:ascii="Times New Roman" w:hAnsi="Times New Roman" w:eastAsia="仿宋" w:cs="Times New Roman"/>
                      <w:color w:val="0000FF"/>
                      <w:szCs w:val="21"/>
                      <w:highlight w:val="none"/>
                      <w:lang w:val="en-US" w:eastAsia="zh-CN"/>
                    </w:rPr>
                    <w:t>FQ-</w:t>
                  </w:r>
                  <w:r>
                    <w:rPr>
                      <w:rFonts w:hint="eastAsia" w:eastAsia="仿宋" w:cs="Times New Roman"/>
                      <w:color w:val="0000FF"/>
                      <w:szCs w:val="21"/>
                      <w:highlight w:val="none"/>
                      <w:lang w:val="en-US" w:eastAsia="zh-CN"/>
                    </w:rPr>
                    <w:t>7</w:t>
                  </w:r>
                </w:p>
              </w:tc>
              <w:tc>
                <w:tcPr>
                  <w:tcW w:w="492" w:type="pct"/>
                  <w:tcBorders>
                    <w:left w:val="single" w:color="auto" w:sz="4" w:space="0"/>
                    <w:right w:val="single" w:color="000000" w:sz="4" w:space="0"/>
                  </w:tcBorders>
                  <w:noWrap w:val="0"/>
                  <w:vAlign w:val="center"/>
                </w:tcPr>
                <w:p w14:paraId="199D6F28">
                  <w:pPr>
                    <w:snapToGrid w:val="0"/>
                    <w:spacing w:line="280" w:lineRule="exact"/>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颗粒物</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098C72B">
                  <w:pPr>
                    <w:snapToGrid w:val="0"/>
                    <w:spacing w:line="280" w:lineRule="exact"/>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20</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14:paraId="0219D471">
                  <w:pPr>
                    <w:snapToGrid w:val="0"/>
                    <w:spacing w:line="280" w:lineRule="exact"/>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1</w:t>
                  </w:r>
                </w:p>
              </w:tc>
              <w:tc>
                <w:tcPr>
                  <w:tcW w:w="850" w:type="pct"/>
                  <w:vMerge w:val="restart"/>
                  <w:tcBorders>
                    <w:top w:val="single" w:color="000000" w:sz="4" w:space="0"/>
                    <w:left w:val="single" w:color="000000" w:sz="4" w:space="0"/>
                    <w:right w:val="single" w:color="000000" w:sz="4" w:space="0"/>
                  </w:tcBorders>
                  <w:noWrap w:val="0"/>
                  <w:vAlign w:val="center"/>
                </w:tcPr>
                <w:p w14:paraId="22B3B3AF">
                  <w:pPr>
                    <w:snapToGrid w:val="0"/>
                    <w:spacing w:line="28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边界外浓度最高点</w:t>
                  </w: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6662B7F1">
                  <w:pPr>
                    <w:snapToGrid w:val="0"/>
                    <w:spacing w:line="28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0.5</w:t>
                  </w:r>
                </w:p>
              </w:tc>
              <w:tc>
                <w:tcPr>
                  <w:tcW w:w="1314" w:type="pct"/>
                  <w:vMerge w:val="restart"/>
                  <w:tcBorders>
                    <w:left w:val="single" w:color="000000" w:sz="4" w:space="0"/>
                  </w:tcBorders>
                  <w:noWrap w:val="0"/>
                  <w:vAlign w:val="center"/>
                </w:tcPr>
                <w:p w14:paraId="5C069B7E">
                  <w:pPr>
                    <w:snapToGrid w:val="0"/>
                    <w:spacing w:line="28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《大气污染物综合排放标准》（DB32/4041-2021）表1、表3</w:t>
                  </w:r>
                </w:p>
              </w:tc>
            </w:tr>
            <w:tr w14:paraId="579F2B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837" w:hRule="atLeast"/>
              </w:trPr>
              <w:tc>
                <w:tcPr>
                  <w:tcW w:w="370" w:type="pct"/>
                  <w:tcBorders>
                    <w:right w:val="single" w:color="auto" w:sz="4" w:space="0"/>
                  </w:tcBorders>
                  <w:noWrap w:val="0"/>
                  <w:vAlign w:val="center"/>
                </w:tcPr>
                <w:p w14:paraId="05FA6582">
                  <w:pPr>
                    <w:snapToGrid w:val="0"/>
                    <w:spacing w:line="280" w:lineRule="exact"/>
                    <w:jc w:val="center"/>
                    <w:rPr>
                      <w:rFonts w:hint="default" w:ascii="Times New Roman" w:hAnsi="Times New Roman" w:eastAsia="仿宋" w:cs="Times New Roman"/>
                      <w:color w:val="auto"/>
                      <w:szCs w:val="21"/>
                      <w:highlight w:val="none"/>
                      <w:lang w:val="en-US"/>
                    </w:rPr>
                  </w:pPr>
                  <w:r>
                    <w:rPr>
                      <w:rFonts w:hint="eastAsia" w:ascii="Times New Roman" w:hAnsi="Times New Roman" w:eastAsia="仿宋" w:cs="Times New Roman"/>
                      <w:color w:val="auto"/>
                      <w:szCs w:val="21"/>
                      <w:highlight w:val="none"/>
                      <w:lang w:val="en-US" w:eastAsia="zh-CN"/>
                    </w:rPr>
                    <w:t>FQ-6</w:t>
                  </w:r>
                </w:p>
              </w:tc>
              <w:tc>
                <w:tcPr>
                  <w:tcW w:w="492" w:type="pct"/>
                  <w:tcBorders>
                    <w:left w:val="single" w:color="auto" w:sz="4" w:space="0"/>
                    <w:right w:val="single" w:color="000000" w:sz="4" w:space="0"/>
                  </w:tcBorders>
                  <w:noWrap w:val="0"/>
                  <w:vAlign w:val="center"/>
                </w:tcPr>
                <w:p w14:paraId="71FF7A27">
                  <w:pPr>
                    <w:snapToGrid w:val="0"/>
                    <w:spacing w:line="28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非甲烷总烃</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608562C">
                  <w:pPr>
                    <w:snapToGrid w:val="0"/>
                    <w:spacing w:line="28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60</w:t>
                  </w:r>
                </w:p>
              </w:tc>
              <w:tc>
                <w:tcPr>
                  <w:tcW w:w="629" w:type="pct"/>
                  <w:tcBorders>
                    <w:top w:val="single" w:color="000000" w:sz="4" w:space="0"/>
                    <w:left w:val="single" w:color="000000" w:sz="4" w:space="0"/>
                    <w:bottom w:val="single" w:color="000000" w:sz="4" w:space="0"/>
                    <w:right w:val="single" w:color="000000" w:sz="4" w:space="0"/>
                  </w:tcBorders>
                  <w:noWrap w:val="0"/>
                  <w:vAlign w:val="center"/>
                </w:tcPr>
                <w:p w14:paraId="79E01C06">
                  <w:pPr>
                    <w:snapToGrid w:val="0"/>
                    <w:spacing w:line="280" w:lineRule="exact"/>
                    <w:jc w:val="center"/>
                    <w:rPr>
                      <w:rFonts w:hint="eastAsia" w:ascii="Times New Roman" w:hAnsi="Times New Roman" w:eastAsia="仿宋" w:cs="Times New Roman"/>
                      <w:color w:val="auto"/>
                      <w:szCs w:val="21"/>
                      <w:highlight w:val="none"/>
                      <w:lang w:eastAsia="zh-CN"/>
                    </w:rPr>
                  </w:pPr>
                  <w:r>
                    <w:rPr>
                      <w:rFonts w:hint="eastAsia" w:ascii="Times New Roman" w:hAnsi="Times New Roman" w:eastAsia="仿宋" w:cs="Times New Roman"/>
                      <w:color w:val="auto"/>
                      <w:szCs w:val="21"/>
                      <w:highlight w:val="none"/>
                      <w:lang w:val="en-US" w:eastAsia="zh-CN"/>
                    </w:rPr>
                    <w:t>3</w:t>
                  </w:r>
                </w:p>
              </w:tc>
              <w:tc>
                <w:tcPr>
                  <w:tcW w:w="850" w:type="pct"/>
                  <w:vMerge w:val="continue"/>
                  <w:tcBorders>
                    <w:left w:val="single" w:color="000000" w:sz="4" w:space="0"/>
                    <w:right w:val="single" w:color="000000" w:sz="4" w:space="0"/>
                  </w:tcBorders>
                  <w:noWrap w:val="0"/>
                  <w:vAlign w:val="center"/>
                </w:tcPr>
                <w:p w14:paraId="3F68D1B7">
                  <w:pPr>
                    <w:snapToGrid w:val="0"/>
                    <w:spacing w:line="280" w:lineRule="exact"/>
                    <w:jc w:val="center"/>
                    <w:rPr>
                      <w:rFonts w:hint="default" w:ascii="Times New Roman" w:hAnsi="Times New Roman" w:eastAsia="仿宋" w:cs="Times New Roman"/>
                      <w:color w:val="auto"/>
                      <w:szCs w:val="21"/>
                      <w:highlight w:val="none"/>
                    </w:rPr>
                  </w:pPr>
                </w:p>
              </w:tc>
              <w:tc>
                <w:tcPr>
                  <w:tcW w:w="727" w:type="pct"/>
                  <w:tcBorders>
                    <w:top w:val="single" w:color="000000" w:sz="4" w:space="0"/>
                    <w:left w:val="single" w:color="000000" w:sz="4" w:space="0"/>
                    <w:bottom w:val="single" w:color="000000" w:sz="4" w:space="0"/>
                    <w:right w:val="single" w:color="000000" w:sz="4" w:space="0"/>
                  </w:tcBorders>
                  <w:noWrap w:val="0"/>
                  <w:vAlign w:val="center"/>
                </w:tcPr>
                <w:p w14:paraId="3F8C1900">
                  <w:pPr>
                    <w:snapToGrid w:val="0"/>
                    <w:spacing w:line="28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4</w:t>
                  </w:r>
                </w:p>
              </w:tc>
              <w:tc>
                <w:tcPr>
                  <w:tcW w:w="1314" w:type="pct"/>
                  <w:vMerge w:val="continue"/>
                  <w:tcBorders>
                    <w:left w:val="single" w:color="000000" w:sz="4" w:space="0"/>
                  </w:tcBorders>
                  <w:noWrap w:val="0"/>
                  <w:vAlign w:val="center"/>
                </w:tcPr>
                <w:p w14:paraId="651406B1">
                  <w:pPr>
                    <w:snapToGrid w:val="0"/>
                    <w:spacing w:line="280" w:lineRule="exact"/>
                    <w:jc w:val="center"/>
                    <w:rPr>
                      <w:rFonts w:hint="default" w:ascii="Times New Roman" w:hAnsi="Times New Roman" w:eastAsia="仿宋" w:cs="Times New Roman"/>
                      <w:color w:val="auto"/>
                      <w:szCs w:val="21"/>
                      <w:highlight w:val="none"/>
                    </w:rPr>
                  </w:pPr>
                </w:p>
              </w:tc>
            </w:tr>
            <w:tr w14:paraId="463885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6" w:hRule="atLeast"/>
              </w:trPr>
              <w:tc>
                <w:tcPr>
                  <w:tcW w:w="863" w:type="pct"/>
                  <w:gridSpan w:val="2"/>
                  <w:noWrap w:val="0"/>
                  <w:vAlign w:val="center"/>
                </w:tcPr>
                <w:p w14:paraId="1CD8E625">
                  <w:pPr>
                    <w:snapToGrid w:val="0"/>
                    <w:spacing w:line="28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污染物项目</w:t>
                  </w:r>
                </w:p>
              </w:tc>
              <w:tc>
                <w:tcPr>
                  <w:tcW w:w="1244" w:type="pct"/>
                  <w:gridSpan w:val="2"/>
                  <w:tcBorders>
                    <w:top w:val="single" w:color="000000" w:sz="4" w:space="0"/>
                    <w:bottom w:val="single" w:color="auto" w:sz="6" w:space="0"/>
                    <w:right w:val="single" w:color="auto" w:sz="6" w:space="0"/>
                  </w:tcBorders>
                  <w:noWrap w:val="0"/>
                  <w:vAlign w:val="center"/>
                </w:tcPr>
                <w:p w14:paraId="0984BF17">
                  <w:pPr>
                    <w:snapToGrid w:val="0"/>
                    <w:spacing w:line="28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无组织排放监控位置</w:t>
                  </w:r>
                </w:p>
              </w:tc>
              <w:tc>
                <w:tcPr>
                  <w:tcW w:w="850" w:type="pct"/>
                  <w:tcBorders>
                    <w:top w:val="single" w:color="000000" w:sz="4" w:space="0"/>
                    <w:left w:val="single" w:color="auto" w:sz="6" w:space="0"/>
                    <w:bottom w:val="single" w:color="auto" w:sz="6" w:space="0"/>
                    <w:right w:val="single" w:color="auto" w:sz="6" w:space="0"/>
                  </w:tcBorders>
                  <w:noWrap w:val="0"/>
                  <w:vAlign w:val="center"/>
                </w:tcPr>
                <w:p w14:paraId="7AD94F87">
                  <w:pPr>
                    <w:snapToGrid w:val="0"/>
                    <w:spacing w:line="28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限值含义</w:t>
                  </w:r>
                </w:p>
              </w:tc>
              <w:tc>
                <w:tcPr>
                  <w:tcW w:w="727" w:type="pct"/>
                  <w:tcBorders>
                    <w:top w:val="single" w:color="000000" w:sz="4" w:space="0"/>
                    <w:left w:val="single" w:color="auto" w:sz="6" w:space="0"/>
                    <w:bottom w:val="single" w:color="auto" w:sz="6" w:space="0"/>
                  </w:tcBorders>
                  <w:noWrap w:val="0"/>
                  <w:vAlign w:val="center"/>
                </w:tcPr>
                <w:p w14:paraId="439E54A9">
                  <w:pPr>
                    <w:snapToGrid w:val="0"/>
                    <w:spacing w:line="28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监控点限值</w:t>
                  </w:r>
                  <w:r>
                    <w:rPr>
                      <w:rFonts w:hint="default" w:ascii="Times New Roman" w:hAnsi="Times New Roman" w:eastAsia="仿宋" w:cs="Times New Roman"/>
                      <w:b/>
                      <w:bCs/>
                      <w:color w:val="auto"/>
                      <w:highlight w:val="none"/>
                    </w:rPr>
                    <w:t>mg/m</w:t>
                  </w:r>
                  <w:r>
                    <w:rPr>
                      <w:rFonts w:hint="default" w:ascii="Times New Roman" w:hAnsi="Times New Roman" w:eastAsia="仿宋" w:cs="Times New Roman"/>
                      <w:b/>
                      <w:bCs/>
                      <w:color w:val="auto"/>
                      <w:highlight w:val="none"/>
                      <w:vertAlign w:val="superscript"/>
                    </w:rPr>
                    <w:t>3</w:t>
                  </w:r>
                </w:p>
              </w:tc>
              <w:tc>
                <w:tcPr>
                  <w:tcW w:w="1314" w:type="pct"/>
                  <w:noWrap w:val="0"/>
                  <w:vAlign w:val="center"/>
                </w:tcPr>
                <w:p w14:paraId="75019E61">
                  <w:pPr>
                    <w:snapToGrid w:val="0"/>
                    <w:spacing w:line="28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标准来源</w:t>
                  </w:r>
                </w:p>
              </w:tc>
            </w:tr>
            <w:tr w14:paraId="3BD0CC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6" w:hRule="atLeast"/>
              </w:trPr>
              <w:tc>
                <w:tcPr>
                  <w:tcW w:w="863" w:type="pct"/>
                  <w:gridSpan w:val="2"/>
                  <w:vMerge w:val="restart"/>
                  <w:noWrap w:val="0"/>
                  <w:vAlign w:val="center"/>
                </w:tcPr>
                <w:p w14:paraId="330A0437">
                  <w:pPr>
                    <w:snapToGrid w:val="0"/>
                    <w:spacing w:line="28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NMHC</w:t>
                  </w:r>
                </w:p>
              </w:tc>
              <w:tc>
                <w:tcPr>
                  <w:tcW w:w="1244" w:type="pct"/>
                  <w:gridSpan w:val="2"/>
                  <w:vMerge w:val="restart"/>
                  <w:tcBorders>
                    <w:top w:val="single" w:color="auto" w:sz="6" w:space="0"/>
                    <w:right w:val="single" w:color="auto" w:sz="6" w:space="0"/>
                  </w:tcBorders>
                  <w:noWrap w:val="0"/>
                  <w:vAlign w:val="center"/>
                </w:tcPr>
                <w:p w14:paraId="32E14805">
                  <w:pPr>
                    <w:snapToGrid w:val="0"/>
                    <w:spacing w:line="28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在厂房外设置监控点</w:t>
                  </w:r>
                </w:p>
              </w:tc>
              <w:tc>
                <w:tcPr>
                  <w:tcW w:w="850" w:type="pct"/>
                  <w:tcBorders>
                    <w:top w:val="single" w:color="auto" w:sz="6" w:space="0"/>
                    <w:left w:val="single" w:color="auto" w:sz="6" w:space="0"/>
                    <w:bottom w:val="single" w:color="auto" w:sz="6" w:space="0"/>
                    <w:right w:val="single" w:color="auto" w:sz="6" w:space="0"/>
                  </w:tcBorders>
                  <w:noWrap w:val="0"/>
                  <w:vAlign w:val="center"/>
                </w:tcPr>
                <w:p w14:paraId="5F4041F2">
                  <w:pPr>
                    <w:pStyle w:val="28"/>
                    <w:spacing w:after="0"/>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监控点处1h平均浓度值</w:t>
                  </w:r>
                </w:p>
              </w:tc>
              <w:tc>
                <w:tcPr>
                  <w:tcW w:w="727" w:type="pct"/>
                  <w:tcBorders>
                    <w:top w:val="single" w:color="auto" w:sz="6" w:space="0"/>
                    <w:left w:val="single" w:color="auto" w:sz="6" w:space="0"/>
                    <w:bottom w:val="single" w:color="auto" w:sz="6" w:space="0"/>
                  </w:tcBorders>
                  <w:noWrap w:val="0"/>
                  <w:vAlign w:val="center"/>
                </w:tcPr>
                <w:p w14:paraId="0D1A69EF">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6</w:t>
                  </w:r>
                </w:p>
              </w:tc>
              <w:tc>
                <w:tcPr>
                  <w:tcW w:w="1314" w:type="pct"/>
                  <w:vMerge w:val="restart"/>
                  <w:noWrap w:val="0"/>
                  <w:vAlign w:val="center"/>
                </w:tcPr>
                <w:p w14:paraId="55113597">
                  <w:pPr>
                    <w:snapToGrid w:val="0"/>
                    <w:spacing w:line="28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《大气污染物综合排放标准》（DB32/4041-2021）表2</w:t>
                  </w:r>
                  <w:r>
                    <w:rPr>
                      <w:rFonts w:hint="eastAsia" w:ascii="Times New Roman" w:hAnsi="Times New Roman" w:eastAsia="仿宋" w:cs="Times New Roman"/>
                      <w:color w:val="auto"/>
                      <w:szCs w:val="21"/>
                      <w:highlight w:val="none"/>
                    </w:rPr>
                    <w:t>及《挥发性有机物无组织排放控制标准》（GB 37822-2019）表A.1标准</w:t>
                  </w:r>
                </w:p>
              </w:tc>
            </w:tr>
            <w:tr w14:paraId="5566B7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06" w:hRule="atLeast"/>
              </w:trPr>
              <w:tc>
                <w:tcPr>
                  <w:tcW w:w="863" w:type="pct"/>
                  <w:gridSpan w:val="2"/>
                  <w:vMerge w:val="continue"/>
                  <w:noWrap w:val="0"/>
                  <w:vAlign w:val="center"/>
                </w:tcPr>
                <w:p w14:paraId="697E1DB2">
                  <w:pPr>
                    <w:snapToGrid w:val="0"/>
                    <w:spacing w:line="280" w:lineRule="exact"/>
                    <w:jc w:val="center"/>
                    <w:rPr>
                      <w:rFonts w:hint="default" w:ascii="Times New Roman" w:hAnsi="Times New Roman" w:eastAsia="仿宋" w:cs="Times New Roman"/>
                      <w:color w:val="auto"/>
                      <w:szCs w:val="21"/>
                      <w:highlight w:val="none"/>
                    </w:rPr>
                  </w:pPr>
                </w:p>
              </w:tc>
              <w:tc>
                <w:tcPr>
                  <w:tcW w:w="1244" w:type="pct"/>
                  <w:gridSpan w:val="2"/>
                  <w:vMerge w:val="continue"/>
                  <w:tcBorders>
                    <w:bottom w:val="single" w:color="auto" w:sz="12" w:space="0"/>
                    <w:right w:val="single" w:color="auto" w:sz="6" w:space="0"/>
                  </w:tcBorders>
                  <w:noWrap w:val="0"/>
                  <w:vAlign w:val="center"/>
                </w:tcPr>
                <w:p w14:paraId="644E8D40">
                  <w:pPr>
                    <w:snapToGrid w:val="0"/>
                    <w:spacing w:line="280" w:lineRule="exact"/>
                    <w:jc w:val="center"/>
                    <w:rPr>
                      <w:rFonts w:hint="default" w:ascii="Times New Roman" w:hAnsi="Times New Roman" w:eastAsia="仿宋" w:cs="Times New Roman"/>
                      <w:color w:val="auto"/>
                      <w:szCs w:val="21"/>
                      <w:highlight w:val="none"/>
                    </w:rPr>
                  </w:pPr>
                </w:p>
              </w:tc>
              <w:tc>
                <w:tcPr>
                  <w:tcW w:w="850" w:type="pct"/>
                  <w:tcBorders>
                    <w:top w:val="single" w:color="auto" w:sz="6" w:space="0"/>
                    <w:left w:val="single" w:color="auto" w:sz="6" w:space="0"/>
                    <w:bottom w:val="single" w:color="auto" w:sz="12" w:space="0"/>
                    <w:right w:val="single" w:color="auto" w:sz="6" w:space="0"/>
                  </w:tcBorders>
                  <w:noWrap w:val="0"/>
                  <w:vAlign w:val="center"/>
                </w:tcPr>
                <w:p w14:paraId="4BBBEA24">
                  <w:pPr>
                    <w:snapToGrid w:val="0"/>
                    <w:spacing w:line="28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监控点处任意一次浓度值</w:t>
                  </w:r>
                </w:p>
              </w:tc>
              <w:tc>
                <w:tcPr>
                  <w:tcW w:w="727" w:type="pct"/>
                  <w:tcBorders>
                    <w:top w:val="single" w:color="auto" w:sz="6" w:space="0"/>
                    <w:left w:val="single" w:color="auto" w:sz="6" w:space="0"/>
                    <w:bottom w:val="single" w:color="auto" w:sz="12" w:space="0"/>
                  </w:tcBorders>
                  <w:noWrap w:val="0"/>
                  <w:vAlign w:val="center"/>
                </w:tcPr>
                <w:p w14:paraId="3865BBD2">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20</w:t>
                  </w:r>
                </w:p>
              </w:tc>
              <w:tc>
                <w:tcPr>
                  <w:tcW w:w="1314" w:type="pct"/>
                  <w:vMerge w:val="continue"/>
                  <w:noWrap w:val="0"/>
                  <w:vAlign w:val="center"/>
                </w:tcPr>
                <w:p w14:paraId="1DBB5C94">
                  <w:pPr>
                    <w:snapToGrid w:val="0"/>
                    <w:spacing w:line="280" w:lineRule="exact"/>
                    <w:jc w:val="center"/>
                    <w:rPr>
                      <w:rFonts w:hint="default" w:ascii="Times New Roman" w:hAnsi="Times New Roman" w:eastAsia="仿宋" w:cs="Times New Roman"/>
                      <w:color w:val="auto"/>
                      <w:szCs w:val="21"/>
                      <w:highlight w:val="none"/>
                    </w:rPr>
                  </w:pPr>
                </w:p>
              </w:tc>
            </w:tr>
          </w:tbl>
          <w:p w14:paraId="13DCD81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Cs/>
                <w:color w:val="auto"/>
                <w:sz w:val="18"/>
                <w:szCs w:val="18"/>
              </w:rPr>
              <w:t>注：</w:t>
            </w:r>
            <w:r>
              <w:rPr>
                <w:rFonts w:hint="eastAsia" w:eastAsia="仿宋" w:cs="Times New Roman"/>
                <w:bCs/>
                <w:color w:val="auto"/>
                <w:sz w:val="18"/>
                <w:szCs w:val="18"/>
                <w:lang w:val="en-US" w:eastAsia="zh-CN"/>
              </w:rPr>
              <w:t>1、注塑</w:t>
            </w:r>
            <w:r>
              <w:rPr>
                <w:rFonts w:hint="eastAsia" w:eastAsia="仿宋" w:cs="Times New Roman"/>
                <w:bCs/>
                <w:color w:val="auto"/>
                <w:sz w:val="18"/>
                <w:szCs w:val="18"/>
                <w:highlight w:val="none"/>
                <w:lang w:val="en-US" w:eastAsia="zh-CN"/>
              </w:rPr>
              <w:t>过程产生的非甲烷总烃执行《合成树脂工业污染物排放标准》（GB 31572-2015，含2024年修改单），上胶、烘干、固化过程产生的非甲烷总烃执行</w:t>
            </w:r>
            <w:r>
              <w:rPr>
                <w:rFonts w:hint="default" w:eastAsia="仿宋" w:cs="Times New Roman"/>
                <w:bCs/>
                <w:color w:val="auto"/>
                <w:sz w:val="18"/>
                <w:szCs w:val="18"/>
                <w:highlight w:val="none"/>
                <w:lang w:val="en-US" w:eastAsia="zh-CN"/>
              </w:rPr>
              <w:t>《大气污染物综合排放标准》（DB32/4041-2021）</w:t>
            </w:r>
            <w:r>
              <w:rPr>
                <w:rFonts w:hint="eastAsia" w:eastAsia="仿宋" w:cs="Times New Roman"/>
                <w:bCs/>
                <w:color w:val="auto"/>
                <w:sz w:val="18"/>
                <w:szCs w:val="18"/>
                <w:highlight w:val="none"/>
                <w:lang w:val="en-US" w:eastAsia="zh-CN"/>
              </w:rPr>
              <w:t>，且这几股废气合并收集治理及排放，由于2个标准中非甲烷总烃最高允许排放浓度相同，但《合成树脂工业污染物排放标准》（GB 31572-2015，含2024年修改单）中无最高允许排放速率，</w:t>
            </w:r>
            <w:r>
              <w:rPr>
                <w:rFonts w:hint="eastAsia" w:eastAsia="仿宋" w:cs="Times New Roman"/>
                <w:color w:val="auto"/>
                <w:sz w:val="18"/>
                <w:szCs w:val="18"/>
                <w:highlight w:val="none"/>
                <w:lang w:val="en-US" w:eastAsia="zh-CN"/>
              </w:rPr>
              <w:t>故非甲烷总烃从严</w:t>
            </w:r>
            <w:r>
              <w:rPr>
                <w:rFonts w:hint="eastAsia" w:ascii="Times New Roman" w:hAnsi="Times New Roman" w:eastAsia="仿宋" w:cs="Times New Roman"/>
                <w:bCs/>
                <w:color w:val="auto"/>
                <w:sz w:val="18"/>
                <w:szCs w:val="18"/>
                <w:highlight w:val="none"/>
                <w:lang w:val="en-US" w:eastAsia="zh-CN"/>
              </w:rPr>
              <w:t>执行</w:t>
            </w:r>
            <w:r>
              <w:rPr>
                <w:rFonts w:hint="default" w:ascii="Times New Roman" w:hAnsi="Times New Roman" w:eastAsia="仿宋" w:cs="Times New Roman"/>
                <w:color w:val="auto"/>
                <w:sz w:val="18"/>
                <w:szCs w:val="18"/>
                <w:highlight w:val="none"/>
              </w:rPr>
              <w:t>《大气污染物综合排放标准》（DB32/4041-2021）</w:t>
            </w:r>
            <w:r>
              <w:rPr>
                <w:rFonts w:hint="eastAsia" w:eastAsia="仿宋" w:cs="Times New Roman"/>
                <w:color w:val="auto"/>
                <w:sz w:val="18"/>
                <w:szCs w:val="18"/>
                <w:highlight w:val="none"/>
                <w:lang w:eastAsia="zh-CN"/>
              </w:rPr>
              <w:t>。</w:t>
            </w:r>
          </w:p>
          <w:p w14:paraId="07F6C07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2、水污染物排放标准</w:t>
            </w:r>
          </w:p>
          <w:p w14:paraId="2859C2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职工生活污水接管排入常州金坛区第二污水处理有限公司集中处理。生活污水执行常州金坛区第二污水处理有限公司接管标准（数据引自《金坛市城市污水处理有限公司金坛市第二污水处理厂扩建工程项目环境影响报告书》及批复），具体见下表。</w:t>
            </w:r>
          </w:p>
          <w:p w14:paraId="35BBFC32">
            <w:pPr>
              <w:tabs>
                <w:tab w:val="left" w:pos="960"/>
              </w:tabs>
              <w:jc w:val="center"/>
              <w:rPr>
                <w:rFonts w:hint="default" w:ascii="Times New Roman" w:hAnsi="Times New Roman" w:eastAsia="仿宋" w:cs="Times New Roman"/>
                <w:b/>
                <w:bCs/>
                <w:color w:val="auto"/>
                <w:spacing w:val="-4"/>
                <w:sz w:val="24"/>
                <w:highlight w:val="none"/>
              </w:rPr>
            </w:pPr>
            <w:r>
              <w:rPr>
                <w:rFonts w:hint="default" w:ascii="Times New Roman" w:hAnsi="Times New Roman" w:eastAsia="仿宋" w:cs="Times New Roman"/>
                <w:b/>
                <w:bCs/>
                <w:color w:val="auto"/>
                <w:spacing w:val="-4"/>
                <w:sz w:val="24"/>
                <w:highlight w:val="none"/>
              </w:rPr>
              <w:t>表3-</w:t>
            </w:r>
            <w:r>
              <w:rPr>
                <w:rFonts w:hint="eastAsia" w:eastAsia="仿宋" w:cs="Times New Roman"/>
                <w:b/>
                <w:bCs/>
                <w:color w:val="auto"/>
                <w:spacing w:val="-4"/>
                <w:sz w:val="24"/>
                <w:highlight w:val="none"/>
                <w:lang w:val="en-US" w:eastAsia="zh-CN"/>
              </w:rPr>
              <w:t>10</w:t>
            </w:r>
            <w:r>
              <w:rPr>
                <w:rFonts w:hint="default" w:ascii="Times New Roman" w:hAnsi="Times New Roman" w:eastAsia="仿宋" w:cs="Times New Roman"/>
                <w:b/>
                <w:bCs/>
                <w:color w:val="auto"/>
                <w:spacing w:val="-4"/>
                <w:sz w:val="24"/>
                <w:highlight w:val="none"/>
              </w:rPr>
              <w:t xml:space="preserve">  </w:t>
            </w:r>
            <w:r>
              <w:rPr>
                <w:rFonts w:hint="default" w:ascii="Times New Roman" w:hAnsi="Times New Roman" w:eastAsia="仿宋" w:cs="Times New Roman"/>
                <w:b/>
                <w:bCs/>
                <w:color w:val="auto"/>
                <w:sz w:val="24"/>
                <w:highlight w:val="none"/>
              </w:rPr>
              <w:t>废水污染物排放执行标准表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631"/>
              <w:gridCol w:w="2581"/>
              <w:gridCol w:w="3071"/>
            </w:tblGrid>
            <w:tr w14:paraId="0BC85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42" w:type="pct"/>
                  <w:vMerge w:val="restart"/>
                  <w:noWrap w:val="0"/>
                  <w:vAlign w:val="center"/>
                </w:tcPr>
                <w:p w14:paraId="05060A3E">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排放口</w:t>
                  </w:r>
                </w:p>
                <w:p w14:paraId="36834E85">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编号</w:t>
                  </w:r>
                </w:p>
              </w:tc>
              <w:tc>
                <w:tcPr>
                  <w:tcW w:w="998" w:type="pct"/>
                  <w:vMerge w:val="restart"/>
                  <w:noWrap w:val="0"/>
                  <w:vAlign w:val="center"/>
                </w:tcPr>
                <w:p w14:paraId="41195E36">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污染物种类</w:t>
                  </w:r>
                </w:p>
              </w:tc>
              <w:tc>
                <w:tcPr>
                  <w:tcW w:w="3458" w:type="pct"/>
                  <w:gridSpan w:val="2"/>
                  <w:noWrap w:val="0"/>
                  <w:vAlign w:val="center"/>
                </w:tcPr>
                <w:p w14:paraId="3F5AC38E">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国家或地方污染物排放标准及其他按规定商定的排放协议</w:t>
                  </w:r>
                </w:p>
              </w:tc>
            </w:tr>
            <w:tr w14:paraId="4FEDA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42" w:type="pct"/>
                  <w:vMerge w:val="continue"/>
                  <w:noWrap w:val="0"/>
                  <w:vAlign w:val="center"/>
                </w:tcPr>
                <w:p w14:paraId="7852198B">
                  <w:pPr>
                    <w:adjustRightInd w:val="0"/>
                    <w:snapToGrid w:val="0"/>
                    <w:jc w:val="center"/>
                    <w:rPr>
                      <w:rFonts w:hint="default" w:ascii="Times New Roman" w:hAnsi="Times New Roman" w:eastAsia="仿宋" w:cs="Times New Roman"/>
                      <w:b/>
                      <w:color w:val="auto"/>
                      <w:szCs w:val="21"/>
                      <w:highlight w:val="none"/>
                    </w:rPr>
                  </w:pPr>
                </w:p>
              </w:tc>
              <w:tc>
                <w:tcPr>
                  <w:tcW w:w="998" w:type="pct"/>
                  <w:vMerge w:val="continue"/>
                  <w:noWrap w:val="0"/>
                  <w:vAlign w:val="center"/>
                </w:tcPr>
                <w:p w14:paraId="290568D3">
                  <w:pPr>
                    <w:adjustRightInd w:val="0"/>
                    <w:snapToGrid w:val="0"/>
                    <w:jc w:val="center"/>
                    <w:rPr>
                      <w:rFonts w:hint="default" w:ascii="Times New Roman" w:hAnsi="Times New Roman" w:eastAsia="仿宋" w:cs="Times New Roman"/>
                      <w:b/>
                      <w:color w:val="auto"/>
                      <w:szCs w:val="21"/>
                      <w:highlight w:val="none"/>
                    </w:rPr>
                  </w:pPr>
                </w:p>
              </w:tc>
              <w:tc>
                <w:tcPr>
                  <w:tcW w:w="1579" w:type="pct"/>
                  <w:noWrap w:val="0"/>
                  <w:vAlign w:val="center"/>
                </w:tcPr>
                <w:p w14:paraId="5E074C6C">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名称</w:t>
                  </w:r>
                </w:p>
              </w:tc>
              <w:tc>
                <w:tcPr>
                  <w:tcW w:w="1878" w:type="pct"/>
                  <w:noWrap w:val="0"/>
                  <w:vAlign w:val="center"/>
                </w:tcPr>
                <w:p w14:paraId="390491BD">
                  <w:pPr>
                    <w:adjustRightInd w:val="0"/>
                    <w:snapToGrid w:val="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浓度限值（mg/L）</w:t>
                  </w:r>
                </w:p>
              </w:tc>
            </w:tr>
            <w:tr w14:paraId="0F4CA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42" w:type="pct"/>
                  <w:vMerge w:val="restart"/>
                  <w:noWrap w:val="0"/>
                  <w:vAlign w:val="center"/>
                </w:tcPr>
                <w:p w14:paraId="6489D8BF">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DW001</w:t>
                  </w:r>
                </w:p>
              </w:tc>
              <w:tc>
                <w:tcPr>
                  <w:tcW w:w="998" w:type="pct"/>
                  <w:noWrap w:val="0"/>
                  <w:vAlign w:val="center"/>
                </w:tcPr>
                <w:p w14:paraId="58615055">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pH（无量纲）</w:t>
                  </w:r>
                </w:p>
              </w:tc>
              <w:tc>
                <w:tcPr>
                  <w:tcW w:w="1579" w:type="pct"/>
                  <w:vMerge w:val="restart"/>
                  <w:noWrap w:val="0"/>
                  <w:vAlign w:val="center"/>
                </w:tcPr>
                <w:p w14:paraId="482B4FCA">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《金坛市城市污水处理有限公司金坛市第二污水处理厂扩建工程项目环境影响报告书》及批复</w:t>
                  </w:r>
                </w:p>
              </w:tc>
              <w:tc>
                <w:tcPr>
                  <w:tcW w:w="1878" w:type="pct"/>
                  <w:noWrap w:val="0"/>
                  <w:vAlign w:val="center"/>
                </w:tcPr>
                <w:p w14:paraId="7F5E24CB">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6.0～9.0</w:t>
                  </w:r>
                </w:p>
              </w:tc>
            </w:tr>
            <w:tr w14:paraId="6748A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42" w:type="pct"/>
                  <w:vMerge w:val="continue"/>
                  <w:noWrap w:val="0"/>
                  <w:vAlign w:val="center"/>
                </w:tcPr>
                <w:p w14:paraId="30E89674">
                  <w:pPr>
                    <w:adjustRightInd w:val="0"/>
                    <w:snapToGrid w:val="0"/>
                    <w:jc w:val="center"/>
                    <w:rPr>
                      <w:rFonts w:hint="default" w:ascii="Times New Roman" w:hAnsi="Times New Roman" w:eastAsia="仿宋" w:cs="Times New Roman"/>
                      <w:color w:val="auto"/>
                      <w:szCs w:val="21"/>
                      <w:highlight w:val="none"/>
                    </w:rPr>
                  </w:pPr>
                </w:p>
              </w:tc>
              <w:tc>
                <w:tcPr>
                  <w:tcW w:w="998" w:type="pct"/>
                  <w:noWrap w:val="0"/>
                  <w:vAlign w:val="center"/>
                </w:tcPr>
                <w:p w14:paraId="6CAD0CE2">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COD</w:t>
                  </w:r>
                </w:p>
              </w:tc>
              <w:tc>
                <w:tcPr>
                  <w:tcW w:w="1579" w:type="pct"/>
                  <w:vMerge w:val="continue"/>
                  <w:noWrap w:val="0"/>
                  <w:vAlign w:val="center"/>
                </w:tcPr>
                <w:p w14:paraId="5B31247C">
                  <w:pPr>
                    <w:adjustRightInd w:val="0"/>
                    <w:snapToGrid w:val="0"/>
                    <w:jc w:val="center"/>
                    <w:rPr>
                      <w:rFonts w:hint="default" w:ascii="Times New Roman" w:hAnsi="Times New Roman" w:eastAsia="仿宋" w:cs="Times New Roman"/>
                      <w:color w:val="auto"/>
                      <w:szCs w:val="21"/>
                      <w:highlight w:val="none"/>
                    </w:rPr>
                  </w:pPr>
                </w:p>
              </w:tc>
              <w:tc>
                <w:tcPr>
                  <w:tcW w:w="1878" w:type="pct"/>
                  <w:noWrap w:val="0"/>
                  <w:vAlign w:val="center"/>
                </w:tcPr>
                <w:p w14:paraId="07C5EE15">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500</w:t>
                  </w:r>
                </w:p>
              </w:tc>
            </w:tr>
            <w:tr w14:paraId="4263B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42" w:type="pct"/>
                  <w:vMerge w:val="continue"/>
                  <w:noWrap w:val="0"/>
                  <w:vAlign w:val="center"/>
                </w:tcPr>
                <w:p w14:paraId="7E0C0F7C">
                  <w:pPr>
                    <w:adjustRightInd w:val="0"/>
                    <w:snapToGrid w:val="0"/>
                    <w:jc w:val="center"/>
                    <w:rPr>
                      <w:rFonts w:hint="default" w:ascii="Times New Roman" w:hAnsi="Times New Roman" w:eastAsia="仿宋" w:cs="Times New Roman"/>
                      <w:color w:val="auto"/>
                      <w:szCs w:val="21"/>
                      <w:highlight w:val="none"/>
                    </w:rPr>
                  </w:pPr>
                </w:p>
              </w:tc>
              <w:tc>
                <w:tcPr>
                  <w:tcW w:w="998" w:type="pct"/>
                  <w:noWrap w:val="0"/>
                  <w:vAlign w:val="center"/>
                </w:tcPr>
                <w:p w14:paraId="1231AF06">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SS</w:t>
                  </w:r>
                </w:p>
              </w:tc>
              <w:tc>
                <w:tcPr>
                  <w:tcW w:w="1579" w:type="pct"/>
                  <w:vMerge w:val="continue"/>
                  <w:noWrap w:val="0"/>
                  <w:vAlign w:val="center"/>
                </w:tcPr>
                <w:p w14:paraId="779C33D1">
                  <w:pPr>
                    <w:adjustRightInd w:val="0"/>
                    <w:snapToGrid w:val="0"/>
                    <w:jc w:val="center"/>
                    <w:rPr>
                      <w:rFonts w:hint="default" w:ascii="Times New Roman" w:hAnsi="Times New Roman" w:eastAsia="仿宋" w:cs="Times New Roman"/>
                      <w:color w:val="auto"/>
                      <w:szCs w:val="21"/>
                      <w:highlight w:val="none"/>
                    </w:rPr>
                  </w:pPr>
                </w:p>
              </w:tc>
              <w:tc>
                <w:tcPr>
                  <w:tcW w:w="1878" w:type="pct"/>
                  <w:noWrap w:val="0"/>
                  <w:vAlign w:val="center"/>
                </w:tcPr>
                <w:p w14:paraId="5E7F5951">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250</w:t>
                  </w:r>
                </w:p>
              </w:tc>
            </w:tr>
            <w:tr w14:paraId="42956C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42" w:type="pct"/>
                  <w:vMerge w:val="continue"/>
                  <w:noWrap w:val="0"/>
                  <w:vAlign w:val="center"/>
                </w:tcPr>
                <w:p w14:paraId="2257B487">
                  <w:pPr>
                    <w:adjustRightInd w:val="0"/>
                    <w:snapToGrid w:val="0"/>
                    <w:jc w:val="center"/>
                    <w:rPr>
                      <w:rFonts w:hint="default" w:ascii="Times New Roman" w:hAnsi="Times New Roman" w:eastAsia="仿宋" w:cs="Times New Roman"/>
                      <w:color w:val="auto"/>
                      <w:szCs w:val="21"/>
                      <w:highlight w:val="none"/>
                    </w:rPr>
                  </w:pPr>
                </w:p>
              </w:tc>
              <w:tc>
                <w:tcPr>
                  <w:tcW w:w="998" w:type="pct"/>
                  <w:noWrap w:val="0"/>
                  <w:vAlign w:val="center"/>
                </w:tcPr>
                <w:p w14:paraId="63FA3F91">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氨氮</w:t>
                  </w:r>
                </w:p>
              </w:tc>
              <w:tc>
                <w:tcPr>
                  <w:tcW w:w="1579" w:type="pct"/>
                  <w:vMerge w:val="continue"/>
                  <w:noWrap w:val="0"/>
                  <w:vAlign w:val="center"/>
                </w:tcPr>
                <w:p w14:paraId="23B541CE">
                  <w:pPr>
                    <w:adjustRightInd w:val="0"/>
                    <w:snapToGrid w:val="0"/>
                    <w:jc w:val="center"/>
                    <w:rPr>
                      <w:rFonts w:hint="default" w:ascii="Times New Roman" w:hAnsi="Times New Roman" w:eastAsia="仿宋" w:cs="Times New Roman"/>
                      <w:color w:val="auto"/>
                      <w:szCs w:val="21"/>
                      <w:highlight w:val="none"/>
                    </w:rPr>
                  </w:pPr>
                </w:p>
              </w:tc>
              <w:tc>
                <w:tcPr>
                  <w:tcW w:w="1878" w:type="pct"/>
                  <w:noWrap w:val="0"/>
                  <w:vAlign w:val="center"/>
                </w:tcPr>
                <w:p w14:paraId="3352DEF3">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35</w:t>
                  </w:r>
                </w:p>
              </w:tc>
            </w:tr>
            <w:tr w14:paraId="2B1B9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42" w:type="pct"/>
                  <w:vMerge w:val="continue"/>
                  <w:noWrap w:val="0"/>
                  <w:vAlign w:val="center"/>
                </w:tcPr>
                <w:p w14:paraId="6F62D0D7">
                  <w:pPr>
                    <w:adjustRightInd w:val="0"/>
                    <w:snapToGrid w:val="0"/>
                    <w:jc w:val="center"/>
                    <w:rPr>
                      <w:rFonts w:hint="default" w:ascii="Times New Roman" w:hAnsi="Times New Roman" w:eastAsia="仿宋" w:cs="Times New Roman"/>
                      <w:color w:val="auto"/>
                      <w:szCs w:val="21"/>
                      <w:highlight w:val="none"/>
                    </w:rPr>
                  </w:pPr>
                </w:p>
              </w:tc>
              <w:tc>
                <w:tcPr>
                  <w:tcW w:w="998" w:type="pct"/>
                  <w:noWrap w:val="0"/>
                  <w:vAlign w:val="center"/>
                </w:tcPr>
                <w:p w14:paraId="25A20116">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总磷</w:t>
                  </w:r>
                </w:p>
              </w:tc>
              <w:tc>
                <w:tcPr>
                  <w:tcW w:w="1579" w:type="pct"/>
                  <w:vMerge w:val="continue"/>
                  <w:noWrap w:val="0"/>
                  <w:vAlign w:val="center"/>
                </w:tcPr>
                <w:p w14:paraId="0DAB9FC9">
                  <w:pPr>
                    <w:adjustRightInd w:val="0"/>
                    <w:snapToGrid w:val="0"/>
                    <w:jc w:val="center"/>
                    <w:rPr>
                      <w:rFonts w:hint="default" w:ascii="Times New Roman" w:hAnsi="Times New Roman" w:eastAsia="仿宋" w:cs="Times New Roman"/>
                      <w:color w:val="auto"/>
                      <w:szCs w:val="21"/>
                      <w:highlight w:val="none"/>
                    </w:rPr>
                  </w:pPr>
                </w:p>
              </w:tc>
              <w:tc>
                <w:tcPr>
                  <w:tcW w:w="1878" w:type="pct"/>
                  <w:noWrap w:val="0"/>
                  <w:vAlign w:val="center"/>
                </w:tcPr>
                <w:p w14:paraId="672EEDC1">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w:t>
                  </w:r>
                </w:p>
              </w:tc>
            </w:tr>
            <w:tr w14:paraId="6D5C5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42" w:type="pct"/>
                  <w:vMerge w:val="continue"/>
                  <w:noWrap w:val="0"/>
                  <w:vAlign w:val="center"/>
                </w:tcPr>
                <w:p w14:paraId="614EBD00">
                  <w:pPr>
                    <w:adjustRightInd w:val="0"/>
                    <w:snapToGrid w:val="0"/>
                    <w:jc w:val="center"/>
                    <w:rPr>
                      <w:rFonts w:hint="default" w:ascii="Times New Roman" w:hAnsi="Times New Roman" w:eastAsia="仿宋" w:cs="Times New Roman"/>
                      <w:color w:val="auto"/>
                      <w:szCs w:val="21"/>
                      <w:highlight w:val="none"/>
                    </w:rPr>
                  </w:pPr>
                </w:p>
              </w:tc>
              <w:tc>
                <w:tcPr>
                  <w:tcW w:w="998" w:type="pct"/>
                  <w:noWrap w:val="0"/>
                  <w:vAlign w:val="center"/>
                </w:tcPr>
                <w:p w14:paraId="7513A82D">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总氮</w:t>
                  </w:r>
                </w:p>
              </w:tc>
              <w:tc>
                <w:tcPr>
                  <w:tcW w:w="1579" w:type="pct"/>
                  <w:vMerge w:val="continue"/>
                  <w:noWrap w:val="0"/>
                  <w:vAlign w:val="center"/>
                </w:tcPr>
                <w:p w14:paraId="12F57E85">
                  <w:pPr>
                    <w:adjustRightInd w:val="0"/>
                    <w:snapToGrid w:val="0"/>
                    <w:jc w:val="center"/>
                    <w:rPr>
                      <w:rFonts w:hint="default" w:ascii="Times New Roman" w:hAnsi="Times New Roman" w:eastAsia="仿宋" w:cs="Times New Roman"/>
                      <w:color w:val="auto"/>
                      <w:szCs w:val="21"/>
                      <w:highlight w:val="none"/>
                    </w:rPr>
                  </w:pPr>
                </w:p>
              </w:tc>
              <w:tc>
                <w:tcPr>
                  <w:tcW w:w="1878" w:type="pct"/>
                  <w:noWrap w:val="0"/>
                  <w:vAlign w:val="center"/>
                </w:tcPr>
                <w:p w14:paraId="2626788D">
                  <w:pPr>
                    <w:pStyle w:val="65"/>
                    <w:spacing w:before="24" w:after="24"/>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50</w:t>
                  </w:r>
                </w:p>
              </w:tc>
            </w:tr>
          </w:tbl>
          <w:p w14:paraId="2F926502">
            <w:pPr>
              <w:adjustRightInd w:val="0"/>
              <w:snapToGrid w:val="0"/>
              <w:spacing w:before="120" w:beforeLines="50"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常州金坛区第二污水处理有限公司尾水排放执行《城镇污水处理厂污染物排放标准》（DB32/4440-2022）表1中C标准，标准值见下表。</w:t>
            </w:r>
          </w:p>
          <w:p w14:paraId="3B1B58D2">
            <w:pPr>
              <w:jc w:val="righ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pacing w:val="-4"/>
                <w:sz w:val="24"/>
                <w:highlight w:val="none"/>
              </w:rPr>
              <w:t>表3-1</w:t>
            </w:r>
            <w:r>
              <w:rPr>
                <w:rFonts w:hint="eastAsia" w:eastAsia="仿宋" w:cs="Times New Roman"/>
                <w:b/>
                <w:bCs/>
                <w:color w:val="auto"/>
                <w:spacing w:val="-4"/>
                <w:sz w:val="24"/>
                <w:highlight w:val="none"/>
                <w:lang w:val="en-US" w:eastAsia="zh-CN"/>
              </w:rPr>
              <w:t>1</w:t>
            </w:r>
            <w:r>
              <w:rPr>
                <w:rFonts w:hint="default" w:ascii="Times New Roman" w:hAnsi="Times New Roman" w:eastAsia="仿宋" w:cs="Times New Roman"/>
                <w:b/>
                <w:bCs/>
                <w:color w:val="auto"/>
                <w:spacing w:val="-4"/>
                <w:sz w:val="24"/>
                <w:highlight w:val="none"/>
              </w:rPr>
              <w:t xml:space="preserve">  城镇污水处理厂污染物排放标准      单位：mg/L</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49"/>
              <w:gridCol w:w="1731"/>
              <w:gridCol w:w="1873"/>
              <w:gridCol w:w="3516"/>
            </w:tblGrid>
            <w:tr w14:paraId="08FC7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2" w:type="pct"/>
                  <w:noWrap w:val="0"/>
                  <w:vAlign w:val="center"/>
                </w:tcPr>
                <w:p w14:paraId="1027B9B8">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执行日期</w:t>
                  </w:r>
                </w:p>
              </w:tc>
              <w:tc>
                <w:tcPr>
                  <w:tcW w:w="1059" w:type="pct"/>
                  <w:noWrap w:val="0"/>
                  <w:vAlign w:val="center"/>
                </w:tcPr>
                <w:p w14:paraId="28921EA6">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污染物名称</w:t>
                  </w:r>
                </w:p>
              </w:tc>
              <w:tc>
                <w:tcPr>
                  <w:tcW w:w="1146" w:type="pct"/>
                  <w:noWrap w:val="0"/>
                  <w:vAlign w:val="center"/>
                </w:tcPr>
                <w:p w14:paraId="7B021AA1">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最高允许排放限值</w:t>
                  </w:r>
                </w:p>
              </w:tc>
              <w:tc>
                <w:tcPr>
                  <w:tcW w:w="2151" w:type="pct"/>
                  <w:noWrap w:val="0"/>
                  <w:vAlign w:val="center"/>
                </w:tcPr>
                <w:p w14:paraId="7530B76D">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标准来源</w:t>
                  </w:r>
                </w:p>
              </w:tc>
            </w:tr>
            <w:tr w14:paraId="7CB93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2" w:type="pct"/>
                  <w:vMerge w:val="restart"/>
                  <w:noWrap w:val="0"/>
                  <w:vAlign w:val="center"/>
                </w:tcPr>
                <w:p w14:paraId="52402BE9">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2026年3月28日后</w:t>
                  </w:r>
                </w:p>
              </w:tc>
              <w:tc>
                <w:tcPr>
                  <w:tcW w:w="1059" w:type="pct"/>
                  <w:noWrap w:val="0"/>
                  <w:vAlign w:val="center"/>
                </w:tcPr>
                <w:p w14:paraId="6E2453E6">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pH（无量纲）</w:t>
                  </w:r>
                </w:p>
              </w:tc>
              <w:tc>
                <w:tcPr>
                  <w:tcW w:w="1146" w:type="pct"/>
                  <w:noWrap w:val="0"/>
                  <w:vAlign w:val="center"/>
                </w:tcPr>
                <w:p w14:paraId="4FC28BF4">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6～9</w:t>
                  </w:r>
                </w:p>
              </w:tc>
              <w:tc>
                <w:tcPr>
                  <w:tcW w:w="2151" w:type="pct"/>
                  <w:vMerge w:val="restart"/>
                  <w:noWrap w:val="0"/>
                  <w:vAlign w:val="center"/>
                </w:tcPr>
                <w:p w14:paraId="42B377F8">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《城镇污水处理厂污染物排放标准》（DB32/4440-2022）表1中C标准</w:t>
                  </w:r>
                </w:p>
              </w:tc>
            </w:tr>
            <w:tr w14:paraId="09EB3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2" w:type="pct"/>
                  <w:vMerge w:val="continue"/>
                  <w:noWrap w:val="0"/>
                  <w:vAlign w:val="center"/>
                </w:tcPr>
                <w:p w14:paraId="2F2F9164">
                  <w:pPr>
                    <w:widowControl/>
                    <w:jc w:val="left"/>
                    <w:rPr>
                      <w:rFonts w:hint="default" w:ascii="Times New Roman" w:hAnsi="Times New Roman" w:eastAsia="仿宋" w:cs="Times New Roman"/>
                      <w:color w:val="auto"/>
                      <w:szCs w:val="21"/>
                      <w:highlight w:val="none"/>
                    </w:rPr>
                  </w:pPr>
                </w:p>
              </w:tc>
              <w:tc>
                <w:tcPr>
                  <w:tcW w:w="1059" w:type="pct"/>
                  <w:noWrap w:val="0"/>
                  <w:vAlign w:val="center"/>
                </w:tcPr>
                <w:p w14:paraId="5D799DCC">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SS</w:t>
                  </w:r>
                </w:p>
              </w:tc>
              <w:tc>
                <w:tcPr>
                  <w:tcW w:w="1146" w:type="pct"/>
                  <w:noWrap w:val="0"/>
                  <w:vAlign w:val="center"/>
                </w:tcPr>
                <w:p w14:paraId="33FE53E3">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10</w:t>
                  </w:r>
                </w:p>
              </w:tc>
              <w:tc>
                <w:tcPr>
                  <w:tcW w:w="2151" w:type="pct"/>
                  <w:vMerge w:val="continue"/>
                  <w:noWrap w:val="0"/>
                  <w:vAlign w:val="center"/>
                </w:tcPr>
                <w:p w14:paraId="67AFF80D">
                  <w:pPr>
                    <w:widowControl/>
                    <w:jc w:val="left"/>
                    <w:rPr>
                      <w:rFonts w:hint="default" w:ascii="Times New Roman" w:hAnsi="Times New Roman" w:eastAsia="仿宋" w:cs="Times New Roman"/>
                      <w:color w:val="auto"/>
                      <w:szCs w:val="21"/>
                      <w:highlight w:val="none"/>
                    </w:rPr>
                  </w:pPr>
                </w:p>
              </w:tc>
            </w:tr>
            <w:tr w14:paraId="211CD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2" w:type="pct"/>
                  <w:vMerge w:val="continue"/>
                  <w:noWrap w:val="0"/>
                  <w:vAlign w:val="center"/>
                </w:tcPr>
                <w:p w14:paraId="5C8553A8">
                  <w:pPr>
                    <w:widowControl/>
                    <w:jc w:val="left"/>
                    <w:rPr>
                      <w:rFonts w:hint="default" w:ascii="Times New Roman" w:hAnsi="Times New Roman" w:eastAsia="仿宋" w:cs="Times New Roman"/>
                      <w:color w:val="auto"/>
                      <w:szCs w:val="21"/>
                      <w:highlight w:val="none"/>
                    </w:rPr>
                  </w:pPr>
                </w:p>
              </w:tc>
              <w:tc>
                <w:tcPr>
                  <w:tcW w:w="1059" w:type="pct"/>
                  <w:noWrap w:val="0"/>
                  <w:vAlign w:val="center"/>
                </w:tcPr>
                <w:p w14:paraId="54B0B972">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COD</w:t>
                  </w:r>
                </w:p>
              </w:tc>
              <w:tc>
                <w:tcPr>
                  <w:tcW w:w="1146" w:type="pct"/>
                  <w:noWrap w:val="0"/>
                  <w:vAlign w:val="center"/>
                </w:tcPr>
                <w:p w14:paraId="0DB12991">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50</w:t>
                  </w:r>
                </w:p>
              </w:tc>
              <w:tc>
                <w:tcPr>
                  <w:tcW w:w="2151" w:type="pct"/>
                  <w:vMerge w:val="continue"/>
                  <w:noWrap w:val="0"/>
                  <w:vAlign w:val="center"/>
                </w:tcPr>
                <w:p w14:paraId="515EE48D">
                  <w:pPr>
                    <w:widowControl/>
                    <w:jc w:val="left"/>
                    <w:rPr>
                      <w:rFonts w:hint="default" w:ascii="Times New Roman" w:hAnsi="Times New Roman" w:eastAsia="仿宋" w:cs="Times New Roman"/>
                      <w:color w:val="auto"/>
                      <w:szCs w:val="21"/>
                      <w:highlight w:val="none"/>
                    </w:rPr>
                  </w:pPr>
                </w:p>
              </w:tc>
            </w:tr>
            <w:tr w14:paraId="22863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2" w:type="pct"/>
                  <w:vMerge w:val="continue"/>
                  <w:noWrap w:val="0"/>
                  <w:vAlign w:val="center"/>
                </w:tcPr>
                <w:p w14:paraId="773998F1">
                  <w:pPr>
                    <w:widowControl/>
                    <w:jc w:val="left"/>
                    <w:rPr>
                      <w:rFonts w:hint="default" w:ascii="Times New Roman" w:hAnsi="Times New Roman" w:eastAsia="仿宋" w:cs="Times New Roman"/>
                      <w:color w:val="auto"/>
                      <w:szCs w:val="21"/>
                      <w:highlight w:val="none"/>
                    </w:rPr>
                  </w:pPr>
                </w:p>
              </w:tc>
              <w:tc>
                <w:tcPr>
                  <w:tcW w:w="1059" w:type="pct"/>
                  <w:noWrap w:val="0"/>
                  <w:vAlign w:val="center"/>
                </w:tcPr>
                <w:p w14:paraId="467E5BE8">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氨氮</w:t>
                  </w:r>
                </w:p>
              </w:tc>
              <w:tc>
                <w:tcPr>
                  <w:tcW w:w="1146" w:type="pct"/>
                  <w:noWrap w:val="0"/>
                  <w:vAlign w:val="center"/>
                </w:tcPr>
                <w:p w14:paraId="483EFD37">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4（6）</w:t>
                  </w:r>
                  <w:r>
                    <w:rPr>
                      <w:rFonts w:hint="default" w:ascii="Times New Roman" w:hAnsi="Times New Roman" w:eastAsia="仿宋" w:cs="Times New Roman"/>
                      <w:color w:val="auto"/>
                      <w:szCs w:val="21"/>
                      <w:highlight w:val="none"/>
                      <w:vertAlign w:val="superscript"/>
                    </w:rPr>
                    <w:t>[</w:t>
                  </w:r>
                  <w:r>
                    <w:rPr>
                      <w:rFonts w:hint="eastAsia" w:eastAsia="仿宋" w:cs="Times New Roman"/>
                      <w:color w:val="auto"/>
                      <w:szCs w:val="21"/>
                      <w:highlight w:val="none"/>
                      <w:vertAlign w:val="superscript"/>
                      <w:lang w:val="en-US" w:eastAsia="zh-CN"/>
                    </w:rPr>
                    <w:t>1</w:t>
                  </w:r>
                  <w:r>
                    <w:rPr>
                      <w:rFonts w:hint="default" w:ascii="Times New Roman" w:hAnsi="Times New Roman" w:eastAsia="仿宋" w:cs="Times New Roman"/>
                      <w:color w:val="auto"/>
                      <w:szCs w:val="21"/>
                      <w:highlight w:val="none"/>
                      <w:vertAlign w:val="superscript"/>
                    </w:rPr>
                    <w:t>]</w:t>
                  </w:r>
                </w:p>
              </w:tc>
              <w:tc>
                <w:tcPr>
                  <w:tcW w:w="2151" w:type="pct"/>
                  <w:vMerge w:val="continue"/>
                  <w:noWrap w:val="0"/>
                  <w:vAlign w:val="center"/>
                </w:tcPr>
                <w:p w14:paraId="06A2CE1A">
                  <w:pPr>
                    <w:widowControl/>
                    <w:jc w:val="left"/>
                    <w:rPr>
                      <w:rFonts w:hint="default" w:ascii="Times New Roman" w:hAnsi="Times New Roman" w:eastAsia="仿宋" w:cs="Times New Roman"/>
                      <w:color w:val="auto"/>
                      <w:szCs w:val="21"/>
                      <w:highlight w:val="none"/>
                    </w:rPr>
                  </w:pPr>
                </w:p>
              </w:tc>
            </w:tr>
            <w:tr w14:paraId="20E96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2" w:type="pct"/>
                  <w:vMerge w:val="continue"/>
                  <w:noWrap w:val="0"/>
                  <w:vAlign w:val="center"/>
                </w:tcPr>
                <w:p w14:paraId="2F716A29">
                  <w:pPr>
                    <w:widowControl/>
                    <w:jc w:val="left"/>
                    <w:rPr>
                      <w:rFonts w:hint="default" w:ascii="Times New Roman" w:hAnsi="Times New Roman" w:eastAsia="仿宋" w:cs="Times New Roman"/>
                      <w:color w:val="auto"/>
                      <w:szCs w:val="21"/>
                      <w:highlight w:val="none"/>
                    </w:rPr>
                  </w:pPr>
                </w:p>
              </w:tc>
              <w:tc>
                <w:tcPr>
                  <w:tcW w:w="1059" w:type="pct"/>
                  <w:noWrap w:val="0"/>
                  <w:vAlign w:val="center"/>
                </w:tcPr>
                <w:p w14:paraId="2E61E8B4">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总氮</w:t>
                  </w:r>
                </w:p>
              </w:tc>
              <w:tc>
                <w:tcPr>
                  <w:tcW w:w="1146" w:type="pct"/>
                  <w:noWrap w:val="0"/>
                  <w:vAlign w:val="center"/>
                </w:tcPr>
                <w:p w14:paraId="361C90EA">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12（15）</w:t>
                  </w:r>
                  <w:r>
                    <w:rPr>
                      <w:rFonts w:hint="default" w:ascii="Times New Roman" w:hAnsi="Times New Roman" w:eastAsia="仿宋" w:cs="Times New Roman"/>
                      <w:color w:val="auto"/>
                      <w:szCs w:val="21"/>
                      <w:highlight w:val="none"/>
                      <w:vertAlign w:val="superscript"/>
                    </w:rPr>
                    <w:t>[</w:t>
                  </w:r>
                  <w:r>
                    <w:rPr>
                      <w:rFonts w:hint="eastAsia" w:eastAsia="仿宋" w:cs="Times New Roman"/>
                      <w:color w:val="auto"/>
                      <w:szCs w:val="21"/>
                      <w:highlight w:val="none"/>
                      <w:vertAlign w:val="superscript"/>
                      <w:lang w:val="en-US" w:eastAsia="zh-CN"/>
                    </w:rPr>
                    <w:t>1</w:t>
                  </w:r>
                  <w:r>
                    <w:rPr>
                      <w:rFonts w:hint="default" w:ascii="Times New Roman" w:hAnsi="Times New Roman" w:eastAsia="仿宋" w:cs="Times New Roman"/>
                      <w:color w:val="auto"/>
                      <w:szCs w:val="21"/>
                      <w:highlight w:val="none"/>
                      <w:vertAlign w:val="superscript"/>
                    </w:rPr>
                    <w:t>]</w:t>
                  </w:r>
                </w:p>
              </w:tc>
              <w:tc>
                <w:tcPr>
                  <w:tcW w:w="2151" w:type="pct"/>
                  <w:vMerge w:val="continue"/>
                  <w:noWrap w:val="0"/>
                  <w:vAlign w:val="center"/>
                </w:tcPr>
                <w:p w14:paraId="41B65643">
                  <w:pPr>
                    <w:widowControl/>
                    <w:jc w:val="left"/>
                    <w:rPr>
                      <w:rFonts w:hint="default" w:ascii="Times New Roman" w:hAnsi="Times New Roman" w:eastAsia="仿宋" w:cs="Times New Roman"/>
                      <w:color w:val="auto"/>
                      <w:szCs w:val="21"/>
                      <w:highlight w:val="none"/>
                    </w:rPr>
                  </w:pPr>
                </w:p>
              </w:tc>
            </w:tr>
            <w:tr w14:paraId="78316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42" w:type="pct"/>
                  <w:vMerge w:val="continue"/>
                  <w:noWrap w:val="0"/>
                  <w:vAlign w:val="center"/>
                </w:tcPr>
                <w:p w14:paraId="34C3805C">
                  <w:pPr>
                    <w:widowControl/>
                    <w:jc w:val="left"/>
                    <w:rPr>
                      <w:rFonts w:hint="default" w:ascii="Times New Roman" w:hAnsi="Times New Roman" w:eastAsia="仿宋" w:cs="Times New Roman"/>
                      <w:color w:val="auto"/>
                      <w:szCs w:val="21"/>
                      <w:highlight w:val="none"/>
                    </w:rPr>
                  </w:pPr>
                </w:p>
              </w:tc>
              <w:tc>
                <w:tcPr>
                  <w:tcW w:w="1059" w:type="pct"/>
                  <w:noWrap w:val="0"/>
                  <w:vAlign w:val="center"/>
                </w:tcPr>
                <w:p w14:paraId="5C017C80">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总磷</w:t>
                  </w:r>
                </w:p>
              </w:tc>
              <w:tc>
                <w:tcPr>
                  <w:tcW w:w="1146" w:type="pct"/>
                  <w:noWrap w:val="0"/>
                  <w:vAlign w:val="center"/>
                </w:tcPr>
                <w:p w14:paraId="0A6EC6E3">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0.5</w:t>
                  </w:r>
                </w:p>
              </w:tc>
              <w:tc>
                <w:tcPr>
                  <w:tcW w:w="2151" w:type="pct"/>
                  <w:vMerge w:val="continue"/>
                  <w:noWrap w:val="0"/>
                  <w:vAlign w:val="center"/>
                </w:tcPr>
                <w:p w14:paraId="271D554C">
                  <w:pPr>
                    <w:widowControl/>
                    <w:jc w:val="left"/>
                    <w:rPr>
                      <w:rFonts w:hint="default" w:ascii="Times New Roman" w:hAnsi="Times New Roman" w:eastAsia="仿宋" w:cs="Times New Roman"/>
                      <w:color w:val="auto"/>
                      <w:szCs w:val="21"/>
                      <w:highlight w:val="none"/>
                    </w:rPr>
                  </w:pPr>
                </w:p>
              </w:tc>
            </w:tr>
          </w:tbl>
          <w:p w14:paraId="73E51651">
            <w:pPr>
              <w:adjustRightInd w:val="0"/>
              <w:snapToGrid w:val="0"/>
              <w:rPr>
                <w:rFonts w:hint="default" w:ascii="Times New Roman" w:hAnsi="Times New Roman" w:eastAsia="仿宋" w:cs="Times New Roman"/>
                <w:b w:val="0"/>
                <w:bCs/>
                <w:color w:val="auto"/>
                <w:sz w:val="24"/>
                <w:highlight w:val="none"/>
              </w:rPr>
            </w:pPr>
            <w:r>
              <w:rPr>
                <w:rFonts w:hint="default" w:ascii="Times New Roman" w:hAnsi="Times New Roman" w:eastAsia="仿宋" w:cs="Times New Roman"/>
                <w:b w:val="0"/>
                <w:bCs/>
                <w:color w:val="auto"/>
                <w:sz w:val="18"/>
                <w:szCs w:val="18"/>
                <w:highlight w:val="none"/>
              </w:rPr>
              <w:t>注：[</w:t>
            </w:r>
            <w:r>
              <w:rPr>
                <w:rFonts w:hint="eastAsia" w:eastAsia="仿宋" w:cs="Times New Roman"/>
                <w:b w:val="0"/>
                <w:bCs/>
                <w:color w:val="auto"/>
                <w:sz w:val="18"/>
                <w:szCs w:val="18"/>
                <w:highlight w:val="none"/>
                <w:lang w:val="en-US" w:eastAsia="zh-CN"/>
              </w:rPr>
              <w:t>1</w:t>
            </w:r>
            <w:r>
              <w:rPr>
                <w:rFonts w:hint="default" w:ascii="Times New Roman" w:hAnsi="Times New Roman" w:eastAsia="仿宋" w:cs="Times New Roman"/>
                <w:b w:val="0"/>
                <w:bCs/>
                <w:color w:val="auto"/>
                <w:sz w:val="18"/>
                <w:szCs w:val="18"/>
                <w:highlight w:val="none"/>
              </w:rPr>
              <w:t>]每年11月1日至次年3月31日执行括号内排放限值。</w:t>
            </w:r>
          </w:p>
          <w:p w14:paraId="082C6880">
            <w:pPr>
              <w:spacing w:line="360" w:lineRule="auto"/>
              <w:ind w:firstLine="482" w:firstLineChars="200"/>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3、噪声排放标准</w:t>
            </w:r>
          </w:p>
          <w:p w14:paraId="7D8DC351">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本项目各</w:t>
            </w:r>
            <w:r>
              <w:rPr>
                <w:rFonts w:hint="eastAsia" w:eastAsia="仿宋" w:cs="Times New Roman"/>
                <w:bCs/>
                <w:color w:val="auto"/>
                <w:sz w:val="24"/>
                <w:highlight w:val="none"/>
                <w:lang w:val="en-US" w:eastAsia="zh-CN"/>
              </w:rPr>
              <w:t>厂界</w:t>
            </w:r>
            <w:r>
              <w:rPr>
                <w:rFonts w:hint="default" w:ascii="Times New Roman" w:hAnsi="Times New Roman" w:eastAsia="仿宋" w:cs="Times New Roman"/>
                <w:bCs/>
                <w:color w:val="auto"/>
                <w:sz w:val="24"/>
                <w:highlight w:val="none"/>
              </w:rPr>
              <w:t>噪声排放执行《工业企业厂界环境噪声排放标准》（GB12348-2008）表1中3类功能区对应标准限值。具体见下表。</w:t>
            </w:r>
          </w:p>
          <w:p w14:paraId="65B52847">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表3-1</w:t>
            </w:r>
            <w:r>
              <w:rPr>
                <w:rFonts w:hint="eastAsia" w:eastAsia="仿宋" w:cs="Times New Roman"/>
                <w:b/>
                <w:bCs/>
                <w:color w:val="auto"/>
                <w:sz w:val="24"/>
                <w:highlight w:val="none"/>
                <w:lang w:val="en-US" w:eastAsia="zh-CN"/>
              </w:rPr>
              <w:t>2</w:t>
            </w:r>
            <w:r>
              <w:rPr>
                <w:rFonts w:hint="default" w:ascii="Times New Roman" w:hAnsi="Times New Roman" w:eastAsia="仿宋" w:cs="Times New Roman"/>
                <w:b/>
                <w:bCs/>
                <w:color w:val="auto"/>
                <w:sz w:val="24"/>
                <w:highlight w:val="none"/>
              </w:rPr>
              <w:t xml:space="preserve">  环境噪声标准限值</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824"/>
              <w:gridCol w:w="2671"/>
              <w:gridCol w:w="2671"/>
            </w:tblGrid>
            <w:tr w14:paraId="19447F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729" w:type="pct"/>
                  <w:tcBorders>
                    <w:top w:val="single" w:color="auto" w:sz="12" w:space="0"/>
                    <w:bottom w:val="single" w:color="auto" w:sz="2" w:space="0"/>
                    <w:tl2br w:val="single" w:color="auto" w:sz="2" w:space="0"/>
                  </w:tcBorders>
                  <w:noWrap w:val="0"/>
                  <w:vAlign w:val="center"/>
                </w:tcPr>
                <w:p w14:paraId="03B1FED7">
                  <w:pPr>
                    <w:jc w:val="right"/>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时段</w:t>
                  </w:r>
                </w:p>
                <w:p w14:paraId="397B0253">
                  <w:pP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厂界外</w:t>
                  </w:r>
                </w:p>
                <w:p w14:paraId="43EBFA97">
                  <w:pP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声环境功能区类别</w:t>
                  </w:r>
                </w:p>
              </w:tc>
              <w:tc>
                <w:tcPr>
                  <w:tcW w:w="1635" w:type="pct"/>
                  <w:tcBorders>
                    <w:bottom w:val="single" w:color="auto" w:sz="2" w:space="0"/>
                  </w:tcBorders>
                  <w:noWrap w:val="0"/>
                  <w:vAlign w:val="center"/>
                </w:tcPr>
                <w:p w14:paraId="0186CA4E">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昼间（</w:t>
                  </w:r>
                  <w:r>
                    <w:rPr>
                      <w:rFonts w:hint="default" w:ascii="Times New Roman" w:hAnsi="Times New Roman" w:eastAsia="仿宋" w:cs="Times New Roman"/>
                      <w:b/>
                      <w:color w:val="auto"/>
                      <w:szCs w:val="21"/>
                      <w:highlight w:val="none"/>
                    </w:rPr>
                    <w:t>dB（A））</w:t>
                  </w:r>
                </w:p>
              </w:tc>
              <w:tc>
                <w:tcPr>
                  <w:tcW w:w="1635" w:type="pct"/>
                  <w:tcBorders>
                    <w:right w:val="nil"/>
                  </w:tcBorders>
                  <w:noWrap w:val="0"/>
                  <w:vAlign w:val="center"/>
                </w:tcPr>
                <w:p w14:paraId="558EFECC">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夜间（</w:t>
                  </w:r>
                  <w:r>
                    <w:rPr>
                      <w:rFonts w:hint="default" w:ascii="Times New Roman" w:hAnsi="Times New Roman" w:eastAsia="仿宋" w:cs="Times New Roman"/>
                      <w:b/>
                      <w:color w:val="auto"/>
                      <w:szCs w:val="21"/>
                      <w:highlight w:val="none"/>
                    </w:rPr>
                    <w:t>dB（A））</w:t>
                  </w:r>
                </w:p>
              </w:tc>
            </w:tr>
            <w:tr w14:paraId="332BBC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729" w:type="pct"/>
                  <w:tcBorders>
                    <w:top w:val="single" w:color="auto" w:sz="2" w:space="0"/>
                    <w:bottom w:val="single" w:color="auto" w:sz="12" w:space="0"/>
                  </w:tcBorders>
                  <w:noWrap w:val="0"/>
                  <w:vAlign w:val="center"/>
                </w:tcPr>
                <w:p w14:paraId="287C0CA9">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3</w:t>
                  </w:r>
                </w:p>
              </w:tc>
              <w:tc>
                <w:tcPr>
                  <w:tcW w:w="1635" w:type="pct"/>
                  <w:tcBorders>
                    <w:top w:val="single" w:color="auto" w:sz="2" w:space="0"/>
                    <w:bottom w:val="single" w:color="auto" w:sz="12" w:space="0"/>
                  </w:tcBorders>
                  <w:noWrap w:val="0"/>
                  <w:vAlign w:val="center"/>
                </w:tcPr>
                <w:p w14:paraId="00C6079D">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65</w:t>
                  </w:r>
                </w:p>
              </w:tc>
              <w:tc>
                <w:tcPr>
                  <w:tcW w:w="1635" w:type="pct"/>
                  <w:tcBorders>
                    <w:right w:val="nil"/>
                  </w:tcBorders>
                  <w:noWrap w:val="0"/>
                  <w:vAlign w:val="center"/>
                </w:tcPr>
                <w:p w14:paraId="19193C05">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55</w:t>
                  </w:r>
                </w:p>
              </w:tc>
            </w:tr>
          </w:tbl>
          <w:p w14:paraId="42920D05">
            <w:pPr>
              <w:adjustRightInd w:val="0"/>
              <w:snapToGrid w:val="0"/>
              <w:spacing w:before="120" w:beforeLines="50" w:line="360" w:lineRule="auto"/>
              <w:ind w:firstLine="482" w:firstLineChars="200"/>
              <w:jc w:val="left"/>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4、固废执行标准</w:t>
            </w:r>
          </w:p>
          <w:p w14:paraId="60CED498">
            <w:pPr>
              <w:adjustRightInd w:val="0"/>
              <w:snapToGrid w:val="0"/>
              <w:spacing w:line="360" w:lineRule="auto"/>
              <w:ind w:firstLine="480" w:firstLineChars="200"/>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Cs/>
                <w:sz w:val="24"/>
              </w:rPr>
              <w:t>一般工业废物执行《一般工业固体废物贮存和填埋污染控制标准》（GB18599-2020）、《省生态环境厅关于进一步完善一般工业固体废物环境管理的通知》（苏环办</w:t>
            </w:r>
            <w:r>
              <w:rPr>
                <w:rFonts w:hint="default" w:ascii="Times New Roman" w:hAnsi="Times New Roman" w:eastAsia="仿宋" w:cs="Times New Roman"/>
                <w:bCs/>
                <w:sz w:val="24"/>
                <w:lang w:eastAsia="zh-CN"/>
              </w:rPr>
              <w:t>〔2023〕327号</w:t>
            </w:r>
            <w:r>
              <w:rPr>
                <w:rFonts w:hint="default" w:ascii="Times New Roman" w:hAnsi="Times New Roman" w:eastAsia="仿宋" w:cs="Times New Roman"/>
                <w:bCs/>
                <w:sz w:val="24"/>
              </w:rPr>
              <w:t>）</w:t>
            </w:r>
            <w:r>
              <w:rPr>
                <w:rFonts w:hint="eastAsia" w:ascii="Times New Roman" w:hAnsi="Times New Roman" w:eastAsia="仿宋" w:cs="Times New Roman"/>
                <w:bCs/>
                <w:sz w:val="24"/>
                <w:lang w:eastAsia="zh-CN"/>
              </w:rPr>
              <w:t>、《一般工业固体废物环境管理工作指南》（环办固体函〔2026〕18号）</w:t>
            </w:r>
            <w:r>
              <w:rPr>
                <w:rFonts w:hint="default" w:ascii="Times New Roman" w:hAnsi="Times New Roman" w:eastAsia="仿宋" w:cs="Times New Roman"/>
                <w:bCs/>
                <w:sz w:val="24"/>
              </w:rPr>
              <w:t>等标准；危险废物执行《</w:t>
            </w:r>
            <w:r>
              <w:rPr>
                <w:rFonts w:hint="default" w:ascii="Times New Roman" w:hAnsi="Times New Roman" w:eastAsia="仿宋" w:cs="Times New Roman"/>
                <w:bCs/>
                <w:sz w:val="24"/>
                <w:lang w:eastAsia="zh-CN"/>
              </w:rPr>
              <w:t>危险废物收集 贮存 运输技术规范</w:t>
            </w:r>
            <w:r>
              <w:rPr>
                <w:rFonts w:hint="default" w:ascii="Times New Roman" w:hAnsi="Times New Roman" w:eastAsia="仿宋" w:cs="Times New Roman"/>
                <w:bCs/>
                <w:sz w:val="24"/>
              </w:rPr>
              <w:t>》（HJ2025-2012）、《危险废物识别标志设置技术规范》（HJ1276-2022）、《危险废物管理计划和管理台账制定技术导则》（HJ1</w:t>
            </w:r>
            <w:r>
              <w:rPr>
                <w:rFonts w:hint="default" w:ascii="Times New Roman" w:hAnsi="Times New Roman" w:eastAsia="仿宋" w:cs="Times New Roman"/>
                <w:bCs/>
                <w:sz w:val="24"/>
                <w:lang w:eastAsia="zh-CN"/>
              </w:rPr>
              <w:t>17</w:t>
            </w:r>
            <w:r>
              <w:rPr>
                <w:rFonts w:hint="default" w:ascii="Times New Roman" w:hAnsi="Times New Roman" w:eastAsia="仿宋" w:cs="Times New Roman"/>
                <w:bCs/>
                <w:sz w:val="24"/>
              </w:rPr>
              <w:t>-2022）、《危险废物贮存污染控制标准》（GB18597-2023）、《省生态环境厅关于做好危险废物贮存污染控制标准等标准规范实施后危险废物环境管理衔接工作的通知》（苏环办</w:t>
            </w:r>
            <w:r>
              <w:rPr>
                <w:rFonts w:hint="default" w:ascii="Times New Roman" w:hAnsi="Times New Roman" w:eastAsia="仿宋" w:cs="Times New Roman"/>
                <w:bCs/>
                <w:sz w:val="24"/>
                <w:lang w:eastAsia="zh-CN"/>
              </w:rPr>
              <w:t>〔</w:t>
            </w:r>
            <w:r>
              <w:rPr>
                <w:rFonts w:hint="default" w:ascii="Times New Roman" w:hAnsi="Times New Roman" w:eastAsia="仿宋" w:cs="Times New Roman"/>
                <w:bCs/>
                <w:sz w:val="24"/>
              </w:rPr>
              <w:t>2023</w:t>
            </w:r>
            <w:r>
              <w:rPr>
                <w:rFonts w:hint="default" w:ascii="Times New Roman" w:hAnsi="Times New Roman" w:eastAsia="仿宋" w:cs="Times New Roman"/>
                <w:bCs/>
                <w:sz w:val="24"/>
                <w:lang w:eastAsia="zh-CN"/>
              </w:rPr>
              <w:t>〕</w:t>
            </w:r>
            <w:r>
              <w:rPr>
                <w:rFonts w:hint="default" w:ascii="Times New Roman" w:hAnsi="Times New Roman" w:eastAsia="仿宋" w:cs="Times New Roman"/>
                <w:bCs/>
                <w:sz w:val="24"/>
              </w:rPr>
              <w:t>154号）</w:t>
            </w:r>
            <w:r>
              <w:rPr>
                <w:rFonts w:hint="default" w:ascii="Times New Roman" w:hAnsi="Times New Roman" w:eastAsia="仿宋" w:cs="Times New Roman"/>
                <w:bCs/>
                <w:sz w:val="24"/>
                <w:lang w:eastAsia="zh-CN"/>
              </w:rPr>
              <w:t>、</w:t>
            </w:r>
            <w:r>
              <w:rPr>
                <w:rFonts w:hint="default" w:ascii="Times New Roman" w:hAnsi="Times New Roman" w:eastAsia="仿宋" w:cs="Times New Roman"/>
                <w:bCs/>
                <w:sz w:val="24"/>
              </w:rPr>
              <w:t>&lt;省生态环境厅关于印发《江苏省固体废物全过程环境监管工作意见》的通知&gt;（苏环办</w:t>
            </w:r>
            <w:r>
              <w:rPr>
                <w:rFonts w:hint="default" w:ascii="Times New Roman" w:hAnsi="Times New Roman" w:eastAsia="仿宋" w:cs="Times New Roman"/>
                <w:bCs/>
                <w:sz w:val="24"/>
                <w:lang w:eastAsia="zh-CN"/>
              </w:rPr>
              <w:t>〔2024〕16号</w:t>
            </w:r>
            <w:r>
              <w:rPr>
                <w:rFonts w:hint="default" w:ascii="Times New Roman" w:hAnsi="Times New Roman" w:eastAsia="仿宋" w:cs="Times New Roman"/>
                <w:bCs/>
                <w:sz w:val="24"/>
              </w:rPr>
              <w:t>）等相关文件。</w:t>
            </w:r>
          </w:p>
          <w:p w14:paraId="0EA713B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5EE8969E">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56C0E45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07E7759C">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2ABE5FC5">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41DE1ECE">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1E86F18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31297326">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2BD43ED5">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6E12CB1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15876CC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0D2A6C5C">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1ACC08B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65FBF61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1BF9F4E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15DEAE2E">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41AA817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54CE972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p>
          <w:p w14:paraId="5BFC6A01">
            <w:pPr>
              <w:pStyle w:val="8"/>
              <w:ind w:left="0" w:leftChars="0" w:firstLine="0" w:firstLineChars="0"/>
              <w:rPr>
                <w:rFonts w:hint="default"/>
              </w:rPr>
            </w:pPr>
          </w:p>
          <w:p w14:paraId="7FBCAB38">
            <w:pPr>
              <w:pStyle w:val="8"/>
              <w:ind w:left="0" w:leftChars="0" w:firstLine="0" w:firstLineChars="0"/>
              <w:rPr>
                <w:rFonts w:hint="default"/>
              </w:rPr>
            </w:pPr>
          </w:p>
          <w:p w14:paraId="7F9AA1B2">
            <w:pPr>
              <w:pStyle w:val="8"/>
              <w:ind w:left="0" w:leftChars="0" w:firstLine="0" w:firstLineChars="0"/>
              <w:rPr>
                <w:rFonts w:hint="default"/>
              </w:rPr>
            </w:pPr>
          </w:p>
          <w:p w14:paraId="15453FC0">
            <w:pPr>
              <w:pStyle w:val="8"/>
              <w:ind w:left="0" w:leftChars="0" w:firstLine="0" w:firstLineChars="0"/>
              <w:rPr>
                <w:rFonts w:hint="default"/>
              </w:rPr>
            </w:pPr>
          </w:p>
          <w:p w14:paraId="191B8D5A">
            <w:pPr>
              <w:pStyle w:val="8"/>
              <w:ind w:left="0" w:leftChars="0" w:firstLine="0" w:firstLineChars="0"/>
              <w:rPr>
                <w:rFonts w:hint="default"/>
              </w:rPr>
            </w:pPr>
          </w:p>
          <w:p w14:paraId="519D262C">
            <w:pPr>
              <w:pStyle w:val="8"/>
              <w:ind w:left="0" w:leftChars="0" w:firstLine="0" w:firstLineChars="0"/>
              <w:rPr>
                <w:rFonts w:hint="default"/>
              </w:rPr>
            </w:pPr>
          </w:p>
          <w:p w14:paraId="53FB5AB4">
            <w:pPr>
              <w:pStyle w:val="8"/>
              <w:ind w:left="0" w:leftChars="0" w:firstLine="0" w:firstLineChars="0"/>
              <w:rPr>
                <w:rFonts w:hint="default"/>
              </w:rPr>
            </w:pPr>
          </w:p>
          <w:p w14:paraId="5BCEBAEB">
            <w:pPr>
              <w:pStyle w:val="8"/>
              <w:ind w:left="0" w:leftChars="0" w:firstLine="0" w:firstLineChars="0"/>
              <w:rPr>
                <w:rFonts w:hint="default"/>
              </w:rPr>
            </w:pPr>
          </w:p>
          <w:p w14:paraId="5940C39B">
            <w:pPr>
              <w:pStyle w:val="8"/>
              <w:ind w:left="0" w:leftChars="0" w:firstLine="0" w:firstLineChars="0"/>
              <w:rPr>
                <w:rFonts w:hint="default"/>
              </w:rPr>
            </w:pPr>
          </w:p>
          <w:p w14:paraId="4CA212CF">
            <w:pPr>
              <w:pStyle w:val="8"/>
              <w:ind w:left="0" w:leftChars="0" w:firstLine="0" w:firstLineChars="0"/>
              <w:rPr>
                <w:rFonts w:hint="default"/>
              </w:rPr>
            </w:pPr>
          </w:p>
          <w:p w14:paraId="4E8EE7DD">
            <w:pPr>
              <w:pStyle w:val="8"/>
              <w:ind w:left="0" w:leftChars="0" w:firstLine="0" w:firstLineChars="0"/>
              <w:rPr>
                <w:rFonts w:hint="default"/>
              </w:rPr>
            </w:pPr>
          </w:p>
          <w:p w14:paraId="5D5C76AF">
            <w:pPr>
              <w:pStyle w:val="8"/>
              <w:ind w:left="0" w:leftChars="0" w:firstLine="0" w:firstLineChars="0"/>
              <w:rPr>
                <w:rFonts w:hint="default"/>
              </w:rPr>
            </w:pPr>
          </w:p>
        </w:tc>
      </w:tr>
    </w:tbl>
    <w:p w14:paraId="37415440">
      <w:pPr>
        <w:outlineLvl w:val="0"/>
        <w:rPr>
          <w:rFonts w:hint="default" w:ascii="Times New Roman" w:hAnsi="Times New Roman" w:eastAsia="仿宋" w:cs="Times New Roman"/>
          <w:snapToGrid w:val="0"/>
          <w:color w:val="auto"/>
          <w:sz w:val="30"/>
          <w:szCs w:val="30"/>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2448"/>
      </w:tblGrid>
      <w:tr w14:paraId="2A4F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63C822F">
            <w:pPr>
              <w:jc w:val="center"/>
              <w:outlineLvl w:val="0"/>
              <w:rPr>
                <w:rFonts w:hint="default" w:ascii="Times New Roman" w:hAnsi="Times New Roman" w:eastAsia="仿宋" w:cs="Times New Roman"/>
                <w:b/>
                <w:bCs/>
                <w:snapToGrid w:val="0"/>
                <w:color w:val="auto"/>
                <w:sz w:val="30"/>
                <w:szCs w:val="30"/>
                <w:highlight w:val="none"/>
                <w:vertAlign w:val="baseline"/>
              </w:rPr>
            </w:pPr>
            <w:r>
              <w:rPr>
                <w:rFonts w:hint="default" w:ascii="Times New Roman" w:hAnsi="Times New Roman" w:eastAsia="仿宋" w:cs="Times New Roman"/>
                <w:bCs/>
                <w:color w:val="auto"/>
                <w:sz w:val="24"/>
                <w:highlight w:val="none"/>
              </w:rPr>
              <w:t>总量控制指标</w:t>
            </w:r>
          </w:p>
        </w:tc>
        <w:tc>
          <w:tcPr>
            <w:tcW w:w="12448" w:type="dxa"/>
          </w:tcPr>
          <w:p w14:paraId="20BE7BC6">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1、总量控制指标</w:t>
            </w:r>
          </w:p>
          <w:p w14:paraId="41BF03F8">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本项目污染物排放总量控制建议指标见表3-1</w:t>
            </w:r>
            <w:r>
              <w:rPr>
                <w:rFonts w:hint="eastAsia" w:eastAsia="仿宋" w:cs="Times New Roman"/>
                <w:bCs/>
                <w:color w:val="auto"/>
                <w:sz w:val="24"/>
                <w:highlight w:val="none"/>
                <w:lang w:val="en-US" w:eastAsia="zh-CN"/>
              </w:rPr>
              <w:t>3</w:t>
            </w:r>
            <w:r>
              <w:rPr>
                <w:rFonts w:hint="default" w:ascii="Times New Roman" w:hAnsi="Times New Roman" w:eastAsia="仿宋" w:cs="Times New Roman"/>
                <w:bCs/>
                <w:color w:val="auto"/>
                <w:sz w:val="24"/>
                <w:highlight w:val="none"/>
              </w:rPr>
              <w:t>。</w:t>
            </w:r>
          </w:p>
          <w:p w14:paraId="434B263E">
            <w:pPr>
              <w:pStyle w:val="14"/>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sz w:val="24"/>
                <w:szCs w:val="24"/>
              </w:rPr>
            </w:pPr>
            <w:r>
              <w:rPr>
                <w:rFonts w:eastAsia="仿宋"/>
                <w:b/>
                <w:sz w:val="24"/>
                <w:szCs w:val="24"/>
                <w:highlight w:val="none"/>
              </w:rPr>
              <w:t>表3-1</w:t>
            </w:r>
            <w:r>
              <w:rPr>
                <w:rFonts w:hint="eastAsia" w:eastAsia="仿宋"/>
                <w:b/>
                <w:sz w:val="24"/>
                <w:szCs w:val="24"/>
                <w:highlight w:val="none"/>
                <w:lang w:val="en-US" w:eastAsia="zh-CN"/>
              </w:rPr>
              <w:t>3</w:t>
            </w:r>
            <w:r>
              <w:rPr>
                <w:rFonts w:eastAsia="仿宋"/>
                <w:b/>
                <w:sz w:val="24"/>
                <w:szCs w:val="24"/>
                <w:highlight w:val="none"/>
              </w:rPr>
              <w:t xml:space="preserve"> </w:t>
            </w:r>
            <w:r>
              <w:rPr>
                <w:rFonts w:hint="eastAsia" w:eastAsia="仿宋"/>
                <w:b/>
                <w:sz w:val="24"/>
                <w:szCs w:val="24"/>
                <w:highlight w:val="none"/>
              </w:rPr>
              <w:t xml:space="preserve"> </w:t>
            </w:r>
            <w:r>
              <w:rPr>
                <w:rFonts w:eastAsia="仿宋"/>
                <w:b/>
                <w:bCs/>
                <w:sz w:val="24"/>
                <w:szCs w:val="24"/>
                <w:highlight w:val="none"/>
              </w:rPr>
              <w:t>建设项目污染物排放总量控制建议指标</w:t>
            </w:r>
            <w:r>
              <w:rPr>
                <w:rFonts w:eastAsia="仿宋"/>
                <w:b/>
                <w:sz w:val="24"/>
                <w:szCs w:val="24"/>
                <w:highlight w:val="none"/>
              </w:rPr>
              <w:t xml:space="preserve">表  </w:t>
            </w:r>
            <w:r>
              <w:rPr>
                <w:rFonts w:eastAsia="仿宋"/>
                <w:b/>
                <w:sz w:val="24"/>
                <w:szCs w:val="24"/>
              </w:rPr>
              <w:t xml:space="preserve">  单位：t/a</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55"/>
              <w:gridCol w:w="492"/>
              <w:gridCol w:w="1336"/>
              <w:gridCol w:w="1143"/>
              <w:gridCol w:w="1143"/>
              <w:gridCol w:w="1143"/>
              <w:gridCol w:w="1153"/>
              <w:gridCol w:w="1300"/>
              <w:gridCol w:w="1557"/>
              <w:gridCol w:w="1300"/>
              <w:gridCol w:w="1310"/>
            </w:tblGrid>
            <w:tr w14:paraId="61872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46" w:type="pct"/>
                  <w:gridSpan w:val="2"/>
                  <w:vMerge w:val="restart"/>
                  <w:tcBorders>
                    <w:tl2br w:val="nil"/>
                    <w:tr2bl w:val="nil"/>
                  </w:tcBorders>
                  <w:vAlign w:val="center"/>
                </w:tcPr>
                <w:p w14:paraId="69B9E577">
                  <w:pPr>
                    <w:jc w:val="center"/>
                    <w:rPr>
                      <w:rFonts w:eastAsia="仿宋"/>
                      <w:b/>
                      <w:bCs/>
                      <w:szCs w:val="21"/>
                    </w:rPr>
                  </w:pPr>
                  <w:r>
                    <w:rPr>
                      <w:rFonts w:eastAsia="仿宋"/>
                      <w:b/>
                      <w:bCs/>
                      <w:szCs w:val="21"/>
                    </w:rPr>
                    <w:t>类别</w:t>
                  </w:r>
                </w:p>
              </w:tc>
              <w:tc>
                <w:tcPr>
                  <w:tcW w:w="546" w:type="pct"/>
                  <w:vMerge w:val="restart"/>
                  <w:tcBorders>
                    <w:tl2br w:val="nil"/>
                    <w:tr2bl w:val="nil"/>
                  </w:tcBorders>
                  <w:vAlign w:val="center"/>
                </w:tcPr>
                <w:p w14:paraId="2E54555F">
                  <w:pPr>
                    <w:jc w:val="center"/>
                    <w:rPr>
                      <w:rFonts w:eastAsia="仿宋"/>
                      <w:b/>
                      <w:bCs/>
                      <w:szCs w:val="21"/>
                    </w:rPr>
                  </w:pPr>
                  <w:r>
                    <w:rPr>
                      <w:rFonts w:eastAsia="仿宋"/>
                      <w:b/>
                      <w:bCs/>
                      <w:szCs w:val="21"/>
                    </w:rPr>
                    <w:t>污染物名称</w:t>
                  </w:r>
                </w:p>
              </w:tc>
              <w:tc>
                <w:tcPr>
                  <w:tcW w:w="467" w:type="pct"/>
                  <w:vMerge w:val="restart"/>
                  <w:tcBorders>
                    <w:tl2br w:val="nil"/>
                    <w:tr2bl w:val="nil"/>
                  </w:tcBorders>
                  <w:vAlign w:val="center"/>
                </w:tcPr>
                <w:p w14:paraId="5AAF02DA">
                  <w:pPr>
                    <w:jc w:val="center"/>
                    <w:rPr>
                      <w:rFonts w:eastAsia="仿宋"/>
                      <w:b/>
                      <w:bCs/>
                      <w:szCs w:val="21"/>
                    </w:rPr>
                  </w:pPr>
                  <w:r>
                    <w:rPr>
                      <w:rFonts w:hint="eastAsia" w:eastAsia="仿宋"/>
                      <w:b/>
                      <w:bCs/>
                      <w:szCs w:val="21"/>
                    </w:rPr>
                    <w:t>现有项目批复量</w:t>
                  </w:r>
                </w:p>
              </w:tc>
              <w:tc>
                <w:tcPr>
                  <w:tcW w:w="1405" w:type="pct"/>
                  <w:gridSpan w:val="3"/>
                  <w:tcBorders>
                    <w:tl2br w:val="nil"/>
                    <w:tr2bl w:val="nil"/>
                  </w:tcBorders>
                  <w:vAlign w:val="center"/>
                </w:tcPr>
                <w:p w14:paraId="5C741936">
                  <w:pPr>
                    <w:jc w:val="center"/>
                    <w:rPr>
                      <w:rFonts w:eastAsia="仿宋"/>
                      <w:b/>
                      <w:bCs/>
                      <w:szCs w:val="21"/>
                    </w:rPr>
                  </w:pPr>
                  <w:r>
                    <w:rPr>
                      <w:rFonts w:hint="eastAsia" w:eastAsia="仿宋"/>
                      <w:b/>
                      <w:bCs/>
                      <w:szCs w:val="21"/>
                    </w:rPr>
                    <w:t>本项目</w:t>
                  </w:r>
                </w:p>
              </w:tc>
              <w:tc>
                <w:tcPr>
                  <w:tcW w:w="531" w:type="pct"/>
                  <w:vMerge w:val="restart"/>
                  <w:tcBorders>
                    <w:tl2br w:val="nil"/>
                    <w:tr2bl w:val="nil"/>
                  </w:tcBorders>
                  <w:vAlign w:val="center"/>
                </w:tcPr>
                <w:p w14:paraId="2C1744AD">
                  <w:pPr>
                    <w:jc w:val="center"/>
                    <w:rPr>
                      <w:rFonts w:eastAsia="仿宋"/>
                      <w:b/>
                      <w:bCs/>
                      <w:szCs w:val="21"/>
                    </w:rPr>
                  </w:pPr>
                  <w:r>
                    <w:rPr>
                      <w:rFonts w:hint="eastAsia" w:eastAsia="仿宋"/>
                      <w:b/>
                      <w:bCs/>
                      <w:szCs w:val="21"/>
                    </w:rPr>
                    <w:t>“以新带老”削减量</w:t>
                  </w:r>
                </w:p>
              </w:tc>
              <w:tc>
                <w:tcPr>
                  <w:tcW w:w="1702" w:type="pct"/>
                  <w:gridSpan w:val="3"/>
                  <w:tcBorders>
                    <w:tl2br w:val="nil"/>
                    <w:tr2bl w:val="nil"/>
                  </w:tcBorders>
                  <w:vAlign w:val="center"/>
                </w:tcPr>
                <w:p w14:paraId="6B072086">
                  <w:pPr>
                    <w:jc w:val="center"/>
                    <w:rPr>
                      <w:rFonts w:eastAsia="仿宋"/>
                      <w:b/>
                      <w:bCs/>
                      <w:szCs w:val="21"/>
                    </w:rPr>
                  </w:pPr>
                  <w:r>
                    <w:rPr>
                      <w:rFonts w:hint="eastAsia" w:eastAsia="仿宋"/>
                      <w:b/>
                      <w:bCs/>
                      <w:szCs w:val="21"/>
                    </w:rPr>
                    <w:t>全厂</w:t>
                  </w:r>
                </w:p>
              </w:tc>
            </w:tr>
            <w:tr w14:paraId="6D885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46" w:type="pct"/>
                  <w:gridSpan w:val="2"/>
                  <w:vMerge w:val="continue"/>
                  <w:tcBorders>
                    <w:tl2br w:val="nil"/>
                    <w:tr2bl w:val="nil"/>
                  </w:tcBorders>
                  <w:vAlign w:val="center"/>
                </w:tcPr>
                <w:p w14:paraId="29370F07">
                  <w:pPr>
                    <w:jc w:val="center"/>
                    <w:rPr>
                      <w:rFonts w:eastAsia="仿宋"/>
                      <w:b/>
                      <w:bCs/>
                      <w:szCs w:val="21"/>
                    </w:rPr>
                  </w:pPr>
                </w:p>
              </w:tc>
              <w:tc>
                <w:tcPr>
                  <w:tcW w:w="546" w:type="pct"/>
                  <w:vMerge w:val="continue"/>
                  <w:tcBorders>
                    <w:tl2br w:val="nil"/>
                    <w:tr2bl w:val="nil"/>
                  </w:tcBorders>
                  <w:vAlign w:val="center"/>
                </w:tcPr>
                <w:p w14:paraId="1D2FC7EB">
                  <w:pPr>
                    <w:jc w:val="center"/>
                    <w:rPr>
                      <w:rFonts w:eastAsia="仿宋"/>
                      <w:b/>
                      <w:bCs/>
                      <w:szCs w:val="21"/>
                    </w:rPr>
                  </w:pPr>
                </w:p>
              </w:tc>
              <w:tc>
                <w:tcPr>
                  <w:tcW w:w="467" w:type="pct"/>
                  <w:vMerge w:val="continue"/>
                  <w:tcBorders>
                    <w:tl2br w:val="nil"/>
                    <w:tr2bl w:val="nil"/>
                  </w:tcBorders>
                  <w:vAlign w:val="center"/>
                </w:tcPr>
                <w:p w14:paraId="684A0E65">
                  <w:pPr>
                    <w:jc w:val="center"/>
                    <w:rPr>
                      <w:rFonts w:eastAsia="仿宋"/>
                      <w:b/>
                      <w:bCs/>
                      <w:szCs w:val="21"/>
                    </w:rPr>
                  </w:pPr>
                </w:p>
              </w:tc>
              <w:tc>
                <w:tcPr>
                  <w:tcW w:w="467" w:type="pct"/>
                  <w:tcBorders>
                    <w:tl2br w:val="nil"/>
                    <w:tr2bl w:val="nil"/>
                  </w:tcBorders>
                  <w:vAlign w:val="center"/>
                </w:tcPr>
                <w:p w14:paraId="2E0AB2FA">
                  <w:pPr>
                    <w:jc w:val="center"/>
                    <w:rPr>
                      <w:rFonts w:eastAsia="仿宋"/>
                      <w:b/>
                      <w:bCs/>
                      <w:szCs w:val="21"/>
                    </w:rPr>
                  </w:pPr>
                  <w:r>
                    <w:rPr>
                      <w:rFonts w:eastAsia="仿宋"/>
                      <w:b/>
                      <w:bCs/>
                      <w:szCs w:val="21"/>
                    </w:rPr>
                    <w:t>产生量</w:t>
                  </w:r>
                </w:p>
              </w:tc>
              <w:tc>
                <w:tcPr>
                  <w:tcW w:w="467" w:type="pct"/>
                  <w:tcBorders>
                    <w:tl2br w:val="nil"/>
                    <w:tr2bl w:val="nil"/>
                  </w:tcBorders>
                  <w:vAlign w:val="center"/>
                </w:tcPr>
                <w:p w14:paraId="19A7AE06">
                  <w:pPr>
                    <w:jc w:val="center"/>
                    <w:rPr>
                      <w:rFonts w:eastAsia="仿宋"/>
                      <w:b/>
                      <w:bCs/>
                      <w:szCs w:val="21"/>
                    </w:rPr>
                  </w:pPr>
                  <w:r>
                    <w:rPr>
                      <w:rFonts w:eastAsia="仿宋"/>
                      <w:b/>
                      <w:bCs/>
                      <w:szCs w:val="21"/>
                    </w:rPr>
                    <w:t>削减量</w:t>
                  </w:r>
                </w:p>
              </w:tc>
              <w:tc>
                <w:tcPr>
                  <w:tcW w:w="471" w:type="pct"/>
                  <w:tcBorders>
                    <w:tl2br w:val="nil"/>
                    <w:tr2bl w:val="nil"/>
                  </w:tcBorders>
                  <w:vAlign w:val="center"/>
                </w:tcPr>
                <w:p w14:paraId="57309E27">
                  <w:pPr>
                    <w:jc w:val="center"/>
                    <w:rPr>
                      <w:rFonts w:eastAsia="仿宋"/>
                      <w:b/>
                      <w:bCs/>
                      <w:szCs w:val="21"/>
                    </w:rPr>
                  </w:pPr>
                  <w:r>
                    <w:rPr>
                      <w:rFonts w:eastAsia="仿宋"/>
                      <w:b/>
                      <w:bCs/>
                      <w:szCs w:val="21"/>
                    </w:rPr>
                    <w:t>排放量</w:t>
                  </w:r>
                </w:p>
              </w:tc>
              <w:tc>
                <w:tcPr>
                  <w:tcW w:w="531" w:type="pct"/>
                  <w:vMerge w:val="continue"/>
                  <w:tcBorders>
                    <w:tl2br w:val="nil"/>
                    <w:tr2bl w:val="nil"/>
                  </w:tcBorders>
                  <w:vAlign w:val="center"/>
                </w:tcPr>
                <w:p w14:paraId="3A500CC6">
                  <w:pPr>
                    <w:jc w:val="center"/>
                    <w:rPr>
                      <w:rFonts w:eastAsia="仿宋"/>
                      <w:b/>
                      <w:bCs/>
                      <w:szCs w:val="21"/>
                    </w:rPr>
                  </w:pPr>
                </w:p>
              </w:tc>
              <w:tc>
                <w:tcPr>
                  <w:tcW w:w="636" w:type="pct"/>
                  <w:tcBorders>
                    <w:tl2br w:val="nil"/>
                    <w:tr2bl w:val="nil"/>
                  </w:tcBorders>
                  <w:vAlign w:val="center"/>
                </w:tcPr>
                <w:p w14:paraId="729EEF34">
                  <w:pPr>
                    <w:jc w:val="center"/>
                    <w:rPr>
                      <w:rFonts w:eastAsia="仿宋"/>
                      <w:b/>
                      <w:bCs/>
                      <w:szCs w:val="21"/>
                    </w:rPr>
                  </w:pPr>
                  <w:r>
                    <w:rPr>
                      <w:rFonts w:hint="eastAsia" w:eastAsia="仿宋"/>
                      <w:b/>
                      <w:bCs/>
                      <w:szCs w:val="21"/>
                    </w:rPr>
                    <w:t>全厂排放总量</w:t>
                  </w:r>
                </w:p>
              </w:tc>
              <w:tc>
                <w:tcPr>
                  <w:tcW w:w="531" w:type="pct"/>
                  <w:tcBorders>
                    <w:tl2br w:val="nil"/>
                    <w:tr2bl w:val="nil"/>
                  </w:tcBorders>
                  <w:vAlign w:val="center"/>
                </w:tcPr>
                <w:p w14:paraId="3C2DC9B1">
                  <w:pPr>
                    <w:jc w:val="center"/>
                    <w:rPr>
                      <w:rFonts w:eastAsia="仿宋"/>
                      <w:b/>
                      <w:bCs/>
                      <w:szCs w:val="21"/>
                      <w:highlight w:val="yellow"/>
                    </w:rPr>
                  </w:pPr>
                  <w:r>
                    <w:rPr>
                      <w:rFonts w:hint="eastAsia" w:eastAsia="仿宋"/>
                      <w:b/>
                      <w:bCs/>
                      <w:szCs w:val="21"/>
                      <w:highlight w:val="none"/>
                    </w:rPr>
                    <w:t>排放增减量</w:t>
                  </w:r>
                </w:p>
              </w:tc>
              <w:tc>
                <w:tcPr>
                  <w:tcW w:w="535" w:type="pct"/>
                  <w:tcBorders>
                    <w:tl2br w:val="nil"/>
                    <w:tr2bl w:val="nil"/>
                  </w:tcBorders>
                  <w:vAlign w:val="center"/>
                </w:tcPr>
                <w:p w14:paraId="2AD42454">
                  <w:pPr>
                    <w:jc w:val="center"/>
                    <w:rPr>
                      <w:rFonts w:eastAsia="仿宋"/>
                      <w:b/>
                      <w:bCs/>
                      <w:szCs w:val="21"/>
                    </w:rPr>
                  </w:pPr>
                  <w:r>
                    <w:rPr>
                      <w:rFonts w:hint="eastAsia" w:eastAsia="仿宋"/>
                      <w:b/>
                      <w:bCs/>
                      <w:szCs w:val="21"/>
                      <w:highlight w:val="none"/>
                    </w:rPr>
                    <w:t>最终排入外环境量</w:t>
                  </w:r>
                </w:p>
              </w:tc>
            </w:tr>
            <w:tr w14:paraId="26277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46" w:type="pct"/>
                  <w:gridSpan w:val="2"/>
                  <w:vMerge w:val="restart"/>
                  <w:tcBorders>
                    <w:tl2br w:val="nil"/>
                    <w:tr2bl w:val="nil"/>
                  </w:tcBorders>
                  <w:vAlign w:val="center"/>
                </w:tcPr>
                <w:p w14:paraId="1D115D0A">
                  <w:pPr>
                    <w:jc w:val="center"/>
                    <w:rPr>
                      <w:rFonts w:eastAsia="仿宋"/>
                      <w:szCs w:val="21"/>
                    </w:rPr>
                  </w:pPr>
                  <w:r>
                    <w:rPr>
                      <w:rFonts w:eastAsia="仿宋"/>
                      <w:szCs w:val="21"/>
                    </w:rPr>
                    <w:t>废水</w:t>
                  </w:r>
                </w:p>
              </w:tc>
              <w:tc>
                <w:tcPr>
                  <w:tcW w:w="546" w:type="pct"/>
                  <w:tcBorders>
                    <w:tl2br w:val="nil"/>
                    <w:tr2bl w:val="nil"/>
                  </w:tcBorders>
                  <w:vAlign w:val="center"/>
                </w:tcPr>
                <w:p w14:paraId="2942A088">
                  <w:pPr>
                    <w:adjustRightInd w:val="0"/>
                    <w:snapToGrid w:val="0"/>
                    <w:jc w:val="center"/>
                    <w:rPr>
                      <w:rFonts w:eastAsia="仿宋"/>
                      <w:szCs w:val="21"/>
                    </w:rPr>
                  </w:pPr>
                  <w:r>
                    <w:rPr>
                      <w:rFonts w:eastAsia="仿宋"/>
                      <w:szCs w:val="21"/>
                    </w:rPr>
                    <w:t>污水量</w:t>
                  </w:r>
                </w:p>
              </w:tc>
              <w:tc>
                <w:tcPr>
                  <w:tcW w:w="467" w:type="pct"/>
                  <w:tcBorders>
                    <w:tl2br w:val="nil"/>
                    <w:tr2bl w:val="nil"/>
                  </w:tcBorders>
                  <w:vAlign w:val="center"/>
                </w:tcPr>
                <w:p w14:paraId="4F1D52EA">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1080</w:t>
                  </w:r>
                </w:p>
              </w:tc>
              <w:tc>
                <w:tcPr>
                  <w:tcW w:w="467" w:type="pct"/>
                  <w:tcBorders>
                    <w:tl2br w:val="nil"/>
                    <w:tr2bl w:val="nil"/>
                  </w:tcBorders>
                  <w:vAlign w:val="center"/>
                </w:tcPr>
                <w:p w14:paraId="1047216F">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324</w:t>
                  </w:r>
                </w:p>
              </w:tc>
              <w:tc>
                <w:tcPr>
                  <w:tcW w:w="467" w:type="pct"/>
                  <w:tcBorders>
                    <w:tl2br w:val="nil"/>
                    <w:tr2bl w:val="nil"/>
                  </w:tcBorders>
                  <w:vAlign w:val="center"/>
                </w:tcPr>
                <w:p w14:paraId="4ACDB776">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0</w:t>
                  </w:r>
                </w:p>
              </w:tc>
              <w:tc>
                <w:tcPr>
                  <w:tcW w:w="471" w:type="pct"/>
                  <w:tcBorders>
                    <w:tl2br w:val="nil"/>
                    <w:tr2bl w:val="nil"/>
                  </w:tcBorders>
                  <w:shd w:val="clear" w:color="auto" w:fill="auto"/>
                  <w:vAlign w:val="center"/>
                </w:tcPr>
                <w:p w14:paraId="0FCF0F4D">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324</w:t>
                  </w:r>
                </w:p>
              </w:tc>
              <w:tc>
                <w:tcPr>
                  <w:tcW w:w="531" w:type="pct"/>
                  <w:tcBorders>
                    <w:tl2br w:val="nil"/>
                    <w:tr2bl w:val="nil"/>
                  </w:tcBorders>
                  <w:vAlign w:val="center"/>
                </w:tcPr>
                <w:p w14:paraId="4327ECAD">
                  <w:pPr>
                    <w:spacing w:line="165" w:lineRule="atLeast"/>
                    <w:jc w:val="center"/>
                    <w:rPr>
                      <w:rFonts w:eastAsia="仿宋"/>
                      <w:kern w:val="0"/>
                      <w:szCs w:val="21"/>
                    </w:rPr>
                  </w:pPr>
                  <w:r>
                    <w:rPr>
                      <w:rFonts w:eastAsia="仿宋"/>
                      <w:kern w:val="0"/>
                      <w:szCs w:val="21"/>
                    </w:rPr>
                    <w:t>0</w:t>
                  </w:r>
                </w:p>
              </w:tc>
              <w:tc>
                <w:tcPr>
                  <w:tcW w:w="636" w:type="pct"/>
                  <w:tcBorders>
                    <w:tl2br w:val="nil"/>
                    <w:tr2bl w:val="nil"/>
                  </w:tcBorders>
                  <w:vAlign w:val="center"/>
                </w:tcPr>
                <w:p w14:paraId="0F35BF85">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1404</w:t>
                  </w:r>
                  <w:r>
                    <w:rPr>
                      <w:rFonts w:hint="default" w:ascii="Times New Roman" w:hAnsi="Times New Roman" w:eastAsia="仿宋" w:cs="Times New Roman"/>
                      <w:color w:val="auto"/>
                      <w:szCs w:val="21"/>
                      <w:highlight w:val="none"/>
                      <w:vertAlign w:val="superscript"/>
                    </w:rPr>
                    <w:t>[1]</w:t>
                  </w:r>
                </w:p>
              </w:tc>
              <w:tc>
                <w:tcPr>
                  <w:tcW w:w="531" w:type="pct"/>
                  <w:tcBorders>
                    <w:tl2br w:val="nil"/>
                    <w:tr2bl w:val="nil"/>
                  </w:tcBorders>
                  <w:vAlign w:val="center"/>
                </w:tcPr>
                <w:p w14:paraId="398F6ABD">
                  <w:pPr>
                    <w:widowControl/>
                    <w:jc w:val="center"/>
                    <w:textAlignment w:val="center"/>
                    <w:rPr>
                      <w:rFonts w:eastAsia="仿宋"/>
                      <w:kern w:val="0"/>
                      <w:szCs w:val="21"/>
                      <w:highlight w:val="yellow"/>
                    </w:rPr>
                  </w:pPr>
                  <w:r>
                    <w:rPr>
                      <w:rFonts w:hint="eastAsia" w:ascii="Times New Roman" w:hAnsi="Times New Roman" w:eastAsia="仿宋" w:cs="Times New Roman"/>
                      <w:bCs/>
                      <w:szCs w:val="21"/>
                      <w:lang w:val="en-US" w:eastAsia="zh-CN"/>
                    </w:rPr>
                    <w:t>324</w:t>
                  </w:r>
                </w:p>
              </w:tc>
              <w:tc>
                <w:tcPr>
                  <w:tcW w:w="535" w:type="pct"/>
                  <w:tcBorders>
                    <w:tl2br w:val="nil"/>
                    <w:tr2bl w:val="nil"/>
                  </w:tcBorders>
                  <w:vAlign w:val="center"/>
                </w:tcPr>
                <w:p w14:paraId="4015B14A">
                  <w:pPr>
                    <w:spacing w:line="165" w:lineRule="atLeast"/>
                    <w:jc w:val="center"/>
                    <w:rPr>
                      <w:rFonts w:hint="default" w:eastAsia="仿宋"/>
                      <w:kern w:val="0"/>
                      <w:szCs w:val="21"/>
                      <w:lang w:val="en-US" w:eastAsia="zh-CN"/>
                    </w:rPr>
                  </w:pPr>
                  <w:r>
                    <w:rPr>
                      <w:rFonts w:hint="eastAsia" w:eastAsia="仿宋"/>
                      <w:kern w:val="0"/>
                      <w:szCs w:val="21"/>
                      <w:lang w:val="en-US" w:eastAsia="zh-CN"/>
                    </w:rPr>
                    <w:t>1404</w:t>
                  </w:r>
                  <w:r>
                    <w:rPr>
                      <w:rFonts w:hint="default" w:ascii="Times New Roman" w:hAnsi="Times New Roman" w:eastAsia="仿宋" w:cs="Times New Roman"/>
                      <w:color w:val="auto"/>
                      <w:szCs w:val="21"/>
                      <w:highlight w:val="none"/>
                      <w:vertAlign w:val="superscript"/>
                    </w:rPr>
                    <w:t>[2]</w:t>
                  </w:r>
                </w:p>
              </w:tc>
            </w:tr>
            <w:tr w14:paraId="3EA70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46" w:type="pct"/>
                  <w:gridSpan w:val="2"/>
                  <w:vMerge w:val="continue"/>
                  <w:tcBorders>
                    <w:tl2br w:val="nil"/>
                    <w:tr2bl w:val="nil"/>
                  </w:tcBorders>
                  <w:vAlign w:val="center"/>
                </w:tcPr>
                <w:p w14:paraId="2C1E54E6">
                  <w:pPr>
                    <w:jc w:val="center"/>
                    <w:rPr>
                      <w:rFonts w:eastAsia="仿宋"/>
                      <w:szCs w:val="21"/>
                    </w:rPr>
                  </w:pPr>
                </w:p>
              </w:tc>
              <w:tc>
                <w:tcPr>
                  <w:tcW w:w="546" w:type="pct"/>
                  <w:tcBorders>
                    <w:tl2br w:val="nil"/>
                    <w:tr2bl w:val="nil"/>
                  </w:tcBorders>
                  <w:vAlign w:val="center"/>
                </w:tcPr>
                <w:p w14:paraId="642FDE27">
                  <w:pPr>
                    <w:jc w:val="center"/>
                    <w:rPr>
                      <w:rFonts w:eastAsia="仿宋"/>
                      <w:szCs w:val="21"/>
                    </w:rPr>
                  </w:pPr>
                  <w:r>
                    <w:rPr>
                      <w:rFonts w:eastAsia="仿宋"/>
                      <w:szCs w:val="21"/>
                    </w:rPr>
                    <w:t>COD</w:t>
                  </w:r>
                </w:p>
              </w:tc>
              <w:tc>
                <w:tcPr>
                  <w:tcW w:w="467" w:type="pct"/>
                  <w:tcBorders>
                    <w:tl2br w:val="nil"/>
                    <w:tr2bl w:val="nil"/>
                  </w:tcBorders>
                  <w:shd w:val="clear" w:color="auto" w:fill="auto"/>
                  <w:vAlign w:val="center"/>
                </w:tcPr>
                <w:p w14:paraId="2A30286A">
                  <w:pPr>
                    <w:widowControl/>
                    <w:jc w:val="center"/>
                    <w:textAlignment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0.432</w:t>
                  </w:r>
                </w:p>
              </w:tc>
              <w:tc>
                <w:tcPr>
                  <w:tcW w:w="467" w:type="pct"/>
                  <w:tcBorders>
                    <w:tl2br w:val="nil"/>
                    <w:tr2bl w:val="nil"/>
                  </w:tcBorders>
                  <w:shd w:val="clear" w:color="auto" w:fill="auto"/>
                  <w:vAlign w:val="center"/>
                </w:tcPr>
                <w:p w14:paraId="2135FA87">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0.130</w:t>
                  </w:r>
                </w:p>
              </w:tc>
              <w:tc>
                <w:tcPr>
                  <w:tcW w:w="467" w:type="pct"/>
                  <w:tcBorders>
                    <w:tl2br w:val="nil"/>
                    <w:tr2bl w:val="nil"/>
                  </w:tcBorders>
                  <w:vAlign w:val="center"/>
                </w:tcPr>
                <w:p w14:paraId="519AAAF5">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0</w:t>
                  </w:r>
                </w:p>
              </w:tc>
              <w:tc>
                <w:tcPr>
                  <w:tcW w:w="471" w:type="pct"/>
                  <w:tcBorders>
                    <w:tl2br w:val="nil"/>
                    <w:tr2bl w:val="nil"/>
                  </w:tcBorders>
                  <w:shd w:val="clear" w:color="auto" w:fill="auto"/>
                  <w:vAlign w:val="center"/>
                </w:tcPr>
                <w:p w14:paraId="1D6B89E0">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0.130</w:t>
                  </w:r>
                </w:p>
              </w:tc>
              <w:tc>
                <w:tcPr>
                  <w:tcW w:w="531" w:type="pct"/>
                  <w:tcBorders>
                    <w:tl2br w:val="nil"/>
                    <w:tr2bl w:val="nil"/>
                  </w:tcBorders>
                  <w:vAlign w:val="center"/>
                </w:tcPr>
                <w:p w14:paraId="1EC48690">
                  <w:pPr>
                    <w:jc w:val="center"/>
                    <w:rPr>
                      <w:rFonts w:eastAsia="仿宋"/>
                      <w:szCs w:val="21"/>
                    </w:rPr>
                  </w:pPr>
                  <w:r>
                    <w:rPr>
                      <w:rFonts w:eastAsia="仿宋"/>
                      <w:szCs w:val="21"/>
                    </w:rPr>
                    <w:t>0</w:t>
                  </w:r>
                </w:p>
              </w:tc>
              <w:tc>
                <w:tcPr>
                  <w:tcW w:w="636" w:type="pct"/>
                  <w:tcBorders>
                    <w:tl2br w:val="nil"/>
                    <w:tr2bl w:val="nil"/>
                  </w:tcBorders>
                  <w:vAlign w:val="center"/>
                </w:tcPr>
                <w:p w14:paraId="5DCF4D38">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0.562</w:t>
                  </w:r>
                  <w:r>
                    <w:rPr>
                      <w:rFonts w:hint="default" w:ascii="Times New Roman" w:hAnsi="Times New Roman" w:eastAsia="仿宋" w:cs="Times New Roman"/>
                      <w:color w:val="auto"/>
                      <w:szCs w:val="21"/>
                      <w:highlight w:val="none"/>
                      <w:vertAlign w:val="superscript"/>
                    </w:rPr>
                    <w:t>[1]</w:t>
                  </w:r>
                </w:p>
              </w:tc>
              <w:tc>
                <w:tcPr>
                  <w:tcW w:w="531" w:type="pct"/>
                  <w:tcBorders>
                    <w:tl2br w:val="nil"/>
                    <w:tr2bl w:val="nil"/>
                  </w:tcBorders>
                  <w:vAlign w:val="center"/>
                </w:tcPr>
                <w:p w14:paraId="17370C09">
                  <w:pPr>
                    <w:widowControl/>
                    <w:jc w:val="center"/>
                    <w:textAlignment w:val="center"/>
                    <w:rPr>
                      <w:rFonts w:eastAsia="仿宋"/>
                      <w:szCs w:val="21"/>
                      <w:highlight w:val="yellow"/>
                    </w:rPr>
                  </w:pPr>
                  <w:r>
                    <w:rPr>
                      <w:rFonts w:hint="eastAsia" w:ascii="Times New Roman" w:hAnsi="Times New Roman" w:eastAsia="仿宋" w:cs="Times New Roman"/>
                      <w:bCs/>
                      <w:szCs w:val="21"/>
                      <w:lang w:val="en-US" w:eastAsia="zh-CN"/>
                    </w:rPr>
                    <w:t>0.130</w:t>
                  </w:r>
                </w:p>
              </w:tc>
              <w:tc>
                <w:tcPr>
                  <w:tcW w:w="535" w:type="pct"/>
                  <w:tcBorders>
                    <w:tl2br w:val="nil"/>
                    <w:tr2bl w:val="nil"/>
                  </w:tcBorders>
                  <w:vAlign w:val="center"/>
                </w:tcPr>
                <w:p w14:paraId="7D106D35">
                  <w:pPr>
                    <w:jc w:val="center"/>
                    <w:rPr>
                      <w:rFonts w:hint="eastAsia"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0.070</w:t>
                  </w:r>
                  <w:r>
                    <w:rPr>
                      <w:rFonts w:hint="default" w:ascii="Times New Roman" w:hAnsi="Times New Roman" w:eastAsia="仿宋" w:cs="Times New Roman"/>
                      <w:color w:val="auto"/>
                      <w:szCs w:val="21"/>
                      <w:highlight w:val="none"/>
                      <w:vertAlign w:val="superscript"/>
                    </w:rPr>
                    <w:t>[2]</w:t>
                  </w:r>
                </w:p>
              </w:tc>
            </w:tr>
            <w:tr w14:paraId="0C644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46" w:type="pct"/>
                  <w:gridSpan w:val="2"/>
                  <w:vMerge w:val="continue"/>
                  <w:tcBorders>
                    <w:tl2br w:val="nil"/>
                    <w:tr2bl w:val="nil"/>
                  </w:tcBorders>
                  <w:vAlign w:val="center"/>
                </w:tcPr>
                <w:p w14:paraId="30ED07B3">
                  <w:pPr>
                    <w:jc w:val="center"/>
                    <w:rPr>
                      <w:rFonts w:eastAsia="仿宋"/>
                      <w:szCs w:val="21"/>
                    </w:rPr>
                  </w:pPr>
                </w:p>
              </w:tc>
              <w:tc>
                <w:tcPr>
                  <w:tcW w:w="546" w:type="pct"/>
                  <w:tcBorders>
                    <w:tl2br w:val="nil"/>
                    <w:tr2bl w:val="nil"/>
                  </w:tcBorders>
                  <w:vAlign w:val="center"/>
                </w:tcPr>
                <w:p w14:paraId="7175FDB4">
                  <w:pPr>
                    <w:jc w:val="center"/>
                    <w:rPr>
                      <w:rFonts w:hint="default" w:eastAsia="仿宋"/>
                      <w:szCs w:val="21"/>
                      <w:lang w:val="en-US" w:eastAsia="zh-CN"/>
                    </w:rPr>
                  </w:pPr>
                  <w:r>
                    <w:rPr>
                      <w:rFonts w:hint="eastAsia" w:eastAsia="仿宋"/>
                      <w:szCs w:val="21"/>
                      <w:lang w:val="en-US" w:eastAsia="zh-CN"/>
                    </w:rPr>
                    <w:t>SS</w:t>
                  </w:r>
                </w:p>
              </w:tc>
              <w:tc>
                <w:tcPr>
                  <w:tcW w:w="467" w:type="pct"/>
                  <w:tcBorders>
                    <w:tl2br w:val="nil"/>
                    <w:tr2bl w:val="nil"/>
                  </w:tcBorders>
                  <w:shd w:val="clear" w:color="auto" w:fill="auto"/>
                  <w:vAlign w:val="center"/>
                </w:tcPr>
                <w:p w14:paraId="7CDD61B8">
                  <w:pPr>
                    <w:widowControl/>
                    <w:jc w:val="center"/>
                    <w:textAlignment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0.216</w:t>
                  </w:r>
                </w:p>
              </w:tc>
              <w:tc>
                <w:tcPr>
                  <w:tcW w:w="467" w:type="pct"/>
                  <w:tcBorders>
                    <w:tl2br w:val="nil"/>
                    <w:tr2bl w:val="nil"/>
                  </w:tcBorders>
                  <w:shd w:val="clear" w:color="auto" w:fill="auto"/>
                  <w:vAlign w:val="center"/>
                </w:tcPr>
                <w:p w14:paraId="42A8E9D5">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0.081</w:t>
                  </w:r>
                </w:p>
              </w:tc>
              <w:tc>
                <w:tcPr>
                  <w:tcW w:w="467" w:type="pct"/>
                  <w:tcBorders>
                    <w:tl2br w:val="nil"/>
                    <w:tr2bl w:val="nil"/>
                  </w:tcBorders>
                  <w:vAlign w:val="center"/>
                </w:tcPr>
                <w:p w14:paraId="47F5B6AC">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0</w:t>
                  </w:r>
                </w:p>
              </w:tc>
              <w:tc>
                <w:tcPr>
                  <w:tcW w:w="471" w:type="pct"/>
                  <w:tcBorders>
                    <w:tl2br w:val="nil"/>
                    <w:tr2bl w:val="nil"/>
                  </w:tcBorders>
                  <w:shd w:val="clear" w:color="auto" w:fill="auto"/>
                  <w:vAlign w:val="center"/>
                </w:tcPr>
                <w:p w14:paraId="5AD8028A">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0.081</w:t>
                  </w:r>
                </w:p>
              </w:tc>
              <w:tc>
                <w:tcPr>
                  <w:tcW w:w="531" w:type="pct"/>
                  <w:tcBorders>
                    <w:tl2br w:val="nil"/>
                    <w:tr2bl w:val="nil"/>
                  </w:tcBorders>
                  <w:vAlign w:val="center"/>
                </w:tcPr>
                <w:p w14:paraId="3957E813">
                  <w:pPr>
                    <w:jc w:val="center"/>
                    <w:rPr>
                      <w:rFonts w:eastAsia="仿宋"/>
                      <w:szCs w:val="21"/>
                    </w:rPr>
                  </w:pPr>
                  <w:r>
                    <w:rPr>
                      <w:rFonts w:eastAsia="仿宋"/>
                      <w:szCs w:val="21"/>
                    </w:rPr>
                    <w:t>0</w:t>
                  </w:r>
                </w:p>
              </w:tc>
              <w:tc>
                <w:tcPr>
                  <w:tcW w:w="636" w:type="pct"/>
                  <w:tcBorders>
                    <w:tl2br w:val="nil"/>
                    <w:tr2bl w:val="nil"/>
                  </w:tcBorders>
                  <w:vAlign w:val="center"/>
                </w:tcPr>
                <w:p w14:paraId="09BAC7F7">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0.297</w:t>
                  </w:r>
                  <w:r>
                    <w:rPr>
                      <w:rFonts w:hint="default" w:ascii="Times New Roman" w:hAnsi="Times New Roman" w:eastAsia="仿宋" w:cs="Times New Roman"/>
                      <w:color w:val="auto"/>
                      <w:szCs w:val="21"/>
                      <w:highlight w:val="none"/>
                      <w:vertAlign w:val="superscript"/>
                    </w:rPr>
                    <w:t>[1]</w:t>
                  </w:r>
                </w:p>
              </w:tc>
              <w:tc>
                <w:tcPr>
                  <w:tcW w:w="531" w:type="pct"/>
                  <w:tcBorders>
                    <w:tl2br w:val="nil"/>
                    <w:tr2bl w:val="nil"/>
                  </w:tcBorders>
                  <w:vAlign w:val="center"/>
                </w:tcPr>
                <w:p w14:paraId="6C5C4669">
                  <w:pPr>
                    <w:widowControl/>
                    <w:jc w:val="center"/>
                    <w:textAlignment w:val="center"/>
                    <w:rPr>
                      <w:rFonts w:hint="eastAsia" w:eastAsia="仿宋"/>
                      <w:kern w:val="0"/>
                      <w:szCs w:val="21"/>
                      <w:highlight w:val="yellow"/>
                      <w:lang w:val="en-US" w:eastAsia="zh-CN"/>
                    </w:rPr>
                  </w:pPr>
                  <w:r>
                    <w:rPr>
                      <w:rFonts w:hint="eastAsia" w:ascii="Times New Roman" w:hAnsi="Times New Roman" w:eastAsia="仿宋" w:cs="Times New Roman"/>
                      <w:bCs/>
                      <w:szCs w:val="21"/>
                      <w:lang w:val="en-US" w:eastAsia="zh-CN"/>
                    </w:rPr>
                    <w:t>0.081</w:t>
                  </w:r>
                </w:p>
              </w:tc>
              <w:tc>
                <w:tcPr>
                  <w:tcW w:w="535" w:type="pct"/>
                  <w:tcBorders>
                    <w:tl2br w:val="nil"/>
                    <w:tr2bl w:val="nil"/>
                  </w:tcBorders>
                  <w:vAlign w:val="center"/>
                </w:tcPr>
                <w:p w14:paraId="493BF4AD">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0.014</w:t>
                  </w:r>
                  <w:r>
                    <w:rPr>
                      <w:rFonts w:hint="default" w:ascii="Times New Roman" w:hAnsi="Times New Roman" w:eastAsia="仿宋" w:cs="Times New Roman"/>
                      <w:color w:val="auto"/>
                      <w:szCs w:val="21"/>
                      <w:highlight w:val="none"/>
                      <w:vertAlign w:val="superscript"/>
                    </w:rPr>
                    <w:t>[2]</w:t>
                  </w:r>
                </w:p>
              </w:tc>
            </w:tr>
            <w:tr w14:paraId="7B052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46" w:type="pct"/>
                  <w:gridSpan w:val="2"/>
                  <w:vMerge w:val="continue"/>
                  <w:tcBorders>
                    <w:tl2br w:val="nil"/>
                    <w:tr2bl w:val="nil"/>
                  </w:tcBorders>
                  <w:vAlign w:val="center"/>
                </w:tcPr>
                <w:p w14:paraId="435C2C84">
                  <w:pPr>
                    <w:jc w:val="center"/>
                    <w:rPr>
                      <w:rFonts w:eastAsia="仿宋"/>
                      <w:szCs w:val="21"/>
                    </w:rPr>
                  </w:pPr>
                </w:p>
              </w:tc>
              <w:tc>
                <w:tcPr>
                  <w:tcW w:w="546" w:type="pct"/>
                  <w:tcBorders>
                    <w:tl2br w:val="nil"/>
                    <w:tr2bl w:val="nil"/>
                  </w:tcBorders>
                  <w:vAlign w:val="center"/>
                </w:tcPr>
                <w:p w14:paraId="29967149">
                  <w:pPr>
                    <w:jc w:val="center"/>
                    <w:rPr>
                      <w:rFonts w:eastAsia="仿宋"/>
                      <w:szCs w:val="21"/>
                    </w:rPr>
                  </w:pPr>
                  <w:r>
                    <w:rPr>
                      <w:rFonts w:eastAsia="仿宋"/>
                      <w:szCs w:val="21"/>
                    </w:rPr>
                    <w:t>氨氮</w:t>
                  </w:r>
                </w:p>
              </w:tc>
              <w:tc>
                <w:tcPr>
                  <w:tcW w:w="467" w:type="pct"/>
                  <w:tcBorders>
                    <w:tl2br w:val="nil"/>
                    <w:tr2bl w:val="nil"/>
                  </w:tcBorders>
                  <w:shd w:val="clear" w:color="auto" w:fill="auto"/>
                  <w:vAlign w:val="center"/>
                </w:tcPr>
                <w:p w14:paraId="58C1DEF7">
                  <w:pPr>
                    <w:widowControl/>
                    <w:jc w:val="center"/>
                    <w:textAlignment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0.032</w:t>
                  </w:r>
                </w:p>
              </w:tc>
              <w:tc>
                <w:tcPr>
                  <w:tcW w:w="467" w:type="pct"/>
                  <w:tcBorders>
                    <w:tl2br w:val="nil"/>
                    <w:tr2bl w:val="nil"/>
                  </w:tcBorders>
                  <w:shd w:val="clear" w:color="auto" w:fill="auto"/>
                  <w:vAlign w:val="center"/>
                </w:tcPr>
                <w:p w14:paraId="40F22184">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0.008</w:t>
                  </w:r>
                </w:p>
              </w:tc>
              <w:tc>
                <w:tcPr>
                  <w:tcW w:w="467" w:type="pct"/>
                  <w:tcBorders>
                    <w:tl2br w:val="nil"/>
                    <w:tr2bl w:val="nil"/>
                  </w:tcBorders>
                  <w:vAlign w:val="center"/>
                </w:tcPr>
                <w:p w14:paraId="4218244B">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0</w:t>
                  </w:r>
                </w:p>
              </w:tc>
              <w:tc>
                <w:tcPr>
                  <w:tcW w:w="471" w:type="pct"/>
                  <w:tcBorders>
                    <w:tl2br w:val="nil"/>
                    <w:tr2bl w:val="nil"/>
                  </w:tcBorders>
                  <w:shd w:val="clear" w:color="auto" w:fill="auto"/>
                  <w:vAlign w:val="center"/>
                </w:tcPr>
                <w:p w14:paraId="55DC349D">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0.008</w:t>
                  </w:r>
                </w:p>
              </w:tc>
              <w:tc>
                <w:tcPr>
                  <w:tcW w:w="531" w:type="pct"/>
                  <w:tcBorders>
                    <w:tl2br w:val="nil"/>
                    <w:tr2bl w:val="nil"/>
                  </w:tcBorders>
                  <w:vAlign w:val="center"/>
                </w:tcPr>
                <w:p w14:paraId="66BFE675">
                  <w:pPr>
                    <w:jc w:val="center"/>
                    <w:rPr>
                      <w:rFonts w:eastAsia="仿宋"/>
                      <w:szCs w:val="21"/>
                    </w:rPr>
                  </w:pPr>
                  <w:r>
                    <w:rPr>
                      <w:rFonts w:eastAsia="仿宋"/>
                      <w:szCs w:val="21"/>
                    </w:rPr>
                    <w:t>0</w:t>
                  </w:r>
                </w:p>
              </w:tc>
              <w:tc>
                <w:tcPr>
                  <w:tcW w:w="636" w:type="pct"/>
                  <w:tcBorders>
                    <w:tl2br w:val="nil"/>
                    <w:tr2bl w:val="nil"/>
                  </w:tcBorders>
                  <w:vAlign w:val="center"/>
                </w:tcPr>
                <w:p w14:paraId="3E5602C5">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0.04</w:t>
                  </w:r>
                  <w:r>
                    <w:rPr>
                      <w:rFonts w:hint="default" w:ascii="Times New Roman" w:hAnsi="Times New Roman" w:eastAsia="仿宋" w:cs="Times New Roman"/>
                      <w:color w:val="auto"/>
                      <w:szCs w:val="21"/>
                      <w:highlight w:val="none"/>
                      <w:vertAlign w:val="superscript"/>
                    </w:rPr>
                    <w:t>[1]</w:t>
                  </w:r>
                </w:p>
              </w:tc>
              <w:tc>
                <w:tcPr>
                  <w:tcW w:w="531" w:type="pct"/>
                  <w:tcBorders>
                    <w:tl2br w:val="nil"/>
                    <w:tr2bl w:val="nil"/>
                  </w:tcBorders>
                  <w:vAlign w:val="center"/>
                </w:tcPr>
                <w:p w14:paraId="2E3F93E6">
                  <w:pPr>
                    <w:widowControl/>
                    <w:jc w:val="center"/>
                    <w:textAlignment w:val="center"/>
                    <w:rPr>
                      <w:rFonts w:eastAsia="仿宋"/>
                      <w:szCs w:val="21"/>
                      <w:highlight w:val="yellow"/>
                    </w:rPr>
                  </w:pPr>
                  <w:r>
                    <w:rPr>
                      <w:rFonts w:hint="eastAsia" w:ascii="Times New Roman" w:hAnsi="Times New Roman" w:eastAsia="仿宋" w:cs="Times New Roman"/>
                      <w:bCs/>
                      <w:szCs w:val="21"/>
                      <w:lang w:val="en-US" w:eastAsia="zh-CN"/>
                    </w:rPr>
                    <w:t>0.008</w:t>
                  </w:r>
                </w:p>
              </w:tc>
              <w:tc>
                <w:tcPr>
                  <w:tcW w:w="535" w:type="pct"/>
                  <w:tcBorders>
                    <w:tl2br w:val="nil"/>
                    <w:tr2bl w:val="nil"/>
                  </w:tcBorders>
                  <w:vAlign w:val="center"/>
                </w:tcPr>
                <w:p w14:paraId="35BE5AEF">
                  <w:pPr>
                    <w:jc w:val="center"/>
                    <w:rPr>
                      <w:rFonts w:hint="eastAsia"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0.006</w:t>
                  </w:r>
                  <w:r>
                    <w:rPr>
                      <w:rFonts w:hint="default" w:ascii="Times New Roman" w:hAnsi="Times New Roman" w:eastAsia="仿宋" w:cs="Times New Roman"/>
                      <w:color w:val="auto"/>
                      <w:szCs w:val="21"/>
                      <w:highlight w:val="none"/>
                      <w:vertAlign w:val="superscript"/>
                    </w:rPr>
                    <w:t>[2]</w:t>
                  </w:r>
                </w:p>
              </w:tc>
            </w:tr>
            <w:tr w14:paraId="391F7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46" w:type="pct"/>
                  <w:gridSpan w:val="2"/>
                  <w:vMerge w:val="continue"/>
                  <w:tcBorders>
                    <w:tl2br w:val="nil"/>
                    <w:tr2bl w:val="nil"/>
                  </w:tcBorders>
                  <w:vAlign w:val="center"/>
                </w:tcPr>
                <w:p w14:paraId="3B38CB1E">
                  <w:pPr>
                    <w:jc w:val="center"/>
                    <w:rPr>
                      <w:rFonts w:eastAsia="仿宋"/>
                      <w:szCs w:val="21"/>
                    </w:rPr>
                  </w:pPr>
                </w:p>
              </w:tc>
              <w:tc>
                <w:tcPr>
                  <w:tcW w:w="546" w:type="pct"/>
                  <w:tcBorders>
                    <w:tl2br w:val="nil"/>
                    <w:tr2bl w:val="nil"/>
                  </w:tcBorders>
                  <w:vAlign w:val="center"/>
                </w:tcPr>
                <w:p w14:paraId="5A733C0C">
                  <w:pPr>
                    <w:jc w:val="center"/>
                    <w:rPr>
                      <w:rFonts w:eastAsia="仿宋"/>
                      <w:szCs w:val="21"/>
                    </w:rPr>
                  </w:pPr>
                  <w:r>
                    <w:rPr>
                      <w:rFonts w:eastAsia="仿宋"/>
                      <w:szCs w:val="21"/>
                    </w:rPr>
                    <w:t>总磷</w:t>
                  </w:r>
                </w:p>
              </w:tc>
              <w:tc>
                <w:tcPr>
                  <w:tcW w:w="467" w:type="pct"/>
                  <w:tcBorders>
                    <w:tl2br w:val="nil"/>
                    <w:tr2bl w:val="nil"/>
                  </w:tcBorders>
                  <w:shd w:val="clear" w:color="auto" w:fill="auto"/>
                  <w:vAlign w:val="center"/>
                </w:tcPr>
                <w:p w14:paraId="642E2243">
                  <w:pPr>
                    <w:widowControl/>
                    <w:jc w:val="center"/>
                    <w:textAlignment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0.003</w:t>
                  </w:r>
                </w:p>
              </w:tc>
              <w:tc>
                <w:tcPr>
                  <w:tcW w:w="467" w:type="pct"/>
                  <w:tcBorders>
                    <w:tl2br w:val="nil"/>
                    <w:tr2bl w:val="nil"/>
                  </w:tcBorders>
                  <w:shd w:val="clear" w:color="auto" w:fill="auto"/>
                  <w:vAlign w:val="center"/>
                </w:tcPr>
                <w:p w14:paraId="5C729149">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0.001</w:t>
                  </w:r>
                </w:p>
              </w:tc>
              <w:tc>
                <w:tcPr>
                  <w:tcW w:w="467" w:type="pct"/>
                  <w:tcBorders>
                    <w:tl2br w:val="nil"/>
                    <w:tr2bl w:val="nil"/>
                  </w:tcBorders>
                  <w:vAlign w:val="center"/>
                </w:tcPr>
                <w:p w14:paraId="43188B9D">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0</w:t>
                  </w:r>
                </w:p>
              </w:tc>
              <w:tc>
                <w:tcPr>
                  <w:tcW w:w="471" w:type="pct"/>
                  <w:tcBorders>
                    <w:tl2br w:val="nil"/>
                    <w:tr2bl w:val="nil"/>
                  </w:tcBorders>
                  <w:shd w:val="clear" w:color="auto" w:fill="auto"/>
                  <w:vAlign w:val="center"/>
                </w:tcPr>
                <w:p w14:paraId="7E301548">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0.001</w:t>
                  </w:r>
                </w:p>
              </w:tc>
              <w:tc>
                <w:tcPr>
                  <w:tcW w:w="531" w:type="pct"/>
                  <w:tcBorders>
                    <w:tl2br w:val="nil"/>
                    <w:tr2bl w:val="nil"/>
                  </w:tcBorders>
                  <w:vAlign w:val="center"/>
                </w:tcPr>
                <w:p w14:paraId="16F2F2C6">
                  <w:pPr>
                    <w:jc w:val="center"/>
                    <w:rPr>
                      <w:rFonts w:eastAsia="仿宋"/>
                      <w:szCs w:val="21"/>
                    </w:rPr>
                  </w:pPr>
                  <w:r>
                    <w:rPr>
                      <w:rFonts w:eastAsia="仿宋"/>
                      <w:szCs w:val="21"/>
                    </w:rPr>
                    <w:t>0</w:t>
                  </w:r>
                </w:p>
              </w:tc>
              <w:tc>
                <w:tcPr>
                  <w:tcW w:w="636" w:type="pct"/>
                  <w:tcBorders>
                    <w:tl2br w:val="nil"/>
                    <w:tr2bl w:val="nil"/>
                  </w:tcBorders>
                  <w:vAlign w:val="center"/>
                </w:tcPr>
                <w:p w14:paraId="3582E1FB">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0.004</w:t>
                  </w:r>
                  <w:r>
                    <w:rPr>
                      <w:rFonts w:hint="default" w:ascii="Times New Roman" w:hAnsi="Times New Roman" w:eastAsia="仿宋" w:cs="Times New Roman"/>
                      <w:color w:val="auto"/>
                      <w:szCs w:val="21"/>
                      <w:highlight w:val="none"/>
                      <w:vertAlign w:val="superscript"/>
                    </w:rPr>
                    <w:t>[1]</w:t>
                  </w:r>
                </w:p>
              </w:tc>
              <w:tc>
                <w:tcPr>
                  <w:tcW w:w="531" w:type="pct"/>
                  <w:tcBorders>
                    <w:tl2br w:val="nil"/>
                    <w:tr2bl w:val="nil"/>
                  </w:tcBorders>
                  <w:vAlign w:val="center"/>
                </w:tcPr>
                <w:p w14:paraId="23BEE8E5">
                  <w:pPr>
                    <w:widowControl/>
                    <w:jc w:val="center"/>
                    <w:textAlignment w:val="center"/>
                    <w:rPr>
                      <w:rFonts w:eastAsia="仿宋"/>
                      <w:szCs w:val="21"/>
                      <w:highlight w:val="yellow"/>
                    </w:rPr>
                  </w:pPr>
                  <w:r>
                    <w:rPr>
                      <w:rFonts w:hint="eastAsia" w:ascii="Times New Roman" w:hAnsi="Times New Roman" w:eastAsia="仿宋" w:cs="Times New Roman"/>
                      <w:bCs/>
                      <w:szCs w:val="21"/>
                      <w:lang w:val="en-US" w:eastAsia="zh-CN"/>
                    </w:rPr>
                    <w:t>0.001</w:t>
                  </w:r>
                </w:p>
              </w:tc>
              <w:tc>
                <w:tcPr>
                  <w:tcW w:w="535" w:type="pct"/>
                  <w:tcBorders>
                    <w:tl2br w:val="nil"/>
                    <w:tr2bl w:val="nil"/>
                  </w:tcBorders>
                  <w:vAlign w:val="center"/>
                </w:tcPr>
                <w:p w14:paraId="1AE3CB82">
                  <w:pPr>
                    <w:jc w:val="center"/>
                    <w:rPr>
                      <w:rFonts w:hint="eastAsia"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0.0007</w:t>
                  </w:r>
                  <w:r>
                    <w:rPr>
                      <w:rFonts w:hint="default" w:ascii="Times New Roman" w:hAnsi="Times New Roman" w:eastAsia="仿宋" w:cs="Times New Roman"/>
                      <w:color w:val="auto"/>
                      <w:szCs w:val="21"/>
                      <w:highlight w:val="none"/>
                      <w:vertAlign w:val="superscript"/>
                    </w:rPr>
                    <w:t>[2]</w:t>
                  </w:r>
                </w:p>
              </w:tc>
            </w:tr>
            <w:tr w14:paraId="419C7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46" w:type="pct"/>
                  <w:gridSpan w:val="2"/>
                  <w:vMerge w:val="continue"/>
                  <w:tcBorders>
                    <w:tl2br w:val="nil"/>
                    <w:tr2bl w:val="nil"/>
                  </w:tcBorders>
                  <w:vAlign w:val="center"/>
                </w:tcPr>
                <w:p w14:paraId="5736997A">
                  <w:pPr>
                    <w:jc w:val="center"/>
                    <w:rPr>
                      <w:rFonts w:eastAsia="仿宋"/>
                      <w:szCs w:val="21"/>
                    </w:rPr>
                  </w:pPr>
                </w:p>
              </w:tc>
              <w:tc>
                <w:tcPr>
                  <w:tcW w:w="546" w:type="pct"/>
                  <w:tcBorders>
                    <w:tl2br w:val="nil"/>
                    <w:tr2bl w:val="nil"/>
                  </w:tcBorders>
                  <w:vAlign w:val="center"/>
                </w:tcPr>
                <w:p w14:paraId="43235660">
                  <w:pPr>
                    <w:jc w:val="center"/>
                    <w:rPr>
                      <w:rFonts w:hint="eastAsia" w:eastAsia="仿宋"/>
                      <w:szCs w:val="21"/>
                      <w:lang w:val="en-US" w:eastAsia="zh-CN"/>
                    </w:rPr>
                  </w:pPr>
                  <w:r>
                    <w:rPr>
                      <w:rFonts w:hint="eastAsia" w:eastAsia="仿宋"/>
                      <w:szCs w:val="21"/>
                      <w:lang w:val="en-US" w:eastAsia="zh-CN"/>
                    </w:rPr>
                    <w:t>总氮</w:t>
                  </w:r>
                </w:p>
              </w:tc>
              <w:tc>
                <w:tcPr>
                  <w:tcW w:w="467" w:type="pct"/>
                  <w:tcBorders>
                    <w:tl2br w:val="nil"/>
                    <w:tr2bl w:val="nil"/>
                  </w:tcBorders>
                  <w:shd w:val="clear" w:color="auto" w:fill="auto"/>
                  <w:vAlign w:val="center"/>
                </w:tcPr>
                <w:p w14:paraId="7DAED82A">
                  <w:pPr>
                    <w:widowControl/>
                    <w:jc w:val="center"/>
                    <w:textAlignment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0.054</w:t>
                  </w:r>
                </w:p>
              </w:tc>
              <w:tc>
                <w:tcPr>
                  <w:tcW w:w="467" w:type="pct"/>
                  <w:tcBorders>
                    <w:tl2br w:val="nil"/>
                    <w:tr2bl w:val="nil"/>
                  </w:tcBorders>
                  <w:shd w:val="clear" w:color="auto" w:fill="auto"/>
                  <w:vAlign w:val="center"/>
                </w:tcPr>
                <w:p w14:paraId="3E630D16">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0.011</w:t>
                  </w:r>
                </w:p>
              </w:tc>
              <w:tc>
                <w:tcPr>
                  <w:tcW w:w="467" w:type="pct"/>
                  <w:tcBorders>
                    <w:tl2br w:val="nil"/>
                    <w:tr2bl w:val="nil"/>
                  </w:tcBorders>
                  <w:vAlign w:val="center"/>
                </w:tcPr>
                <w:p w14:paraId="2B9E162A">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471" w:type="pct"/>
                  <w:tcBorders>
                    <w:tl2br w:val="nil"/>
                    <w:tr2bl w:val="nil"/>
                  </w:tcBorders>
                  <w:shd w:val="clear" w:color="auto" w:fill="auto"/>
                  <w:vAlign w:val="center"/>
                </w:tcPr>
                <w:p w14:paraId="6BF9CB0A">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0.011</w:t>
                  </w:r>
                </w:p>
              </w:tc>
              <w:tc>
                <w:tcPr>
                  <w:tcW w:w="531" w:type="pct"/>
                  <w:tcBorders>
                    <w:tl2br w:val="nil"/>
                    <w:tr2bl w:val="nil"/>
                  </w:tcBorders>
                  <w:vAlign w:val="center"/>
                </w:tcPr>
                <w:p w14:paraId="081682B0">
                  <w:pPr>
                    <w:jc w:val="center"/>
                    <w:rPr>
                      <w:rFonts w:hint="eastAsia" w:eastAsia="仿宋"/>
                      <w:szCs w:val="21"/>
                      <w:lang w:val="en-US" w:eastAsia="zh-CN"/>
                    </w:rPr>
                  </w:pPr>
                  <w:r>
                    <w:rPr>
                      <w:rFonts w:hint="eastAsia" w:eastAsia="仿宋"/>
                      <w:szCs w:val="21"/>
                      <w:lang w:val="en-US" w:eastAsia="zh-CN"/>
                    </w:rPr>
                    <w:t>0</w:t>
                  </w:r>
                </w:p>
              </w:tc>
              <w:tc>
                <w:tcPr>
                  <w:tcW w:w="636" w:type="pct"/>
                  <w:tcBorders>
                    <w:tl2br w:val="nil"/>
                    <w:tr2bl w:val="nil"/>
                  </w:tcBorders>
                  <w:vAlign w:val="center"/>
                </w:tcPr>
                <w:p w14:paraId="050F0837">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0.065</w:t>
                  </w:r>
                  <w:r>
                    <w:rPr>
                      <w:rFonts w:hint="default" w:ascii="Times New Roman" w:hAnsi="Times New Roman" w:eastAsia="仿宋" w:cs="Times New Roman"/>
                      <w:color w:val="auto"/>
                      <w:szCs w:val="21"/>
                      <w:highlight w:val="none"/>
                      <w:vertAlign w:val="superscript"/>
                    </w:rPr>
                    <w:t>[1]</w:t>
                  </w:r>
                </w:p>
              </w:tc>
              <w:tc>
                <w:tcPr>
                  <w:tcW w:w="531" w:type="pct"/>
                  <w:tcBorders>
                    <w:tl2br w:val="nil"/>
                    <w:tr2bl w:val="nil"/>
                  </w:tcBorders>
                  <w:vAlign w:val="center"/>
                </w:tcPr>
                <w:p w14:paraId="624E9375">
                  <w:pPr>
                    <w:widowControl/>
                    <w:jc w:val="center"/>
                    <w:textAlignment w:val="center"/>
                    <w:rPr>
                      <w:rFonts w:hint="eastAsia" w:eastAsia="仿宋"/>
                      <w:kern w:val="0"/>
                      <w:szCs w:val="21"/>
                      <w:highlight w:val="yellow"/>
                      <w:lang w:val="en-US" w:eastAsia="zh-CN"/>
                    </w:rPr>
                  </w:pPr>
                  <w:r>
                    <w:rPr>
                      <w:rFonts w:hint="eastAsia" w:ascii="Times New Roman" w:hAnsi="Times New Roman" w:eastAsia="仿宋" w:cs="Times New Roman"/>
                      <w:bCs/>
                      <w:szCs w:val="21"/>
                      <w:lang w:val="en-US" w:eastAsia="zh-CN"/>
                    </w:rPr>
                    <w:t>0.011</w:t>
                  </w:r>
                </w:p>
              </w:tc>
              <w:tc>
                <w:tcPr>
                  <w:tcW w:w="535" w:type="pct"/>
                  <w:tcBorders>
                    <w:tl2br w:val="nil"/>
                    <w:tr2bl w:val="nil"/>
                  </w:tcBorders>
                  <w:vAlign w:val="center"/>
                </w:tcPr>
                <w:p w14:paraId="22C5E9C8">
                  <w:pPr>
                    <w:jc w:val="center"/>
                    <w:rPr>
                      <w:rFonts w:hint="eastAsia"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0.017</w:t>
                  </w:r>
                  <w:r>
                    <w:rPr>
                      <w:rFonts w:hint="default" w:ascii="Times New Roman" w:hAnsi="Times New Roman" w:eastAsia="仿宋" w:cs="Times New Roman"/>
                      <w:color w:val="auto"/>
                      <w:szCs w:val="21"/>
                      <w:highlight w:val="none"/>
                      <w:vertAlign w:val="superscript"/>
                    </w:rPr>
                    <w:t>[2]</w:t>
                  </w:r>
                </w:p>
              </w:tc>
            </w:tr>
            <w:tr w14:paraId="44679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145" w:type="pct"/>
                  <w:vMerge w:val="restart"/>
                  <w:tcBorders>
                    <w:tl2br w:val="nil"/>
                    <w:tr2bl w:val="nil"/>
                  </w:tcBorders>
                  <w:vAlign w:val="center"/>
                </w:tcPr>
                <w:p w14:paraId="3E0A1B2C">
                  <w:pPr>
                    <w:jc w:val="center"/>
                    <w:rPr>
                      <w:rFonts w:eastAsia="仿宋"/>
                      <w:szCs w:val="21"/>
                    </w:rPr>
                  </w:pPr>
                  <w:r>
                    <w:rPr>
                      <w:rFonts w:hint="eastAsia" w:eastAsia="仿宋"/>
                      <w:szCs w:val="21"/>
                    </w:rPr>
                    <w:t>废气</w:t>
                  </w:r>
                </w:p>
              </w:tc>
              <w:tc>
                <w:tcPr>
                  <w:tcW w:w="201" w:type="pct"/>
                  <w:vMerge w:val="restart"/>
                  <w:tcBorders>
                    <w:tl2br w:val="nil"/>
                    <w:tr2bl w:val="nil"/>
                  </w:tcBorders>
                  <w:vAlign w:val="center"/>
                </w:tcPr>
                <w:p w14:paraId="5D27F816">
                  <w:pPr>
                    <w:jc w:val="center"/>
                    <w:rPr>
                      <w:rFonts w:eastAsia="仿宋"/>
                      <w:szCs w:val="21"/>
                    </w:rPr>
                  </w:pPr>
                  <w:r>
                    <w:rPr>
                      <w:rFonts w:hint="eastAsia" w:eastAsia="仿宋"/>
                      <w:szCs w:val="21"/>
                    </w:rPr>
                    <w:t>有组织</w:t>
                  </w:r>
                </w:p>
              </w:tc>
              <w:tc>
                <w:tcPr>
                  <w:tcW w:w="546" w:type="pct"/>
                  <w:tcBorders>
                    <w:tl2br w:val="nil"/>
                    <w:tr2bl w:val="nil"/>
                  </w:tcBorders>
                  <w:vAlign w:val="center"/>
                </w:tcPr>
                <w:p w14:paraId="0FC1523B">
                  <w:pPr>
                    <w:jc w:val="center"/>
                    <w:rPr>
                      <w:rFonts w:eastAsia="仿宋"/>
                      <w:szCs w:val="21"/>
                    </w:rPr>
                  </w:pPr>
                  <w:r>
                    <w:rPr>
                      <w:rFonts w:hint="eastAsia" w:eastAsia="仿宋"/>
                      <w:szCs w:val="21"/>
                    </w:rPr>
                    <w:t>VOCs（以非甲烷总烃计）</w:t>
                  </w:r>
                </w:p>
              </w:tc>
              <w:tc>
                <w:tcPr>
                  <w:tcW w:w="467" w:type="pct"/>
                  <w:tcBorders>
                    <w:tl2br w:val="nil"/>
                    <w:tr2bl w:val="nil"/>
                  </w:tcBorders>
                  <w:shd w:val="clear" w:color="auto" w:fill="auto"/>
                  <w:vAlign w:val="center"/>
                </w:tcPr>
                <w:p w14:paraId="428694BE">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0.425</w:t>
                  </w:r>
                </w:p>
              </w:tc>
              <w:tc>
                <w:tcPr>
                  <w:tcW w:w="467" w:type="pct"/>
                  <w:tcBorders>
                    <w:tl2br w:val="nil"/>
                    <w:tr2bl w:val="nil"/>
                  </w:tcBorders>
                  <w:vAlign w:val="center"/>
                </w:tcPr>
                <w:p w14:paraId="46C73E81">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0.3</w:t>
                  </w:r>
                  <w:r>
                    <w:rPr>
                      <w:rFonts w:hint="eastAsia" w:eastAsia="仿宋" w:cs="Times New Roman"/>
                      <w:bCs/>
                      <w:szCs w:val="21"/>
                      <w:lang w:val="en-US" w:eastAsia="zh-CN"/>
                    </w:rPr>
                    <w:t>25</w:t>
                  </w:r>
                </w:p>
              </w:tc>
              <w:tc>
                <w:tcPr>
                  <w:tcW w:w="467" w:type="pct"/>
                  <w:tcBorders>
                    <w:tl2br w:val="nil"/>
                    <w:tr2bl w:val="nil"/>
                  </w:tcBorders>
                  <w:vAlign w:val="center"/>
                </w:tcPr>
                <w:p w14:paraId="2AA56EA2">
                  <w:pPr>
                    <w:widowControl/>
                    <w:jc w:val="center"/>
                    <w:textAlignment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0.2</w:t>
                  </w:r>
                  <w:r>
                    <w:rPr>
                      <w:rFonts w:hint="eastAsia" w:eastAsia="仿宋" w:cs="Times New Roman"/>
                      <w:bCs/>
                      <w:szCs w:val="21"/>
                      <w:lang w:val="en-US" w:eastAsia="zh-CN"/>
                    </w:rPr>
                    <w:t>92</w:t>
                  </w:r>
                </w:p>
              </w:tc>
              <w:tc>
                <w:tcPr>
                  <w:tcW w:w="471" w:type="pct"/>
                  <w:tcBorders>
                    <w:tl2br w:val="nil"/>
                    <w:tr2bl w:val="nil"/>
                  </w:tcBorders>
                  <w:vAlign w:val="center"/>
                </w:tcPr>
                <w:p w14:paraId="09725A3A">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0.03</w:t>
                  </w:r>
                  <w:r>
                    <w:rPr>
                      <w:rFonts w:hint="eastAsia" w:eastAsia="仿宋" w:cs="Times New Roman"/>
                      <w:bCs/>
                      <w:szCs w:val="21"/>
                      <w:lang w:val="en-US" w:eastAsia="zh-CN"/>
                    </w:rPr>
                    <w:t>3</w:t>
                  </w:r>
                </w:p>
              </w:tc>
              <w:tc>
                <w:tcPr>
                  <w:tcW w:w="531" w:type="pct"/>
                  <w:tcBorders>
                    <w:tl2br w:val="nil"/>
                    <w:tr2bl w:val="nil"/>
                  </w:tcBorders>
                  <w:vAlign w:val="center"/>
                </w:tcPr>
                <w:p w14:paraId="005B4E1E">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636" w:type="pct"/>
                  <w:tcBorders>
                    <w:tl2br w:val="nil"/>
                    <w:tr2bl w:val="nil"/>
                  </w:tcBorders>
                  <w:vAlign w:val="center"/>
                </w:tcPr>
                <w:p w14:paraId="7755CE48">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0.45</w:t>
                  </w:r>
                  <w:r>
                    <w:rPr>
                      <w:rFonts w:hint="eastAsia" w:eastAsia="仿宋" w:cs="Times New Roman"/>
                      <w:bCs/>
                      <w:szCs w:val="21"/>
                      <w:lang w:val="en-US" w:eastAsia="zh-CN"/>
                    </w:rPr>
                    <w:t>8</w:t>
                  </w:r>
                </w:p>
              </w:tc>
              <w:tc>
                <w:tcPr>
                  <w:tcW w:w="531" w:type="pct"/>
                  <w:tcBorders>
                    <w:tl2br w:val="nil"/>
                    <w:tr2bl w:val="nil"/>
                  </w:tcBorders>
                  <w:vAlign w:val="center"/>
                </w:tcPr>
                <w:p w14:paraId="630C2F30">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+0.03</w:t>
                  </w:r>
                  <w:r>
                    <w:rPr>
                      <w:rFonts w:hint="eastAsia" w:eastAsia="仿宋" w:cs="Times New Roman"/>
                      <w:bCs/>
                      <w:szCs w:val="21"/>
                      <w:lang w:val="en-US" w:eastAsia="zh-CN"/>
                    </w:rPr>
                    <w:t>3</w:t>
                  </w:r>
                </w:p>
              </w:tc>
              <w:tc>
                <w:tcPr>
                  <w:tcW w:w="535" w:type="pct"/>
                  <w:tcBorders>
                    <w:tl2br w:val="nil"/>
                    <w:tr2bl w:val="nil"/>
                  </w:tcBorders>
                  <w:vAlign w:val="center"/>
                </w:tcPr>
                <w:p w14:paraId="53258920">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0.45</w:t>
                  </w:r>
                  <w:r>
                    <w:rPr>
                      <w:rFonts w:hint="eastAsia" w:eastAsia="仿宋" w:cs="Times New Roman"/>
                      <w:bCs/>
                      <w:szCs w:val="21"/>
                      <w:lang w:val="en-US" w:eastAsia="zh-CN"/>
                    </w:rPr>
                    <w:t>8</w:t>
                  </w:r>
                </w:p>
              </w:tc>
            </w:tr>
            <w:tr w14:paraId="29214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145" w:type="pct"/>
                  <w:vMerge w:val="continue"/>
                  <w:tcBorders>
                    <w:tl2br w:val="nil"/>
                    <w:tr2bl w:val="nil"/>
                  </w:tcBorders>
                  <w:vAlign w:val="center"/>
                </w:tcPr>
                <w:p w14:paraId="51E27CC1">
                  <w:pPr>
                    <w:jc w:val="center"/>
                    <w:rPr>
                      <w:rFonts w:eastAsia="仿宋"/>
                      <w:szCs w:val="21"/>
                    </w:rPr>
                  </w:pPr>
                </w:p>
              </w:tc>
              <w:tc>
                <w:tcPr>
                  <w:tcW w:w="201" w:type="pct"/>
                  <w:vMerge w:val="continue"/>
                  <w:tcBorders>
                    <w:tl2br w:val="nil"/>
                    <w:tr2bl w:val="nil"/>
                  </w:tcBorders>
                  <w:vAlign w:val="center"/>
                </w:tcPr>
                <w:p w14:paraId="772CEFA9">
                  <w:pPr>
                    <w:jc w:val="center"/>
                    <w:rPr>
                      <w:rFonts w:eastAsia="仿宋"/>
                      <w:szCs w:val="21"/>
                    </w:rPr>
                  </w:pPr>
                </w:p>
              </w:tc>
              <w:tc>
                <w:tcPr>
                  <w:tcW w:w="546" w:type="pct"/>
                  <w:tcBorders>
                    <w:tl2br w:val="nil"/>
                    <w:tr2bl w:val="nil"/>
                  </w:tcBorders>
                  <w:vAlign w:val="center"/>
                </w:tcPr>
                <w:p w14:paraId="6DE1C715">
                  <w:pPr>
                    <w:jc w:val="center"/>
                    <w:rPr>
                      <w:rFonts w:eastAsia="仿宋"/>
                      <w:szCs w:val="21"/>
                    </w:rPr>
                  </w:pPr>
                  <w:r>
                    <w:rPr>
                      <w:rFonts w:hint="eastAsia" w:eastAsia="仿宋"/>
                      <w:szCs w:val="21"/>
                    </w:rPr>
                    <w:t>颗粒物</w:t>
                  </w:r>
                </w:p>
              </w:tc>
              <w:tc>
                <w:tcPr>
                  <w:tcW w:w="467" w:type="pct"/>
                  <w:tcBorders>
                    <w:tl2br w:val="nil"/>
                    <w:tr2bl w:val="nil"/>
                  </w:tcBorders>
                  <w:shd w:val="clear" w:color="auto" w:fill="auto"/>
                  <w:vAlign w:val="center"/>
                </w:tcPr>
                <w:p w14:paraId="1D149732">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0.144</w:t>
                  </w:r>
                </w:p>
              </w:tc>
              <w:tc>
                <w:tcPr>
                  <w:tcW w:w="467" w:type="pct"/>
                  <w:tcBorders>
                    <w:tl2br w:val="nil"/>
                    <w:tr2bl w:val="nil"/>
                  </w:tcBorders>
                  <w:vAlign w:val="center"/>
                </w:tcPr>
                <w:p w14:paraId="5E0BF393">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0.792</w:t>
                  </w:r>
                </w:p>
              </w:tc>
              <w:tc>
                <w:tcPr>
                  <w:tcW w:w="467" w:type="pct"/>
                  <w:tcBorders>
                    <w:tl2br w:val="nil"/>
                    <w:tr2bl w:val="nil"/>
                  </w:tcBorders>
                  <w:vAlign w:val="center"/>
                </w:tcPr>
                <w:p w14:paraId="42E803D3">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0.746</w:t>
                  </w:r>
                </w:p>
              </w:tc>
              <w:tc>
                <w:tcPr>
                  <w:tcW w:w="471" w:type="pct"/>
                  <w:tcBorders>
                    <w:tl2br w:val="nil"/>
                    <w:tr2bl w:val="nil"/>
                  </w:tcBorders>
                  <w:vAlign w:val="center"/>
                </w:tcPr>
                <w:p w14:paraId="118DAA16">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0.046</w:t>
                  </w:r>
                </w:p>
              </w:tc>
              <w:tc>
                <w:tcPr>
                  <w:tcW w:w="531" w:type="pct"/>
                  <w:tcBorders>
                    <w:tl2br w:val="nil"/>
                    <w:tr2bl w:val="nil"/>
                  </w:tcBorders>
                  <w:vAlign w:val="center"/>
                </w:tcPr>
                <w:p w14:paraId="128CEDDD">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636" w:type="pct"/>
                  <w:tcBorders>
                    <w:tl2br w:val="nil"/>
                    <w:tr2bl w:val="nil"/>
                  </w:tcBorders>
                  <w:shd w:val="clear" w:color="auto" w:fill="auto"/>
                  <w:vAlign w:val="center"/>
                </w:tcPr>
                <w:p w14:paraId="5817FD2B">
                  <w:pPr>
                    <w:widowControl/>
                    <w:jc w:val="center"/>
                    <w:textAlignment w:val="center"/>
                    <w:rPr>
                      <w:rFonts w:hint="default" w:ascii="Times New Roman" w:hAnsi="Times New Roman" w:eastAsia="仿宋" w:cs="Times New Roman"/>
                      <w:bCs/>
                      <w:kern w:val="2"/>
                      <w:sz w:val="21"/>
                      <w:szCs w:val="21"/>
                      <w:lang w:val="en-US" w:eastAsia="zh-CN" w:bidi="ar-SA"/>
                    </w:rPr>
                  </w:pPr>
                  <w:r>
                    <w:rPr>
                      <w:rFonts w:hint="eastAsia" w:eastAsia="仿宋" w:cs="Times New Roman"/>
                      <w:bCs/>
                      <w:kern w:val="2"/>
                      <w:sz w:val="21"/>
                      <w:szCs w:val="21"/>
                      <w:lang w:val="en-US" w:eastAsia="zh-CN" w:bidi="ar-SA"/>
                    </w:rPr>
                    <w:t>0.19</w:t>
                  </w:r>
                </w:p>
              </w:tc>
              <w:tc>
                <w:tcPr>
                  <w:tcW w:w="1300" w:type="dxa"/>
                  <w:tcBorders>
                    <w:tl2br w:val="nil"/>
                    <w:tr2bl w:val="nil"/>
                  </w:tcBorders>
                  <w:vAlign w:val="center"/>
                </w:tcPr>
                <w:p w14:paraId="0C5C47E0">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+0.046</w:t>
                  </w:r>
                </w:p>
              </w:tc>
              <w:tc>
                <w:tcPr>
                  <w:tcW w:w="1309" w:type="dxa"/>
                  <w:tcBorders>
                    <w:tl2br w:val="nil"/>
                    <w:tr2bl w:val="nil"/>
                  </w:tcBorders>
                  <w:vAlign w:val="center"/>
                </w:tcPr>
                <w:p w14:paraId="43F19322">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0.19</w:t>
                  </w:r>
                </w:p>
              </w:tc>
            </w:tr>
            <w:tr w14:paraId="6626E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145" w:type="pct"/>
                  <w:vMerge w:val="continue"/>
                  <w:tcBorders>
                    <w:tl2br w:val="nil"/>
                    <w:tr2bl w:val="nil"/>
                  </w:tcBorders>
                  <w:vAlign w:val="center"/>
                </w:tcPr>
                <w:p w14:paraId="49E548E9">
                  <w:pPr>
                    <w:jc w:val="center"/>
                    <w:rPr>
                      <w:rFonts w:eastAsia="仿宋"/>
                      <w:szCs w:val="21"/>
                    </w:rPr>
                  </w:pPr>
                </w:p>
              </w:tc>
              <w:tc>
                <w:tcPr>
                  <w:tcW w:w="201" w:type="pct"/>
                  <w:vMerge w:val="restart"/>
                  <w:tcBorders>
                    <w:tl2br w:val="nil"/>
                    <w:tr2bl w:val="nil"/>
                  </w:tcBorders>
                  <w:vAlign w:val="center"/>
                </w:tcPr>
                <w:p w14:paraId="4B97F051">
                  <w:pPr>
                    <w:jc w:val="center"/>
                    <w:rPr>
                      <w:rFonts w:eastAsia="仿宋"/>
                      <w:szCs w:val="21"/>
                    </w:rPr>
                  </w:pPr>
                  <w:r>
                    <w:rPr>
                      <w:rFonts w:hint="eastAsia" w:eastAsia="仿宋"/>
                      <w:szCs w:val="21"/>
                    </w:rPr>
                    <w:t>无组织</w:t>
                  </w:r>
                </w:p>
              </w:tc>
              <w:tc>
                <w:tcPr>
                  <w:tcW w:w="546" w:type="pct"/>
                  <w:tcBorders>
                    <w:tl2br w:val="nil"/>
                    <w:tr2bl w:val="nil"/>
                  </w:tcBorders>
                  <w:vAlign w:val="center"/>
                </w:tcPr>
                <w:p w14:paraId="4D9F909D">
                  <w:pPr>
                    <w:jc w:val="center"/>
                    <w:rPr>
                      <w:rFonts w:eastAsia="仿宋"/>
                      <w:szCs w:val="21"/>
                    </w:rPr>
                  </w:pPr>
                  <w:r>
                    <w:rPr>
                      <w:rFonts w:hint="eastAsia" w:eastAsia="仿宋"/>
                      <w:szCs w:val="21"/>
                    </w:rPr>
                    <w:t>VOCs（以非甲烷总烃计）</w:t>
                  </w:r>
                </w:p>
              </w:tc>
              <w:tc>
                <w:tcPr>
                  <w:tcW w:w="467" w:type="pct"/>
                  <w:tcBorders>
                    <w:tl2br w:val="nil"/>
                    <w:tr2bl w:val="nil"/>
                  </w:tcBorders>
                  <w:vAlign w:val="center"/>
                </w:tcPr>
                <w:p w14:paraId="27458B16">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467" w:type="pct"/>
                  <w:tcBorders>
                    <w:tl2br w:val="nil"/>
                    <w:tr2bl w:val="nil"/>
                  </w:tcBorders>
                  <w:vAlign w:val="center"/>
                </w:tcPr>
                <w:p w14:paraId="5C25886F">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0.03</w:t>
                  </w:r>
                  <w:r>
                    <w:rPr>
                      <w:rFonts w:hint="eastAsia" w:eastAsia="仿宋" w:cs="Times New Roman"/>
                      <w:bCs/>
                      <w:szCs w:val="21"/>
                      <w:lang w:val="en-US" w:eastAsia="zh-CN"/>
                    </w:rPr>
                    <w:t>1</w:t>
                  </w:r>
                </w:p>
              </w:tc>
              <w:tc>
                <w:tcPr>
                  <w:tcW w:w="467" w:type="pct"/>
                  <w:tcBorders>
                    <w:tl2br w:val="nil"/>
                    <w:tr2bl w:val="nil"/>
                  </w:tcBorders>
                  <w:vAlign w:val="center"/>
                </w:tcPr>
                <w:p w14:paraId="31AF0C5B">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471" w:type="pct"/>
                  <w:tcBorders>
                    <w:tl2br w:val="nil"/>
                    <w:tr2bl w:val="nil"/>
                  </w:tcBorders>
                  <w:vAlign w:val="center"/>
                </w:tcPr>
                <w:p w14:paraId="69EFF4FE">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0.03</w:t>
                  </w:r>
                  <w:r>
                    <w:rPr>
                      <w:rFonts w:hint="eastAsia" w:eastAsia="仿宋" w:cs="Times New Roman"/>
                      <w:bCs/>
                      <w:szCs w:val="21"/>
                      <w:lang w:val="en-US" w:eastAsia="zh-CN"/>
                    </w:rPr>
                    <w:t>1</w:t>
                  </w:r>
                </w:p>
              </w:tc>
              <w:tc>
                <w:tcPr>
                  <w:tcW w:w="531" w:type="pct"/>
                  <w:tcBorders>
                    <w:tl2br w:val="nil"/>
                    <w:tr2bl w:val="nil"/>
                  </w:tcBorders>
                  <w:vAlign w:val="center"/>
                </w:tcPr>
                <w:p w14:paraId="66F75C32">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636" w:type="pct"/>
                  <w:tcBorders>
                    <w:tl2br w:val="nil"/>
                    <w:tr2bl w:val="nil"/>
                  </w:tcBorders>
                  <w:vAlign w:val="center"/>
                </w:tcPr>
                <w:p w14:paraId="59059191">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0.03</w:t>
                  </w:r>
                  <w:r>
                    <w:rPr>
                      <w:rFonts w:hint="eastAsia" w:eastAsia="仿宋" w:cs="Times New Roman"/>
                      <w:bCs/>
                      <w:szCs w:val="21"/>
                      <w:lang w:val="en-US" w:eastAsia="zh-CN"/>
                    </w:rPr>
                    <w:t>1</w:t>
                  </w:r>
                </w:p>
              </w:tc>
              <w:tc>
                <w:tcPr>
                  <w:tcW w:w="531" w:type="pct"/>
                  <w:tcBorders>
                    <w:tl2br w:val="nil"/>
                    <w:tr2bl w:val="nil"/>
                  </w:tcBorders>
                  <w:vAlign w:val="center"/>
                </w:tcPr>
                <w:p w14:paraId="21086516">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w:t>
                  </w:r>
                  <w:r>
                    <w:rPr>
                      <w:rFonts w:hint="eastAsia" w:ascii="Times New Roman" w:hAnsi="Times New Roman" w:eastAsia="仿宋" w:cs="Times New Roman"/>
                      <w:bCs/>
                      <w:szCs w:val="21"/>
                      <w:lang w:val="en-US" w:eastAsia="zh-CN"/>
                    </w:rPr>
                    <w:t>0.03</w:t>
                  </w:r>
                  <w:r>
                    <w:rPr>
                      <w:rFonts w:hint="eastAsia" w:eastAsia="仿宋" w:cs="Times New Roman"/>
                      <w:bCs/>
                      <w:szCs w:val="21"/>
                      <w:lang w:val="en-US" w:eastAsia="zh-CN"/>
                    </w:rPr>
                    <w:t>1</w:t>
                  </w:r>
                </w:p>
              </w:tc>
              <w:tc>
                <w:tcPr>
                  <w:tcW w:w="535" w:type="pct"/>
                  <w:tcBorders>
                    <w:tl2br w:val="nil"/>
                    <w:tr2bl w:val="nil"/>
                  </w:tcBorders>
                  <w:vAlign w:val="center"/>
                </w:tcPr>
                <w:p w14:paraId="2A998B9E">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0.03</w:t>
                  </w:r>
                  <w:r>
                    <w:rPr>
                      <w:rFonts w:hint="eastAsia" w:eastAsia="仿宋" w:cs="Times New Roman"/>
                      <w:bCs/>
                      <w:szCs w:val="21"/>
                      <w:lang w:val="en-US" w:eastAsia="zh-CN"/>
                    </w:rPr>
                    <w:t>1</w:t>
                  </w:r>
                </w:p>
              </w:tc>
            </w:tr>
            <w:tr w14:paraId="5F050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145" w:type="pct"/>
                  <w:vMerge w:val="continue"/>
                  <w:tcBorders>
                    <w:tl2br w:val="nil"/>
                    <w:tr2bl w:val="nil"/>
                  </w:tcBorders>
                  <w:vAlign w:val="center"/>
                </w:tcPr>
                <w:p w14:paraId="5301559B">
                  <w:pPr>
                    <w:jc w:val="center"/>
                    <w:rPr>
                      <w:rFonts w:eastAsia="仿宋"/>
                      <w:szCs w:val="21"/>
                    </w:rPr>
                  </w:pPr>
                </w:p>
              </w:tc>
              <w:tc>
                <w:tcPr>
                  <w:tcW w:w="201" w:type="pct"/>
                  <w:vMerge w:val="continue"/>
                  <w:tcBorders>
                    <w:tl2br w:val="nil"/>
                    <w:tr2bl w:val="nil"/>
                  </w:tcBorders>
                  <w:vAlign w:val="center"/>
                </w:tcPr>
                <w:p w14:paraId="7219CD6D">
                  <w:pPr>
                    <w:jc w:val="center"/>
                    <w:rPr>
                      <w:rFonts w:hint="eastAsia" w:eastAsia="仿宋"/>
                      <w:szCs w:val="21"/>
                    </w:rPr>
                  </w:pPr>
                </w:p>
              </w:tc>
              <w:tc>
                <w:tcPr>
                  <w:tcW w:w="546" w:type="pct"/>
                  <w:tcBorders>
                    <w:tl2br w:val="nil"/>
                    <w:tr2bl w:val="nil"/>
                  </w:tcBorders>
                  <w:vAlign w:val="center"/>
                </w:tcPr>
                <w:p w14:paraId="08222F55">
                  <w:pPr>
                    <w:jc w:val="center"/>
                    <w:rPr>
                      <w:rFonts w:hint="eastAsia" w:eastAsia="仿宋"/>
                      <w:szCs w:val="21"/>
                    </w:rPr>
                  </w:pPr>
                  <w:r>
                    <w:rPr>
                      <w:rFonts w:hint="eastAsia" w:eastAsia="仿宋"/>
                      <w:szCs w:val="21"/>
                    </w:rPr>
                    <w:t>颗粒物</w:t>
                  </w:r>
                </w:p>
              </w:tc>
              <w:tc>
                <w:tcPr>
                  <w:tcW w:w="467" w:type="pct"/>
                  <w:tcBorders>
                    <w:tl2br w:val="nil"/>
                    <w:tr2bl w:val="nil"/>
                  </w:tcBorders>
                  <w:vAlign w:val="center"/>
                </w:tcPr>
                <w:p w14:paraId="042C47F2">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143" w:type="dxa"/>
                  <w:tcBorders>
                    <w:tl2br w:val="nil"/>
                    <w:tr2bl w:val="nil"/>
                  </w:tcBorders>
                  <w:vAlign w:val="center"/>
                </w:tcPr>
                <w:p w14:paraId="28F2F8E6">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0.008</w:t>
                  </w:r>
                </w:p>
              </w:tc>
              <w:tc>
                <w:tcPr>
                  <w:tcW w:w="1143" w:type="dxa"/>
                  <w:tcBorders>
                    <w:tl2br w:val="nil"/>
                    <w:tr2bl w:val="nil"/>
                  </w:tcBorders>
                  <w:vAlign w:val="center"/>
                </w:tcPr>
                <w:p w14:paraId="72ACEE87">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w:t>
                  </w:r>
                </w:p>
              </w:tc>
              <w:tc>
                <w:tcPr>
                  <w:tcW w:w="1153" w:type="dxa"/>
                  <w:tcBorders>
                    <w:tl2br w:val="nil"/>
                    <w:tr2bl w:val="nil"/>
                  </w:tcBorders>
                  <w:vAlign w:val="center"/>
                </w:tcPr>
                <w:p w14:paraId="4E3E776F">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0.008</w:t>
                  </w:r>
                </w:p>
              </w:tc>
              <w:tc>
                <w:tcPr>
                  <w:tcW w:w="1300" w:type="dxa"/>
                  <w:tcBorders>
                    <w:tl2br w:val="nil"/>
                    <w:tr2bl w:val="nil"/>
                  </w:tcBorders>
                  <w:vAlign w:val="center"/>
                </w:tcPr>
                <w:p w14:paraId="046B8D63">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1557" w:type="dxa"/>
                  <w:tcBorders>
                    <w:tl2br w:val="nil"/>
                    <w:tr2bl w:val="nil"/>
                  </w:tcBorders>
                  <w:vAlign w:val="center"/>
                </w:tcPr>
                <w:p w14:paraId="6A9BA8DC">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0.008</w:t>
                  </w:r>
                </w:p>
              </w:tc>
              <w:tc>
                <w:tcPr>
                  <w:tcW w:w="1300" w:type="dxa"/>
                  <w:tcBorders>
                    <w:tl2br w:val="nil"/>
                    <w:tr2bl w:val="nil"/>
                  </w:tcBorders>
                  <w:vAlign w:val="center"/>
                </w:tcPr>
                <w:p w14:paraId="5D0EB9A1">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+0.008</w:t>
                  </w:r>
                </w:p>
              </w:tc>
              <w:tc>
                <w:tcPr>
                  <w:tcW w:w="1309" w:type="dxa"/>
                  <w:tcBorders>
                    <w:tl2br w:val="nil"/>
                    <w:tr2bl w:val="nil"/>
                  </w:tcBorders>
                  <w:vAlign w:val="center"/>
                </w:tcPr>
                <w:p w14:paraId="3FBDBF1A">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0.008</w:t>
                  </w:r>
                </w:p>
              </w:tc>
            </w:tr>
            <w:tr w14:paraId="185D1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145" w:type="pct"/>
                  <w:vMerge w:val="continue"/>
                  <w:tcBorders>
                    <w:tl2br w:val="nil"/>
                    <w:tr2bl w:val="nil"/>
                  </w:tcBorders>
                  <w:vAlign w:val="center"/>
                </w:tcPr>
                <w:p w14:paraId="40B6F28E">
                  <w:pPr>
                    <w:jc w:val="center"/>
                    <w:rPr>
                      <w:rFonts w:eastAsia="仿宋"/>
                      <w:szCs w:val="21"/>
                    </w:rPr>
                  </w:pPr>
                </w:p>
              </w:tc>
              <w:tc>
                <w:tcPr>
                  <w:tcW w:w="201" w:type="pct"/>
                  <w:vMerge w:val="restart"/>
                  <w:tcBorders>
                    <w:tl2br w:val="nil"/>
                    <w:tr2bl w:val="nil"/>
                  </w:tcBorders>
                  <w:vAlign w:val="center"/>
                </w:tcPr>
                <w:p w14:paraId="64A7576D">
                  <w:pPr>
                    <w:jc w:val="center"/>
                    <w:rPr>
                      <w:rFonts w:eastAsia="仿宋"/>
                      <w:szCs w:val="21"/>
                    </w:rPr>
                  </w:pPr>
                  <w:r>
                    <w:rPr>
                      <w:rFonts w:hint="eastAsia" w:eastAsia="仿宋"/>
                      <w:szCs w:val="21"/>
                    </w:rPr>
                    <w:t>合计</w:t>
                  </w:r>
                </w:p>
              </w:tc>
              <w:tc>
                <w:tcPr>
                  <w:tcW w:w="546" w:type="pct"/>
                  <w:tcBorders>
                    <w:tl2br w:val="nil"/>
                    <w:tr2bl w:val="nil"/>
                  </w:tcBorders>
                  <w:vAlign w:val="center"/>
                </w:tcPr>
                <w:p w14:paraId="13654A99">
                  <w:pPr>
                    <w:jc w:val="center"/>
                    <w:rPr>
                      <w:rFonts w:eastAsia="仿宋"/>
                      <w:szCs w:val="21"/>
                    </w:rPr>
                  </w:pPr>
                  <w:r>
                    <w:rPr>
                      <w:rFonts w:hint="eastAsia" w:eastAsia="仿宋"/>
                      <w:szCs w:val="21"/>
                    </w:rPr>
                    <w:t>VOCs（以非甲烷总烃计）</w:t>
                  </w:r>
                </w:p>
              </w:tc>
              <w:tc>
                <w:tcPr>
                  <w:tcW w:w="467" w:type="pct"/>
                  <w:tcBorders>
                    <w:tl2br w:val="nil"/>
                    <w:tr2bl w:val="nil"/>
                  </w:tcBorders>
                  <w:vAlign w:val="center"/>
                </w:tcPr>
                <w:p w14:paraId="4C2C0B61">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0.425</w:t>
                  </w:r>
                </w:p>
              </w:tc>
              <w:tc>
                <w:tcPr>
                  <w:tcW w:w="467" w:type="pct"/>
                  <w:tcBorders>
                    <w:tl2br w:val="nil"/>
                    <w:tr2bl w:val="nil"/>
                  </w:tcBorders>
                  <w:vAlign w:val="center"/>
                </w:tcPr>
                <w:p w14:paraId="0A158C43">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0.3</w:t>
                  </w:r>
                  <w:r>
                    <w:rPr>
                      <w:rFonts w:hint="eastAsia" w:eastAsia="仿宋" w:cs="Times New Roman"/>
                      <w:bCs/>
                      <w:szCs w:val="21"/>
                      <w:lang w:val="en-US" w:eastAsia="zh-CN"/>
                    </w:rPr>
                    <w:t>56</w:t>
                  </w:r>
                </w:p>
              </w:tc>
              <w:tc>
                <w:tcPr>
                  <w:tcW w:w="467" w:type="pct"/>
                  <w:tcBorders>
                    <w:tl2br w:val="nil"/>
                    <w:tr2bl w:val="nil"/>
                  </w:tcBorders>
                  <w:vAlign w:val="center"/>
                </w:tcPr>
                <w:p w14:paraId="37E7A07E">
                  <w:pPr>
                    <w:widowControl/>
                    <w:jc w:val="center"/>
                    <w:textAlignment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0.2</w:t>
                  </w:r>
                  <w:r>
                    <w:rPr>
                      <w:rFonts w:hint="eastAsia" w:eastAsia="仿宋" w:cs="Times New Roman"/>
                      <w:bCs/>
                      <w:szCs w:val="21"/>
                      <w:lang w:val="en-US" w:eastAsia="zh-CN"/>
                    </w:rPr>
                    <w:t>92</w:t>
                  </w:r>
                </w:p>
              </w:tc>
              <w:tc>
                <w:tcPr>
                  <w:tcW w:w="471" w:type="pct"/>
                  <w:tcBorders>
                    <w:tl2br w:val="nil"/>
                    <w:tr2bl w:val="nil"/>
                  </w:tcBorders>
                  <w:vAlign w:val="center"/>
                </w:tcPr>
                <w:p w14:paraId="49EEF305">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0.064</w:t>
                  </w:r>
                </w:p>
              </w:tc>
              <w:tc>
                <w:tcPr>
                  <w:tcW w:w="531" w:type="pct"/>
                  <w:tcBorders>
                    <w:tl2br w:val="nil"/>
                    <w:tr2bl w:val="nil"/>
                  </w:tcBorders>
                  <w:vAlign w:val="center"/>
                </w:tcPr>
                <w:p w14:paraId="65EC3F74">
                  <w:pPr>
                    <w:widowControl/>
                    <w:jc w:val="center"/>
                    <w:textAlignment w:val="center"/>
                    <w:rPr>
                      <w:rFonts w:hint="default" w:ascii="Times New Roman" w:hAnsi="Times New Roman" w:eastAsia="仿宋" w:cs="Times New Roman"/>
                      <w:bCs/>
                      <w:szCs w:val="21"/>
                      <w:lang w:val="en-US" w:eastAsia="zh-CN"/>
                    </w:rPr>
                  </w:pPr>
                  <w:r>
                    <w:rPr>
                      <w:rFonts w:hint="default" w:ascii="Times New Roman" w:hAnsi="Times New Roman" w:eastAsia="仿宋" w:cs="Times New Roman"/>
                      <w:bCs/>
                      <w:szCs w:val="21"/>
                      <w:lang w:val="en-US" w:eastAsia="zh-CN"/>
                    </w:rPr>
                    <w:t>0</w:t>
                  </w:r>
                </w:p>
              </w:tc>
              <w:tc>
                <w:tcPr>
                  <w:tcW w:w="636" w:type="pct"/>
                  <w:tcBorders>
                    <w:tl2br w:val="nil"/>
                    <w:tr2bl w:val="nil"/>
                  </w:tcBorders>
                  <w:vAlign w:val="center"/>
                </w:tcPr>
                <w:p w14:paraId="7338EDE2">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0.48</w:t>
                  </w:r>
                  <w:r>
                    <w:rPr>
                      <w:rFonts w:hint="eastAsia" w:eastAsia="仿宋" w:cs="Times New Roman"/>
                      <w:bCs/>
                      <w:szCs w:val="21"/>
                      <w:lang w:val="en-US" w:eastAsia="zh-CN"/>
                    </w:rPr>
                    <w:t>9</w:t>
                  </w:r>
                </w:p>
              </w:tc>
              <w:tc>
                <w:tcPr>
                  <w:tcW w:w="531" w:type="pct"/>
                  <w:tcBorders>
                    <w:tl2br w:val="nil"/>
                    <w:tr2bl w:val="nil"/>
                  </w:tcBorders>
                  <w:vAlign w:val="center"/>
                </w:tcPr>
                <w:p w14:paraId="4117BBB2">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w:t>
                  </w:r>
                  <w:r>
                    <w:rPr>
                      <w:rFonts w:hint="eastAsia" w:ascii="Times New Roman" w:hAnsi="Times New Roman" w:eastAsia="仿宋" w:cs="Times New Roman"/>
                      <w:bCs/>
                      <w:szCs w:val="21"/>
                      <w:lang w:val="en-US" w:eastAsia="zh-CN"/>
                    </w:rPr>
                    <w:t>0.064</w:t>
                  </w:r>
                </w:p>
              </w:tc>
              <w:tc>
                <w:tcPr>
                  <w:tcW w:w="535" w:type="pct"/>
                  <w:tcBorders>
                    <w:tl2br w:val="nil"/>
                    <w:tr2bl w:val="nil"/>
                  </w:tcBorders>
                  <w:vAlign w:val="center"/>
                </w:tcPr>
                <w:p w14:paraId="583B0B4C">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0.48</w:t>
                  </w:r>
                  <w:r>
                    <w:rPr>
                      <w:rFonts w:hint="eastAsia" w:eastAsia="仿宋" w:cs="Times New Roman"/>
                      <w:bCs/>
                      <w:szCs w:val="21"/>
                      <w:lang w:val="en-US" w:eastAsia="zh-CN"/>
                    </w:rPr>
                    <w:t>9</w:t>
                  </w:r>
                </w:p>
              </w:tc>
            </w:tr>
            <w:tr w14:paraId="51825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145" w:type="pct"/>
                  <w:vMerge w:val="continue"/>
                  <w:tcBorders>
                    <w:tl2br w:val="nil"/>
                    <w:tr2bl w:val="nil"/>
                  </w:tcBorders>
                  <w:vAlign w:val="center"/>
                </w:tcPr>
                <w:p w14:paraId="074C12D1">
                  <w:pPr>
                    <w:jc w:val="center"/>
                    <w:rPr>
                      <w:rFonts w:eastAsia="仿宋"/>
                      <w:szCs w:val="21"/>
                    </w:rPr>
                  </w:pPr>
                </w:p>
              </w:tc>
              <w:tc>
                <w:tcPr>
                  <w:tcW w:w="201" w:type="pct"/>
                  <w:vMerge w:val="continue"/>
                  <w:tcBorders>
                    <w:tl2br w:val="nil"/>
                    <w:tr2bl w:val="nil"/>
                  </w:tcBorders>
                  <w:vAlign w:val="center"/>
                </w:tcPr>
                <w:p w14:paraId="2AEF7E4F">
                  <w:pPr>
                    <w:jc w:val="center"/>
                    <w:rPr>
                      <w:rFonts w:eastAsia="仿宋"/>
                      <w:szCs w:val="21"/>
                    </w:rPr>
                  </w:pPr>
                </w:p>
              </w:tc>
              <w:tc>
                <w:tcPr>
                  <w:tcW w:w="546" w:type="pct"/>
                  <w:tcBorders>
                    <w:tl2br w:val="nil"/>
                    <w:tr2bl w:val="nil"/>
                  </w:tcBorders>
                  <w:vAlign w:val="center"/>
                </w:tcPr>
                <w:p w14:paraId="1F4DAF1D">
                  <w:pPr>
                    <w:jc w:val="center"/>
                    <w:rPr>
                      <w:rFonts w:eastAsia="仿宋"/>
                      <w:szCs w:val="21"/>
                    </w:rPr>
                  </w:pPr>
                  <w:r>
                    <w:rPr>
                      <w:rFonts w:hint="eastAsia" w:eastAsia="仿宋"/>
                      <w:szCs w:val="21"/>
                    </w:rPr>
                    <w:t>颗粒物</w:t>
                  </w:r>
                </w:p>
              </w:tc>
              <w:tc>
                <w:tcPr>
                  <w:tcW w:w="467" w:type="pct"/>
                  <w:tcBorders>
                    <w:tl2br w:val="nil"/>
                    <w:tr2bl w:val="nil"/>
                  </w:tcBorders>
                  <w:vAlign w:val="center"/>
                </w:tcPr>
                <w:p w14:paraId="5E76457F">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0.144</w:t>
                  </w:r>
                </w:p>
              </w:tc>
              <w:tc>
                <w:tcPr>
                  <w:tcW w:w="1143" w:type="dxa"/>
                  <w:tcBorders>
                    <w:tl2br w:val="nil"/>
                    <w:tr2bl w:val="nil"/>
                  </w:tcBorders>
                  <w:vAlign w:val="center"/>
                </w:tcPr>
                <w:p w14:paraId="64C574B7">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0.8</w:t>
                  </w:r>
                </w:p>
              </w:tc>
              <w:tc>
                <w:tcPr>
                  <w:tcW w:w="1143" w:type="dxa"/>
                  <w:tcBorders>
                    <w:tl2br w:val="nil"/>
                    <w:tr2bl w:val="nil"/>
                  </w:tcBorders>
                  <w:vAlign w:val="center"/>
                </w:tcPr>
                <w:p w14:paraId="31E0B796">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0.746</w:t>
                  </w:r>
                </w:p>
              </w:tc>
              <w:tc>
                <w:tcPr>
                  <w:tcW w:w="1153" w:type="dxa"/>
                  <w:tcBorders>
                    <w:tl2br w:val="nil"/>
                    <w:tr2bl w:val="nil"/>
                  </w:tcBorders>
                  <w:vAlign w:val="center"/>
                </w:tcPr>
                <w:p w14:paraId="774C819E">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0.054</w:t>
                  </w:r>
                </w:p>
              </w:tc>
              <w:tc>
                <w:tcPr>
                  <w:tcW w:w="1300" w:type="dxa"/>
                  <w:tcBorders>
                    <w:tl2br w:val="nil"/>
                    <w:tr2bl w:val="nil"/>
                  </w:tcBorders>
                  <w:vAlign w:val="center"/>
                </w:tcPr>
                <w:p w14:paraId="6D47434C">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1557" w:type="dxa"/>
                  <w:tcBorders>
                    <w:tl2br w:val="nil"/>
                    <w:tr2bl w:val="nil"/>
                  </w:tcBorders>
                  <w:vAlign w:val="center"/>
                </w:tcPr>
                <w:p w14:paraId="5031D5D3">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0.198</w:t>
                  </w:r>
                </w:p>
              </w:tc>
              <w:tc>
                <w:tcPr>
                  <w:tcW w:w="1300" w:type="dxa"/>
                  <w:tcBorders>
                    <w:tl2br w:val="nil"/>
                    <w:tr2bl w:val="nil"/>
                  </w:tcBorders>
                  <w:vAlign w:val="center"/>
                </w:tcPr>
                <w:p w14:paraId="7C7AAFC3">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+0.054</w:t>
                  </w:r>
                </w:p>
              </w:tc>
              <w:tc>
                <w:tcPr>
                  <w:tcW w:w="1309" w:type="dxa"/>
                  <w:tcBorders>
                    <w:tl2br w:val="nil"/>
                    <w:tr2bl w:val="nil"/>
                  </w:tcBorders>
                  <w:vAlign w:val="center"/>
                </w:tcPr>
                <w:p w14:paraId="58205E02">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0.198</w:t>
                  </w:r>
                </w:p>
              </w:tc>
            </w:tr>
            <w:tr w14:paraId="4053A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46" w:type="pct"/>
                  <w:gridSpan w:val="2"/>
                  <w:vMerge w:val="restart"/>
                  <w:tcBorders>
                    <w:tl2br w:val="nil"/>
                    <w:tr2bl w:val="nil"/>
                  </w:tcBorders>
                  <w:vAlign w:val="center"/>
                </w:tcPr>
                <w:p w14:paraId="45A0E8B6">
                  <w:pPr>
                    <w:jc w:val="center"/>
                    <w:rPr>
                      <w:rFonts w:eastAsia="仿宋"/>
                      <w:szCs w:val="21"/>
                    </w:rPr>
                  </w:pPr>
                  <w:r>
                    <w:rPr>
                      <w:rFonts w:eastAsia="仿宋"/>
                      <w:szCs w:val="21"/>
                    </w:rPr>
                    <w:t>固废</w:t>
                  </w:r>
                </w:p>
              </w:tc>
              <w:tc>
                <w:tcPr>
                  <w:tcW w:w="546" w:type="pct"/>
                  <w:tcBorders>
                    <w:tl2br w:val="nil"/>
                    <w:tr2bl w:val="nil"/>
                  </w:tcBorders>
                  <w:vAlign w:val="center"/>
                </w:tcPr>
                <w:p w14:paraId="0FF023BE">
                  <w:pPr>
                    <w:snapToGrid w:val="0"/>
                    <w:jc w:val="center"/>
                    <w:rPr>
                      <w:rFonts w:eastAsia="仿宋"/>
                      <w:szCs w:val="21"/>
                    </w:rPr>
                  </w:pPr>
                  <w:r>
                    <w:rPr>
                      <w:rFonts w:eastAsia="仿宋"/>
                      <w:szCs w:val="21"/>
                    </w:rPr>
                    <w:t>一般工业固废</w:t>
                  </w:r>
                </w:p>
              </w:tc>
              <w:tc>
                <w:tcPr>
                  <w:tcW w:w="467" w:type="pct"/>
                  <w:tcBorders>
                    <w:tl2br w:val="nil"/>
                    <w:tr2bl w:val="nil"/>
                  </w:tcBorders>
                  <w:vAlign w:val="center"/>
                </w:tcPr>
                <w:p w14:paraId="4AAD817D">
                  <w:pPr>
                    <w:widowControl/>
                    <w:jc w:val="center"/>
                    <w:textAlignment w:val="center"/>
                    <w:rPr>
                      <w:rFonts w:hint="eastAsia" w:ascii="Times New Roman" w:hAnsi="Times New Roman" w:eastAsia="仿宋" w:cs="Times New Roman"/>
                      <w:bCs/>
                      <w:szCs w:val="21"/>
                      <w:highlight w:val="yellow"/>
                      <w:lang w:val="en-US" w:eastAsia="zh-CN"/>
                    </w:rPr>
                  </w:pPr>
                  <w:r>
                    <w:rPr>
                      <w:rFonts w:hint="eastAsia" w:ascii="Times New Roman" w:hAnsi="Times New Roman" w:eastAsia="仿宋" w:cs="Times New Roman"/>
                      <w:bCs/>
                      <w:szCs w:val="21"/>
                      <w:lang w:val="en-US" w:eastAsia="zh-CN"/>
                    </w:rPr>
                    <w:t>0</w:t>
                  </w:r>
                </w:p>
              </w:tc>
              <w:tc>
                <w:tcPr>
                  <w:tcW w:w="467" w:type="pct"/>
                  <w:tcBorders>
                    <w:tl2br w:val="nil"/>
                    <w:tr2bl w:val="nil"/>
                  </w:tcBorders>
                  <w:vAlign w:val="center"/>
                </w:tcPr>
                <w:p w14:paraId="1508EF58">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0.984</w:t>
                  </w:r>
                </w:p>
              </w:tc>
              <w:tc>
                <w:tcPr>
                  <w:tcW w:w="467" w:type="pct"/>
                  <w:tcBorders>
                    <w:tl2br w:val="nil"/>
                    <w:tr2bl w:val="nil"/>
                  </w:tcBorders>
                  <w:vAlign w:val="center"/>
                </w:tcPr>
                <w:p w14:paraId="07C3050F">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0.984</w:t>
                  </w:r>
                </w:p>
              </w:tc>
              <w:tc>
                <w:tcPr>
                  <w:tcW w:w="471" w:type="pct"/>
                  <w:tcBorders>
                    <w:tl2br w:val="nil"/>
                    <w:tr2bl w:val="nil"/>
                  </w:tcBorders>
                  <w:vAlign w:val="center"/>
                </w:tcPr>
                <w:p w14:paraId="5916C423">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531" w:type="pct"/>
                  <w:tcBorders>
                    <w:tl2br w:val="nil"/>
                    <w:tr2bl w:val="nil"/>
                  </w:tcBorders>
                  <w:vAlign w:val="center"/>
                </w:tcPr>
                <w:p w14:paraId="4D228801">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636" w:type="pct"/>
                  <w:tcBorders>
                    <w:tl2br w:val="nil"/>
                    <w:tr2bl w:val="nil"/>
                  </w:tcBorders>
                  <w:vAlign w:val="center"/>
                </w:tcPr>
                <w:p w14:paraId="70AD8928">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531" w:type="pct"/>
                  <w:tcBorders>
                    <w:tl2br w:val="nil"/>
                    <w:tr2bl w:val="nil"/>
                  </w:tcBorders>
                  <w:vAlign w:val="center"/>
                </w:tcPr>
                <w:p w14:paraId="772CFAC1">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535" w:type="pct"/>
                  <w:tcBorders>
                    <w:tl2br w:val="nil"/>
                    <w:tr2bl w:val="nil"/>
                  </w:tcBorders>
                  <w:vAlign w:val="center"/>
                </w:tcPr>
                <w:p w14:paraId="3D2953BA">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r>
            <w:tr w14:paraId="1D8E4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46" w:type="pct"/>
                  <w:gridSpan w:val="2"/>
                  <w:vMerge w:val="continue"/>
                  <w:tcBorders>
                    <w:tl2br w:val="nil"/>
                    <w:tr2bl w:val="nil"/>
                  </w:tcBorders>
                  <w:vAlign w:val="center"/>
                </w:tcPr>
                <w:p w14:paraId="0D5C4AAD">
                  <w:pPr>
                    <w:jc w:val="center"/>
                    <w:rPr>
                      <w:rFonts w:eastAsia="仿宋"/>
                      <w:szCs w:val="21"/>
                    </w:rPr>
                  </w:pPr>
                </w:p>
              </w:tc>
              <w:tc>
                <w:tcPr>
                  <w:tcW w:w="546" w:type="pct"/>
                  <w:tcBorders>
                    <w:tl2br w:val="nil"/>
                    <w:tr2bl w:val="nil"/>
                  </w:tcBorders>
                  <w:vAlign w:val="center"/>
                </w:tcPr>
                <w:p w14:paraId="5FB2B55F">
                  <w:pPr>
                    <w:snapToGrid w:val="0"/>
                    <w:jc w:val="center"/>
                    <w:rPr>
                      <w:rFonts w:eastAsia="仿宋"/>
                      <w:szCs w:val="21"/>
                    </w:rPr>
                  </w:pPr>
                  <w:r>
                    <w:rPr>
                      <w:rFonts w:eastAsia="仿宋"/>
                      <w:szCs w:val="21"/>
                    </w:rPr>
                    <w:t>危险固废</w:t>
                  </w:r>
                </w:p>
              </w:tc>
              <w:tc>
                <w:tcPr>
                  <w:tcW w:w="467" w:type="pct"/>
                  <w:tcBorders>
                    <w:tl2br w:val="nil"/>
                    <w:tr2bl w:val="nil"/>
                  </w:tcBorders>
                  <w:vAlign w:val="center"/>
                </w:tcPr>
                <w:p w14:paraId="333FF0D0">
                  <w:pPr>
                    <w:widowControl/>
                    <w:jc w:val="center"/>
                    <w:textAlignment w:val="center"/>
                    <w:rPr>
                      <w:rFonts w:hint="eastAsia" w:ascii="Times New Roman" w:hAnsi="Times New Roman" w:eastAsia="仿宋" w:cs="Times New Roman"/>
                      <w:bCs/>
                      <w:szCs w:val="21"/>
                      <w:highlight w:val="yellow"/>
                      <w:lang w:val="en-US" w:eastAsia="zh-CN"/>
                    </w:rPr>
                  </w:pPr>
                  <w:r>
                    <w:rPr>
                      <w:rFonts w:hint="eastAsia" w:ascii="Times New Roman" w:hAnsi="Times New Roman" w:eastAsia="仿宋" w:cs="Times New Roman"/>
                      <w:bCs/>
                      <w:szCs w:val="21"/>
                      <w:lang w:val="en-US" w:eastAsia="zh-CN"/>
                    </w:rPr>
                    <w:t>0</w:t>
                  </w:r>
                </w:p>
              </w:tc>
              <w:tc>
                <w:tcPr>
                  <w:tcW w:w="467" w:type="pct"/>
                  <w:tcBorders>
                    <w:tl2br w:val="nil"/>
                    <w:tr2bl w:val="nil"/>
                  </w:tcBorders>
                  <w:vAlign w:val="center"/>
                </w:tcPr>
                <w:p w14:paraId="7C26B949">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3.702</w:t>
                  </w:r>
                </w:p>
              </w:tc>
              <w:tc>
                <w:tcPr>
                  <w:tcW w:w="467" w:type="pct"/>
                  <w:tcBorders>
                    <w:tl2br w:val="nil"/>
                    <w:tr2bl w:val="nil"/>
                  </w:tcBorders>
                  <w:vAlign w:val="center"/>
                </w:tcPr>
                <w:p w14:paraId="404A3EA5">
                  <w:pPr>
                    <w:widowControl/>
                    <w:jc w:val="center"/>
                    <w:textAlignment w:val="center"/>
                    <w:rPr>
                      <w:rFonts w:hint="default" w:ascii="Times New Roman" w:hAnsi="Times New Roman" w:eastAsia="仿宋" w:cs="Times New Roman"/>
                      <w:bCs/>
                      <w:szCs w:val="21"/>
                      <w:lang w:val="en-US" w:eastAsia="zh-CN"/>
                    </w:rPr>
                  </w:pPr>
                  <w:r>
                    <w:rPr>
                      <w:rFonts w:hint="eastAsia" w:eastAsia="仿宋" w:cs="Times New Roman"/>
                      <w:bCs/>
                      <w:szCs w:val="21"/>
                      <w:lang w:val="en-US" w:eastAsia="zh-CN"/>
                    </w:rPr>
                    <w:t>3.702</w:t>
                  </w:r>
                </w:p>
              </w:tc>
              <w:tc>
                <w:tcPr>
                  <w:tcW w:w="471" w:type="pct"/>
                  <w:tcBorders>
                    <w:tl2br w:val="nil"/>
                    <w:tr2bl w:val="nil"/>
                  </w:tcBorders>
                  <w:vAlign w:val="center"/>
                </w:tcPr>
                <w:p w14:paraId="078FB5FA">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531" w:type="pct"/>
                  <w:tcBorders>
                    <w:tl2br w:val="nil"/>
                    <w:tr2bl w:val="nil"/>
                  </w:tcBorders>
                  <w:vAlign w:val="center"/>
                </w:tcPr>
                <w:p w14:paraId="3B7B1679">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636" w:type="pct"/>
                  <w:tcBorders>
                    <w:tl2br w:val="nil"/>
                    <w:tr2bl w:val="nil"/>
                  </w:tcBorders>
                  <w:vAlign w:val="center"/>
                </w:tcPr>
                <w:p w14:paraId="0450C7C0">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531" w:type="pct"/>
                  <w:tcBorders>
                    <w:tl2br w:val="nil"/>
                    <w:tr2bl w:val="nil"/>
                  </w:tcBorders>
                  <w:vAlign w:val="center"/>
                </w:tcPr>
                <w:p w14:paraId="647EE8D3">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535" w:type="pct"/>
                  <w:tcBorders>
                    <w:tl2br w:val="nil"/>
                    <w:tr2bl w:val="nil"/>
                  </w:tcBorders>
                  <w:vAlign w:val="center"/>
                </w:tcPr>
                <w:p w14:paraId="2A8CB05A">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r>
            <w:tr w14:paraId="11F21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0" w:hRule="atLeast"/>
              </w:trPr>
              <w:tc>
                <w:tcPr>
                  <w:tcW w:w="346" w:type="pct"/>
                  <w:gridSpan w:val="2"/>
                  <w:vMerge w:val="continue"/>
                  <w:tcBorders>
                    <w:tl2br w:val="nil"/>
                    <w:tr2bl w:val="nil"/>
                  </w:tcBorders>
                  <w:vAlign w:val="center"/>
                </w:tcPr>
                <w:p w14:paraId="66F5209E">
                  <w:pPr>
                    <w:jc w:val="center"/>
                    <w:rPr>
                      <w:rFonts w:eastAsia="仿宋"/>
                      <w:szCs w:val="21"/>
                    </w:rPr>
                  </w:pPr>
                </w:p>
              </w:tc>
              <w:tc>
                <w:tcPr>
                  <w:tcW w:w="546" w:type="pct"/>
                  <w:tcBorders>
                    <w:tl2br w:val="nil"/>
                    <w:tr2bl w:val="nil"/>
                  </w:tcBorders>
                  <w:vAlign w:val="center"/>
                </w:tcPr>
                <w:p w14:paraId="3F521EBD">
                  <w:pPr>
                    <w:snapToGrid w:val="0"/>
                    <w:jc w:val="center"/>
                    <w:rPr>
                      <w:rFonts w:hint="eastAsia" w:eastAsia="仿宋"/>
                      <w:szCs w:val="21"/>
                      <w:lang w:val="en-US" w:eastAsia="zh-CN"/>
                    </w:rPr>
                  </w:pPr>
                  <w:r>
                    <w:rPr>
                      <w:rFonts w:hint="eastAsia" w:eastAsia="仿宋"/>
                      <w:szCs w:val="21"/>
                      <w:lang w:val="en-US" w:eastAsia="zh-CN"/>
                    </w:rPr>
                    <w:t>生活垃圾</w:t>
                  </w:r>
                </w:p>
              </w:tc>
              <w:tc>
                <w:tcPr>
                  <w:tcW w:w="467" w:type="pct"/>
                  <w:tcBorders>
                    <w:tl2br w:val="nil"/>
                    <w:tr2bl w:val="nil"/>
                  </w:tcBorders>
                  <w:vAlign w:val="center"/>
                </w:tcPr>
                <w:p w14:paraId="439C6F8A">
                  <w:pPr>
                    <w:widowControl/>
                    <w:jc w:val="center"/>
                    <w:textAlignment w:val="center"/>
                    <w:rPr>
                      <w:rFonts w:hint="eastAsia" w:ascii="Times New Roman" w:hAnsi="Times New Roman" w:eastAsia="仿宋" w:cs="Times New Roman"/>
                      <w:bCs/>
                      <w:szCs w:val="21"/>
                      <w:highlight w:val="yellow"/>
                      <w:lang w:val="en-US" w:eastAsia="zh-CN"/>
                    </w:rPr>
                  </w:pPr>
                  <w:r>
                    <w:rPr>
                      <w:rFonts w:hint="eastAsia" w:ascii="Times New Roman" w:hAnsi="Times New Roman" w:eastAsia="仿宋" w:cs="Times New Roman"/>
                      <w:bCs/>
                      <w:szCs w:val="21"/>
                      <w:lang w:val="en-US" w:eastAsia="zh-CN"/>
                    </w:rPr>
                    <w:t>0</w:t>
                  </w:r>
                </w:p>
              </w:tc>
              <w:tc>
                <w:tcPr>
                  <w:tcW w:w="467" w:type="pct"/>
                  <w:tcBorders>
                    <w:tl2br w:val="nil"/>
                    <w:tr2bl w:val="nil"/>
                  </w:tcBorders>
                  <w:vAlign w:val="center"/>
                </w:tcPr>
                <w:p w14:paraId="0E5D880D">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1.2</w:t>
                  </w:r>
                </w:p>
              </w:tc>
              <w:tc>
                <w:tcPr>
                  <w:tcW w:w="467" w:type="pct"/>
                  <w:tcBorders>
                    <w:tl2br w:val="nil"/>
                    <w:tr2bl w:val="nil"/>
                  </w:tcBorders>
                  <w:vAlign w:val="center"/>
                </w:tcPr>
                <w:p w14:paraId="4206278F">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1.2</w:t>
                  </w:r>
                </w:p>
              </w:tc>
              <w:tc>
                <w:tcPr>
                  <w:tcW w:w="471" w:type="pct"/>
                  <w:tcBorders>
                    <w:tl2br w:val="nil"/>
                    <w:tr2bl w:val="nil"/>
                  </w:tcBorders>
                  <w:vAlign w:val="center"/>
                </w:tcPr>
                <w:p w14:paraId="53250B07">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531" w:type="pct"/>
                  <w:tcBorders>
                    <w:tl2br w:val="nil"/>
                    <w:tr2bl w:val="nil"/>
                  </w:tcBorders>
                  <w:vAlign w:val="center"/>
                </w:tcPr>
                <w:p w14:paraId="5C12C415">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636" w:type="pct"/>
                  <w:tcBorders>
                    <w:tl2br w:val="nil"/>
                    <w:tr2bl w:val="nil"/>
                  </w:tcBorders>
                  <w:vAlign w:val="center"/>
                </w:tcPr>
                <w:p w14:paraId="230E4F63">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531" w:type="pct"/>
                  <w:tcBorders>
                    <w:tl2br w:val="nil"/>
                    <w:tr2bl w:val="nil"/>
                  </w:tcBorders>
                  <w:vAlign w:val="center"/>
                </w:tcPr>
                <w:p w14:paraId="7A8D4333">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c>
                <w:tcPr>
                  <w:tcW w:w="535" w:type="pct"/>
                  <w:tcBorders>
                    <w:tl2br w:val="nil"/>
                    <w:tr2bl w:val="nil"/>
                  </w:tcBorders>
                  <w:vAlign w:val="center"/>
                </w:tcPr>
                <w:p w14:paraId="22D07B1F">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w:t>
                  </w:r>
                </w:p>
              </w:tc>
            </w:tr>
          </w:tbl>
          <w:p w14:paraId="60E273C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仿宋" w:cs="Times New Roman"/>
                <w:bCs/>
                <w:color w:val="auto"/>
                <w:sz w:val="24"/>
                <w:highlight w:val="none"/>
                <w:lang w:eastAsia="zh-CN"/>
              </w:rPr>
            </w:pPr>
            <w:r>
              <w:rPr>
                <w:rFonts w:hint="default" w:ascii="Times New Roman" w:hAnsi="Times New Roman" w:eastAsia="仿宋" w:cs="Times New Roman"/>
                <w:b w:val="0"/>
                <w:bCs/>
                <w:color w:val="auto"/>
                <w:sz w:val="18"/>
                <w:szCs w:val="18"/>
                <w:highlight w:val="none"/>
              </w:rPr>
              <w:t>注：[1]为接管至常州金坛区第二污水处理有限公司的处理考核量；[2]为参照常州金坛区第二污水处理有限公司出水指标计算，作为该项目排入外环境的水污染物总量</w:t>
            </w:r>
            <w:r>
              <w:rPr>
                <w:rFonts w:hint="eastAsia" w:ascii="Times New Roman" w:hAnsi="Times New Roman" w:eastAsia="仿宋" w:cs="Times New Roman"/>
                <w:b w:val="0"/>
                <w:bCs/>
                <w:color w:val="auto"/>
                <w:sz w:val="18"/>
                <w:szCs w:val="18"/>
                <w:highlight w:val="none"/>
                <w:lang w:eastAsia="zh-CN"/>
              </w:rPr>
              <w:t>。</w:t>
            </w:r>
          </w:p>
          <w:p w14:paraId="45C4EA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2、总量平衡方案</w:t>
            </w:r>
          </w:p>
          <w:p w14:paraId="37F1B7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Times New Roman"/>
                <w:color w:val="auto"/>
                <w:sz w:val="24"/>
              </w:rPr>
            </w:pPr>
            <w:r>
              <w:rPr>
                <w:rFonts w:hint="default" w:ascii="Times New Roman" w:hAnsi="Times New Roman" w:eastAsia="仿宋" w:cs="Times New Roman"/>
                <w:bCs/>
                <w:color w:val="auto"/>
                <w:sz w:val="24"/>
              </w:rPr>
              <w:t>废气</w:t>
            </w:r>
            <w:r>
              <w:rPr>
                <w:rFonts w:hint="default" w:ascii="Times New Roman" w:hAnsi="Times New Roman" w:eastAsia="仿宋" w:cs="Times New Roman"/>
                <w:color w:val="auto"/>
                <w:sz w:val="24"/>
              </w:rPr>
              <w:t>：</w:t>
            </w:r>
            <w:r>
              <w:rPr>
                <w:rFonts w:hint="eastAsia" w:ascii="Times New Roman" w:hAnsi="Times New Roman" w:eastAsia="仿宋" w:cs="Times New Roman"/>
                <w:color w:val="auto"/>
                <w:sz w:val="24"/>
              </w:rPr>
              <w:t xml:space="preserve">《常州市建设项目主要污染物排放总量指标审核及管理实施细则》（常政办发 </w:t>
            </w:r>
            <w:r>
              <w:rPr>
                <w:rFonts w:hint="eastAsia" w:ascii="Times New Roman" w:hAnsi="Times New Roman" w:eastAsia="仿宋" w:cs="Times New Roman"/>
                <w:color w:val="auto"/>
                <w:sz w:val="24"/>
                <w:lang w:eastAsia="zh-CN"/>
              </w:rPr>
              <w:t>〔2015〕104号）</w:t>
            </w:r>
            <w:r>
              <w:rPr>
                <w:rFonts w:hint="eastAsia" w:ascii="Times New Roman" w:hAnsi="Times New Roman" w:eastAsia="仿宋" w:cs="Times New Roman"/>
                <w:color w:val="auto"/>
                <w:sz w:val="24"/>
              </w:rPr>
              <w:t>规定：“建设项目主要污染物排放总量指标按工程减排类项目2倍削减量替代或关闭类项目1.5倍削减量替代”。</w:t>
            </w:r>
          </w:p>
          <w:p w14:paraId="334CC5A8">
            <w:pPr>
              <w:adjustRightInd w:val="0"/>
              <w:snapToGrid w:val="0"/>
              <w:spacing w:line="360" w:lineRule="auto"/>
              <w:ind w:firstLine="480" w:firstLineChars="200"/>
              <w:rPr>
                <w:rFonts w:hint="eastAsia"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rPr>
              <w:t>本项目大气污染物总量控制因子为VOCs（以非甲烷总烃计）0.</w:t>
            </w:r>
            <w:r>
              <w:rPr>
                <w:rFonts w:hint="eastAsia" w:ascii="Times New Roman" w:hAnsi="Times New Roman" w:eastAsia="仿宋" w:cs="Times New Roman"/>
                <w:bCs/>
                <w:color w:val="auto"/>
                <w:sz w:val="24"/>
                <w:lang w:val="en-US" w:eastAsia="zh-CN"/>
              </w:rPr>
              <w:t>06</w:t>
            </w:r>
            <w:r>
              <w:rPr>
                <w:rFonts w:hint="eastAsia" w:eastAsia="仿宋" w:cs="Times New Roman"/>
                <w:bCs/>
                <w:color w:val="auto"/>
                <w:sz w:val="24"/>
                <w:lang w:val="en-US" w:eastAsia="zh-CN"/>
              </w:rPr>
              <w:t>4</w:t>
            </w:r>
            <w:r>
              <w:rPr>
                <w:rFonts w:hint="default" w:ascii="Times New Roman" w:hAnsi="Times New Roman" w:eastAsia="仿宋" w:cs="Times New Roman"/>
                <w:bCs/>
                <w:color w:val="auto"/>
                <w:sz w:val="24"/>
              </w:rPr>
              <w:t>t/a（有组织0.</w:t>
            </w:r>
            <w:r>
              <w:rPr>
                <w:rFonts w:hint="eastAsia" w:ascii="Times New Roman" w:hAnsi="Times New Roman" w:eastAsia="仿宋" w:cs="Times New Roman"/>
                <w:bCs/>
                <w:color w:val="auto"/>
                <w:sz w:val="24"/>
                <w:lang w:val="en-US" w:eastAsia="zh-CN"/>
              </w:rPr>
              <w:t>03</w:t>
            </w:r>
            <w:r>
              <w:rPr>
                <w:rFonts w:hint="eastAsia" w:eastAsia="仿宋" w:cs="Times New Roman"/>
                <w:bCs/>
                <w:color w:val="auto"/>
                <w:sz w:val="24"/>
                <w:lang w:val="en-US" w:eastAsia="zh-CN"/>
              </w:rPr>
              <w:t>3</w:t>
            </w:r>
            <w:r>
              <w:rPr>
                <w:rFonts w:hint="default" w:ascii="Times New Roman" w:hAnsi="Times New Roman" w:eastAsia="仿宋" w:cs="Times New Roman"/>
                <w:bCs/>
                <w:color w:val="auto"/>
                <w:sz w:val="24"/>
              </w:rPr>
              <w:t>t/a+无组织0.</w:t>
            </w:r>
            <w:r>
              <w:rPr>
                <w:rFonts w:hint="eastAsia" w:ascii="Times New Roman" w:hAnsi="Times New Roman" w:eastAsia="仿宋" w:cs="Times New Roman"/>
                <w:bCs/>
                <w:color w:val="auto"/>
                <w:sz w:val="24"/>
                <w:lang w:val="en-US" w:eastAsia="zh-CN"/>
              </w:rPr>
              <w:t>03</w:t>
            </w:r>
            <w:r>
              <w:rPr>
                <w:rFonts w:hint="eastAsia" w:eastAsia="仿宋" w:cs="Times New Roman"/>
                <w:bCs/>
                <w:color w:val="auto"/>
                <w:sz w:val="24"/>
                <w:lang w:val="en-US" w:eastAsia="zh-CN"/>
              </w:rPr>
              <w:t>1</w:t>
            </w:r>
            <w:r>
              <w:rPr>
                <w:rFonts w:hint="default" w:ascii="Times New Roman" w:hAnsi="Times New Roman" w:eastAsia="仿宋" w:cs="Times New Roman"/>
                <w:bCs/>
                <w:color w:val="auto"/>
                <w:sz w:val="24"/>
              </w:rPr>
              <w:t>t/a）、颗粒物</w:t>
            </w:r>
            <w:r>
              <w:rPr>
                <w:rFonts w:hint="eastAsia" w:ascii="Times New Roman" w:hAnsi="Times New Roman" w:eastAsia="仿宋" w:cs="Times New Roman"/>
                <w:bCs/>
                <w:color w:val="auto"/>
                <w:sz w:val="24"/>
                <w:lang w:val="en-US" w:eastAsia="zh-CN"/>
              </w:rPr>
              <w:t>0.0</w:t>
            </w:r>
            <w:r>
              <w:rPr>
                <w:rFonts w:hint="eastAsia" w:eastAsia="仿宋" w:cs="Times New Roman"/>
                <w:bCs/>
                <w:color w:val="auto"/>
                <w:sz w:val="24"/>
                <w:lang w:val="en-US" w:eastAsia="zh-CN"/>
              </w:rPr>
              <w:t>54</w:t>
            </w:r>
            <w:r>
              <w:rPr>
                <w:rFonts w:hint="default" w:ascii="Times New Roman" w:hAnsi="Times New Roman" w:eastAsia="仿宋" w:cs="Times New Roman"/>
                <w:bCs/>
                <w:color w:val="auto"/>
                <w:sz w:val="24"/>
              </w:rPr>
              <w:t>t/a（有组织</w:t>
            </w:r>
            <w:r>
              <w:rPr>
                <w:rFonts w:hint="eastAsia" w:ascii="Times New Roman" w:hAnsi="Times New Roman" w:eastAsia="仿宋" w:cs="Times New Roman"/>
                <w:bCs/>
                <w:color w:val="auto"/>
                <w:sz w:val="24"/>
                <w:lang w:val="en-US" w:eastAsia="zh-CN"/>
              </w:rPr>
              <w:t>0.0</w:t>
            </w:r>
            <w:r>
              <w:rPr>
                <w:rFonts w:hint="eastAsia" w:eastAsia="仿宋" w:cs="Times New Roman"/>
                <w:bCs/>
                <w:color w:val="auto"/>
                <w:sz w:val="24"/>
                <w:lang w:val="en-US" w:eastAsia="zh-CN"/>
              </w:rPr>
              <w:t>46</w:t>
            </w:r>
            <w:r>
              <w:rPr>
                <w:rFonts w:hint="default" w:ascii="Times New Roman" w:hAnsi="Times New Roman" w:eastAsia="仿宋" w:cs="Times New Roman"/>
                <w:bCs/>
                <w:color w:val="auto"/>
                <w:sz w:val="24"/>
              </w:rPr>
              <w:t>t/a+无组织</w:t>
            </w:r>
            <w:r>
              <w:rPr>
                <w:rFonts w:hint="eastAsia" w:ascii="Times New Roman" w:hAnsi="Times New Roman" w:eastAsia="仿宋" w:cs="Times New Roman"/>
                <w:bCs/>
                <w:color w:val="auto"/>
                <w:sz w:val="24"/>
                <w:lang w:val="en-US" w:eastAsia="zh-CN"/>
              </w:rPr>
              <w:t>0.0</w:t>
            </w:r>
            <w:r>
              <w:rPr>
                <w:rFonts w:hint="eastAsia" w:eastAsia="仿宋" w:cs="Times New Roman"/>
                <w:bCs/>
                <w:color w:val="auto"/>
                <w:sz w:val="24"/>
                <w:lang w:val="en-US" w:eastAsia="zh-CN"/>
              </w:rPr>
              <w:t>08</w:t>
            </w:r>
            <w:r>
              <w:rPr>
                <w:rFonts w:hint="default" w:ascii="Times New Roman" w:hAnsi="Times New Roman" w:eastAsia="仿宋" w:cs="Times New Roman"/>
                <w:bCs/>
                <w:color w:val="auto"/>
                <w:sz w:val="24"/>
              </w:rPr>
              <w:t>t/a），</w:t>
            </w:r>
            <w:r>
              <w:rPr>
                <w:rFonts w:hint="eastAsia" w:ascii="仿宋" w:hAnsi="仿宋" w:eastAsia="仿宋" w:cs="Times New Roman"/>
                <w:bCs/>
                <w:color w:val="auto"/>
                <w:spacing w:val="-6"/>
                <w:sz w:val="24"/>
              </w:rPr>
              <w:t>拟在</w:t>
            </w:r>
            <w:r>
              <w:rPr>
                <w:rFonts w:hint="eastAsia" w:ascii="仿宋" w:hAnsi="仿宋" w:eastAsia="仿宋" w:cs="Times New Roman"/>
                <w:bCs/>
                <w:color w:val="auto"/>
                <w:spacing w:val="-6"/>
                <w:sz w:val="24"/>
                <w:lang w:val="en-US" w:eastAsia="zh-CN"/>
              </w:rPr>
              <w:t>常州市金坛区</w:t>
            </w:r>
            <w:r>
              <w:rPr>
                <w:rFonts w:hint="eastAsia" w:ascii="仿宋" w:hAnsi="仿宋" w:eastAsia="仿宋" w:cs="Times New Roman"/>
                <w:bCs/>
                <w:color w:val="auto"/>
                <w:spacing w:val="-6"/>
                <w:sz w:val="24"/>
              </w:rPr>
              <w:t>范围内进行平衡</w:t>
            </w:r>
            <w:r>
              <w:rPr>
                <w:rFonts w:hint="eastAsia" w:ascii="仿宋" w:hAnsi="仿宋" w:eastAsia="仿宋" w:cs="宋体"/>
                <w:bCs/>
                <w:color w:val="auto"/>
                <w:spacing w:val="-6"/>
                <w:sz w:val="24"/>
              </w:rPr>
              <w:t>。</w:t>
            </w:r>
          </w:p>
          <w:p w14:paraId="07E93B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Times New Roman"/>
                <w:bCs/>
                <w:color w:val="auto"/>
                <w:sz w:val="24"/>
                <w:lang w:eastAsia="zh-CN"/>
              </w:rPr>
            </w:pPr>
            <w:r>
              <w:rPr>
                <w:rFonts w:hint="default" w:ascii="Times New Roman" w:hAnsi="Times New Roman" w:eastAsia="仿宋" w:cs="Times New Roman"/>
                <w:bCs/>
                <w:color w:val="auto"/>
                <w:sz w:val="24"/>
              </w:rPr>
              <w:t>废水：本项目废水排放总量（接管考核量）≤</w:t>
            </w:r>
            <w:r>
              <w:rPr>
                <w:rFonts w:hint="eastAsia" w:ascii="Times New Roman" w:hAnsi="Times New Roman" w:eastAsia="仿宋" w:cs="Times New Roman"/>
                <w:bCs/>
                <w:color w:val="auto"/>
                <w:sz w:val="24"/>
                <w:lang w:val="en-US" w:eastAsia="zh-CN"/>
              </w:rPr>
              <w:t>324</w:t>
            </w:r>
            <w:r>
              <w:rPr>
                <w:rFonts w:hint="default" w:ascii="Times New Roman" w:hAnsi="Times New Roman" w:eastAsia="仿宋" w:cs="Times New Roman"/>
                <w:bCs/>
                <w:color w:val="auto"/>
                <w:sz w:val="24"/>
              </w:rPr>
              <w:t>t/a，水污染物接管排放总量为COD≤</w:t>
            </w:r>
            <w:r>
              <w:rPr>
                <w:rFonts w:hint="eastAsia" w:ascii="Times New Roman" w:hAnsi="Times New Roman" w:eastAsia="仿宋" w:cs="Times New Roman"/>
                <w:bCs/>
                <w:color w:val="auto"/>
                <w:sz w:val="24"/>
                <w:lang w:val="en-US" w:eastAsia="zh-CN"/>
              </w:rPr>
              <w:t>0.130</w:t>
            </w:r>
            <w:r>
              <w:rPr>
                <w:rFonts w:hint="default" w:ascii="Times New Roman" w:hAnsi="Times New Roman" w:eastAsia="仿宋" w:cs="Times New Roman"/>
                <w:bCs/>
                <w:color w:val="auto"/>
                <w:sz w:val="24"/>
              </w:rPr>
              <w:t>t/a、SS≤</w:t>
            </w:r>
            <w:r>
              <w:rPr>
                <w:rFonts w:hint="eastAsia" w:ascii="Times New Roman" w:hAnsi="Times New Roman" w:eastAsia="仿宋" w:cs="Times New Roman"/>
                <w:bCs/>
                <w:color w:val="auto"/>
                <w:sz w:val="24"/>
                <w:lang w:val="en-US" w:eastAsia="zh-CN"/>
              </w:rPr>
              <w:t>0.081</w:t>
            </w:r>
            <w:r>
              <w:rPr>
                <w:rFonts w:hint="default" w:ascii="Times New Roman" w:hAnsi="Times New Roman" w:eastAsia="仿宋" w:cs="Times New Roman"/>
                <w:bCs/>
                <w:color w:val="auto"/>
                <w:sz w:val="24"/>
              </w:rPr>
              <w:t>t/a、氨氮≤</w:t>
            </w:r>
            <w:r>
              <w:rPr>
                <w:rFonts w:hint="eastAsia" w:ascii="Times New Roman" w:hAnsi="Times New Roman" w:eastAsia="仿宋" w:cs="Times New Roman"/>
                <w:bCs/>
                <w:color w:val="auto"/>
                <w:sz w:val="24"/>
                <w:lang w:eastAsia="zh-CN"/>
              </w:rPr>
              <w:t>0.0</w:t>
            </w:r>
            <w:r>
              <w:rPr>
                <w:rFonts w:hint="eastAsia" w:ascii="Times New Roman" w:hAnsi="Times New Roman" w:eastAsia="仿宋" w:cs="Times New Roman"/>
                <w:bCs/>
                <w:color w:val="auto"/>
                <w:sz w:val="24"/>
                <w:lang w:val="en-US" w:eastAsia="zh-CN"/>
              </w:rPr>
              <w:t>08</w:t>
            </w:r>
            <w:r>
              <w:rPr>
                <w:rFonts w:hint="default" w:ascii="Times New Roman" w:hAnsi="Times New Roman" w:eastAsia="仿宋" w:cs="Times New Roman"/>
                <w:bCs/>
                <w:color w:val="auto"/>
                <w:sz w:val="24"/>
              </w:rPr>
              <w:t>t/a、总磷≤</w:t>
            </w:r>
            <w:r>
              <w:rPr>
                <w:rFonts w:hint="eastAsia" w:ascii="Times New Roman" w:hAnsi="Times New Roman" w:eastAsia="仿宋" w:cs="Times New Roman"/>
                <w:bCs/>
                <w:color w:val="auto"/>
                <w:sz w:val="24"/>
                <w:lang w:eastAsia="zh-CN"/>
              </w:rPr>
              <w:t>0.00</w:t>
            </w:r>
            <w:r>
              <w:rPr>
                <w:rFonts w:hint="eastAsia" w:ascii="Times New Roman" w:hAnsi="Times New Roman" w:eastAsia="仿宋" w:cs="Times New Roman"/>
                <w:bCs/>
                <w:color w:val="auto"/>
                <w:sz w:val="24"/>
                <w:lang w:val="en-US" w:eastAsia="zh-CN"/>
              </w:rPr>
              <w:t>1</w:t>
            </w:r>
            <w:r>
              <w:rPr>
                <w:rFonts w:hint="default" w:ascii="Times New Roman" w:hAnsi="Times New Roman" w:eastAsia="仿宋" w:cs="Times New Roman"/>
                <w:bCs/>
                <w:color w:val="auto"/>
                <w:sz w:val="24"/>
              </w:rPr>
              <w:t>t/a、总氮≤</w:t>
            </w:r>
            <w:r>
              <w:rPr>
                <w:rFonts w:hint="eastAsia" w:ascii="Times New Roman" w:hAnsi="Times New Roman" w:eastAsia="仿宋" w:cs="Times New Roman"/>
                <w:bCs/>
                <w:color w:val="auto"/>
                <w:sz w:val="24"/>
                <w:lang w:eastAsia="zh-CN"/>
              </w:rPr>
              <w:t>0.0</w:t>
            </w:r>
            <w:r>
              <w:rPr>
                <w:rFonts w:hint="eastAsia" w:ascii="Times New Roman" w:hAnsi="Times New Roman" w:eastAsia="仿宋" w:cs="Times New Roman"/>
                <w:bCs/>
                <w:color w:val="auto"/>
                <w:sz w:val="24"/>
                <w:lang w:val="en-US" w:eastAsia="zh-CN"/>
              </w:rPr>
              <w:t>11</w:t>
            </w:r>
            <w:r>
              <w:rPr>
                <w:rFonts w:hint="default" w:ascii="Times New Roman" w:hAnsi="Times New Roman" w:eastAsia="仿宋" w:cs="Times New Roman"/>
                <w:bCs/>
                <w:color w:val="auto"/>
                <w:sz w:val="24"/>
              </w:rPr>
              <w:t>t/a</w:t>
            </w:r>
            <w:r>
              <w:rPr>
                <w:rFonts w:hint="eastAsia" w:ascii="Times New Roman" w:hAnsi="Times New Roman" w:eastAsia="仿宋" w:cs="Times New Roman"/>
                <w:bCs/>
                <w:color w:val="auto"/>
                <w:sz w:val="24"/>
                <w:lang w:eastAsia="zh-CN"/>
              </w:rPr>
              <w:t>，</w:t>
            </w:r>
            <w:r>
              <w:rPr>
                <w:rFonts w:hint="eastAsia" w:ascii="Times New Roman" w:hAnsi="Times New Roman" w:eastAsia="仿宋" w:cs="Times New Roman"/>
                <w:bCs/>
                <w:color w:val="auto"/>
                <w:sz w:val="24"/>
                <w:lang w:val="en-US" w:eastAsia="zh-CN"/>
              </w:rPr>
              <w:t>扩建后全厂废水量</w:t>
            </w:r>
            <w:r>
              <w:rPr>
                <w:rFonts w:hint="default" w:ascii="Times New Roman" w:hAnsi="Times New Roman" w:eastAsia="仿宋" w:cs="Times New Roman"/>
                <w:bCs/>
                <w:color w:val="auto"/>
                <w:sz w:val="24"/>
              </w:rPr>
              <w:t>≤</w:t>
            </w:r>
            <w:r>
              <w:rPr>
                <w:rFonts w:hint="eastAsia" w:ascii="Times New Roman" w:hAnsi="Times New Roman" w:eastAsia="仿宋" w:cs="Times New Roman"/>
                <w:bCs/>
                <w:color w:val="auto"/>
                <w:sz w:val="24"/>
                <w:lang w:val="en-US" w:eastAsia="zh-CN"/>
              </w:rPr>
              <w:t>1404</w:t>
            </w:r>
            <w:r>
              <w:rPr>
                <w:rFonts w:hint="eastAsia" w:ascii="Times New Roman" w:hAnsi="Times New Roman" w:eastAsia="仿宋" w:cs="Times New Roman"/>
                <w:bCs/>
                <w:color w:val="auto"/>
                <w:sz w:val="24"/>
                <w:lang w:eastAsia="zh-CN"/>
              </w:rPr>
              <w:t>，全厂最终排入外环境的水污染物总量为COD≤0.</w:t>
            </w:r>
            <w:r>
              <w:rPr>
                <w:rFonts w:hint="eastAsia" w:ascii="Times New Roman" w:hAnsi="Times New Roman" w:eastAsia="仿宋" w:cs="Times New Roman"/>
                <w:bCs/>
                <w:color w:val="auto"/>
                <w:sz w:val="24"/>
                <w:lang w:val="en-US" w:eastAsia="zh-CN"/>
              </w:rPr>
              <w:t>3070</w:t>
            </w:r>
            <w:r>
              <w:rPr>
                <w:rFonts w:hint="eastAsia" w:ascii="Times New Roman" w:hAnsi="Times New Roman" w:eastAsia="仿宋" w:cs="Times New Roman"/>
                <w:bCs/>
                <w:color w:val="auto"/>
                <w:sz w:val="24"/>
                <w:lang w:eastAsia="zh-CN"/>
              </w:rPr>
              <w:t>t/a、SS≤0.</w:t>
            </w:r>
            <w:r>
              <w:rPr>
                <w:rFonts w:hint="eastAsia" w:ascii="Times New Roman" w:hAnsi="Times New Roman" w:eastAsia="仿宋" w:cs="Times New Roman"/>
                <w:bCs/>
                <w:color w:val="auto"/>
                <w:sz w:val="24"/>
                <w:lang w:val="en-US" w:eastAsia="zh-CN"/>
              </w:rPr>
              <w:t>014</w:t>
            </w:r>
            <w:r>
              <w:rPr>
                <w:rFonts w:hint="eastAsia" w:ascii="Times New Roman" w:hAnsi="Times New Roman" w:eastAsia="仿宋" w:cs="Times New Roman"/>
                <w:bCs/>
                <w:color w:val="auto"/>
                <w:sz w:val="24"/>
                <w:lang w:eastAsia="zh-CN"/>
              </w:rPr>
              <w:t>t/a、氨氮≤0.0</w:t>
            </w:r>
            <w:r>
              <w:rPr>
                <w:rFonts w:hint="eastAsia" w:ascii="Times New Roman" w:hAnsi="Times New Roman" w:eastAsia="仿宋" w:cs="Times New Roman"/>
                <w:bCs/>
                <w:color w:val="auto"/>
                <w:sz w:val="24"/>
                <w:lang w:val="en-US" w:eastAsia="zh-CN"/>
              </w:rPr>
              <w:t>06</w:t>
            </w:r>
            <w:r>
              <w:rPr>
                <w:rFonts w:hint="eastAsia" w:ascii="Times New Roman" w:hAnsi="Times New Roman" w:eastAsia="仿宋" w:cs="Times New Roman"/>
                <w:bCs/>
                <w:color w:val="auto"/>
                <w:sz w:val="24"/>
                <w:lang w:eastAsia="zh-CN"/>
              </w:rPr>
              <w:t>t/a、总磷≤0.00</w:t>
            </w:r>
            <w:r>
              <w:rPr>
                <w:rFonts w:hint="eastAsia" w:ascii="Times New Roman" w:hAnsi="Times New Roman" w:eastAsia="仿宋" w:cs="Times New Roman"/>
                <w:bCs/>
                <w:color w:val="auto"/>
                <w:sz w:val="24"/>
                <w:lang w:val="en-US" w:eastAsia="zh-CN"/>
              </w:rPr>
              <w:t>07</w:t>
            </w:r>
            <w:r>
              <w:rPr>
                <w:rFonts w:hint="eastAsia" w:ascii="Times New Roman" w:hAnsi="Times New Roman" w:eastAsia="仿宋" w:cs="Times New Roman"/>
                <w:bCs/>
                <w:color w:val="auto"/>
                <w:sz w:val="24"/>
                <w:lang w:eastAsia="zh-CN"/>
              </w:rPr>
              <w:t>t/a、总氮≤0.</w:t>
            </w:r>
            <w:r>
              <w:rPr>
                <w:rFonts w:hint="eastAsia" w:ascii="Times New Roman" w:hAnsi="Times New Roman" w:eastAsia="仿宋" w:cs="Times New Roman"/>
                <w:bCs/>
                <w:color w:val="auto"/>
                <w:sz w:val="24"/>
                <w:lang w:val="en-US" w:eastAsia="zh-CN"/>
              </w:rPr>
              <w:t>017</w:t>
            </w:r>
            <w:r>
              <w:rPr>
                <w:rFonts w:hint="eastAsia" w:ascii="Times New Roman" w:hAnsi="Times New Roman" w:eastAsia="仿宋" w:cs="Times New Roman"/>
                <w:bCs/>
                <w:color w:val="auto"/>
                <w:sz w:val="24"/>
                <w:lang w:eastAsia="zh-CN"/>
              </w:rPr>
              <w:t>t/a，纳入常州金坛区第二污水处理有限公司总量范围内。</w:t>
            </w:r>
          </w:p>
          <w:p w14:paraId="47C5E1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固废：固废排放总量为零。</w:t>
            </w:r>
          </w:p>
          <w:p w14:paraId="6802F3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仿宋" w:cs="Times New Roman"/>
                <w:bCs/>
                <w:color w:val="auto"/>
                <w:sz w:val="24"/>
              </w:rPr>
            </w:pPr>
          </w:p>
          <w:p w14:paraId="1FD41E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仿宋" w:cs="Times New Roman"/>
                <w:bCs/>
                <w:color w:val="auto"/>
                <w:sz w:val="24"/>
              </w:rPr>
            </w:pPr>
          </w:p>
          <w:p w14:paraId="4D581A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仿宋" w:cs="Times New Roman"/>
                <w:bCs/>
                <w:color w:val="auto"/>
                <w:sz w:val="24"/>
              </w:rPr>
            </w:pPr>
          </w:p>
          <w:p w14:paraId="49573A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仿宋" w:cs="Times New Roman"/>
                <w:bCs/>
                <w:color w:val="auto"/>
                <w:sz w:val="24"/>
              </w:rPr>
            </w:pPr>
          </w:p>
          <w:p w14:paraId="125EAA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仿宋" w:cs="Times New Roman"/>
                <w:bCs/>
                <w:color w:val="auto"/>
                <w:sz w:val="24"/>
              </w:rPr>
            </w:pPr>
          </w:p>
          <w:p w14:paraId="7C55E0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仿宋" w:cs="Times New Roman"/>
                <w:bCs/>
                <w:color w:val="auto"/>
                <w:sz w:val="24"/>
              </w:rPr>
            </w:pPr>
          </w:p>
          <w:p w14:paraId="0D5BA1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仿宋" w:cs="Times New Roman"/>
                <w:bCs/>
                <w:color w:val="auto"/>
                <w:sz w:val="24"/>
              </w:rPr>
            </w:pPr>
          </w:p>
          <w:p w14:paraId="11098D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仿宋" w:cs="Times New Roman"/>
                <w:bCs/>
                <w:color w:val="auto"/>
                <w:sz w:val="24"/>
              </w:rPr>
            </w:pPr>
          </w:p>
          <w:p w14:paraId="167044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仿宋" w:cs="Times New Roman"/>
                <w:bCs/>
                <w:color w:val="auto"/>
                <w:sz w:val="24"/>
              </w:rPr>
            </w:pPr>
          </w:p>
        </w:tc>
      </w:tr>
    </w:tbl>
    <w:p w14:paraId="40D515A0">
      <w:pPr>
        <w:outlineLvl w:val="0"/>
        <w:rPr>
          <w:rFonts w:hint="default" w:ascii="Times New Roman" w:hAnsi="Times New Roman" w:eastAsia="仿宋" w:cs="Times New Roman"/>
          <w:b/>
          <w:bCs/>
          <w:snapToGrid w:val="0"/>
          <w:color w:val="auto"/>
          <w:sz w:val="30"/>
          <w:szCs w:val="30"/>
          <w:highlight w:val="none"/>
        </w:rPr>
        <w:sectPr>
          <w:pgSz w:w="16840" w:h="11907" w:orient="landscape"/>
          <w:pgMar w:top="1531" w:right="1701" w:bottom="1531" w:left="2126" w:header="851" w:footer="851" w:gutter="0"/>
          <w:pgBorders>
            <w:top w:val="none" w:sz="0" w:space="0"/>
            <w:left w:val="none" w:sz="0" w:space="0"/>
            <w:bottom w:val="none" w:sz="0" w:space="0"/>
            <w:right w:val="none" w:sz="0" w:space="0"/>
          </w:pgBorders>
          <w:lnNumType w:countBy="0" w:restart="continuous"/>
          <w:cols w:space="720" w:num="1"/>
          <w:docGrid w:linePitch="312" w:charSpace="0"/>
        </w:sectPr>
      </w:pPr>
    </w:p>
    <w:p w14:paraId="7B2411AD">
      <w:pPr>
        <w:outlineLvl w:val="0"/>
        <w:rPr>
          <w:rFonts w:hint="default" w:ascii="Times New Roman" w:hAnsi="Times New Roman" w:eastAsia="仿宋" w:cs="Times New Roman"/>
          <w:b/>
          <w:bCs/>
          <w:snapToGrid w:val="0"/>
          <w:color w:val="auto"/>
          <w:sz w:val="30"/>
          <w:szCs w:val="30"/>
          <w:highlight w:val="none"/>
        </w:rPr>
      </w:pPr>
      <w:r>
        <w:rPr>
          <w:rFonts w:hint="default" w:ascii="Times New Roman" w:hAnsi="Times New Roman" w:eastAsia="仿宋" w:cs="Times New Roman"/>
          <w:b/>
          <w:bCs/>
          <w:snapToGrid w:val="0"/>
          <w:color w:val="auto"/>
          <w:sz w:val="30"/>
          <w:szCs w:val="30"/>
          <w:highlight w:val="none"/>
        </w:rPr>
        <w:t>四、主要环境影响和保护措施</w:t>
      </w:r>
    </w:p>
    <w:tbl>
      <w:tblPr>
        <w:tblStyle w:val="2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2"/>
        <w:gridCol w:w="8689"/>
      </w:tblGrid>
      <w:tr w14:paraId="6D942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469" w:type="dxa"/>
            <w:noWrap w:val="0"/>
            <w:tcMar>
              <w:left w:w="28" w:type="dxa"/>
              <w:right w:w="28" w:type="dxa"/>
            </w:tcMar>
            <w:vAlign w:val="center"/>
          </w:tcPr>
          <w:p w14:paraId="6BDE252F">
            <w:pPr>
              <w:adjustRightInd w:val="0"/>
              <w:snapToGrid w:val="0"/>
              <w:spacing w:line="360" w:lineRule="auto"/>
              <w:jc w:val="center"/>
              <w:rPr>
                <w:rFonts w:hint="default" w:ascii="Times New Roman" w:hAnsi="Times New Roman" w:eastAsia="仿宋" w:cs="Times New Roman"/>
                <w:bCs/>
                <w:color w:val="auto"/>
                <w:highlight w:val="none"/>
              </w:rPr>
            </w:pPr>
            <w:r>
              <w:rPr>
                <w:rFonts w:hint="default" w:ascii="Times New Roman" w:hAnsi="Times New Roman" w:eastAsia="仿宋" w:cs="Times New Roman"/>
                <w:color w:val="auto"/>
                <w:sz w:val="24"/>
                <w:highlight w:val="none"/>
              </w:rPr>
              <w:t>施工期环境保护措施</w:t>
            </w:r>
          </w:p>
        </w:tc>
        <w:tc>
          <w:tcPr>
            <w:tcW w:w="8512" w:type="dxa"/>
            <w:noWrap w:val="0"/>
            <w:vAlign w:val="center"/>
          </w:tcPr>
          <w:p w14:paraId="48F07067">
            <w:pPr>
              <w:spacing w:before="120" w:beforeLines="50" w:line="360" w:lineRule="auto"/>
              <w:ind w:firstLine="480" w:firstLineChars="200"/>
              <w:rPr>
                <w:rFonts w:hint="default" w:ascii="Times New Roman" w:hAnsi="Times New Roman" w:eastAsia="仿宋" w:cs="Times New Roman"/>
                <w:color w:val="auto"/>
                <w:kern w:val="0"/>
                <w:sz w:val="24"/>
                <w:highlight w:val="none"/>
              </w:rPr>
            </w:pPr>
            <w:r>
              <w:rPr>
                <w:rFonts w:hint="default" w:ascii="Times New Roman" w:hAnsi="Times New Roman" w:eastAsia="仿宋" w:cs="Times New Roman"/>
                <w:color w:val="auto"/>
                <w:sz w:val="24"/>
                <w:highlight w:val="none"/>
              </w:rPr>
              <w:t>本项目</w:t>
            </w:r>
            <w:r>
              <w:rPr>
                <w:rFonts w:hint="default" w:ascii="Times New Roman" w:hAnsi="Times New Roman" w:eastAsia="仿宋" w:cs="Times New Roman"/>
                <w:bCs/>
                <w:color w:val="auto"/>
                <w:spacing w:val="-2"/>
                <w:sz w:val="24"/>
                <w:highlight w:val="none"/>
              </w:rPr>
              <w:t>不新建厂房，</w:t>
            </w:r>
            <w:r>
              <w:rPr>
                <w:rFonts w:hint="eastAsia" w:eastAsia="仿宋" w:cs="Times New Roman"/>
                <w:bCs/>
                <w:color w:val="auto"/>
                <w:sz w:val="24"/>
                <w:highlight w:val="none"/>
                <w:lang w:val="en-US" w:eastAsia="zh-CN"/>
              </w:rPr>
              <w:t>购置</w:t>
            </w:r>
            <w:r>
              <w:rPr>
                <w:rFonts w:hint="default" w:ascii="Times New Roman" w:hAnsi="Times New Roman" w:eastAsia="仿宋" w:cs="Times New Roman"/>
                <w:bCs/>
                <w:color w:val="auto"/>
                <w:sz w:val="24"/>
                <w:highlight w:val="none"/>
                <w:lang w:eastAsia="zh-CN"/>
              </w:rPr>
              <w:t>常州金博通众创园内</w:t>
            </w:r>
            <w:r>
              <w:rPr>
                <w:rFonts w:hint="default" w:ascii="Times New Roman" w:hAnsi="Times New Roman" w:eastAsia="仿宋" w:cs="Times New Roman"/>
                <w:bCs/>
                <w:color w:val="auto"/>
                <w:sz w:val="24"/>
                <w:highlight w:val="none"/>
                <w:lang w:val="en-US" w:eastAsia="zh-CN"/>
              </w:rPr>
              <w:t>现有车间D6</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color w:val="auto"/>
                <w:sz w:val="24"/>
                <w:highlight w:val="none"/>
                <w:lang w:eastAsia="zh-CN"/>
              </w:rPr>
              <w:t>从事</w:t>
            </w:r>
            <w:r>
              <w:rPr>
                <w:rFonts w:hint="eastAsia" w:ascii="Times New Roman" w:hAnsi="Times New Roman" w:eastAsia="仿宋" w:cs="Times New Roman"/>
                <w:color w:val="auto"/>
                <w:sz w:val="24"/>
                <w:highlight w:val="none"/>
                <w:lang w:eastAsia="zh-CN"/>
              </w:rPr>
              <w:t>唇刷的生产</w:t>
            </w:r>
            <w:r>
              <w:rPr>
                <w:rFonts w:hint="default" w:ascii="Times New Roman" w:hAnsi="Times New Roman" w:eastAsia="仿宋" w:cs="Times New Roman"/>
                <w:color w:val="auto"/>
                <w:sz w:val="24"/>
                <w:highlight w:val="none"/>
              </w:rPr>
              <w:t>。项目建设过程主要对车间进行装修、地面防渗、设备安装调试等，</w:t>
            </w:r>
            <w:r>
              <w:rPr>
                <w:rFonts w:hint="default" w:ascii="Times New Roman" w:hAnsi="Times New Roman" w:eastAsia="仿宋" w:cs="Times New Roman"/>
                <w:bCs/>
                <w:color w:val="auto"/>
                <w:spacing w:val="-2"/>
                <w:sz w:val="24"/>
                <w:highlight w:val="none"/>
              </w:rPr>
              <w:t>装饰阶段会产生设备噪声、粉尘、装饰建筑垃圾、施工人员生活污水等。由于装饰工序均在室内进行，产生的噪声、粉尘不会对区域环境产生大的影响；施工产生的建筑垃圾与生活垃圾应分开收集、收运，待工程结束后将建筑垃圾清运至政府指定的地方，施工人员的生活垃圾由物业清运；生活污水经</w:t>
            </w:r>
            <w:r>
              <w:rPr>
                <w:rFonts w:hint="eastAsia" w:ascii="Times New Roman" w:hAnsi="Times New Roman" w:eastAsia="仿宋" w:cs="Times New Roman"/>
                <w:bCs/>
                <w:color w:val="auto"/>
                <w:spacing w:val="-2"/>
                <w:sz w:val="24"/>
                <w:highlight w:val="none"/>
                <w:lang w:val="en-US" w:eastAsia="zh-CN"/>
              </w:rPr>
              <w:t>园区</w:t>
            </w:r>
            <w:r>
              <w:rPr>
                <w:rFonts w:hint="default" w:ascii="Times New Roman" w:hAnsi="Times New Roman" w:eastAsia="仿宋" w:cs="Times New Roman"/>
                <w:bCs/>
                <w:color w:val="auto"/>
                <w:spacing w:val="-2"/>
                <w:sz w:val="24"/>
                <w:highlight w:val="none"/>
              </w:rPr>
              <w:t>现有污水管网接管。项目施工期产生的污染物均可得到合理有效的处理处置，且项目施工期较短，施工期对环境的影响将随着工程的结束而终结。</w:t>
            </w:r>
          </w:p>
        </w:tc>
      </w:tr>
      <w:tr w14:paraId="7A3DDA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69" w:type="dxa"/>
            <w:noWrap w:val="0"/>
            <w:tcMar>
              <w:left w:w="28" w:type="dxa"/>
              <w:right w:w="28" w:type="dxa"/>
            </w:tcMar>
            <w:vAlign w:val="center"/>
          </w:tcPr>
          <w:p w14:paraId="09866949">
            <w:pPr>
              <w:adjustRightInd w:val="0"/>
              <w:snapToGrid w:val="0"/>
              <w:spacing w:line="360" w:lineRule="auto"/>
              <w:jc w:val="center"/>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运营期环境影响和保护措施</w:t>
            </w:r>
          </w:p>
        </w:tc>
        <w:tc>
          <w:tcPr>
            <w:tcW w:w="8512" w:type="dxa"/>
            <w:noWrap w:val="0"/>
            <w:vAlign w:val="center"/>
          </w:tcPr>
          <w:p w14:paraId="6E9E726F">
            <w:pPr>
              <w:adjustRightInd w:val="0"/>
              <w:snapToGrid w:val="0"/>
              <w:spacing w:before="120" w:beforeLines="50"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一、废气</w:t>
            </w:r>
          </w:p>
          <w:p w14:paraId="29A16651">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1、源强核算</w:t>
            </w:r>
          </w:p>
          <w:p w14:paraId="3CF61957">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（1）有组织废气</w:t>
            </w:r>
          </w:p>
          <w:p w14:paraId="2BDD15D2">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①</w:t>
            </w:r>
            <w:r>
              <w:rPr>
                <w:rFonts w:hint="eastAsia" w:ascii="Times New Roman" w:hAnsi="Times New Roman" w:eastAsia="仿宋" w:cs="Times New Roman"/>
                <w:color w:val="auto"/>
                <w:sz w:val="24"/>
                <w:highlight w:val="none"/>
                <w:lang w:val="en-US" w:eastAsia="zh-CN"/>
              </w:rPr>
              <w:t>注塑</w:t>
            </w:r>
            <w:r>
              <w:rPr>
                <w:rFonts w:hint="default" w:ascii="Times New Roman" w:hAnsi="Times New Roman" w:eastAsia="仿宋" w:cs="Times New Roman"/>
                <w:color w:val="auto"/>
                <w:sz w:val="24"/>
                <w:highlight w:val="none"/>
              </w:rPr>
              <w:t>废气</w:t>
            </w:r>
          </w:p>
          <w:p w14:paraId="24CED391">
            <w:pPr>
              <w:adjustRightInd w:val="0"/>
              <w:snapToGrid w:val="0"/>
              <w:spacing w:line="360" w:lineRule="auto"/>
              <w:ind w:firstLine="480" w:firstLineChars="200"/>
              <w:rPr>
                <w:rFonts w:hint="default" w:ascii="Times New Roman" w:hAnsi="Times New Roman" w:eastAsia="仿宋" w:cs="Times New Roman"/>
                <w:sz w:val="24"/>
                <w:highlight w:val="none"/>
              </w:rPr>
            </w:pPr>
            <w:r>
              <w:rPr>
                <w:rFonts w:hint="eastAsia" w:ascii="Times New Roman" w:hAnsi="Times New Roman" w:eastAsia="仿宋" w:cs="Times New Roman"/>
                <w:color w:val="auto"/>
                <w:sz w:val="24"/>
                <w:highlight w:val="none"/>
                <w:lang w:val="en-US" w:eastAsia="zh-CN"/>
              </w:rPr>
              <w:t>本项目D6车间一层设3台注塑机，</w:t>
            </w:r>
            <w:r>
              <w:rPr>
                <w:rFonts w:hint="eastAsia" w:eastAsia="仿宋"/>
                <w:sz w:val="24"/>
              </w:rPr>
              <w:t>注塑粒子为聚丙烯（PP）粒子，注塑温度为</w:t>
            </w:r>
            <w:r>
              <w:rPr>
                <w:rFonts w:hint="eastAsia" w:eastAsia="仿宋"/>
                <w:sz w:val="24"/>
                <w:lang w:val="en-US" w:eastAsia="zh-CN"/>
              </w:rPr>
              <w:t>210</w:t>
            </w:r>
            <w:r>
              <w:rPr>
                <w:rFonts w:hint="eastAsia" w:eastAsia="仿宋"/>
                <w:sz w:val="24"/>
              </w:rPr>
              <w:t>℃，采用电加热使工程塑料粒子呈熔融状态，</w:t>
            </w:r>
            <w:r>
              <w:rPr>
                <w:rFonts w:eastAsia="仿宋"/>
                <w:sz w:val="24"/>
              </w:rPr>
              <w:t>注塑过程中会产生注塑废气，污染物以非甲烷总烃计。</w:t>
            </w:r>
            <w:r>
              <w:rPr>
                <w:rFonts w:hint="default" w:ascii="Times New Roman" w:hAnsi="Times New Roman" w:eastAsia="仿宋" w:cs="Times New Roman"/>
                <w:sz w:val="24"/>
                <w:highlight w:val="none"/>
              </w:rPr>
              <w:t>对照《排放源统计调查产排污核算方法和系数手册》中-292塑料制造行业系数手册中―2929塑料零件及其他塑料制品制造行业配料-混合-挤出/注塑中挥发性有机物</w:t>
            </w:r>
            <w:r>
              <w:rPr>
                <w:rFonts w:hint="default" w:ascii="Times New Roman" w:hAnsi="Times New Roman" w:eastAsia="仿宋" w:cs="Times New Roman"/>
                <w:color w:val="auto"/>
                <w:sz w:val="24"/>
                <w:highlight w:val="none"/>
              </w:rPr>
              <w:t>（以非甲烷总烃计）的产污系数进行核算，产污系数为2.7千克/（吨-产品），项目</w:t>
            </w:r>
            <w:r>
              <w:rPr>
                <w:rFonts w:hint="eastAsia" w:eastAsia="仿宋" w:cs="Times New Roman"/>
                <w:color w:val="auto"/>
                <w:sz w:val="24"/>
                <w:highlight w:val="none"/>
                <w:lang w:val="en-US" w:eastAsia="zh-CN"/>
              </w:rPr>
              <w:t>注塑件刷头</w:t>
            </w:r>
            <w:r>
              <w:rPr>
                <w:rFonts w:hint="default" w:ascii="Times New Roman" w:hAnsi="Times New Roman" w:eastAsia="仿宋" w:cs="Times New Roman"/>
                <w:color w:val="auto"/>
                <w:sz w:val="24"/>
                <w:highlight w:val="none"/>
              </w:rPr>
              <w:t>产量</w:t>
            </w:r>
            <w:r>
              <w:rPr>
                <w:rFonts w:hint="eastAsia" w:ascii="Times New Roman" w:hAnsi="Times New Roman" w:eastAsia="仿宋" w:cs="Times New Roman"/>
                <w:color w:val="auto"/>
                <w:sz w:val="24"/>
                <w:highlight w:val="none"/>
                <w:lang w:val="en-US" w:eastAsia="zh-CN"/>
              </w:rPr>
              <w:t>为100</w:t>
            </w:r>
            <w:r>
              <w:rPr>
                <w:rFonts w:hint="default" w:ascii="Times New Roman" w:hAnsi="Times New Roman" w:eastAsia="仿宋" w:cs="Times New Roman"/>
                <w:color w:val="auto"/>
                <w:sz w:val="24"/>
                <w:highlight w:val="none"/>
              </w:rPr>
              <w:t>t/a，则</w:t>
            </w:r>
            <w:r>
              <w:rPr>
                <w:rFonts w:hint="default" w:ascii="Times New Roman" w:hAnsi="Times New Roman" w:eastAsia="仿宋" w:cs="Times New Roman"/>
                <w:color w:val="auto"/>
                <w:sz w:val="24"/>
                <w:highlight w:val="none"/>
                <w:lang w:val="en-US" w:eastAsia="zh-CN"/>
              </w:rPr>
              <w:t>非甲烷总烃</w:t>
            </w:r>
            <w:r>
              <w:rPr>
                <w:rFonts w:hint="default" w:ascii="Times New Roman" w:hAnsi="Times New Roman" w:eastAsia="仿宋" w:cs="Times New Roman"/>
                <w:sz w:val="24"/>
                <w:highlight w:val="none"/>
              </w:rPr>
              <w:t>产生量为</w:t>
            </w:r>
            <w:r>
              <w:rPr>
                <w:rFonts w:hint="eastAsia" w:ascii="Times New Roman" w:hAnsi="Times New Roman" w:eastAsia="仿宋" w:cs="Times New Roman"/>
                <w:sz w:val="24"/>
                <w:highlight w:val="none"/>
                <w:lang w:val="en-US" w:eastAsia="zh-CN"/>
              </w:rPr>
              <w:t>0.27</w:t>
            </w:r>
            <w:r>
              <w:rPr>
                <w:rFonts w:hint="default" w:ascii="Times New Roman" w:hAnsi="Times New Roman" w:eastAsia="仿宋" w:cs="Times New Roman"/>
                <w:sz w:val="24"/>
                <w:highlight w:val="none"/>
              </w:rPr>
              <w:t>t/a。废气采用集气罩收集，捕集率以90%计，则注塑废气中非甲烷总烃有组</w:t>
            </w:r>
            <w:r>
              <w:rPr>
                <w:rFonts w:hint="default" w:ascii="Times New Roman" w:hAnsi="Times New Roman" w:eastAsia="仿宋" w:cs="Times New Roman"/>
                <w:sz w:val="24"/>
              </w:rPr>
              <w:t>织产生量为</w:t>
            </w:r>
            <w:r>
              <w:rPr>
                <w:rFonts w:hint="default" w:ascii="Times New Roman" w:hAnsi="Times New Roman" w:eastAsia="仿宋" w:cs="Times New Roman"/>
                <w:sz w:val="24"/>
                <w:highlight w:val="none"/>
              </w:rPr>
              <w:t>0.</w:t>
            </w:r>
            <w:r>
              <w:rPr>
                <w:rFonts w:hint="eastAsia" w:ascii="Times New Roman" w:hAnsi="Times New Roman" w:eastAsia="仿宋" w:cs="Times New Roman"/>
                <w:sz w:val="24"/>
                <w:highlight w:val="none"/>
                <w:lang w:val="en-US" w:eastAsia="zh-CN"/>
              </w:rPr>
              <w:t>243</w:t>
            </w:r>
            <w:r>
              <w:rPr>
                <w:rFonts w:hint="default" w:ascii="Times New Roman" w:hAnsi="Times New Roman" w:eastAsia="仿宋" w:cs="Times New Roman"/>
                <w:sz w:val="24"/>
                <w:highlight w:val="none"/>
              </w:rPr>
              <w:t>t/a。</w:t>
            </w:r>
          </w:p>
          <w:p w14:paraId="795EBA53">
            <w:pPr>
              <w:adjustRightInd w:val="0"/>
              <w:snapToGrid w:val="0"/>
              <w:spacing w:line="360" w:lineRule="auto"/>
              <w:ind w:firstLine="480" w:firstLineChars="200"/>
              <w:rPr>
                <w:rFonts w:hint="default" w:ascii="Times New Roman" w:hAnsi="Times New Roman" w:eastAsia="仿宋" w:cs="Times New Roman"/>
                <w:sz w:val="24"/>
                <w:highlight w:val="none"/>
                <w:lang w:val="en-US" w:eastAsia="zh-CN"/>
              </w:rPr>
            </w:pPr>
            <w:r>
              <w:rPr>
                <w:rFonts w:hint="eastAsia" w:ascii="Times New Roman" w:hAnsi="Times New Roman" w:eastAsia="仿宋" w:cs="Times New Roman"/>
                <w:sz w:val="24"/>
                <w:highlight w:val="none"/>
                <w:lang w:val="en-US" w:eastAsia="zh-CN"/>
              </w:rPr>
              <w:t>②上胶、烘干、固化</w:t>
            </w:r>
            <w:r>
              <w:rPr>
                <w:rFonts w:hint="default" w:ascii="Times New Roman" w:hAnsi="Times New Roman" w:eastAsia="仿宋" w:cs="Times New Roman"/>
                <w:sz w:val="24"/>
                <w:highlight w:val="none"/>
                <w:lang w:val="en-US" w:eastAsia="zh-CN"/>
              </w:rPr>
              <w:t>废气</w:t>
            </w:r>
          </w:p>
          <w:p w14:paraId="57198B7A">
            <w:pPr>
              <w:adjustRightInd w:val="0"/>
              <w:snapToGrid w:val="0"/>
              <w:spacing w:line="360" w:lineRule="auto"/>
              <w:ind w:firstLine="480" w:firstLineChars="200"/>
              <w:rPr>
                <w:rFonts w:hint="eastAsia" w:ascii="Times New Roman" w:hAnsi="Times New Roman" w:eastAsia="仿宋" w:cs="Times New Roman"/>
                <w:sz w:val="24"/>
                <w:highlight w:val="none"/>
                <w:lang w:val="en-US" w:eastAsia="zh-CN"/>
              </w:rPr>
            </w:pPr>
            <w:r>
              <w:rPr>
                <w:rFonts w:hint="eastAsia" w:ascii="Times New Roman" w:hAnsi="Times New Roman" w:eastAsia="仿宋" w:cs="Times New Roman"/>
                <w:sz w:val="24"/>
                <w:highlight w:val="none"/>
                <w:lang w:val="en-US" w:eastAsia="zh-CN"/>
              </w:rPr>
              <w:t>本项目D6车间一层设2台植绒机，2台烘箱，胶粘剂上胶、烘干（烘干温度40℃）、固化（固化温度70℃）过程会产生有机废气，污染物以非甲烷总烃计。本项目使用胶粘剂组分为：聚氨酯甲基丙烯酸酯树脂50-55%、丙烯酸树脂25-30%、羟基丙烯酸树脂12-14%、丙烯酸1.5-2.5%、2,2-二甲氧基-苯基乙酮3-5%、2,3-环氧丙基丙基三甲氧基硅烷0.5-2%，胶粘剂挥发性有机物组分</w:t>
            </w:r>
            <w:r>
              <w:rPr>
                <w:rFonts w:hint="eastAsia" w:eastAsia="仿宋" w:cs="Times New Roman"/>
                <w:sz w:val="24"/>
                <w:highlight w:val="none"/>
                <w:lang w:val="en-US" w:eastAsia="zh-CN"/>
              </w:rPr>
              <w:t>：</w:t>
            </w:r>
            <w:r>
              <w:rPr>
                <w:rFonts w:hint="default" w:ascii="Times New Roman" w:hAnsi="Times New Roman" w:eastAsia="仿宋" w:cs="Times New Roman"/>
                <w:bCs/>
                <w:color w:val="auto"/>
                <w:sz w:val="24"/>
                <w:highlight w:val="none"/>
                <w:lang w:val="en-US" w:eastAsia="zh-CN"/>
              </w:rPr>
              <w:t>丙烯酸、2,2-二甲氧基-苯基乙酮、2,3-环氧丙基丙基三甲氧基硅烷</w:t>
            </w:r>
            <w:r>
              <w:rPr>
                <w:rFonts w:hint="eastAsia" w:ascii="Times New Roman" w:hAnsi="Times New Roman" w:eastAsia="仿宋" w:cs="Times New Roman"/>
                <w:bCs/>
                <w:color w:val="auto"/>
                <w:sz w:val="24"/>
                <w:highlight w:val="none"/>
                <w:lang w:val="en-US" w:eastAsia="zh-CN"/>
              </w:rPr>
              <w:t>，</w:t>
            </w:r>
            <w:r>
              <w:rPr>
                <w:rFonts w:hint="eastAsia" w:ascii="Times New Roman" w:hAnsi="Times New Roman" w:eastAsia="仿宋" w:cs="Times New Roman"/>
                <w:sz w:val="24"/>
                <w:highlight w:val="none"/>
                <w:lang w:val="en-US" w:eastAsia="zh-CN"/>
              </w:rPr>
              <w:t>占比约为</w:t>
            </w:r>
            <w:r>
              <w:rPr>
                <w:rFonts w:hint="eastAsia" w:eastAsia="仿宋" w:cs="Times New Roman"/>
                <w:sz w:val="24"/>
                <w:highlight w:val="none"/>
                <w:lang w:val="en-US" w:eastAsia="zh-CN"/>
              </w:rPr>
              <w:t>9.5</w:t>
            </w:r>
            <w:r>
              <w:rPr>
                <w:rFonts w:hint="eastAsia" w:ascii="Times New Roman" w:hAnsi="Times New Roman" w:eastAsia="仿宋" w:cs="Times New Roman"/>
                <w:sz w:val="24"/>
                <w:highlight w:val="none"/>
                <w:lang w:val="en-US" w:eastAsia="zh-CN"/>
              </w:rPr>
              <w:t>%，使用过程中不需要调配，本项目以有机挥发组分全部挥发计。聚氨酯甲基丙烯酸酯树脂热分解温度大于250℃、丙烯酸树脂热分解温度大于200℃、羟基丙烯酸树脂热分解温度大于299℃，本项目烘干、固化温度远低于胶粘剂中树脂成分的分解温度，故不予考虑胶粘剂中树脂成分分解，仅考虑有机组分的挥发</w:t>
            </w:r>
            <w:r>
              <w:rPr>
                <w:rFonts w:hint="eastAsia" w:eastAsia="仿宋" w:cs="Times New Roman"/>
                <w:sz w:val="24"/>
                <w:highlight w:val="none"/>
                <w:lang w:val="en-US" w:eastAsia="zh-CN"/>
              </w:rPr>
              <w:t>。</w:t>
            </w:r>
            <w:r>
              <w:rPr>
                <w:rFonts w:hint="eastAsia" w:ascii="Times New Roman" w:hAnsi="Times New Roman" w:eastAsia="仿宋" w:cs="Times New Roman"/>
                <w:sz w:val="24"/>
                <w:highlight w:val="none"/>
                <w:lang w:val="en-US" w:eastAsia="zh-CN"/>
              </w:rPr>
              <w:t>胶粘剂年用量为0.9t，则</w:t>
            </w:r>
            <w:r>
              <w:rPr>
                <w:rFonts w:hint="eastAsia" w:eastAsia="仿宋" w:cs="Times New Roman"/>
                <w:sz w:val="24"/>
                <w:highlight w:val="none"/>
                <w:lang w:val="en-US" w:eastAsia="zh-CN"/>
              </w:rPr>
              <w:t>非甲烷总烃</w:t>
            </w:r>
            <w:r>
              <w:rPr>
                <w:rFonts w:hint="eastAsia" w:ascii="Times New Roman" w:hAnsi="Times New Roman" w:eastAsia="仿宋" w:cs="Times New Roman"/>
                <w:sz w:val="24"/>
                <w:highlight w:val="none"/>
                <w:lang w:val="en-US" w:eastAsia="zh-CN"/>
              </w:rPr>
              <w:t>产生量合计</w:t>
            </w:r>
            <w:r>
              <w:rPr>
                <w:rFonts w:hint="eastAsia" w:eastAsia="仿宋" w:cs="Times New Roman"/>
                <w:sz w:val="24"/>
                <w:highlight w:val="none"/>
                <w:lang w:val="en-US" w:eastAsia="zh-CN"/>
              </w:rPr>
              <w:t>约</w:t>
            </w:r>
            <w:r>
              <w:rPr>
                <w:rFonts w:hint="eastAsia" w:ascii="Times New Roman" w:hAnsi="Times New Roman" w:eastAsia="仿宋" w:cs="Times New Roman"/>
                <w:sz w:val="24"/>
                <w:highlight w:val="none"/>
                <w:lang w:val="en-US" w:eastAsia="zh-CN"/>
              </w:rPr>
              <w:t>为0.0</w:t>
            </w:r>
            <w:r>
              <w:rPr>
                <w:rFonts w:hint="eastAsia" w:eastAsia="仿宋" w:cs="Times New Roman"/>
                <w:sz w:val="24"/>
                <w:highlight w:val="none"/>
                <w:lang w:val="en-US" w:eastAsia="zh-CN"/>
              </w:rPr>
              <w:t>86</w:t>
            </w:r>
            <w:r>
              <w:rPr>
                <w:rFonts w:hint="eastAsia" w:ascii="Times New Roman" w:hAnsi="Times New Roman" w:eastAsia="仿宋" w:cs="Times New Roman"/>
                <w:sz w:val="24"/>
                <w:highlight w:val="none"/>
                <w:lang w:val="en-US" w:eastAsia="zh-CN"/>
              </w:rPr>
              <w:t>t/a</w:t>
            </w:r>
            <w:r>
              <w:rPr>
                <w:rFonts w:hint="eastAsia" w:eastAsia="仿宋" w:cs="Times New Roman"/>
                <w:sz w:val="24"/>
                <w:highlight w:val="none"/>
                <w:lang w:val="en-US" w:eastAsia="zh-CN"/>
              </w:rPr>
              <w:t>，考虑在上胶、烘干、固化工程全部挥发，上胶、烘干、固化单元挥发的非甲烷总烃</w:t>
            </w:r>
            <w:r>
              <w:rPr>
                <w:rFonts w:hint="eastAsia" w:ascii="Times New Roman" w:hAnsi="Times New Roman" w:eastAsia="仿宋" w:cs="Times New Roman"/>
                <w:sz w:val="24"/>
                <w:highlight w:val="none"/>
                <w:lang w:val="en-US" w:eastAsia="zh-CN"/>
              </w:rPr>
              <w:t>占比分别为：20%、40%、40%，上胶单元、烘干单元密闭</w:t>
            </w:r>
            <w:r>
              <w:rPr>
                <w:rFonts w:hint="eastAsia" w:eastAsia="仿宋" w:cs="Times New Roman"/>
                <w:sz w:val="24"/>
                <w:highlight w:val="none"/>
                <w:lang w:val="en-US" w:eastAsia="zh-CN"/>
              </w:rPr>
              <w:t>单元整体抽风</w:t>
            </w:r>
            <w:r>
              <w:rPr>
                <w:rFonts w:hint="eastAsia" w:ascii="Times New Roman" w:hAnsi="Times New Roman" w:eastAsia="仿宋" w:cs="Times New Roman"/>
                <w:sz w:val="24"/>
                <w:highlight w:val="none"/>
                <w:lang w:val="en-US" w:eastAsia="zh-CN"/>
              </w:rPr>
              <w:t>，捕集效率以</w:t>
            </w:r>
            <w:r>
              <w:rPr>
                <w:rFonts w:hint="eastAsia" w:eastAsia="仿宋" w:cs="Times New Roman"/>
                <w:sz w:val="24"/>
                <w:highlight w:val="none"/>
                <w:lang w:val="en-US" w:eastAsia="zh-CN"/>
              </w:rPr>
              <w:t>99</w:t>
            </w:r>
            <w:r>
              <w:rPr>
                <w:rFonts w:hint="eastAsia" w:ascii="Times New Roman" w:hAnsi="Times New Roman" w:eastAsia="仿宋" w:cs="Times New Roman"/>
                <w:sz w:val="24"/>
                <w:highlight w:val="none"/>
                <w:lang w:val="en-US" w:eastAsia="zh-CN"/>
              </w:rPr>
              <w:t>%计，</w:t>
            </w:r>
            <w:r>
              <w:rPr>
                <w:rFonts w:hint="eastAsia" w:eastAsia="仿宋" w:cs="Times New Roman"/>
                <w:sz w:val="24"/>
                <w:highlight w:val="none"/>
                <w:lang w:val="en-US" w:eastAsia="zh-CN"/>
              </w:rPr>
              <w:t>则上胶、烘干中非甲烷总烃有组织产生量为0.051t/a；</w:t>
            </w:r>
            <w:r>
              <w:rPr>
                <w:rFonts w:hint="eastAsia" w:ascii="Times New Roman" w:hAnsi="Times New Roman" w:eastAsia="仿宋" w:cs="Times New Roman"/>
                <w:sz w:val="24"/>
                <w:highlight w:val="none"/>
                <w:lang w:val="en-US" w:eastAsia="zh-CN"/>
              </w:rPr>
              <w:t>固化</w:t>
            </w:r>
            <w:r>
              <w:rPr>
                <w:rFonts w:hint="default" w:ascii="Times New Roman" w:hAnsi="Times New Roman" w:eastAsia="仿宋" w:cs="Times New Roman"/>
                <w:sz w:val="24"/>
                <w:highlight w:val="none"/>
              </w:rPr>
              <w:t>废气采用集气罩收集，捕集率以90%计，则</w:t>
            </w:r>
            <w:r>
              <w:rPr>
                <w:rFonts w:hint="eastAsia" w:ascii="Times New Roman" w:hAnsi="Times New Roman" w:eastAsia="仿宋" w:cs="Times New Roman"/>
                <w:sz w:val="24"/>
                <w:highlight w:val="none"/>
                <w:lang w:val="en-US" w:eastAsia="zh-CN"/>
              </w:rPr>
              <w:t>固化</w:t>
            </w:r>
            <w:r>
              <w:rPr>
                <w:rFonts w:hint="default" w:ascii="Times New Roman" w:hAnsi="Times New Roman" w:eastAsia="仿宋" w:cs="Times New Roman"/>
                <w:sz w:val="24"/>
                <w:highlight w:val="none"/>
              </w:rPr>
              <w:t>中非甲烷总烃有组</w:t>
            </w:r>
            <w:r>
              <w:rPr>
                <w:rFonts w:hint="default" w:ascii="Times New Roman" w:hAnsi="Times New Roman" w:eastAsia="仿宋" w:cs="Times New Roman"/>
                <w:sz w:val="24"/>
              </w:rPr>
              <w:t>织产生量为</w:t>
            </w:r>
            <w:r>
              <w:rPr>
                <w:rFonts w:hint="default" w:ascii="Times New Roman" w:hAnsi="Times New Roman" w:eastAsia="仿宋" w:cs="Times New Roman"/>
                <w:sz w:val="24"/>
                <w:highlight w:val="none"/>
              </w:rPr>
              <w:t>0.</w:t>
            </w:r>
            <w:r>
              <w:rPr>
                <w:rFonts w:hint="eastAsia" w:ascii="Times New Roman" w:hAnsi="Times New Roman" w:eastAsia="仿宋" w:cs="Times New Roman"/>
                <w:sz w:val="24"/>
                <w:highlight w:val="none"/>
                <w:lang w:val="en-US" w:eastAsia="zh-CN"/>
              </w:rPr>
              <w:t>0</w:t>
            </w:r>
            <w:r>
              <w:rPr>
                <w:rFonts w:hint="eastAsia" w:eastAsia="仿宋" w:cs="Times New Roman"/>
                <w:sz w:val="24"/>
                <w:highlight w:val="none"/>
                <w:lang w:val="en-US" w:eastAsia="zh-CN"/>
              </w:rPr>
              <w:t>31</w:t>
            </w:r>
            <w:r>
              <w:rPr>
                <w:rFonts w:hint="default" w:ascii="Times New Roman" w:hAnsi="Times New Roman" w:eastAsia="仿宋" w:cs="Times New Roman"/>
                <w:sz w:val="24"/>
                <w:highlight w:val="none"/>
              </w:rPr>
              <w:t>t/a</w:t>
            </w:r>
            <w:r>
              <w:rPr>
                <w:rFonts w:hint="eastAsia" w:ascii="Times New Roman" w:hAnsi="Times New Roman" w:eastAsia="仿宋" w:cs="Times New Roman"/>
                <w:sz w:val="24"/>
                <w:highlight w:val="none"/>
                <w:lang w:eastAsia="zh-CN"/>
              </w:rPr>
              <w:t>。</w:t>
            </w:r>
          </w:p>
          <w:p w14:paraId="4B74EA3C">
            <w:pPr>
              <w:adjustRightInd w:val="0"/>
              <w:snapToGrid w:val="0"/>
              <w:spacing w:line="360" w:lineRule="auto"/>
              <w:ind w:firstLine="480" w:firstLineChars="200"/>
              <w:rPr>
                <w:rFonts w:hint="eastAsia" w:ascii="Times New Roman" w:hAnsi="Times New Roman" w:eastAsia="仿宋" w:cs="Times New Roman"/>
                <w:sz w:val="24"/>
                <w:highlight w:val="none"/>
                <w:lang w:val="en-US" w:eastAsia="zh-CN"/>
              </w:rPr>
            </w:pPr>
            <w:r>
              <w:rPr>
                <w:rFonts w:hint="eastAsia" w:ascii="Times New Roman" w:hAnsi="Times New Roman" w:eastAsia="仿宋" w:cs="Times New Roman"/>
                <w:sz w:val="24"/>
                <w:highlight w:val="none"/>
                <w:lang w:val="en-US" w:eastAsia="zh-CN"/>
              </w:rPr>
              <w:t>③植绒、筛毛废气</w:t>
            </w:r>
          </w:p>
          <w:p w14:paraId="34D35D8A">
            <w:pPr>
              <w:adjustRightInd w:val="0"/>
              <w:snapToGrid w:val="0"/>
              <w:spacing w:line="360" w:lineRule="auto"/>
              <w:ind w:firstLine="480" w:firstLineChars="200"/>
              <w:rPr>
                <w:rFonts w:hint="default" w:ascii="Times New Roman" w:hAnsi="Times New Roman" w:eastAsia="仿宋" w:cs="Times New Roman"/>
                <w:color w:val="0000FF"/>
                <w:sz w:val="24"/>
                <w:highlight w:val="none"/>
                <w:lang w:val="en-US" w:eastAsia="zh-CN"/>
              </w:rPr>
            </w:pPr>
            <w:r>
              <w:rPr>
                <w:rFonts w:hint="default" w:ascii="Times New Roman" w:hAnsi="Times New Roman" w:eastAsia="仿宋" w:cs="Times New Roman"/>
                <w:color w:val="0000FF"/>
                <w:sz w:val="24"/>
                <w:highlight w:val="none"/>
                <w:lang w:val="en-US" w:eastAsia="zh-CN"/>
              </w:rPr>
              <w:t>本项目D6车间一层设</w:t>
            </w:r>
            <w:r>
              <w:rPr>
                <w:rFonts w:hint="eastAsia" w:ascii="Times New Roman" w:hAnsi="Times New Roman" w:eastAsia="仿宋" w:cs="Times New Roman"/>
                <w:color w:val="0000FF"/>
                <w:sz w:val="24"/>
                <w:highlight w:val="none"/>
                <w:lang w:val="en-US" w:eastAsia="zh-CN"/>
              </w:rPr>
              <w:t>2台植绒机、2台筛毛机</w:t>
            </w:r>
            <w:r>
              <w:rPr>
                <w:rFonts w:hint="eastAsia" w:eastAsia="仿宋" w:cs="Times New Roman"/>
                <w:color w:val="0000FF"/>
                <w:sz w:val="24"/>
                <w:highlight w:val="none"/>
                <w:lang w:val="en-US" w:eastAsia="zh-CN"/>
              </w:rPr>
              <w:t>。由于植绒过程输送速度较快，停留时间较短且为常温环境，故植绒过程中产生的有机废气忽略不计</w:t>
            </w:r>
            <w:r>
              <w:rPr>
                <w:rFonts w:hint="eastAsia" w:ascii="Times New Roman" w:hAnsi="Times New Roman" w:eastAsia="仿宋" w:cs="Times New Roman"/>
                <w:color w:val="0000FF"/>
                <w:sz w:val="24"/>
                <w:highlight w:val="none"/>
                <w:lang w:val="en-US" w:eastAsia="zh-CN"/>
              </w:rPr>
              <w:t>。植绒、筛毛过程中会有绒毛粉尘产生，</w:t>
            </w:r>
            <w:r>
              <w:rPr>
                <w:rFonts w:hint="eastAsia" w:eastAsia="仿宋" w:cs="Times New Roman"/>
                <w:color w:val="0000FF"/>
                <w:sz w:val="24"/>
                <w:highlight w:val="none"/>
                <w:lang w:val="en-US" w:eastAsia="zh-CN"/>
              </w:rPr>
              <w:t>以颗粒物计，</w:t>
            </w:r>
            <w:r>
              <w:rPr>
                <w:rFonts w:hint="eastAsia" w:ascii="Times New Roman" w:hAnsi="Times New Roman" w:eastAsia="仿宋" w:cs="Times New Roman"/>
                <w:color w:val="0000FF"/>
                <w:sz w:val="24"/>
                <w:highlight w:val="none"/>
                <w:lang w:val="en-US" w:eastAsia="zh-CN"/>
              </w:rPr>
              <w:t>类比现有项目，现有项目植绒、筛毛工艺和本项目相同，具有可类比性，绒尘产生量约占绒毛总用量的</w:t>
            </w:r>
            <w:r>
              <w:rPr>
                <w:rFonts w:hint="eastAsia" w:eastAsia="仿宋" w:cs="Times New Roman"/>
                <w:color w:val="0000FF"/>
                <w:sz w:val="24"/>
                <w:highlight w:val="none"/>
                <w:lang w:val="en-US" w:eastAsia="zh-CN"/>
              </w:rPr>
              <w:t>2</w:t>
            </w:r>
            <w:r>
              <w:rPr>
                <w:rFonts w:hint="eastAsia" w:ascii="Times New Roman" w:hAnsi="Times New Roman" w:eastAsia="仿宋" w:cs="Times New Roman"/>
                <w:color w:val="0000FF"/>
                <w:sz w:val="24"/>
                <w:highlight w:val="none"/>
                <w:lang w:val="en-US" w:eastAsia="zh-CN"/>
              </w:rPr>
              <w:t>0%，</w:t>
            </w:r>
            <w:r>
              <w:rPr>
                <w:rFonts w:hint="eastAsia" w:eastAsia="仿宋" w:cs="Times New Roman"/>
                <w:color w:val="0000FF"/>
                <w:sz w:val="24"/>
                <w:highlight w:val="none"/>
                <w:lang w:val="en-US" w:eastAsia="zh-CN"/>
              </w:rPr>
              <w:t>本项目</w:t>
            </w:r>
            <w:r>
              <w:rPr>
                <w:rFonts w:hint="eastAsia" w:ascii="Times New Roman" w:hAnsi="Times New Roman" w:eastAsia="仿宋" w:cs="Times New Roman"/>
                <w:color w:val="0000FF"/>
                <w:sz w:val="24"/>
                <w:highlight w:val="none"/>
                <w:lang w:val="en-US" w:eastAsia="zh-CN"/>
              </w:rPr>
              <w:t>绒毛年用量为4t/a，则植绒、</w:t>
            </w:r>
            <w:r>
              <w:rPr>
                <w:rFonts w:hint="eastAsia" w:eastAsia="仿宋" w:cs="Times New Roman"/>
                <w:color w:val="0000FF"/>
                <w:sz w:val="24"/>
                <w:highlight w:val="none"/>
                <w:lang w:val="en-US" w:eastAsia="zh-CN"/>
              </w:rPr>
              <w:t>筛毛</w:t>
            </w:r>
            <w:r>
              <w:rPr>
                <w:rFonts w:hint="eastAsia" w:ascii="Times New Roman" w:hAnsi="Times New Roman" w:eastAsia="仿宋" w:cs="Times New Roman"/>
                <w:color w:val="0000FF"/>
                <w:sz w:val="24"/>
                <w:highlight w:val="none"/>
                <w:lang w:val="en-US" w:eastAsia="zh-CN"/>
              </w:rPr>
              <w:t>工段颗粒物的产生量约为0.</w:t>
            </w:r>
            <w:r>
              <w:rPr>
                <w:rFonts w:hint="eastAsia" w:eastAsia="仿宋" w:cs="Times New Roman"/>
                <w:color w:val="0000FF"/>
                <w:sz w:val="24"/>
                <w:highlight w:val="none"/>
                <w:lang w:val="en-US" w:eastAsia="zh-CN"/>
              </w:rPr>
              <w:t>8</w:t>
            </w:r>
            <w:r>
              <w:rPr>
                <w:rFonts w:hint="eastAsia" w:ascii="Times New Roman" w:hAnsi="Times New Roman" w:eastAsia="仿宋" w:cs="Times New Roman"/>
                <w:color w:val="0000FF"/>
                <w:sz w:val="24"/>
                <w:highlight w:val="none"/>
                <w:lang w:val="en-US" w:eastAsia="zh-CN"/>
              </w:rPr>
              <w:t>t/a</w:t>
            </w:r>
            <w:r>
              <w:rPr>
                <w:rFonts w:hint="eastAsia" w:eastAsia="仿宋" w:cs="Times New Roman"/>
                <w:color w:val="0000FF"/>
                <w:sz w:val="24"/>
                <w:highlight w:val="none"/>
                <w:lang w:val="en-US" w:eastAsia="zh-CN"/>
              </w:rPr>
              <w:t>，其中95%为植绒过程未附着的绒毛，在植绒过程中被收集处理，5%在筛毛过程中被收集处理。植绒、筛毛废气均采用密闭单元整体抽风收集</w:t>
            </w:r>
            <w:r>
              <w:rPr>
                <w:rFonts w:hint="default" w:ascii="Times New Roman" w:hAnsi="Times New Roman" w:eastAsia="仿宋" w:cs="Times New Roman"/>
                <w:color w:val="0000FF"/>
                <w:sz w:val="24"/>
                <w:highlight w:val="none"/>
              </w:rPr>
              <w:t>，捕集率以</w:t>
            </w:r>
            <w:r>
              <w:rPr>
                <w:rFonts w:hint="eastAsia" w:eastAsia="仿宋" w:cs="Times New Roman"/>
                <w:color w:val="0000FF"/>
                <w:sz w:val="24"/>
                <w:highlight w:val="none"/>
                <w:lang w:val="en-US" w:eastAsia="zh-CN"/>
              </w:rPr>
              <w:t>99</w:t>
            </w:r>
            <w:r>
              <w:rPr>
                <w:rFonts w:hint="default" w:ascii="Times New Roman" w:hAnsi="Times New Roman" w:eastAsia="仿宋" w:cs="Times New Roman"/>
                <w:color w:val="0000FF"/>
                <w:sz w:val="24"/>
                <w:highlight w:val="none"/>
              </w:rPr>
              <w:t>%计，则</w:t>
            </w:r>
            <w:r>
              <w:rPr>
                <w:rFonts w:hint="eastAsia" w:ascii="Times New Roman" w:hAnsi="Times New Roman" w:eastAsia="仿宋" w:cs="Times New Roman"/>
                <w:color w:val="0000FF"/>
                <w:sz w:val="24"/>
                <w:highlight w:val="none"/>
                <w:lang w:val="en-US" w:eastAsia="zh-CN"/>
              </w:rPr>
              <w:t>植绒、筛毛</w:t>
            </w:r>
            <w:r>
              <w:rPr>
                <w:rFonts w:hint="default" w:ascii="Times New Roman" w:hAnsi="Times New Roman" w:eastAsia="仿宋" w:cs="Times New Roman"/>
                <w:color w:val="0000FF"/>
                <w:sz w:val="24"/>
                <w:highlight w:val="none"/>
              </w:rPr>
              <w:t>中</w:t>
            </w:r>
            <w:r>
              <w:rPr>
                <w:rFonts w:hint="eastAsia" w:ascii="Times New Roman" w:hAnsi="Times New Roman" w:eastAsia="仿宋" w:cs="Times New Roman"/>
                <w:color w:val="0000FF"/>
                <w:sz w:val="24"/>
                <w:highlight w:val="none"/>
                <w:lang w:val="en-US" w:eastAsia="zh-CN"/>
              </w:rPr>
              <w:t>颗粒物</w:t>
            </w:r>
            <w:r>
              <w:rPr>
                <w:rFonts w:hint="default" w:ascii="Times New Roman" w:hAnsi="Times New Roman" w:eastAsia="仿宋" w:cs="Times New Roman"/>
                <w:color w:val="0000FF"/>
                <w:sz w:val="24"/>
                <w:highlight w:val="none"/>
              </w:rPr>
              <w:t>有组</w:t>
            </w:r>
            <w:r>
              <w:rPr>
                <w:rFonts w:hint="default" w:ascii="Times New Roman" w:hAnsi="Times New Roman" w:eastAsia="仿宋" w:cs="Times New Roman"/>
                <w:color w:val="0000FF"/>
                <w:sz w:val="24"/>
              </w:rPr>
              <w:t>织产生量</w:t>
            </w:r>
            <w:r>
              <w:rPr>
                <w:rFonts w:hint="eastAsia" w:eastAsia="仿宋" w:cs="Times New Roman"/>
                <w:color w:val="0000FF"/>
                <w:sz w:val="24"/>
                <w:lang w:val="en-US" w:eastAsia="zh-CN"/>
              </w:rPr>
              <w:t>分</w:t>
            </w:r>
            <w:r>
              <w:rPr>
                <w:rFonts w:hint="default" w:ascii="Times New Roman" w:hAnsi="Times New Roman" w:eastAsia="仿宋" w:cs="Times New Roman"/>
                <w:color w:val="0000FF"/>
                <w:sz w:val="24"/>
              </w:rPr>
              <w:t>为</w:t>
            </w:r>
            <w:r>
              <w:rPr>
                <w:rFonts w:hint="eastAsia" w:ascii="Times New Roman" w:hAnsi="Times New Roman" w:eastAsia="仿宋" w:cs="Times New Roman"/>
                <w:color w:val="0000FF"/>
                <w:sz w:val="24"/>
                <w:highlight w:val="none"/>
                <w:lang w:val="en-US" w:eastAsia="zh-CN"/>
              </w:rPr>
              <w:t>0.</w:t>
            </w:r>
            <w:r>
              <w:rPr>
                <w:rFonts w:hint="eastAsia" w:eastAsia="仿宋" w:cs="Times New Roman"/>
                <w:color w:val="0000FF"/>
                <w:sz w:val="24"/>
                <w:highlight w:val="none"/>
                <w:lang w:val="en-US" w:eastAsia="zh-CN"/>
              </w:rPr>
              <w:t>753</w:t>
            </w:r>
            <w:r>
              <w:rPr>
                <w:rFonts w:hint="default" w:ascii="Times New Roman" w:hAnsi="Times New Roman" w:eastAsia="仿宋" w:cs="Times New Roman"/>
                <w:color w:val="0000FF"/>
                <w:sz w:val="24"/>
                <w:highlight w:val="none"/>
              </w:rPr>
              <w:t>t/a</w:t>
            </w:r>
            <w:r>
              <w:rPr>
                <w:rFonts w:hint="eastAsia" w:eastAsia="仿宋" w:cs="Times New Roman"/>
                <w:color w:val="0000FF"/>
                <w:sz w:val="24"/>
                <w:highlight w:val="none"/>
                <w:lang w:eastAsia="zh-CN"/>
              </w:rPr>
              <w:t>、</w:t>
            </w:r>
            <w:r>
              <w:rPr>
                <w:rFonts w:hint="eastAsia" w:eastAsia="仿宋" w:cs="Times New Roman"/>
                <w:color w:val="0000FF"/>
                <w:sz w:val="24"/>
                <w:highlight w:val="none"/>
                <w:lang w:val="en-US" w:eastAsia="zh-CN"/>
              </w:rPr>
              <w:t>0.04t/a</w:t>
            </w:r>
            <w:r>
              <w:rPr>
                <w:rFonts w:hint="eastAsia" w:ascii="Times New Roman" w:hAnsi="Times New Roman" w:eastAsia="仿宋" w:cs="Times New Roman"/>
                <w:color w:val="0000FF"/>
                <w:sz w:val="24"/>
                <w:highlight w:val="none"/>
                <w:lang w:eastAsia="zh-CN"/>
              </w:rPr>
              <w:t>。</w:t>
            </w:r>
          </w:p>
          <w:p w14:paraId="05E8D475">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sz w:val="24"/>
                <w:highlight w:val="none"/>
              </w:rPr>
              <w:t>本项目</w:t>
            </w:r>
            <w:r>
              <w:rPr>
                <w:rFonts w:hint="eastAsia" w:ascii="Times New Roman" w:hAnsi="Times New Roman" w:eastAsia="仿宋" w:cs="Times New Roman"/>
                <w:sz w:val="24"/>
                <w:highlight w:val="none"/>
                <w:lang w:val="en-US" w:eastAsia="zh-CN"/>
              </w:rPr>
              <w:t>有组织废气</w:t>
            </w:r>
            <w:r>
              <w:rPr>
                <w:rFonts w:hint="default" w:ascii="Times New Roman" w:hAnsi="Times New Roman" w:eastAsia="仿宋" w:cs="Times New Roman"/>
                <w:sz w:val="24"/>
                <w:highlight w:val="none"/>
              </w:rPr>
              <w:t>产生情况</w:t>
            </w:r>
            <w:r>
              <w:rPr>
                <w:rFonts w:hint="eastAsia" w:ascii="Times New Roman" w:hAnsi="Times New Roman" w:eastAsia="仿宋" w:cs="Times New Roman"/>
                <w:color w:val="auto"/>
                <w:sz w:val="24"/>
                <w:highlight w:val="none"/>
                <w:lang w:val="en-US" w:eastAsia="zh-CN"/>
              </w:rPr>
              <w:t>见下表</w:t>
            </w:r>
            <w:r>
              <w:rPr>
                <w:rFonts w:hint="default" w:ascii="Times New Roman" w:hAnsi="Times New Roman" w:eastAsia="仿宋" w:cs="Times New Roman"/>
                <w:color w:val="auto"/>
                <w:sz w:val="24"/>
                <w:highlight w:val="none"/>
              </w:rPr>
              <w:t>：</w:t>
            </w:r>
          </w:p>
          <w:p w14:paraId="339EAB23">
            <w:pPr>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 xml:space="preserve">表4-1  </w:t>
            </w:r>
            <w:r>
              <w:rPr>
                <w:rFonts w:hint="eastAsia" w:ascii="Times New Roman" w:hAnsi="Times New Roman" w:eastAsia="仿宋" w:cs="Times New Roman"/>
                <w:b/>
                <w:color w:val="auto"/>
                <w:sz w:val="24"/>
                <w:highlight w:val="none"/>
                <w:lang w:val="en-US" w:eastAsia="zh-CN"/>
              </w:rPr>
              <w:t>有组织</w:t>
            </w:r>
            <w:r>
              <w:rPr>
                <w:rFonts w:hint="default" w:ascii="Times New Roman" w:hAnsi="Times New Roman" w:eastAsia="仿宋" w:cs="Times New Roman"/>
                <w:b/>
                <w:color w:val="auto"/>
                <w:sz w:val="24"/>
                <w:highlight w:val="none"/>
                <w:lang w:val="en-US" w:eastAsia="zh-CN"/>
              </w:rPr>
              <w:t>废气</w:t>
            </w:r>
            <w:r>
              <w:rPr>
                <w:rFonts w:hint="default" w:ascii="Times New Roman" w:hAnsi="Times New Roman" w:eastAsia="仿宋" w:cs="Times New Roman"/>
                <w:b/>
                <w:color w:val="auto"/>
                <w:sz w:val="24"/>
                <w:highlight w:val="none"/>
              </w:rPr>
              <w:t>产生情况表</w:t>
            </w:r>
          </w:p>
          <w:tbl>
            <w:tblPr>
              <w:tblStyle w:val="29"/>
              <w:tblW w:w="506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531"/>
              <w:gridCol w:w="1544"/>
              <w:gridCol w:w="1592"/>
              <w:gridCol w:w="1424"/>
              <w:gridCol w:w="1484"/>
            </w:tblGrid>
            <w:tr w14:paraId="7C8A5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1" w:hRule="atLeast"/>
                <w:jc w:val="center"/>
              </w:trPr>
              <w:tc>
                <w:tcPr>
                  <w:tcW w:w="1475" w:type="pct"/>
                  <w:vMerge w:val="restart"/>
                  <w:vAlign w:val="center"/>
                </w:tcPr>
                <w:p w14:paraId="3D2EE979">
                  <w:pPr>
                    <w:contextualSpacing/>
                    <w:jc w:val="center"/>
                    <w:rPr>
                      <w:rFonts w:eastAsia="仿宋"/>
                      <w:b/>
                      <w:bCs/>
                      <w:szCs w:val="21"/>
                    </w:rPr>
                  </w:pPr>
                  <w:r>
                    <w:rPr>
                      <w:rFonts w:eastAsia="仿宋"/>
                      <w:b/>
                      <w:bCs/>
                      <w:szCs w:val="21"/>
                    </w:rPr>
                    <w:t>污染源名称</w:t>
                  </w:r>
                </w:p>
              </w:tc>
              <w:tc>
                <w:tcPr>
                  <w:tcW w:w="900" w:type="pct"/>
                  <w:vMerge w:val="restart"/>
                  <w:vAlign w:val="center"/>
                </w:tcPr>
                <w:p w14:paraId="0A3676B2">
                  <w:pPr>
                    <w:contextualSpacing/>
                    <w:jc w:val="center"/>
                    <w:rPr>
                      <w:rFonts w:eastAsia="仿宋"/>
                      <w:b/>
                      <w:bCs/>
                      <w:szCs w:val="21"/>
                    </w:rPr>
                  </w:pPr>
                  <w:r>
                    <w:rPr>
                      <w:rFonts w:eastAsia="仿宋"/>
                      <w:b/>
                      <w:bCs/>
                      <w:szCs w:val="21"/>
                    </w:rPr>
                    <w:t>污染物</w:t>
                  </w:r>
                </w:p>
                <w:p w14:paraId="523C5C36">
                  <w:pPr>
                    <w:contextualSpacing/>
                    <w:jc w:val="center"/>
                    <w:rPr>
                      <w:rFonts w:eastAsia="仿宋"/>
                      <w:b/>
                      <w:bCs/>
                      <w:szCs w:val="21"/>
                    </w:rPr>
                  </w:pPr>
                  <w:r>
                    <w:rPr>
                      <w:rFonts w:eastAsia="仿宋"/>
                      <w:b/>
                      <w:bCs/>
                      <w:szCs w:val="21"/>
                    </w:rPr>
                    <w:t>名称</w:t>
                  </w:r>
                </w:p>
              </w:tc>
              <w:tc>
                <w:tcPr>
                  <w:tcW w:w="1758" w:type="pct"/>
                  <w:gridSpan w:val="2"/>
                  <w:vAlign w:val="center"/>
                </w:tcPr>
                <w:p w14:paraId="63A87932">
                  <w:pPr>
                    <w:contextualSpacing/>
                    <w:jc w:val="center"/>
                    <w:rPr>
                      <w:rFonts w:eastAsia="仿宋"/>
                      <w:b/>
                      <w:bCs/>
                      <w:szCs w:val="21"/>
                    </w:rPr>
                  </w:pPr>
                  <w:r>
                    <w:rPr>
                      <w:rFonts w:eastAsia="仿宋"/>
                      <w:b/>
                      <w:bCs/>
                      <w:szCs w:val="21"/>
                    </w:rPr>
                    <w:t>产生情况</w:t>
                  </w:r>
                </w:p>
              </w:tc>
              <w:tc>
                <w:tcPr>
                  <w:tcW w:w="865" w:type="pct"/>
                  <w:vMerge w:val="restart"/>
                  <w:vAlign w:val="center"/>
                </w:tcPr>
                <w:p w14:paraId="1EC116AD">
                  <w:pPr>
                    <w:contextualSpacing/>
                    <w:jc w:val="center"/>
                    <w:rPr>
                      <w:rFonts w:eastAsia="仿宋"/>
                      <w:b/>
                      <w:bCs/>
                      <w:szCs w:val="21"/>
                    </w:rPr>
                  </w:pPr>
                  <w:r>
                    <w:rPr>
                      <w:rFonts w:eastAsia="仿宋"/>
                      <w:b/>
                      <w:bCs/>
                      <w:szCs w:val="21"/>
                    </w:rPr>
                    <w:t>年</w:t>
                  </w:r>
                  <w:r>
                    <w:rPr>
                      <w:rFonts w:hint="eastAsia" w:eastAsia="仿宋"/>
                      <w:b/>
                      <w:bCs/>
                      <w:szCs w:val="21"/>
                    </w:rPr>
                    <w:t>排放</w:t>
                  </w:r>
                  <w:r>
                    <w:rPr>
                      <w:rFonts w:eastAsia="仿宋"/>
                      <w:b/>
                      <w:bCs/>
                      <w:szCs w:val="21"/>
                    </w:rPr>
                    <w:t>时间h</w:t>
                  </w:r>
                </w:p>
              </w:tc>
            </w:tr>
            <w:tr w14:paraId="01DAA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1" w:hRule="atLeast"/>
                <w:jc w:val="center"/>
              </w:trPr>
              <w:tc>
                <w:tcPr>
                  <w:tcW w:w="1475" w:type="pct"/>
                  <w:vMerge w:val="continue"/>
                  <w:vAlign w:val="center"/>
                </w:tcPr>
                <w:p w14:paraId="3E5AA944">
                  <w:pPr>
                    <w:contextualSpacing/>
                    <w:rPr>
                      <w:rFonts w:eastAsia="仿宋"/>
                      <w:b/>
                      <w:bCs/>
                      <w:szCs w:val="21"/>
                    </w:rPr>
                  </w:pPr>
                </w:p>
              </w:tc>
              <w:tc>
                <w:tcPr>
                  <w:tcW w:w="900" w:type="pct"/>
                  <w:vMerge w:val="continue"/>
                  <w:vAlign w:val="center"/>
                </w:tcPr>
                <w:p w14:paraId="5275E103">
                  <w:pPr>
                    <w:contextualSpacing/>
                    <w:rPr>
                      <w:rFonts w:eastAsia="仿宋"/>
                      <w:b/>
                      <w:bCs/>
                      <w:szCs w:val="21"/>
                    </w:rPr>
                  </w:pPr>
                </w:p>
              </w:tc>
              <w:tc>
                <w:tcPr>
                  <w:tcW w:w="928" w:type="pct"/>
                  <w:tcMar>
                    <w:top w:w="0" w:type="dxa"/>
                    <w:left w:w="28" w:type="dxa"/>
                    <w:bottom w:w="0" w:type="dxa"/>
                    <w:right w:w="28" w:type="dxa"/>
                  </w:tcMar>
                  <w:vAlign w:val="center"/>
                </w:tcPr>
                <w:p w14:paraId="338193BE">
                  <w:pPr>
                    <w:contextualSpacing/>
                    <w:jc w:val="center"/>
                    <w:rPr>
                      <w:rFonts w:eastAsia="仿宋"/>
                      <w:b/>
                      <w:bCs/>
                      <w:szCs w:val="21"/>
                    </w:rPr>
                  </w:pPr>
                  <w:r>
                    <w:rPr>
                      <w:rFonts w:eastAsia="仿宋"/>
                      <w:b/>
                      <w:bCs/>
                      <w:szCs w:val="21"/>
                    </w:rPr>
                    <w:t>产生量t/a</w:t>
                  </w:r>
                </w:p>
              </w:tc>
              <w:tc>
                <w:tcPr>
                  <w:tcW w:w="830" w:type="pct"/>
                  <w:vAlign w:val="center"/>
                </w:tcPr>
                <w:p w14:paraId="4DC0CE7D">
                  <w:pPr>
                    <w:contextualSpacing/>
                    <w:jc w:val="center"/>
                    <w:rPr>
                      <w:rFonts w:eastAsia="仿宋"/>
                      <w:b/>
                      <w:bCs/>
                      <w:szCs w:val="21"/>
                    </w:rPr>
                  </w:pPr>
                  <w:r>
                    <w:rPr>
                      <w:rFonts w:eastAsia="仿宋"/>
                      <w:b/>
                      <w:bCs/>
                      <w:szCs w:val="21"/>
                    </w:rPr>
                    <w:t>速率kg/h</w:t>
                  </w:r>
                </w:p>
              </w:tc>
              <w:tc>
                <w:tcPr>
                  <w:tcW w:w="865" w:type="pct"/>
                  <w:vMerge w:val="continue"/>
                  <w:vAlign w:val="center"/>
                </w:tcPr>
                <w:p w14:paraId="7C4F5481">
                  <w:pPr>
                    <w:contextualSpacing/>
                    <w:rPr>
                      <w:rFonts w:eastAsia="仿宋"/>
                      <w:b/>
                      <w:bCs/>
                      <w:szCs w:val="21"/>
                    </w:rPr>
                  </w:pPr>
                </w:p>
              </w:tc>
            </w:tr>
            <w:tr w14:paraId="5E72B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80" w:hRule="atLeast"/>
                <w:jc w:val="center"/>
              </w:trPr>
              <w:tc>
                <w:tcPr>
                  <w:tcW w:w="1475" w:type="pct"/>
                  <w:vAlign w:val="center"/>
                </w:tcPr>
                <w:p w14:paraId="4FD5B68C">
                  <w:pPr>
                    <w:contextualSpacing/>
                    <w:jc w:val="center"/>
                    <w:rPr>
                      <w:rFonts w:hint="eastAsia" w:eastAsia="仿宋"/>
                      <w:szCs w:val="21"/>
                      <w:lang w:eastAsia="zh-CN"/>
                    </w:rPr>
                  </w:pPr>
                  <w:r>
                    <w:rPr>
                      <w:rFonts w:hint="eastAsia" w:eastAsia="仿宋"/>
                      <w:szCs w:val="21"/>
                      <w:lang w:val="en-US" w:eastAsia="zh-CN"/>
                    </w:rPr>
                    <w:t>注塑</w:t>
                  </w:r>
                </w:p>
              </w:tc>
              <w:tc>
                <w:tcPr>
                  <w:tcW w:w="900" w:type="pct"/>
                  <w:vAlign w:val="center"/>
                </w:tcPr>
                <w:p w14:paraId="0CAC73CF">
                  <w:pPr>
                    <w:contextualSpacing/>
                    <w:jc w:val="center"/>
                    <w:rPr>
                      <w:rFonts w:eastAsia="仿宋"/>
                      <w:bCs/>
                      <w:szCs w:val="21"/>
                    </w:rPr>
                  </w:pPr>
                  <w:r>
                    <w:rPr>
                      <w:rFonts w:eastAsia="仿宋"/>
                      <w:bCs/>
                      <w:szCs w:val="21"/>
                    </w:rPr>
                    <w:t>非甲烷总烃</w:t>
                  </w:r>
                </w:p>
              </w:tc>
              <w:tc>
                <w:tcPr>
                  <w:tcW w:w="928" w:type="pct"/>
                  <w:tcMar>
                    <w:top w:w="0" w:type="dxa"/>
                    <w:left w:w="28" w:type="dxa"/>
                    <w:bottom w:w="0" w:type="dxa"/>
                    <w:right w:w="28" w:type="dxa"/>
                  </w:tcMar>
                  <w:vAlign w:val="center"/>
                </w:tcPr>
                <w:p w14:paraId="41E583E9">
                  <w:pPr>
                    <w:contextualSpacing/>
                    <w:jc w:val="center"/>
                    <w:rPr>
                      <w:rFonts w:hint="default" w:eastAsia="仿宋"/>
                      <w:bCs/>
                      <w:szCs w:val="21"/>
                      <w:lang w:val="en-US" w:eastAsia="zh-CN"/>
                    </w:rPr>
                  </w:pPr>
                  <w:r>
                    <w:rPr>
                      <w:rFonts w:hint="eastAsia" w:eastAsia="仿宋"/>
                      <w:bCs/>
                      <w:szCs w:val="21"/>
                      <w:lang w:val="en-US" w:eastAsia="zh-CN"/>
                    </w:rPr>
                    <w:t>0.243</w:t>
                  </w:r>
                </w:p>
              </w:tc>
              <w:tc>
                <w:tcPr>
                  <w:tcW w:w="830" w:type="pct"/>
                  <w:vAlign w:val="center"/>
                </w:tcPr>
                <w:p w14:paraId="208709A0">
                  <w:pPr>
                    <w:contextualSpacing/>
                    <w:jc w:val="center"/>
                    <w:rPr>
                      <w:rFonts w:hint="default" w:eastAsia="仿宋"/>
                      <w:bCs/>
                      <w:szCs w:val="21"/>
                      <w:lang w:val="en-US" w:eastAsia="zh-CN"/>
                    </w:rPr>
                  </w:pPr>
                  <w:r>
                    <w:rPr>
                      <w:rFonts w:hint="eastAsia" w:eastAsia="仿宋"/>
                      <w:bCs/>
                      <w:szCs w:val="21"/>
                      <w:lang w:val="en-US" w:eastAsia="zh-CN"/>
                    </w:rPr>
                    <w:t>0.034</w:t>
                  </w:r>
                </w:p>
              </w:tc>
              <w:tc>
                <w:tcPr>
                  <w:tcW w:w="865" w:type="pct"/>
                  <w:vAlign w:val="center"/>
                </w:tcPr>
                <w:p w14:paraId="5198A35E">
                  <w:pPr>
                    <w:contextualSpacing/>
                    <w:jc w:val="center"/>
                    <w:rPr>
                      <w:rFonts w:hint="default" w:eastAsia="仿宋"/>
                      <w:bCs/>
                      <w:szCs w:val="21"/>
                      <w:lang w:val="en-US" w:eastAsia="zh-CN"/>
                    </w:rPr>
                  </w:pPr>
                  <w:r>
                    <w:rPr>
                      <w:rFonts w:hint="eastAsia" w:eastAsia="仿宋"/>
                      <w:bCs/>
                      <w:szCs w:val="21"/>
                      <w:lang w:val="en-US" w:eastAsia="zh-CN"/>
                    </w:rPr>
                    <w:t>7200</w:t>
                  </w:r>
                </w:p>
              </w:tc>
            </w:tr>
            <w:tr w14:paraId="6C787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49" w:hRule="atLeast"/>
                <w:jc w:val="center"/>
              </w:trPr>
              <w:tc>
                <w:tcPr>
                  <w:tcW w:w="1475" w:type="pct"/>
                  <w:vAlign w:val="center"/>
                </w:tcPr>
                <w:p w14:paraId="3952EFE1">
                  <w:pPr>
                    <w:jc w:val="center"/>
                    <w:rPr>
                      <w:rFonts w:hint="default" w:eastAsia="仿宋"/>
                      <w:bCs/>
                      <w:szCs w:val="21"/>
                      <w:lang w:val="en-US" w:eastAsia="zh-CN"/>
                    </w:rPr>
                  </w:pPr>
                  <w:r>
                    <w:rPr>
                      <w:rFonts w:hint="eastAsia" w:eastAsia="仿宋"/>
                      <w:bCs/>
                      <w:szCs w:val="21"/>
                      <w:lang w:val="en-US" w:eastAsia="zh-CN"/>
                    </w:rPr>
                    <w:t>上胶、烘干</w:t>
                  </w:r>
                </w:p>
              </w:tc>
              <w:tc>
                <w:tcPr>
                  <w:tcW w:w="900" w:type="pct"/>
                </w:tcPr>
                <w:p w14:paraId="25CBE2C0">
                  <w:pPr>
                    <w:jc w:val="center"/>
                    <w:rPr>
                      <w:rFonts w:hint="eastAsia" w:eastAsia="仿宋"/>
                      <w:bCs/>
                      <w:szCs w:val="21"/>
                      <w:lang w:eastAsia="zh-CN"/>
                    </w:rPr>
                  </w:pPr>
                  <w:r>
                    <w:rPr>
                      <w:rFonts w:eastAsia="仿宋"/>
                      <w:bCs/>
                      <w:szCs w:val="21"/>
                    </w:rPr>
                    <w:t>非甲烷总烃</w:t>
                  </w:r>
                </w:p>
              </w:tc>
              <w:tc>
                <w:tcPr>
                  <w:tcW w:w="928" w:type="pct"/>
                  <w:tcMar>
                    <w:top w:w="0" w:type="dxa"/>
                    <w:left w:w="28" w:type="dxa"/>
                    <w:bottom w:w="0" w:type="dxa"/>
                    <w:right w:w="28" w:type="dxa"/>
                  </w:tcMar>
                  <w:vAlign w:val="center"/>
                </w:tcPr>
                <w:p w14:paraId="3A7FE756">
                  <w:pPr>
                    <w:contextualSpacing/>
                    <w:jc w:val="center"/>
                    <w:rPr>
                      <w:rFonts w:hint="default" w:eastAsia="仿宋"/>
                      <w:bCs/>
                      <w:szCs w:val="21"/>
                      <w:lang w:val="en-US" w:eastAsia="zh-CN"/>
                    </w:rPr>
                  </w:pPr>
                  <w:r>
                    <w:rPr>
                      <w:rFonts w:hint="eastAsia" w:eastAsia="仿宋"/>
                      <w:bCs/>
                      <w:szCs w:val="21"/>
                      <w:lang w:val="en-US" w:eastAsia="zh-CN"/>
                    </w:rPr>
                    <w:t>0.051</w:t>
                  </w:r>
                </w:p>
              </w:tc>
              <w:tc>
                <w:tcPr>
                  <w:tcW w:w="830" w:type="pct"/>
                  <w:vAlign w:val="center"/>
                </w:tcPr>
                <w:p w14:paraId="188F7C36">
                  <w:pPr>
                    <w:contextualSpacing/>
                    <w:jc w:val="center"/>
                    <w:rPr>
                      <w:rFonts w:hint="default" w:eastAsia="仿宋"/>
                      <w:bCs/>
                      <w:szCs w:val="21"/>
                      <w:lang w:val="en-US" w:eastAsia="zh-CN"/>
                    </w:rPr>
                  </w:pPr>
                  <w:r>
                    <w:rPr>
                      <w:rFonts w:hint="eastAsia" w:eastAsia="仿宋"/>
                      <w:bCs/>
                      <w:szCs w:val="21"/>
                      <w:lang w:val="en-US" w:eastAsia="zh-CN"/>
                    </w:rPr>
                    <w:t>0.007</w:t>
                  </w:r>
                </w:p>
              </w:tc>
              <w:tc>
                <w:tcPr>
                  <w:tcW w:w="865" w:type="pct"/>
                </w:tcPr>
                <w:p w14:paraId="4FE55D53">
                  <w:pPr>
                    <w:jc w:val="center"/>
                    <w:rPr>
                      <w:rFonts w:eastAsia="仿宋"/>
                      <w:bCs/>
                      <w:szCs w:val="21"/>
                    </w:rPr>
                  </w:pPr>
                  <w:r>
                    <w:rPr>
                      <w:rFonts w:hint="eastAsia" w:eastAsia="仿宋"/>
                      <w:bCs/>
                      <w:szCs w:val="21"/>
                      <w:lang w:val="en-US" w:eastAsia="zh-CN"/>
                    </w:rPr>
                    <w:t>7200</w:t>
                  </w:r>
                </w:p>
              </w:tc>
            </w:tr>
            <w:tr w14:paraId="080CE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49" w:hRule="atLeast"/>
                <w:jc w:val="center"/>
              </w:trPr>
              <w:tc>
                <w:tcPr>
                  <w:tcW w:w="1475" w:type="pct"/>
                  <w:vAlign w:val="center"/>
                </w:tcPr>
                <w:p w14:paraId="790E78A5">
                  <w:pPr>
                    <w:jc w:val="center"/>
                    <w:rPr>
                      <w:rFonts w:hint="eastAsia" w:eastAsia="仿宋"/>
                      <w:bCs/>
                      <w:szCs w:val="21"/>
                      <w:lang w:val="en-US" w:eastAsia="zh-CN"/>
                    </w:rPr>
                  </w:pPr>
                  <w:r>
                    <w:rPr>
                      <w:rFonts w:hint="eastAsia" w:eastAsia="仿宋"/>
                      <w:bCs/>
                      <w:szCs w:val="21"/>
                      <w:lang w:val="en-US" w:eastAsia="zh-CN"/>
                    </w:rPr>
                    <w:t>固化</w:t>
                  </w:r>
                </w:p>
              </w:tc>
              <w:tc>
                <w:tcPr>
                  <w:tcW w:w="900" w:type="pct"/>
                </w:tcPr>
                <w:p w14:paraId="44647C91">
                  <w:pPr>
                    <w:jc w:val="center"/>
                    <w:rPr>
                      <w:rFonts w:eastAsia="仿宋"/>
                      <w:bCs/>
                      <w:szCs w:val="21"/>
                    </w:rPr>
                  </w:pPr>
                  <w:r>
                    <w:rPr>
                      <w:rFonts w:eastAsia="仿宋"/>
                      <w:bCs/>
                      <w:szCs w:val="21"/>
                    </w:rPr>
                    <w:t>非甲烷总烃</w:t>
                  </w:r>
                </w:p>
              </w:tc>
              <w:tc>
                <w:tcPr>
                  <w:tcW w:w="928" w:type="pct"/>
                  <w:tcMar>
                    <w:top w:w="0" w:type="dxa"/>
                    <w:left w:w="28" w:type="dxa"/>
                    <w:bottom w:w="0" w:type="dxa"/>
                    <w:right w:w="28" w:type="dxa"/>
                  </w:tcMar>
                  <w:vAlign w:val="center"/>
                </w:tcPr>
                <w:p w14:paraId="296CDD2E">
                  <w:pPr>
                    <w:contextualSpacing/>
                    <w:jc w:val="center"/>
                    <w:rPr>
                      <w:rFonts w:hint="default" w:eastAsia="仿宋"/>
                      <w:bCs/>
                      <w:szCs w:val="21"/>
                      <w:lang w:val="en-US" w:eastAsia="zh-CN"/>
                    </w:rPr>
                  </w:pPr>
                  <w:r>
                    <w:rPr>
                      <w:rFonts w:hint="eastAsia" w:eastAsia="仿宋"/>
                      <w:bCs/>
                      <w:szCs w:val="21"/>
                      <w:lang w:val="en-US" w:eastAsia="zh-CN"/>
                    </w:rPr>
                    <w:t>0.031</w:t>
                  </w:r>
                </w:p>
              </w:tc>
              <w:tc>
                <w:tcPr>
                  <w:tcW w:w="830" w:type="pct"/>
                  <w:vAlign w:val="center"/>
                </w:tcPr>
                <w:p w14:paraId="18854EA9">
                  <w:pPr>
                    <w:contextualSpacing/>
                    <w:jc w:val="center"/>
                    <w:rPr>
                      <w:rFonts w:hint="default" w:eastAsia="仿宋"/>
                      <w:bCs/>
                      <w:szCs w:val="21"/>
                      <w:lang w:val="en-US" w:eastAsia="zh-CN"/>
                    </w:rPr>
                  </w:pPr>
                  <w:r>
                    <w:rPr>
                      <w:rFonts w:hint="eastAsia" w:eastAsia="仿宋"/>
                      <w:bCs/>
                      <w:szCs w:val="21"/>
                      <w:lang w:val="en-US" w:eastAsia="zh-CN"/>
                    </w:rPr>
                    <w:t>0.004</w:t>
                  </w:r>
                </w:p>
              </w:tc>
              <w:tc>
                <w:tcPr>
                  <w:tcW w:w="865" w:type="pct"/>
                </w:tcPr>
                <w:p w14:paraId="40B2A68C">
                  <w:pPr>
                    <w:jc w:val="center"/>
                    <w:rPr>
                      <w:rFonts w:hint="default" w:eastAsia="仿宋"/>
                      <w:bCs/>
                      <w:szCs w:val="21"/>
                      <w:lang w:val="en-US" w:eastAsia="zh-CN"/>
                    </w:rPr>
                  </w:pPr>
                  <w:r>
                    <w:rPr>
                      <w:rFonts w:hint="eastAsia" w:eastAsia="仿宋"/>
                      <w:bCs/>
                      <w:szCs w:val="21"/>
                      <w:lang w:val="en-US" w:eastAsia="zh-CN"/>
                    </w:rPr>
                    <w:t>7200</w:t>
                  </w:r>
                </w:p>
              </w:tc>
            </w:tr>
            <w:tr w14:paraId="3A5A3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49" w:hRule="atLeast"/>
                <w:jc w:val="center"/>
              </w:trPr>
              <w:tc>
                <w:tcPr>
                  <w:tcW w:w="1475" w:type="pct"/>
                  <w:vAlign w:val="center"/>
                </w:tcPr>
                <w:p w14:paraId="191A72F8">
                  <w:pPr>
                    <w:jc w:val="center"/>
                    <w:rPr>
                      <w:rFonts w:hint="default" w:eastAsia="仿宋"/>
                      <w:bCs/>
                      <w:color w:val="0000FF"/>
                      <w:szCs w:val="21"/>
                      <w:lang w:val="en-US" w:eastAsia="zh-CN"/>
                    </w:rPr>
                  </w:pPr>
                  <w:r>
                    <w:rPr>
                      <w:rFonts w:hint="eastAsia" w:eastAsia="仿宋"/>
                      <w:bCs/>
                      <w:color w:val="0000FF"/>
                      <w:szCs w:val="21"/>
                      <w:lang w:val="en-US" w:eastAsia="zh-CN"/>
                    </w:rPr>
                    <w:t>植绒</w:t>
                  </w:r>
                </w:p>
              </w:tc>
              <w:tc>
                <w:tcPr>
                  <w:tcW w:w="900" w:type="pct"/>
                </w:tcPr>
                <w:p w14:paraId="02994D6E">
                  <w:pPr>
                    <w:jc w:val="center"/>
                    <w:rPr>
                      <w:rFonts w:hint="eastAsia" w:eastAsia="仿宋"/>
                      <w:bCs/>
                      <w:color w:val="0000FF"/>
                      <w:szCs w:val="21"/>
                      <w:lang w:val="en-US" w:eastAsia="zh-CN"/>
                    </w:rPr>
                  </w:pPr>
                  <w:r>
                    <w:rPr>
                      <w:rFonts w:hint="eastAsia" w:eastAsia="仿宋"/>
                      <w:bCs/>
                      <w:color w:val="0000FF"/>
                      <w:szCs w:val="21"/>
                      <w:lang w:val="en-US" w:eastAsia="zh-CN"/>
                    </w:rPr>
                    <w:t>颗粒物</w:t>
                  </w:r>
                </w:p>
              </w:tc>
              <w:tc>
                <w:tcPr>
                  <w:tcW w:w="928" w:type="pct"/>
                  <w:tcMar>
                    <w:top w:w="0" w:type="dxa"/>
                    <w:left w:w="28" w:type="dxa"/>
                    <w:bottom w:w="0" w:type="dxa"/>
                    <w:right w:w="28" w:type="dxa"/>
                  </w:tcMar>
                  <w:vAlign w:val="center"/>
                </w:tcPr>
                <w:p w14:paraId="0118F7BD">
                  <w:pPr>
                    <w:contextualSpacing/>
                    <w:jc w:val="center"/>
                    <w:rPr>
                      <w:rFonts w:hint="default" w:eastAsia="仿宋"/>
                      <w:bCs/>
                      <w:color w:val="0000FF"/>
                      <w:szCs w:val="21"/>
                      <w:lang w:val="en-US" w:eastAsia="zh-CN"/>
                    </w:rPr>
                  </w:pPr>
                  <w:r>
                    <w:rPr>
                      <w:rFonts w:hint="eastAsia" w:eastAsia="仿宋"/>
                      <w:bCs/>
                      <w:color w:val="0000FF"/>
                      <w:szCs w:val="21"/>
                      <w:lang w:val="en-US" w:eastAsia="zh-CN"/>
                    </w:rPr>
                    <w:t>0.752</w:t>
                  </w:r>
                </w:p>
              </w:tc>
              <w:tc>
                <w:tcPr>
                  <w:tcW w:w="830" w:type="pct"/>
                  <w:vAlign w:val="center"/>
                </w:tcPr>
                <w:p w14:paraId="19587756">
                  <w:pPr>
                    <w:contextualSpacing/>
                    <w:jc w:val="center"/>
                    <w:rPr>
                      <w:rFonts w:hint="default" w:eastAsia="仿宋"/>
                      <w:bCs/>
                      <w:color w:val="0000FF"/>
                      <w:szCs w:val="21"/>
                      <w:lang w:val="en-US" w:eastAsia="zh-CN"/>
                    </w:rPr>
                  </w:pPr>
                  <w:r>
                    <w:rPr>
                      <w:rFonts w:hint="eastAsia" w:eastAsia="仿宋"/>
                      <w:bCs/>
                      <w:color w:val="0000FF"/>
                      <w:szCs w:val="21"/>
                      <w:lang w:val="en-US" w:eastAsia="zh-CN"/>
                    </w:rPr>
                    <w:t>0.104</w:t>
                  </w:r>
                </w:p>
              </w:tc>
              <w:tc>
                <w:tcPr>
                  <w:tcW w:w="865" w:type="pct"/>
                </w:tcPr>
                <w:p w14:paraId="68BB4ED9">
                  <w:pPr>
                    <w:jc w:val="center"/>
                    <w:rPr>
                      <w:rFonts w:hint="eastAsia" w:eastAsia="仿宋"/>
                      <w:bCs/>
                      <w:color w:val="0000FF"/>
                      <w:szCs w:val="21"/>
                      <w:lang w:val="en-US" w:eastAsia="zh-CN"/>
                    </w:rPr>
                  </w:pPr>
                  <w:r>
                    <w:rPr>
                      <w:rFonts w:hint="eastAsia" w:eastAsia="仿宋"/>
                      <w:bCs/>
                      <w:color w:val="0000FF"/>
                      <w:szCs w:val="21"/>
                      <w:lang w:val="en-US" w:eastAsia="zh-CN"/>
                    </w:rPr>
                    <w:t>7200</w:t>
                  </w:r>
                </w:p>
              </w:tc>
            </w:tr>
            <w:tr w14:paraId="25A26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49" w:hRule="atLeast"/>
                <w:jc w:val="center"/>
              </w:trPr>
              <w:tc>
                <w:tcPr>
                  <w:tcW w:w="1475" w:type="pct"/>
                  <w:vAlign w:val="center"/>
                </w:tcPr>
                <w:p w14:paraId="1288F86D">
                  <w:pPr>
                    <w:jc w:val="center"/>
                    <w:rPr>
                      <w:rFonts w:hint="eastAsia" w:eastAsia="仿宋"/>
                      <w:bCs/>
                      <w:color w:val="0000FF"/>
                      <w:szCs w:val="21"/>
                      <w:lang w:val="en-US" w:eastAsia="zh-CN"/>
                    </w:rPr>
                  </w:pPr>
                  <w:r>
                    <w:rPr>
                      <w:rFonts w:hint="eastAsia" w:eastAsia="仿宋"/>
                      <w:bCs/>
                      <w:color w:val="0000FF"/>
                      <w:szCs w:val="21"/>
                      <w:lang w:val="en-US" w:eastAsia="zh-CN"/>
                    </w:rPr>
                    <w:t>筛毛</w:t>
                  </w:r>
                </w:p>
              </w:tc>
              <w:tc>
                <w:tcPr>
                  <w:tcW w:w="900" w:type="pct"/>
                </w:tcPr>
                <w:p w14:paraId="4C23CA67">
                  <w:pPr>
                    <w:jc w:val="center"/>
                    <w:rPr>
                      <w:rFonts w:hint="eastAsia" w:eastAsia="仿宋"/>
                      <w:bCs/>
                      <w:color w:val="0000FF"/>
                      <w:szCs w:val="21"/>
                      <w:lang w:val="en-US" w:eastAsia="zh-CN"/>
                    </w:rPr>
                  </w:pPr>
                  <w:r>
                    <w:rPr>
                      <w:rFonts w:hint="eastAsia" w:eastAsia="仿宋"/>
                      <w:bCs/>
                      <w:color w:val="0000FF"/>
                      <w:szCs w:val="21"/>
                      <w:lang w:val="en-US" w:eastAsia="zh-CN"/>
                    </w:rPr>
                    <w:t>颗粒物</w:t>
                  </w:r>
                </w:p>
              </w:tc>
              <w:tc>
                <w:tcPr>
                  <w:tcW w:w="928" w:type="pct"/>
                  <w:tcMar>
                    <w:top w:w="0" w:type="dxa"/>
                    <w:left w:w="28" w:type="dxa"/>
                    <w:bottom w:w="0" w:type="dxa"/>
                    <w:right w:w="28" w:type="dxa"/>
                  </w:tcMar>
                  <w:vAlign w:val="center"/>
                </w:tcPr>
                <w:p w14:paraId="74C28E28">
                  <w:pPr>
                    <w:contextualSpacing/>
                    <w:jc w:val="center"/>
                    <w:rPr>
                      <w:rFonts w:hint="default" w:eastAsia="仿宋"/>
                      <w:bCs/>
                      <w:color w:val="0000FF"/>
                      <w:szCs w:val="21"/>
                      <w:lang w:val="en-US" w:eastAsia="zh-CN"/>
                    </w:rPr>
                  </w:pPr>
                  <w:r>
                    <w:rPr>
                      <w:rFonts w:hint="eastAsia" w:eastAsia="仿宋"/>
                      <w:bCs/>
                      <w:color w:val="0000FF"/>
                      <w:szCs w:val="21"/>
                      <w:lang w:val="en-US" w:eastAsia="zh-CN"/>
                    </w:rPr>
                    <w:t>0.04</w:t>
                  </w:r>
                </w:p>
              </w:tc>
              <w:tc>
                <w:tcPr>
                  <w:tcW w:w="830" w:type="pct"/>
                  <w:vAlign w:val="center"/>
                </w:tcPr>
                <w:p w14:paraId="5B53609B">
                  <w:pPr>
                    <w:contextualSpacing/>
                    <w:jc w:val="center"/>
                    <w:rPr>
                      <w:rFonts w:hint="default" w:eastAsia="仿宋"/>
                      <w:bCs/>
                      <w:color w:val="0000FF"/>
                      <w:szCs w:val="21"/>
                      <w:lang w:val="en-US" w:eastAsia="zh-CN"/>
                    </w:rPr>
                  </w:pPr>
                  <w:r>
                    <w:rPr>
                      <w:rFonts w:hint="eastAsia" w:eastAsia="仿宋"/>
                      <w:bCs/>
                      <w:color w:val="0000FF"/>
                      <w:szCs w:val="21"/>
                      <w:lang w:val="en-US" w:eastAsia="zh-CN"/>
                    </w:rPr>
                    <w:t>0.006</w:t>
                  </w:r>
                </w:p>
              </w:tc>
              <w:tc>
                <w:tcPr>
                  <w:tcW w:w="865" w:type="pct"/>
                </w:tcPr>
                <w:p w14:paraId="18D64528">
                  <w:pPr>
                    <w:jc w:val="center"/>
                    <w:rPr>
                      <w:rFonts w:hint="eastAsia" w:eastAsia="仿宋"/>
                      <w:bCs/>
                      <w:color w:val="0000FF"/>
                      <w:szCs w:val="21"/>
                      <w:lang w:val="en-US" w:eastAsia="zh-CN"/>
                    </w:rPr>
                  </w:pPr>
                  <w:r>
                    <w:rPr>
                      <w:rFonts w:hint="eastAsia" w:eastAsia="仿宋"/>
                      <w:bCs/>
                      <w:color w:val="0000FF"/>
                      <w:szCs w:val="21"/>
                      <w:lang w:val="en-US" w:eastAsia="zh-CN"/>
                    </w:rPr>
                    <w:t>7200</w:t>
                  </w:r>
                </w:p>
              </w:tc>
            </w:tr>
          </w:tbl>
          <w:p w14:paraId="22D531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200" w:firstLineChars="200"/>
              <w:textAlignment w:val="auto"/>
              <w:rPr>
                <w:rFonts w:hint="default" w:ascii="Times New Roman" w:hAnsi="Times New Roman" w:eastAsia="仿宋" w:cs="Times New Roman"/>
                <w:color w:val="auto"/>
                <w:sz w:val="10"/>
                <w:szCs w:val="10"/>
                <w:highlight w:val="none"/>
                <w:lang w:eastAsia="zh-CN"/>
              </w:rPr>
            </w:pPr>
          </w:p>
          <w:p w14:paraId="43782B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color w:val="auto"/>
                <w:sz w:val="24"/>
                <w:highlight w:val="none"/>
              </w:rPr>
              <w:t>无组织废气</w:t>
            </w:r>
          </w:p>
          <w:p w14:paraId="24610783">
            <w:pPr>
              <w:adjustRightInd w:val="0"/>
              <w:snapToGrid w:val="0"/>
              <w:spacing w:line="360" w:lineRule="auto"/>
              <w:ind w:firstLine="480" w:firstLineChars="200"/>
              <w:jc w:val="both"/>
              <w:rPr>
                <w:rFonts w:hint="default" w:ascii="Times New Roman" w:hAnsi="Times New Roman" w:eastAsia="仿宋" w:cs="Times New Roman"/>
                <w:bCs/>
                <w:color w:val="auto"/>
                <w:sz w:val="24"/>
                <w:lang w:val="en-US" w:eastAsia="zh-CN"/>
              </w:rPr>
            </w:pPr>
            <w:r>
              <w:rPr>
                <w:rFonts w:hint="eastAsia" w:ascii="Times New Roman" w:hAnsi="Times New Roman" w:eastAsia="仿宋" w:cs="Times New Roman"/>
                <w:bCs/>
                <w:color w:val="auto"/>
                <w:sz w:val="24"/>
                <w:lang w:val="en-US" w:eastAsia="zh-CN"/>
              </w:rPr>
              <w:t>注塑、</w:t>
            </w:r>
            <w:r>
              <w:rPr>
                <w:rFonts w:hint="eastAsia" w:eastAsia="仿宋" w:cs="Times New Roman"/>
                <w:bCs/>
                <w:color w:val="auto"/>
                <w:sz w:val="24"/>
                <w:lang w:val="en-US" w:eastAsia="zh-CN"/>
              </w:rPr>
              <w:t>上胶、烘干、</w:t>
            </w:r>
            <w:r>
              <w:rPr>
                <w:rFonts w:hint="eastAsia" w:ascii="Times New Roman" w:hAnsi="Times New Roman" w:eastAsia="仿宋" w:cs="Times New Roman"/>
                <w:bCs/>
                <w:color w:val="auto"/>
                <w:sz w:val="24"/>
                <w:lang w:val="en-US" w:eastAsia="zh-CN"/>
              </w:rPr>
              <w:t>固化、植绒、筛毛过程有未捕集的</w:t>
            </w:r>
            <w:r>
              <w:rPr>
                <w:rFonts w:hint="eastAsia" w:eastAsia="仿宋" w:cs="Times New Roman"/>
                <w:bCs/>
                <w:color w:val="auto"/>
                <w:sz w:val="24"/>
                <w:lang w:val="en-US" w:eastAsia="zh-CN"/>
              </w:rPr>
              <w:t>废气</w:t>
            </w:r>
            <w:r>
              <w:rPr>
                <w:rFonts w:hint="eastAsia" w:ascii="Times New Roman" w:hAnsi="Times New Roman" w:eastAsia="仿宋" w:cs="Times New Roman"/>
                <w:bCs/>
                <w:color w:val="auto"/>
                <w:sz w:val="24"/>
                <w:lang w:val="en-US" w:eastAsia="zh-CN"/>
              </w:rPr>
              <w:t>产生，根据上述工程分析，注塑非甲烷总烃无组织产生量为0.027t/a，</w:t>
            </w:r>
            <w:r>
              <w:rPr>
                <w:rFonts w:hint="eastAsia" w:eastAsia="仿宋" w:cs="Times New Roman"/>
                <w:bCs/>
                <w:color w:val="auto"/>
                <w:sz w:val="24"/>
                <w:lang w:val="en-US" w:eastAsia="zh-CN"/>
              </w:rPr>
              <w:t>上胶、烘干</w:t>
            </w:r>
            <w:r>
              <w:rPr>
                <w:rFonts w:hint="eastAsia" w:ascii="Times New Roman" w:hAnsi="Times New Roman" w:eastAsia="仿宋" w:cs="Times New Roman"/>
                <w:bCs/>
                <w:color w:val="auto"/>
                <w:sz w:val="24"/>
                <w:lang w:val="en-US" w:eastAsia="zh-CN"/>
              </w:rPr>
              <w:t>非甲烷总烃无组织产生量为0.00</w:t>
            </w:r>
            <w:r>
              <w:rPr>
                <w:rFonts w:hint="eastAsia" w:eastAsia="仿宋" w:cs="Times New Roman"/>
                <w:bCs/>
                <w:color w:val="auto"/>
                <w:sz w:val="24"/>
                <w:lang w:val="en-US" w:eastAsia="zh-CN"/>
              </w:rPr>
              <w:t>1</w:t>
            </w:r>
            <w:r>
              <w:rPr>
                <w:rFonts w:hint="eastAsia" w:ascii="Times New Roman" w:hAnsi="Times New Roman" w:eastAsia="仿宋" w:cs="Times New Roman"/>
                <w:bCs/>
                <w:color w:val="auto"/>
                <w:sz w:val="24"/>
                <w:lang w:val="en-US" w:eastAsia="zh-CN"/>
              </w:rPr>
              <w:t>t/a，固化非甲烷总烃无组织产生量为0.00</w:t>
            </w:r>
            <w:r>
              <w:rPr>
                <w:rFonts w:hint="eastAsia" w:eastAsia="仿宋" w:cs="Times New Roman"/>
                <w:bCs/>
                <w:color w:val="auto"/>
                <w:sz w:val="24"/>
                <w:lang w:val="en-US" w:eastAsia="zh-CN"/>
              </w:rPr>
              <w:t>3</w:t>
            </w:r>
            <w:r>
              <w:rPr>
                <w:rFonts w:hint="eastAsia" w:ascii="Times New Roman" w:hAnsi="Times New Roman" w:eastAsia="仿宋" w:cs="Times New Roman"/>
                <w:bCs/>
                <w:color w:val="auto"/>
                <w:sz w:val="24"/>
                <w:lang w:val="en-US" w:eastAsia="zh-CN"/>
              </w:rPr>
              <w:t>t/a，植绒、筛毛颗粒物无组织产生量为0.0</w:t>
            </w:r>
            <w:r>
              <w:rPr>
                <w:rFonts w:hint="eastAsia" w:eastAsia="仿宋" w:cs="Times New Roman"/>
                <w:bCs/>
                <w:color w:val="auto"/>
                <w:sz w:val="24"/>
                <w:lang w:val="en-US" w:eastAsia="zh-CN"/>
              </w:rPr>
              <w:t>08</w:t>
            </w:r>
            <w:r>
              <w:rPr>
                <w:rFonts w:hint="eastAsia" w:ascii="Times New Roman" w:hAnsi="Times New Roman" w:eastAsia="仿宋" w:cs="Times New Roman"/>
                <w:bCs/>
                <w:color w:val="auto"/>
                <w:sz w:val="24"/>
                <w:lang w:val="en-US" w:eastAsia="zh-CN"/>
              </w:rPr>
              <w:t>t/a。</w:t>
            </w:r>
          </w:p>
          <w:p w14:paraId="75A28A9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eastAsia" w:eastAsia="仿宋" w:cs="Times New Roman"/>
                <w:b/>
                <w:bCs/>
                <w:color w:val="auto"/>
                <w:sz w:val="24"/>
                <w:lang w:val="en-US" w:eastAsia="zh-CN"/>
              </w:rPr>
              <w:t>2</w:t>
            </w:r>
            <w:r>
              <w:rPr>
                <w:rFonts w:hint="default" w:ascii="Times New Roman" w:hAnsi="Times New Roman" w:eastAsia="仿宋" w:cs="Times New Roman"/>
                <w:b/>
                <w:bCs/>
                <w:color w:val="auto"/>
                <w:sz w:val="24"/>
              </w:rPr>
              <w:t xml:space="preserve">  本项目无组织废气污染物产生源强表</w:t>
            </w:r>
          </w:p>
          <w:tbl>
            <w:tblPr>
              <w:tblStyle w:val="29"/>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384"/>
              <w:gridCol w:w="1260"/>
              <w:gridCol w:w="1321"/>
              <w:gridCol w:w="1214"/>
              <w:gridCol w:w="1299"/>
              <w:gridCol w:w="975"/>
              <w:gridCol w:w="1020"/>
            </w:tblGrid>
            <w:tr w14:paraId="3DABF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trPr>
              <w:tc>
                <w:tcPr>
                  <w:tcW w:w="816" w:type="pct"/>
                  <w:noWrap w:val="0"/>
                  <w:vAlign w:val="center"/>
                </w:tcPr>
                <w:p w14:paraId="7599EA02">
                  <w:pPr>
                    <w:widowControl/>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面源名称</w:t>
                  </w:r>
                </w:p>
              </w:tc>
              <w:tc>
                <w:tcPr>
                  <w:tcW w:w="743" w:type="pct"/>
                  <w:noWrap w:val="0"/>
                  <w:vAlign w:val="center"/>
                </w:tcPr>
                <w:p w14:paraId="731BAA8C">
                  <w:pPr>
                    <w:widowControl/>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产污环节</w:t>
                  </w:r>
                </w:p>
              </w:tc>
              <w:tc>
                <w:tcPr>
                  <w:tcW w:w="779" w:type="pct"/>
                  <w:noWrap w:val="0"/>
                  <w:vAlign w:val="center"/>
                </w:tcPr>
                <w:p w14:paraId="3699F272">
                  <w:pPr>
                    <w:widowControl/>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污染物名称</w:t>
                  </w:r>
                </w:p>
              </w:tc>
              <w:tc>
                <w:tcPr>
                  <w:tcW w:w="716" w:type="pct"/>
                  <w:noWrap w:val="0"/>
                  <w:vAlign w:val="center"/>
                </w:tcPr>
                <w:p w14:paraId="09441DC8">
                  <w:pPr>
                    <w:widowControl/>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污染物产生量t/a</w:t>
                  </w:r>
                </w:p>
              </w:tc>
              <w:tc>
                <w:tcPr>
                  <w:tcW w:w="766" w:type="pct"/>
                  <w:noWrap w:val="0"/>
                  <w:vAlign w:val="center"/>
                </w:tcPr>
                <w:p w14:paraId="3191F9D0">
                  <w:pPr>
                    <w:widowControl/>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污染物产生速率kg/h</w:t>
                  </w:r>
                </w:p>
              </w:tc>
              <w:tc>
                <w:tcPr>
                  <w:tcW w:w="575" w:type="pct"/>
                  <w:noWrap w:val="0"/>
                  <w:vAlign w:val="center"/>
                </w:tcPr>
                <w:p w14:paraId="2662200C">
                  <w:pPr>
                    <w:widowControl/>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面源面积（m</w:t>
                  </w:r>
                  <w:r>
                    <w:rPr>
                      <w:rFonts w:hint="default" w:ascii="Times New Roman" w:hAnsi="Times New Roman" w:eastAsia="仿宋" w:cs="Times New Roman"/>
                      <w:b/>
                      <w:bCs/>
                      <w:color w:val="auto"/>
                      <w:szCs w:val="21"/>
                      <w:vertAlign w:val="superscript"/>
                    </w:rPr>
                    <w:t>2</w:t>
                  </w:r>
                  <w:r>
                    <w:rPr>
                      <w:rFonts w:hint="default" w:ascii="Times New Roman" w:hAnsi="Times New Roman" w:eastAsia="仿宋" w:cs="Times New Roman"/>
                      <w:b/>
                      <w:bCs/>
                      <w:color w:val="auto"/>
                      <w:szCs w:val="21"/>
                    </w:rPr>
                    <w:t>）</w:t>
                  </w:r>
                </w:p>
              </w:tc>
              <w:tc>
                <w:tcPr>
                  <w:tcW w:w="601" w:type="pct"/>
                  <w:noWrap w:val="0"/>
                  <w:vAlign w:val="center"/>
                </w:tcPr>
                <w:p w14:paraId="75C9552A">
                  <w:pPr>
                    <w:widowControl/>
                    <w:snapToGrid w:val="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面源高度（m）</w:t>
                  </w:r>
                </w:p>
              </w:tc>
            </w:tr>
            <w:tr w14:paraId="40345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816" w:type="pct"/>
                  <w:vMerge w:val="restart"/>
                  <w:noWrap w:val="0"/>
                  <w:vAlign w:val="center"/>
                </w:tcPr>
                <w:p w14:paraId="72CF0D38">
                  <w:pPr>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bCs/>
                      <w:color w:val="auto"/>
                      <w:szCs w:val="21"/>
                      <w:lang w:val="en-US" w:eastAsia="zh-CN"/>
                    </w:rPr>
                    <w:t>D6车间</w:t>
                  </w:r>
                </w:p>
              </w:tc>
              <w:tc>
                <w:tcPr>
                  <w:tcW w:w="743" w:type="pct"/>
                  <w:vMerge w:val="restart"/>
                  <w:noWrap w:val="0"/>
                  <w:vAlign w:val="center"/>
                </w:tcPr>
                <w:p w14:paraId="7C5102E0">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未捕集废气</w:t>
                  </w:r>
                </w:p>
              </w:tc>
              <w:tc>
                <w:tcPr>
                  <w:tcW w:w="779" w:type="pct"/>
                  <w:noWrap w:val="0"/>
                  <w:vAlign w:val="center"/>
                </w:tcPr>
                <w:p w14:paraId="2FCEEBE1">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非甲烷总烃</w:t>
                  </w:r>
                </w:p>
              </w:tc>
              <w:tc>
                <w:tcPr>
                  <w:tcW w:w="716" w:type="pct"/>
                  <w:noWrap w:val="0"/>
                  <w:vAlign w:val="center"/>
                </w:tcPr>
                <w:p w14:paraId="7FD9C2A9">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0.0</w:t>
                  </w:r>
                  <w:r>
                    <w:rPr>
                      <w:rFonts w:hint="eastAsia" w:ascii="Times New Roman" w:hAnsi="Times New Roman" w:eastAsia="仿宋" w:cs="Times New Roman"/>
                      <w:bCs/>
                      <w:color w:val="auto"/>
                      <w:szCs w:val="21"/>
                      <w:lang w:val="en-US" w:eastAsia="zh-CN"/>
                    </w:rPr>
                    <w:t>3</w:t>
                  </w:r>
                  <w:r>
                    <w:rPr>
                      <w:rFonts w:hint="eastAsia" w:eastAsia="仿宋" w:cs="Times New Roman"/>
                      <w:bCs/>
                      <w:color w:val="auto"/>
                      <w:szCs w:val="21"/>
                      <w:lang w:val="en-US" w:eastAsia="zh-CN"/>
                    </w:rPr>
                    <w:t>1</w:t>
                  </w:r>
                </w:p>
              </w:tc>
              <w:tc>
                <w:tcPr>
                  <w:tcW w:w="766" w:type="pct"/>
                  <w:noWrap w:val="0"/>
                  <w:vAlign w:val="center"/>
                </w:tcPr>
                <w:p w14:paraId="6F3AE499">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0.0</w:t>
                  </w:r>
                  <w:r>
                    <w:rPr>
                      <w:rFonts w:hint="eastAsia" w:eastAsia="仿宋" w:cs="Times New Roman"/>
                      <w:bCs/>
                      <w:color w:val="auto"/>
                      <w:szCs w:val="21"/>
                      <w:lang w:val="en-US" w:eastAsia="zh-CN"/>
                    </w:rPr>
                    <w:t>04</w:t>
                  </w:r>
                </w:p>
              </w:tc>
              <w:tc>
                <w:tcPr>
                  <w:tcW w:w="575" w:type="pct"/>
                  <w:vMerge w:val="restart"/>
                  <w:noWrap w:val="0"/>
                  <w:vAlign w:val="center"/>
                </w:tcPr>
                <w:p w14:paraId="7179DEED">
                  <w:pPr>
                    <w:jc w:val="center"/>
                    <w:rPr>
                      <w:rFonts w:hint="default" w:ascii="Times New Roman" w:hAnsi="Times New Roman" w:eastAsia="仿宋" w:cs="Times New Roman"/>
                      <w:bCs/>
                      <w:color w:val="auto"/>
                      <w:szCs w:val="21"/>
                      <w:lang w:val="en-US" w:eastAsia="zh-CN"/>
                    </w:rPr>
                  </w:pPr>
                  <w:r>
                    <w:rPr>
                      <w:rFonts w:hint="eastAsia" w:eastAsia="仿宋" w:cs="Times New Roman"/>
                      <w:bCs/>
                      <w:color w:val="auto"/>
                      <w:szCs w:val="21"/>
                      <w:lang w:val="en-US" w:eastAsia="zh-CN"/>
                    </w:rPr>
                    <w:t>480</w:t>
                  </w:r>
                </w:p>
              </w:tc>
              <w:tc>
                <w:tcPr>
                  <w:tcW w:w="601" w:type="pct"/>
                  <w:vMerge w:val="restart"/>
                  <w:noWrap w:val="0"/>
                  <w:vAlign w:val="center"/>
                </w:tcPr>
                <w:p w14:paraId="218FFC51">
                  <w:pPr>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bCs/>
                      <w:color w:val="auto"/>
                      <w:szCs w:val="21"/>
                      <w:lang w:val="en-US" w:eastAsia="zh-CN"/>
                    </w:rPr>
                    <w:t>10</w:t>
                  </w:r>
                </w:p>
              </w:tc>
            </w:tr>
            <w:tr w14:paraId="73C3D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816" w:type="pct"/>
                  <w:vMerge w:val="continue"/>
                  <w:noWrap w:val="0"/>
                  <w:vAlign w:val="center"/>
                </w:tcPr>
                <w:p w14:paraId="40819858">
                  <w:pPr>
                    <w:jc w:val="center"/>
                    <w:rPr>
                      <w:rFonts w:hint="default" w:ascii="Times New Roman" w:hAnsi="Times New Roman" w:eastAsia="仿宋" w:cs="Times New Roman"/>
                      <w:bCs/>
                      <w:color w:val="auto"/>
                      <w:szCs w:val="21"/>
                    </w:rPr>
                  </w:pPr>
                </w:p>
              </w:tc>
              <w:tc>
                <w:tcPr>
                  <w:tcW w:w="743" w:type="pct"/>
                  <w:vMerge w:val="continue"/>
                  <w:noWrap w:val="0"/>
                  <w:vAlign w:val="center"/>
                </w:tcPr>
                <w:p w14:paraId="4D25E6E6">
                  <w:pPr>
                    <w:jc w:val="center"/>
                    <w:rPr>
                      <w:rFonts w:hint="default" w:ascii="Times New Roman" w:hAnsi="Times New Roman" w:eastAsia="仿宋" w:cs="Times New Roman"/>
                      <w:bCs/>
                      <w:color w:val="auto"/>
                      <w:szCs w:val="21"/>
                    </w:rPr>
                  </w:pPr>
                </w:p>
              </w:tc>
              <w:tc>
                <w:tcPr>
                  <w:tcW w:w="779" w:type="pct"/>
                  <w:noWrap w:val="0"/>
                  <w:vAlign w:val="center"/>
                </w:tcPr>
                <w:p w14:paraId="32D539C9">
                  <w:pPr>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Cs/>
                      <w:color w:val="auto"/>
                      <w:szCs w:val="21"/>
                      <w:lang w:val="en-US" w:eastAsia="zh-CN"/>
                    </w:rPr>
                    <w:t>颗粒物</w:t>
                  </w:r>
                </w:p>
              </w:tc>
              <w:tc>
                <w:tcPr>
                  <w:tcW w:w="716" w:type="pct"/>
                  <w:noWrap w:val="0"/>
                  <w:vAlign w:val="center"/>
                </w:tcPr>
                <w:p w14:paraId="3470176C">
                  <w:pPr>
                    <w:jc w:val="center"/>
                    <w:rPr>
                      <w:rFonts w:hint="default" w:ascii="Times New Roman" w:hAnsi="Times New Roman" w:eastAsia="仿宋" w:cs="Times New Roman"/>
                      <w:bCs/>
                      <w:color w:val="auto"/>
                      <w:szCs w:val="21"/>
                      <w:lang w:val="en-US" w:eastAsia="zh-CN"/>
                    </w:rPr>
                  </w:pPr>
                  <w:r>
                    <w:rPr>
                      <w:rFonts w:hint="eastAsia" w:ascii="Times New Roman" w:hAnsi="Times New Roman" w:eastAsia="仿宋" w:cs="Times New Roman"/>
                      <w:bCs/>
                      <w:color w:val="auto"/>
                      <w:szCs w:val="21"/>
                      <w:lang w:val="en-US" w:eastAsia="zh-CN"/>
                    </w:rPr>
                    <w:t>0.0</w:t>
                  </w:r>
                  <w:r>
                    <w:rPr>
                      <w:rFonts w:hint="eastAsia" w:eastAsia="仿宋" w:cs="Times New Roman"/>
                      <w:bCs/>
                      <w:color w:val="auto"/>
                      <w:szCs w:val="21"/>
                      <w:lang w:val="en-US" w:eastAsia="zh-CN"/>
                    </w:rPr>
                    <w:t>08</w:t>
                  </w:r>
                </w:p>
              </w:tc>
              <w:tc>
                <w:tcPr>
                  <w:tcW w:w="766" w:type="pct"/>
                  <w:noWrap w:val="0"/>
                  <w:vAlign w:val="center"/>
                </w:tcPr>
                <w:p w14:paraId="46D0519C">
                  <w:pPr>
                    <w:jc w:val="center"/>
                    <w:rPr>
                      <w:rFonts w:hint="default" w:ascii="Times New Roman" w:hAnsi="Times New Roman" w:eastAsia="仿宋" w:cs="Times New Roman"/>
                      <w:i w:val="0"/>
                      <w:iCs w:val="0"/>
                      <w:color w:val="auto"/>
                      <w:kern w:val="0"/>
                      <w:sz w:val="21"/>
                      <w:szCs w:val="21"/>
                      <w:u w:val="none"/>
                      <w:lang w:val="en-US" w:eastAsia="zh-CN" w:bidi="ar"/>
                    </w:rPr>
                  </w:pPr>
                  <w:r>
                    <w:rPr>
                      <w:rFonts w:hint="eastAsia" w:ascii="Times New Roman" w:hAnsi="Times New Roman" w:eastAsia="仿宋" w:cs="Times New Roman"/>
                      <w:i w:val="0"/>
                      <w:iCs w:val="0"/>
                      <w:color w:val="auto"/>
                      <w:kern w:val="0"/>
                      <w:sz w:val="21"/>
                      <w:szCs w:val="21"/>
                      <w:u w:val="none"/>
                      <w:lang w:val="en-US" w:eastAsia="zh-CN" w:bidi="ar"/>
                    </w:rPr>
                    <w:t>0.0</w:t>
                  </w:r>
                  <w:r>
                    <w:rPr>
                      <w:rFonts w:hint="eastAsia" w:eastAsia="仿宋" w:cs="Times New Roman"/>
                      <w:i w:val="0"/>
                      <w:iCs w:val="0"/>
                      <w:color w:val="auto"/>
                      <w:kern w:val="0"/>
                      <w:sz w:val="21"/>
                      <w:szCs w:val="21"/>
                      <w:u w:val="none"/>
                      <w:lang w:val="en-US" w:eastAsia="zh-CN" w:bidi="ar"/>
                    </w:rPr>
                    <w:t>01</w:t>
                  </w:r>
                </w:p>
              </w:tc>
              <w:tc>
                <w:tcPr>
                  <w:tcW w:w="575" w:type="pct"/>
                  <w:vMerge w:val="continue"/>
                  <w:noWrap w:val="0"/>
                  <w:vAlign w:val="center"/>
                </w:tcPr>
                <w:p w14:paraId="6950C0E5">
                  <w:pPr>
                    <w:jc w:val="center"/>
                    <w:rPr>
                      <w:rFonts w:hint="default" w:ascii="Times New Roman" w:hAnsi="Times New Roman" w:eastAsia="仿宋" w:cs="Times New Roman"/>
                      <w:bCs/>
                      <w:color w:val="auto"/>
                      <w:szCs w:val="21"/>
                    </w:rPr>
                  </w:pPr>
                </w:p>
              </w:tc>
              <w:tc>
                <w:tcPr>
                  <w:tcW w:w="601" w:type="pct"/>
                  <w:vMerge w:val="continue"/>
                  <w:noWrap w:val="0"/>
                  <w:vAlign w:val="center"/>
                </w:tcPr>
                <w:p w14:paraId="0D34C892">
                  <w:pPr>
                    <w:jc w:val="center"/>
                    <w:rPr>
                      <w:rFonts w:hint="default" w:ascii="Times New Roman" w:hAnsi="Times New Roman" w:eastAsia="仿宋" w:cs="Times New Roman"/>
                      <w:bCs/>
                      <w:color w:val="auto"/>
                      <w:szCs w:val="21"/>
                    </w:rPr>
                  </w:pPr>
                </w:p>
              </w:tc>
            </w:tr>
          </w:tbl>
          <w:p w14:paraId="030F4F1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2、污染防治措施</w:t>
            </w:r>
          </w:p>
          <w:p w14:paraId="361FD4CE">
            <w:pPr>
              <w:tabs>
                <w:tab w:val="left" w:pos="840"/>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（1）有组织废气</w:t>
            </w:r>
          </w:p>
          <w:p w14:paraId="6EDB6C39">
            <w:pPr>
              <w:adjustRightInd w:val="0"/>
              <w:snapToGrid w:val="0"/>
              <w:spacing w:line="348"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①废气收集及治理方案</w:t>
            </w:r>
          </w:p>
          <w:p w14:paraId="71E89ECD">
            <w:pPr>
              <w:adjustRightInd w:val="0"/>
              <w:snapToGrid w:val="0"/>
              <w:spacing w:line="360" w:lineRule="auto"/>
              <w:ind w:firstLine="480" w:firstLineChars="200"/>
              <w:rPr>
                <w:rFonts w:hint="default" w:ascii="Times New Roman" w:hAnsi="Times New Roman" w:eastAsia="仿宋" w:cs="Times New Roman"/>
                <w:color w:val="0000FF"/>
                <w:sz w:val="24"/>
                <w:highlight w:val="none"/>
              </w:rPr>
            </w:pPr>
            <w:r>
              <w:rPr>
                <w:rFonts w:hint="default" w:ascii="Times New Roman" w:hAnsi="Times New Roman" w:eastAsia="仿宋" w:cs="Times New Roman"/>
                <w:bCs/>
                <w:color w:val="0000FF"/>
                <w:sz w:val="24"/>
                <w:highlight w:val="none"/>
              </w:rPr>
              <w:t>本项目</w:t>
            </w:r>
            <w:r>
              <w:rPr>
                <w:rFonts w:hint="eastAsia" w:ascii="Times New Roman" w:hAnsi="Times New Roman" w:eastAsia="仿宋" w:cs="Times New Roman"/>
                <w:bCs/>
                <w:color w:val="0000FF"/>
                <w:sz w:val="24"/>
                <w:highlight w:val="none"/>
                <w:lang w:val="en-US" w:eastAsia="zh-CN"/>
              </w:rPr>
              <w:t>注塑废气经</w:t>
            </w:r>
            <w:r>
              <w:rPr>
                <w:rFonts w:hint="default" w:ascii="Times New Roman" w:hAnsi="Times New Roman" w:eastAsia="仿宋" w:cs="Times New Roman"/>
                <w:bCs/>
                <w:color w:val="0000FF"/>
                <w:sz w:val="24"/>
                <w:highlight w:val="none"/>
              </w:rPr>
              <w:t>集气</w:t>
            </w:r>
            <w:r>
              <w:rPr>
                <w:rFonts w:hint="default" w:ascii="Times New Roman" w:hAnsi="Times New Roman" w:eastAsia="仿宋" w:cs="Times New Roman"/>
                <w:bCs/>
                <w:color w:val="0000FF"/>
                <w:sz w:val="24"/>
                <w:highlight w:val="none"/>
                <w:lang w:val="en-US" w:eastAsia="zh-CN"/>
              </w:rPr>
              <w:t>罩收集</w:t>
            </w:r>
            <w:r>
              <w:rPr>
                <w:rFonts w:hint="eastAsia" w:ascii="Times New Roman" w:hAnsi="Times New Roman" w:eastAsia="仿宋" w:cs="Times New Roman"/>
                <w:bCs/>
                <w:color w:val="0000FF"/>
                <w:sz w:val="24"/>
                <w:highlight w:val="none"/>
                <w:lang w:val="en-US" w:eastAsia="zh-CN"/>
              </w:rPr>
              <w:t>、上胶烘干废气密闭单元整体抽风收集后与经集气罩收集的固化废气</w:t>
            </w:r>
            <w:r>
              <w:rPr>
                <w:rFonts w:hint="default" w:ascii="Times New Roman" w:hAnsi="Times New Roman" w:eastAsia="仿宋" w:cs="Times New Roman"/>
                <w:bCs/>
                <w:color w:val="0000FF"/>
                <w:sz w:val="24"/>
                <w:highlight w:val="none"/>
                <w:lang w:val="en-US" w:eastAsia="zh-CN"/>
              </w:rPr>
              <w:t>合并送1套两级活性炭吸附装置处理后通过15米高</w:t>
            </w:r>
            <w:r>
              <w:rPr>
                <w:rFonts w:hint="eastAsia" w:ascii="Times New Roman" w:hAnsi="Times New Roman" w:eastAsia="仿宋" w:cs="Times New Roman"/>
                <w:bCs/>
                <w:color w:val="0000FF"/>
                <w:sz w:val="24"/>
                <w:highlight w:val="none"/>
                <w:lang w:val="en-US" w:eastAsia="zh-CN"/>
              </w:rPr>
              <w:t>FQ-6</w:t>
            </w:r>
            <w:r>
              <w:rPr>
                <w:rFonts w:hint="default" w:ascii="Times New Roman" w:hAnsi="Times New Roman" w:eastAsia="仿宋" w:cs="Times New Roman"/>
                <w:bCs/>
                <w:color w:val="0000FF"/>
                <w:sz w:val="24"/>
                <w:highlight w:val="none"/>
                <w:lang w:val="en-US" w:eastAsia="zh-CN"/>
              </w:rPr>
              <w:t>排气筒排放，</w:t>
            </w:r>
            <w:r>
              <w:rPr>
                <w:rFonts w:hint="eastAsia" w:ascii="Times New Roman" w:hAnsi="Times New Roman" w:eastAsia="仿宋" w:cs="Times New Roman"/>
                <w:bCs/>
                <w:color w:val="0000FF"/>
                <w:sz w:val="24"/>
                <w:highlight w:val="none"/>
                <w:lang w:val="en-US" w:eastAsia="zh-CN"/>
              </w:rPr>
              <w:t>植绒</w:t>
            </w:r>
            <w:r>
              <w:rPr>
                <w:rFonts w:hint="default" w:ascii="Times New Roman" w:hAnsi="Times New Roman" w:eastAsia="仿宋" w:cs="Times New Roman"/>
                <w:bCs/>
                <w:color w:val="0000FF"/>
                <w:sz w:val="24"/>
                <w:highlight w:val="none"/>
                <w:lang w:val="en-US" w:eastAsia="zh-CN"/>
              </w:rPr>
              <w:t>废气</w:t>
            </w:r>
            <w:r>
              <w:rPr>
                <w:rFonts w:hint="eastAsia" w:ascii="Times New Roman" w:hAnsi="Times New Roman" w:eastAsia="仿宋" w:cs="Times New Roman"/>
                <w:bCs/>
                <w:color w:val="0000FF"/>
                <w:sz w:val="24"/>
                <w:highlight w:val="none"/>
                <w:lang w:val="en-US" w:eastAsia="zh-CN"/>
              </w:rPr>
              <w:t>密闭单元整体抽风</w:t>
            </w:r>
            <w:r>
              <w:rPr>
                <w:rFonts w:hint="default" w:ascii="Times New Roman" w:hAnsi="Times New Roman" w:eastAsia="仿宋" w:cs="Times New Roman"/>
                <w:bCs/>
                <w:color w:val="0000FF"/>
                <w:sz w:val="24"/>
                <w:highlight w:val="none"/>
                <w:lang w:val="en-US" w:eastAsia="zh-CN"/>
              </w:rPr>
              <w:t>收集后</w:t>
            </w:r>
            <w:r>
              <w:rPr>
                <w:rFonts w:hint="eastAsia" w:ascii="Times New Roman" w:hAnsi="Times New Roman" w:eastAsia="仿宋" w:cs="Times New Roman"/>
                <w:bCs/>
                <w:color w:val="0000FF"/>
                <w:sz w:val="24"/>
                <w:highlight w:val="none"/>
                <w:lang w:val="en-US" w:eastAsia="zh-CN"/>
              </w:rPr>
              <w:t>通过</w:t>
            </w:r>
            <w:r>
              <w:rPr>
                <w:rFonts w:hint="default" w:ascii="Times New Roman" w:hAnsi="Times New Roman" w:eastAsia="仿宋" w:cs="Times New Roman"/>
                <w:bCs/>
                <w:color w:val="0000FF"/>
                <w:sz w:val="24"/>
                <w:highlight w:val="none"/>
                <w:lang w:val="en-US" w:eastAsia="zh-CN"/>
              </w:rPr>
              <w:t>1套</w:t>
            </w:r>
            <w:r>
              <w:rPr>
                <w:rFonts w:hint="eastAsia" w:ascii="Times New Roman" w:hAnsi="Times New Roman" w:eastAsia="仿宋" w:cs="Times New Roman"/>
                <w:bCs/>
                <w:color w:val="0000FF"/>
                <w:sz w:val="24"/>
                <w:highlight w:val="none"/>
                <w:lang w:val="en-US" w:eastAsia="zh-CN"/>
              </w:rPr>
              <w:t>布袋除尘装置</w:t>
            </w:r>
            <w:r>
              <w:rPr>
                <w:rFonts w:hint="default" w:ascii="Times New Roman" w:hAnsi="Times New Roman" w:eastAsia="仿宋" w:cs="Times New Roman"/>
                <w:bCs/>
                <w:color w:val="0000FF"/>
                <w:sz w:val="24"/>
                <w:highlight w:val="none"/>
                <w:lang w:val="en-US" w:eastAsia="zh-CN"/>
              </w:rPr>
              <w:t>处理后通过15米高</w:t>
            </w:r>
            <w:r>
              <w:rPr>
                <w:rFonts w:hint="eastAsia" w:ascii="Times New Roman" w:hAnsi="Times New Roman" w:eastAsia="仿宋" w:cs="Times New Roman"/>
                <w:bCs/>
                <w:color w:val="0000FF"/>
                <w:sz w:val="24"/>
                <w:highlight w:val="none"/>
                <w:lang w:val="en-US" w:eastAsia="zh-CN"/>
              </w:rPr>
              <w:t>FQ-5</w:t>
            </w:r>
            <w:r>
              <w:rPr>
                <w:rFonts w:hint="default" w:ascii="Times New Roman" w:hAnsi="Times New Roman" w:eastAsia="仿宋" w:cs="Times New Roman"/>
                <w:bCs/>
                <w:color w:val="0000FF"/>
                <w:sz w:val="24"/>
                <w:highlight w:val="none"/>
                <w:lang w:val="en-US" w:eastAsia="zh-CN"/>
              </w:rPr>
              <w:t>排气筒排放</w:t>
            </w:r>
            <w:r>
              <w:rPr>
                <w:rFonts w:hint="eastAsia" w:eastAsia="仿宋" w:cs="Times New Roman"/>
                <w:bCs/>
                <w:color w:val="0000FF"/>
                <w:sz w:val="24"/>
                <w:highlight w:val="none"/>
                <w:lang w:val="en-US" w:eastAsia="zh-CN"/>
              </w:rPr>
              <w:t>，</w:t>
            </w:r>
            <w:r>
              <w:rPr>
                <w:rFonts w:hint="eastAsia" w:ascii="Times New Roman" w:hAnsi="Times New Roman" w:eastAsia="仿宋" w:cs="Times New Roman"/>
                <w:bCs/>
                <w:color w:val="0000FF"/>
                <w:sz w:val="24"/>
                <w:highlight w:val="none"/>
                <w:lang w:val="en-US" w:eastAsia="zh-CN"/>
              </w:rPr>
              <w:t>筛毛</w:t>
            </w:r>
            <w:r>
              <w:rPr>
                <w:rFonts w:hint="default" w:ascii="Times New Roman" w:hAnsi="Times New Roman" w:eastAsia="仿宋" w:cs="Times New Roman"/>
                <w:bCs/>
                <w:color w:val="0000FF"/>
                <w:sz w:val="24"/>
                <w:highlight w:val="none"/>
                <w:lang w:val="en-US" w:eastAsia="zh-CN"/>
              </w:rPr>
              <w:t>废气</w:t>
            </w:r>
            <w:r>
              <w:rPr>
                <w:rFonts w:hint="eastAsia" w:eastAsia="仿宋" w:cs="Times New Roman"/>
                <w:bCs/>
                <w:color w:val="0000FF"/>
                <w:sz w:val="24"/>
                <w:highlight w:val="none"/>
                <w:lang w:val="en-US" w:eastAsia="zh-CN"/>
              </w:rPr>
              <w:t>两个</w:t>
            </w:r>
            <w:r>
              <w:rPr>
                <w:rFonts w:hint="eastAsia" w:ascii="Times New Roman" w:hAnsi="Times New Roman" w:eastAsia="仿宋" w:cs="Times New Roman"/>
                <w:bCs/>
                <w:color w:val="0000FF"/>
                <w:sz w:val="24"/>
                <w:highlight w:val="none"/>
                <w:lang w:val="en-US" w:eastAsia="zh-CN"/>
              </w:rPr>
              <w:t>密闭单元整体抽风</w:t>
            </w:r>
            <w:r>
              <w:rPr>
                <w:rFonts w:hint="default" w:ascii="Times New Roman" w:hAnsi="Times New Roman" w:eastAsia="仿宋" w:cs="Times New Roman"/>
                <w:bCs/>
                <w:color w:val="0000FF"/>
                <w:sz w:val="24"/>
                <w:highlight w:val="none"/>
                <w:lang w:val="en-US" w:eastAsia="zh-CN"/>
              </w:rPr>
              <w:t>收集后</w:t>
            </w:r>
            <w:r>
              <w:rPr>
                <w:rFonts w:hint="eastAsia" w:eastAsia="仿宋" w:cs="Times New Roman"/>
                <w:bCs/>
                <w:color w:val="0000FF"/>
                <w:sz w:val="24"/>
                <w:highlight w:val="none"/>
                <w:lang w:val="en-US" w:eastAsia="zh-CN"/>
              </w:rPr>
              <w:t>分别</w:t>
            </w:r>
            <w:r>
              <w:rPr>
                <w:rFonts w:hint="eastAsia" w:ascii="Times New Roman" w:hAnsi="Times New Roman" w:eastAsia="仿宋" w:cs="Times New Roman"/>
                <w:bCs/>
                <w:color w:val="0000FF"/>
                <w:sz w:val="24"/>
                <w:highlight w:val="none"/>
                <w:lang w:val="en-US" w:eastAsia="zh-CN"/>
              </w:rPr>
              <w:t>通过</w:t>
            </w:r>
            <w:r>
              <w:rPr>
                <w:rFonts w:hint="eastAsia" w:eastAsia="仿宋" w:cs="Times New Roman"/>
                <w:bCs/>
                <w:color w:val="0000FF"/>
                <w:sz w:val="24"/>
                <w:highlight w:val="none"/>
                <w:lang w:val="en-US" w:eastAsia="zh-CN"/>
              </w:rPr>
              <w:t>2</w:t>
            </w:r>
            <w:r>
              <w:rPr>
                <w:rFonts w:hint="default" w:ascii="Times New Roman" w:hAnsi="Times New Roman" w:eastAsia="仿宋" w:cs="Times New Roman"/>
                <w:bCs/>
                <w:color w:val="0000FF"/>
                <w:sz w:val="24"/>
                <w:highlight w:val="none"/>
                <w:lang w:val="en-US" w:eastAsia="zh-CN"/>
              </w:rPr>
              <w:t>套</w:t>
            </w:r>
            <w:r>
              <w:rPr>
                <w:rFonts w:hint="eastAsia" w:eastAsia="仿宋" w:cs="Times New Roman"/>
                <w:bCs/>
                <w:color w:val="0000FF"/>
                <w:sz w:val="24"/>
                <w:highlight w:val="none"/>
                <w:lang w:val="en-US" w:eastAsia="zh-CN"/>
              </w:rPr>
              <w:t>水旋</w:t>
            </w:r>
            <w:r>
              <w:rPr>
                <w:rFonts w:hint="eastAsia" w:ascii="Times New Roman" w:hAnsi="Times New Roman" w:eastAsia="仿宋" w:cs="Times New Roman"/>
                <w:bCs/>
                <w:color w:val="0000FF"/>
                <w:sz w:val="24"/>
                <w:highlight w:val="none"/>
                <w:lang w:val="en-US" w:eastAsia="zh-CN"/>
              </w:rPr>
              <w:t>除尘装置</w:t>
            </w:r>
            <w:r>
              <w:rPr>
                <w:rFonts w:hint="default" w:ascii="Times New Roman" w:hAnsi="Times New Roman" w:eastAsia="仿宋" w:cs="Times New Roman"/>
                <w:bCs/>
                <w:color w:val="0000FF"/>
                <w:sz w:val="24"/>
                <w:highlight w:val="none"/>
                <w:lang w:val="en-US" w:eastAsia="zh-CN"/>
              </w:rPr>
              <w:t>处理后通过15米高</w:t>
            </w:r>
            <w:r>
              <w:rPr>
                <w:rFonts w:hint="eastAsia" w:ascii="Times New Roman" w:hAnsi="Times New Roman" w:eastAsia="仿宋" w:cs="Times New Roman"/>
                <w:bCs/>
                <w:color w:val="0000FF"/>
                <w:sz w:val="24"/>
                <w:highlight w:val="none"/>
                <w:lang w:val="en-US" w:eastAsia="zh-CN"/>
              </w:rPr>
              <w:t>FQ-</w:t>
            </w:r>
            <w:r>
              <w:rPr>
                <w:rFonts w:hint="eastAsia" w:eastAsia="仿宋" w:cs="Times New Roman"/>
                <w:bCs/>
                <w:color w:val="0000FF"/>
                <w:sz w:val="24"/>
                <w:highlight w:val="none"/>
                <w:lang w:val="en-US" w:eastAsia="zh-CN"/>
              </w:rPr>
              <w:t>7</w:t>
            </w:r>
            <w:r>
              <w:rPr>
                <w:rFonts w:hint="default" w:ascii="Times New Roman" w:hAnsi="Times New Roman" w:eastAsia="仿宋" w:cs="Times New Roman"/>
                <w:bCs/>
                <w:color w:val="0000FF"/>
                <w:sz w:val="24"/>
                <w:highlight w:val="none"/>
                <w:lang w:val="en-US" w:eastAsia="zh-CN"/>
              </w:rPr>
              <w:t>排气筒排放</w:t>
            </w:r>
            <w:r>
              <w:rPr>
                <w:rFonts w:hint="eastAsia" w:eastAsia="仿宋" w:cs="Times New Roman"/>
                <w:bCs/>
                <w:color w:val="0000FF"/>
                <w:sz w:val="24"/>
                <w:highlight w:val="none"/>
                <w:lang w:val="en-US" w:eastAsia="zh-CN"/>
              </w:rPr>
              <w:t>。</w:t>
            </w:r>
          </w:p>
          <w:p w14:paraId="5986D2BC">
            <w:pPr>
              <w:wordWrap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本项目废气收集、治理方案具体见下表：</w:t>
            </w:r>
          </w:p>
          <w:p w14:paraId="2FD7D1CF">
            <w:pPr>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eastAsia" w:eastAsia="仿宋" w:cs="Times New Roman"/>
                <w:b/>
                <w:bCs/>
                <w:color w:val="auto"/>
                <w:sz w:val="24"/>
                <w:highlight w:val="none"/>
                <w:lang w:val="en-US" w:eastAsia="zh-CN"/>
              </w:rPr>
              <w:t>3</w:t>
            </w:r>
            <w:r>
              <w:rPr>
                <w:rFonts w:hint="default" w:ascii="Times New Roman" w:hAnsi="Times New Roman" w:eastAsia="仿宋" w:cs="Times New Roman"/>
                <w:b/>
                <w:bCs/>
                <w:color w:val="auto"/>
                <w:sz w:val="24"/>
                <w:highlight w:val="none"/>
              </w:rPr>
              <w:t xml:space="preserve">  废气收集、处置方案一览表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468"/>
              <w:gridCol w:w="1303"/>
              <w:gridCol w:w="1168"/>
              <w:gridCol w:w="1946"/>
              <w:gridCol w:w="1224"/>
            </w:tblGrid>
            <w:tr w14:paraId="50592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3" w:type="pct"/>
                  <w:vAlign w:val="center"/>
                </w:tcPr>
                <w:p w14:paraId="0095F631">
                  <w:pPr>
                    <w:tabs>
                      <w:tab w:val="left" w:pos="1728"/>
                    </w:tabs>
                    <w:adjustRightInd w:val="0"/>
                    <w:snapToGrid w:val="0"/>
                    <w:jc w:val="center"/>
                    <w:rPr>
                      <w:rFonts w:ascii="仿宋" w:hAnsi="仿宋" w:eastAsia="仿宋"/>
                      <w:b/>
                      <w:szCs w:val="21"/>
                    </w:rPr>
                  </w:pPr>
                  <w:r>
                    <w:rPr>
                      <w:rFonts w:hint="eastAsia" w:ascii="仿宋" w:hAnsi="仿宋" w:eastAsia="仿宋"/>
                      <w:b/>
                      <w:szCs w:val="21"/>
                    </w:rPr>
                    <w:t>废气产生环节</w:t>
                  </w:r>
                </w:p>
              </w:tc>
              <w:tc>
                <w:tcPr>
                  <w:tcW w:w="866" w:type="pct"/>
                  <w:shd w:val="clear" w:color="auto" w:fill="auto"/>
                  <w:vAlign w:val="center"/>
                </w:tcPr>
                <w:p w14:paraId="141264A2">
                  <w:pPr>
                    <w:tabs>
                      <w:tab w:val="left" w:pos="1728"/>
                    </w:tabs>
                    <w:adjustRightInd w:val="0"/>
                    <w:snapToGrid w:val="0"/>
                    <w:jc w:val="center"/>
                    <w:rPr>
                      <w:rFonts w:ascii="仿宋" w:hAnsi="仿宋" w:eastAsia="仿宋"/>
                      <w:b/>
                      <w:szCs w:val="21"/>
                    </w:rPr>
                  </w:pPr>
                  <w:r>
                    <w:rPr>
                      <w:rFonts w:hint="eastAsia" w:ascii="仿宋" w:hAnsi="仿宋" w:eastAsia="仿宋"/>
                      <w:b/>
                      <w:szCs w:val="21"/>
                    </w:rPr>
                    <w:t>污染源名称</w:t>
                  </w:r>
                </w:p>
              </w:tc>
              <w:tc>
                <w:tcPr>
                  <w:tcW w:w="769" w:type="pct"/>
                  <w:shd w:val="clear" w:color="auto" w:fill="auto"/>
                  <w:vAlign w:val="center"/>
                </w:tcPr>
                <w:p w14:paraId="20AB627D">
                  <w:pPr>
                    <w:tabs>
                      <w:tab w:val="left" w:pos="1728"/>
                    </w:tabs>
                    <w:adjustRightInd w:val="0"/>
                    <w:snapToGrid w:val="0"/>
                    <w:jc w:val="center"/>
                    <w:rPr>
                      <w:rFonts w:ascii="仿宋" w:hAnsi="仿宋" w:eastAsia="仿宋"/>
                      <w:b/>
                      <w:szCs w:val="21"/>
                    </w:rPr>
                  </w:pPr>
                  <w:r>
                    <w:rPr>
                      <w:rFonts w:hint="eastAsia" w:ascii="仿宋" w:hAnsi="仿宋" w:eastAsia="仿宋"/>
                      <w:b/>
                      <w:szCs w:val="21"/>
                    </w:rPr>
                    <w:t>污染物名称</w:t>
                  </w:r>
                </w:p>
              </w:tc>
              <w:tc>
                <w:tcPr>
                  <w:tcW w:w="689" w:type="pct"/>
                  <w:vAlign w:val="center"/>
                </w:tcPr>
                <w:p w14:paraId="69EE06E6">
                  <w:pPr>
                    <w:tabs>
                      <w:tab w:val="left" w:pos="1728"/>
                    </w:tabs>
                    <w:adjustRightInd w:val="0"/>
                    <w:snapToGrid w:val="0"/>
                    <w:jc w:val="center"/>
                    <w:rPr>
                      <w:rFonts w:ascii="仿宋" w:hAnsi="仿宋" w:eastAsia="仿宋"/>
                      <w:b/>
                      <w:szCs w:val="21"/>
                    </w:rPr>
                  </w:pPr>
                  <w:r>
                    <w:rPr>
                      <w:rFonts w:ascii="仿宋" w:hAnsi="仿宋" w:eastAsia="仿宋" w:cs="宋体"/>
                      <w:b/>
                      <w:szCs w:val="21"/>
                    </w:rPr>
                    <w:t>收集方式</w:t>
                  </w:r>
                </w:p>
              </w:tc>
              <w:tc>
                <w:tcPr>
                  <w:tcW w:w="1148" w:type="pct"/>
                  <w:shd w:val="clear" w:color="auto" w:fill="auto"/>
                  <w:vAlign w:val="center"/>
                </w:tcPr>
                <w:p w14:paraId="6B8B9190">
                  <w:pPr>
                    <w:tabs>
                      <w:tab w:val="left" w:pos="1728"/>
                    </w:tabs>
                    <w:adjustRightInd w:val="0"/>
                    <w:snapToGrid w:val="0"/>
                    <w:jc w:val="center"/>
                    <w:rPr>
                      <w:rFonts w:ascii="仿宋" w:hAnsi="仿宋" w:eastAsia="仿宋"/>
                      <w:b/>
                      <w:szCs w:val="21"/>
                    </w:rPr>
                  </w:pPr>
                  <w:r>
                    <w:rPr>
                      <w:rFonts w:hint="eastAsia" w:ascii="仿宋" w:hAnsi="仿宋" w:eastAsia="仿宋"/>
                      <w:b/>
                      <w:szCs w:val="21"/>
                    </w:rPr>
                    <w:t>废气处理措施</w:t>
                  </w:r>
                </w:p>
              </w:tc>
              <w:tc>
                <w:tcPr>
                  <w:tcW w:w="722" w:type="pct"/>
                  <w:shd w:val="clear" w:color="auto" w:fill="auto"/>
                  <w:vAlign w:val="center"/>
                </w:tcPr>
                <w:p w14:paraId="3E7602E0">
                  <w:pPr>
                    <w:tabs>
                      <w:tab w:val="left" w:pos="1728"/>
                    </w:tabs>
                    <w:adjustRightInd w:val="0"/>
                    <w:snapToGrid w:val="0"/>
                    <w:jc w:val="center"/>
                    <w:rPr>
                      <w:rFonts w:ascii="仿宋" w:hAnsi="仿宋" w:eastAsia="仿宋"/>
                      <w:b/>
                      <w:szCs w:val="21"/>
                    </w:rPr>
                  </w:pPr>
                  <w:r>
                    <w:rPr>
                      <w:rFonts w:hint="eastAsia" w:ascii="仿宋" w:hAnsi="仿宋" w:eastAsia="仿宋"/>
                      <w:b/>
                      <w:szCs w:val="21"/>
                    </w:rPr>
                    <w:t>排气筒编号</w:t>
                  </w:r>
                </w:p>
              </w:tc>
            </w:tr>
            <w:tr w14:paraId="6B5C7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3" w:type="pct"/>
                  <w:vAlign w:val="center"/>
                </w:tcPr>
                <w:p w14:paraId="06DBA1D2">
                  <w:pPr>
                    <w:tabs>
                      <w:tab w:val="left" w:pos="1728"/>
                    </w:tabs>
                    <w:adjustRightInd w:val="0"/>
                    <w:snapToGrid w:val="0"/>
                    <w:jc w:val="center"/>
                    <w:rPr>
                      <w:rFonts w:hint="eastAsia" w:ascii="仿宋" w:hAnsi="仿宋" w:eastAsia="仿宋"/>
                      <w:szCs w:val="21"/>
                      <w:lang w:eastAsia="zh-CN"/>
                    </w:rPr>
                  </w:pPr>
                  <w:r>
                    <w:rPr>
                      <w:rFonts w:hint="eastAsia" w:ascii="仿宋" w:hAnsi="仿宋" w:eastAsia="仿宋"/>
                      <w:szCs w:val="21"/>
                      <w:lang w:val="en-US" w:eastAsia="zh-CN"/>
                    </w:rPr>
                    <w:t>注塑</w:t>
                  </w:r>
                </w:p>
              </w:tc>
              <w:tc>
                <w:tcPr>
                  <w:tcW w:w="866" w:type="pct"/>
                  <w:shd w:val="clear" w:color="auto" w:fill="auto"/>
                  <w:vAlign w:val="center"/>
                </w:tcPr>
                <w:p w14:paraId="32DBA70B">
                  <w:pPr>
                    <w:tabs>
                      <w:tab w:val="left" w:pos="1728"/>
                    </w:tabs>
                    <w:adjustRightInd w:val="0"/>
                    <w:snapToGrid w:val="0"/>
                    <w:jc w:val="center"/>
                    <w:rPr>
                      <w:rFonts w:ascii="仿宋" w:hAnsi="仿宋" w:eastAsia="仿宋"/>
                      <w:szCs w:val="21"/>
                    </w:rPr>
                  </w:pPr>
                  <w:r>
                    <w:rPr>
                      <w:rFonts w:hint="eastAsia" w:ascii="仿宋" w:hAnsi="仿宋" w:eastAsia="仿宋"/>
                      <w:szCs w:val="21"/>
                      <w:lang w:val="en-US" w:eastAsia="zh-CN"/>
                    </w:rPr>
                    <w:t>注塑</w:t>
                  </w:r>
                  <w:r>
                    <w:rPr>
                      <w:rFonts w:hint="eastAsia" w:ascii="仿宋" w:hAnsi="仿宋" w:eastAsia="仿宋"/>
                      <w:szCs w:val="21"/>
                    </w:rPr>
                    <w:t>废气</w:t>
                  </w:r>
                </w:p>
              </w:tc>
              <w:tc>
                <w:tcPr>
                  <w:tcW w:w="769" w:type="pct"/>
                  <w:shd w:val="clear" w:color="auto" w:fill="auto"/>
                  <w:vAlign w:val="center"/>
                </w:tcPr>
                <w:p w14:paraId="2FA41BDA">
                  <w:pPr>
                    <w:tabs>
                      <w:tab w:val="left" w:pos="1728"/>
                    </w:tabs>
                    <w:adjustRightInd w:val="0"/>
                    <w:snapToGrid w:val="0"/>
                    <w:jc w:val="center"/>
                    <w:rPr>
                      <w:rFonts w:hint="eastAsia" w:ascii="仿宋" w:hAnsi="仿宋" w:eastAsia="仿宋"/>
                      <w:szCs w:val="21"/>
                      <w:lang w:eastAsia="zh-CN"/>
                    </w:rPr>
                  </w:pPr>
                  <w:r>
                    <w:rPr>
                      <w:rFonts w:hint="eastAsia" w:ascii="仿宋" w:hAnsi="仿宋" w:eastAsia="仿宋"/>
                      <w:szCs w:val="21"/>
                      <w:lang w:val="en-US" w:eastAsia="zh-CN"/>
                    </w:rPr>
                    <w:t>非甲烷总烃</w:t>
                  </w:r>
                </w:p>
              </w:tc>
              <w:tc>
                <w:tcPr>
                  <w:tcW w:w="689" w:type="pct"/>
                  <w:vAlign w:val="center"/>
                </w:tcPr>
                <w:p w14:paraId="45CD3F47">
                  <w:pPr>
                    <w:tabs>
                      <w:tab w:val="left" w:pos="1728"/>
                    </w:tabs>
                    <w:adjustRightInd w:val="0"/>
                    <w:snapToGrid w:val="0"/>
                    <w:jc w:val="center"/>
                    <w:rPr>
                      <w:rFonts w:ascii="仿宋" w:hAnsi="仿宋" w:eastAsia="仿宋"/>
                      <w:szCs w:val="21"/>
                    </w:rPr>
                  </w:pPr>
                  <w:r>
                    <w:rPr>
                      <w:rFonts w:hint="eastAsia" w:ascii="仿宋" w:hAnsi="仿宋" w:eastAsia="仿宋" w:cs="宋体"/>
                      <w:bCs/>
                      <w:szCs w:val="21"/>
                    </w:rPr>
                    <w:t>集气罩</w:t>
                  </w:r>
                </w:p>
              </w:tc>
              <w:tc>
                <w:tcPr>
                  <w:tcW w:w="1148" w:type="pct"/>
                  <w:vMerge w:val="restart"/>
                  <w:shd w:val="clear" w:color="auto" w:fill="auto"/>
                  <w:vAlign w:val="center"/>
                </w:tcPr>
                <w:p w14:paraId="6E0172C3">
                  <w:pPr>
                    <w:tabs>
                      <w:tab w:val="left" w:pos="1728"/>
                    </w:tabs>
                    <w:adjustRightInd w:val="0"/>
                    <w:snapToGrid w:val="0"/>
                    <w:jc w:val="center"/>
                    <w:rPr>
                      <w:rFonts w:hint="default" w:ascii="仿宋" w:hAnsi="仿宋" w:eastAsia="仿宋"/>
                      <w:szCs w:val="21"/>
                      <w:lang w:val="en-US" w:eastAsia="zh-CN"/>
                    </w:rPr>
                  </w:pPr>
                  <w:r>
                    <w:rPr>
                      <w:rFonts w:hint="default" w:ascii="Times New Roman" w:hAnsi="Times New Roman" w:eastAsia="仿宋" w:cs="Times New Roman"/>
                      <w:bCs/>
                      <w:color w:val="auto"/>
                      <w:szCs w:val="21"/>
                      <w:highlight w:val="none"/>
                      <w:lang w:val="en-US" w:eastAsia="zh-CN"/>
                    </w:rPr>
                    <w:t>6#</w:t>
                  </w:r>
                  <w:r>
                    <w:rPr>
                      <w:rFonts w:hint="eastAsia" w:ascii="仿宋" w:hAnsi="仿宋" w:eastAsia="仿宋"/>
                      <w:szCs w:val="21"/>
                      <w:lang w:val="en-US" w:eastAsia="zh-CN"/>
                    </w:rPr>
                    <w:t>两级活性炭吸附装置</w:t>
                  </w:r>
                </w:p>
              </w:tc>
              <w:tc>
                <w:tcPr>
                  <w:tcW w:w="722" w:type="pct"/>
                  <w:vMerge w:val="restart"/>
                  <w:shd w:val="clear" w:color="auto" w:fill="auto"/>
                  <w:vAlign w:val="center"/>
                </w:tcPr>
                <w:p w14:paraId="3AAF1F9C">
                  <w:pPr>
                    <w:tabs>
                      <w:tab w:val="left" w:pos="1728"/>
                    </w:tabs>
                    <w:adjustRightInd w:val="0"/>
                    <w:snapToGrid w:val="0"/>
                    <w:jc w:val="center"/>
                    <w:rPr>
                      <w:rFonts w:ascii="仿宋" w:hAnsi="仿宋" w:eastAsia="仿宋"/>
                      <w:szCs w:val="21"/>
                    </w:rPr>
                  </w:pPr>
                  <w:r>
                    <w:rPr>
                      <w:rFonts w:hint="default" w:ascii="Times New Roman" w:hAnsi="Times New Roman" w:cs="Times New Roman"/>
                      <w:bCs/>
                      <w:szCs w:val="21"/>
                    </w:rPr>
                    <w:t>FQ-</w:t>
                  </w:r>
                  <w:r>
                    <w:rPr>
                      <w:rFonts w:hint="default" w:ascii="Times New Roman" w:hAnsi="Times New Roman" w:cs="Times New Roman"/>
                      <w:bCs/>
                      <w:szCs w:val="21"/>
                      <w:lang w:val="en-US" w:eastAsia="zh-CN"/>
                    </w:rPr>
                    <w:t>6</w:t>
                  </w:r>
                </w:p>
              </w:tc>
            </w:tr>
            <w:tr w14:paraId="2F906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3" w:type="pct"/>
                  <w:shd w:val="clear" w:color="auto" w:fill="auto"/>
                  <w:vAlign w:val="center"/>
                </w:tcPr>
                <w:p w14:paraId="7F90A576">
                  <w:pPr>
                    <w:contextualSpacing/>
                    <w:jc w:val="center"/>
                    <w:rPr>
                      <w:rFonts w:hint="eastAsia" w:eastAsia="仿宋"/>
                      <w:kern w:val="2"/>
                      <w:sz w:val="21"/>
                      <w:szCs w:val="21"/>
                      <w:lang w:val="en-US" w:eastAsia="zh-CN" w:bidi="ar-SA"/>
                    </w:rPr>
                  </w:pPr>
                  <w:r>
                    <w:rPr>
                      <w:rFonts w:hint="eastAsia" w:eastAsia="仿宋"/>
                      <w:bCs/>
                      <w:szCs w:val="21"/>
                      <w:lang w:val="en-US" w:eastAsia="zh-CN"/>
                    </w:rPr>
                    <w:t>上胶、烘干</w:t>
                  </w:r>
                </w:p>
              </w:tc>
              <w:tc>
                <w:tcPr>
                  <w:tcW w:w="866" w:type="pct"/>
                  <w:shd w:val="clear" w:color="auto" w:fill="auto"/>
                  <w:vAlign w:val="center"/>
                </w:tcPr>
                <w:p w14:paraId="0396216C">
                  <w:pPr>
                    <w:contextualSpacing/>
                    <w:jc w:val="center"/>
                    <w:rPr>
                      <w:rFonts w:hint="default" w:ascii="仿宋" w:hAnsi="仿宋" w:eastAsia="仿宋"/>
                      <w:szCs w:val="21"/>
                      <w:lang w:val="en-US" w:eastAsia="zh-CN"/>
                    </w:rPr>
                  </w:pPr>
                  <w:r>
                    <w:rPr>
                      <w:rFonts w:hint="eastAsia" w:eastAsia="仿宋"/>
                      <w:bCs/>
                      <w:szCs w:val="21"/>
                      <w:lang w:val="en-US" w:eastAsia="zh-CN"/>
                    </w:rPr>
                    <w:t>上胶、烘干废气</w:t>
                  </w:r>
                </w:p>
              </w:tc>
              <w:tc>
                <w:tcPr>
                  <w:tcW w:w="769" w:type="pct"/>
                  <w:shd w:val="clear" w:color="auto" w:fill="auto"/>
                  <w:vAlign w:val="center"/>
                </w:tcPr>
                <w:p w14:paraId="09941B51">
                  <w:pPr>
                    <w:adjustRightInd w:val="0"/>
                    <w:snapToGrid w:val="0"/>
                    <w:jc w:val="center"/>
                    <w:rPr>
                      <w:rFonts w:hint="eastAsia" w:ascii="仿宋" w:hAnsi="仿宋" w:eastAsia="仿宋"/>
                      <w:szCs w:val="21"/>
                    </w:rPr>
                  </w:pPr>
                  <w:r>
                    <w:rPr>
                      <w:rFonts w:hint="eastAsia" w:ascii="仿宋" w:hAnsi="仿宋" w:eastAsia="仿宋"/>
                      <w:szCs w:val="21"/>
                      <w:lang w:val="en-US" w:eastAsia="zh-CN"/>
                    </w:rPr>
                    <w:t>非甲烷总烃</w:t>
                  </w:r>
                </w:p>
              </w:tc>
              <w:tc>
                <w:tcPr>
                  <w:tcW w:w="689" w:type="pct"/>
                  <w:vAlign w:val="center"/>
                </w:tcPr>
                <w:p w14:paraId="125B26B9">
                  <w:pPr>
                    <w:tabs>
                      <w:tab w:val="left" w:pos="1728"/>
                    </w:tabs>
                    <w:adjustRightInd w:val="0"/>
                    <w:snapToGrid w:val="0"/>
                    <w:jc w:val="center"/>
                    <w:rPr>
                      <w:rFonts w:hint="default" w:ascii="仿宋" w:hAnsi="仿宋" w:eastAsia="仿宋" w:cs="宋体"/>
                      <w:bCs/>
                      <w:szCs w:val="21"/>
                      <w:lang w:val="en-US" w:eastAsia="zh-CN"/>
                    </w:rPr>
                  </w:pPr>
                  <w:r>
                    <w:rPr>
                      <w:rFonts w:hint="eastAsia" w:ascii="仿宋" w:hAnsi="仿宋" w:eastAsia="仿宋" w:cs="宋体"/>
                      <w:bCs/>
                      <w:szCs w:val="21"/>
                      <w:lang w:val="en-US" w:eastAsia="zh-CN"/>
                    </w:rPr>
                    <w:t>整体抽风</w:t>
                  </w:r>
                </w:p>
              </w:tc>
              <w:tc>
                <w:tcPr>
                  <w:tcW w:w="1148" w:type="pct"/>
                  <w:vMerge w:val="continue"/>
                  <w:shd w:val="clear" w:color="auto" w:fill="auto"/>
                  <w:vAlign w:val="center"/>
                </w:tcPr>
                <w:p w14:paraId="4EA04B01">
                  <w:pPr>
                    <w:tabs>
                      <w:tab w:val="left" w:pos="1728"/>
                    </w:tabs>
                    <w:adjustRightInd w:val="0"/>
                    <w:snapToGrid w:val="0"/>
                    <w:jc w:val="center"/>
                    <w:rPr>
                      <w:rFonts w:hint="eastAsia" w:ascii="仿宋" w:hAnsi="仿宋" w:eastAsia="仿宋"/>
                      <w:szCs w:val="21"/>
                    </w:rPr>
                  </w:pPr>
                </w:p>
              </w:tc>
              <w:tc>
                <w:tcPr>
                  <w:tcW w:w="722" w:type="pct"/>
                  <w:vMerge w:val="continue"/>
                  <w:shd w:val="clear" w:color="auto" w:fill="auto"/>
                  <w:vAlign w:val="center"/>
                </w:tcPr>
                <w:p w14:paraId="6E9CE33D">
                  <w:pPr>
                    <w:tabs>
                      <w:tab w:val="left" w:pos="1728"/>
                    </w:tabs>
                    <w:adjustRightInd w:val="0"/>
                    <w:snapToGrid w:val="0"/>
                    <w:jc w:val="center"/>
                    <w:rPr>
                      <w:rFonts w:hint="eastAsia" w:ascii="仿宋" w:hAnsi="仿宋" w:eastAsia="仿宋"/>
                      <w:szCs w:val="21"/>
                    </w:rPr>
                  </w:pPr>
                </w:p>
              </w:tc>
            </w:tr>
            <w:tr w14:paraId="2E654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3" w:type="pct"/>
                  <w:shd w:val="clear" w:color="auto" w:fill="auto"/>
                  <w:vAlign w:val="center"/>
                </w:tcPr>
                <w:p w14:paraId="67A7D2E7">
                  <w:pPr>
                    <w:jc w:val="center"/>
                    <w:rPr>
                      <w:rFonts w:hint="eastAsia" w:eastAsia="仿宋"/>
                      <w:bCs/>
                      <w:kern w:val="2"/>
                      <w:sz w:val="21"/>
                      <w:szCs w:val="21"/>
                      <w:lang w:val="en-US" w:eastAsia="zh-CN" w:bidi="ar-SA"/>
                    </w:rPr>
                  </w:pPr>
                  <w:r>
                    <w:rPr>
                      <w:rFonts w:hint="eastAsia" w:eastAsia="仿宋"/>
                      <w:bCs/>
                      <w:szCs w:val="21"/>
                      <w:lang w:val="en-US" w:eastAsia="zh-CN"/>
                    </w:rPr>
                    <w:t>固化</w:t>
                  </w:r>
                </w:p>
              </w:tc>
              <w:tc>
                <w:tcPr>
                  <w:tcW w:w="866" w:type="pct"/>
                  <w:shd w:val="clear" w:color="auto" w:fill="auto"/>
                  <w:vAlign w:val="center"/>
                </w:tcPr>
                <w:p w14:paraId="5F88AF0E">
                  <w:pPr>
                    <w:jc w:val="center"/>
                    <w:rPr>
                      <w:rFonts w:hint="default" w:ascii="仿宋" w:hAnsi="仿宋" w:eastAsia="仿宋"/>
                      <w:szCs w:val="21"/>
                      <w:lang w:val="en-US" w:eastAsia="zh-CN"/>
                    </w:rPr>
                  </w:pPr>
                  <w:r>
                    <w:rPr>
                      <w:rFonts w:hint="eastAsia" w:eastAsia="仿宋"/>
                      <w:bCs/>
                      <w:szCs w:val="21"/>
                      <w:lang w:val="en-US" w:eastAsia="zh-CN"/>
                    </w:rPr>
                    <w:t>固化废气</w:t>
                  </w:r>
                </w:p>
              </w:tc>
              <w:tc>
                <w:tcPr>
                  <w:tcW w:w="769" w:type="pct"/>
                  <w:shd w:val="clear" w:color="auto" w:fill="auto"/>
                  <w:vAlign w:val="center"/>
                </w:tcPr>
                <w:p w14:paraId="263F09FF">
                  <w:pPr>
                    <w:adjustRightInd w:val="0"/>
                    <w:snapToGrid w:val="0"/>
                    <w:jc w:val="center"/>
                    <w:rPr>
                      <w:rFonts w:hint="eastAsia" w:ascii="仿宋" w:hAnsi="仿宋" w:eastAsia="仿宋"/>
                      <w:szCs w:val="21"/>
                    </w:rPr>
                  </w:pPr>
                  <w:r>
                    <w:rPr>
                      <w:rFonts w:hint="eastAsia" w:ascii="仿宋" w:hAnsi="仿宋" w:eastAsia="仿宋"/>
                      <w:szCs w:val="21"/>
                      <w:lang w:val="en-US" w:eastAsia="zh-CN"/>
                    </w:rPr>
                    <w:t>非甲烷总烃</w:t>
                  </w:r>
                </w:p>
              </w:tc>
              <w:tc>
                <w:tcPr>
                  <w:tcW w:w="689" w:type="pct"/>
                  <w:vAlign w:val="center"/>
                </w:tcPr>
                <w:p w14:paraId="5B797AA4">
                  <w:pPr>
                    <w:adjustRightInd w:val="0"/>
                    <w:snapToGrid w:val="0"/>
                    <w:jc w:val="center"/>
                    <w:rPr>
                      <w:rFonts w:hint="eastAsia" w:ascii="仿宋" w:hAnsi="仿宋" w:eastAsia="仿宋" w:cs="宋体"/>
                      <w:bCs/>
                      <w:szCs w:val="21"/>
                    </w:rPr>
                  </w:pPr>
                  <w:r>
                    <w:rPr>
                      <w:rFonts w:hint="eastAsia" w:ascii="仿宋" w:hAnsi="仿宋" w:eastAsia="仿宋" w:cs="宋体"/>
                      <w:bCs/>
                      <w:szCs w:val="21"/>
                    </w:rPr>
                    <w:t>集气罩</w:t>
                  </w:r>
                </w:p>
              </w:tc>
              <w:tc>
                <w:tcPr>
                  <w:tcW w:w="1148" w:type="pct"/>
                  <w:vMerge w:val="continue"/>
                  <w:shd w:val="clear" w:color="auto" w:fill="auto"/>
                  <w:vAlign w:val="center"/>
                </w:tcPr>
                <w:p w14:paraId="6E27BBD4">
                  <w:pPr>
                    <w:tabs>
                      <w:tab w:val="left" w:pos="1728"/>
                    </w:tabs>
                    <w:adjustRightInd w:val="0"/>
                    <w:snapToGrid w:val="0"/>
                    <w:jc w:val="center"/>
                    <w:rPr>
                      <w:rFonts w:hint="eastAsia" w:ascii="仿宋" w:hAnsi="仿宋" w:eastAsia="仿宋"/>
                      <w:szCs w:val="21"/>
                    </w:rPr>
                  </w:pPr>
                </w:p>
              </w:tc>
              <w:tc>
                <w:tcPr>
                  <w:tcW w:w="722" w:type="pct"/>
                  <w:vMerge w:val="continue"/>
                  <w:shd w:val="clear" w:color="auto" w:fill="auto"/>
                  <w:vAlign w:val="center"/>
                </w:tcPr>
                <w:p w14:paraId="58D9CF8E">
                  <w:pPr>
                    <w:tabs>
                      <w:tab w:val="left" w:pos="1728"/>
                    </w:tabs>
                    <w:adjustRightInd w:val="0"/>
                    <w:snapToGrid w:val="0"/>
                    <w:jc w:val="center"/>
                    <w:rPr>
                      <w:rFonts w:hint="eastAsia" w:ascii="仿宋" w:hAnsi="仿宋" w:eastAsia="仿宋"/>
                      <w:szCs w:val="21"/>
                    </w:rPr>
                  </w:pPr>
                </w:p>
              </w:tc>
            </w:tr>
            <w:tr w14:paraId="696D4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3" w:type="pct"/>
                  <w:shd w:val="clear" w:color="auto" w:fill="auto"/>
                  <w:vAlign w:val="center"/>
                </w:tcPr>
                <w:p w14:paraId="256C78E3">
                  <w:pPr>
                    <w:jc w:val="center"/>
                    <w:rPr>
                      <w:rFonts w:hint="eastAsia" w:eastAsia="仿宋"/>
                      <w:bCs/>
                      <w:kern w:val="2"/>
                      <w:sz w:val="21"/>
                      <w:szCs w:val="21"/>
                      <w:lang w:val="en-US" w:eastAsia="zh-CN" w:bidi="ar-SA"/>
                    </w:rPr>
                  </w:pPr>
                  <w:r>
                    <w:rPr>
                      <w:rFonts w:hint="eastAsia" w:eastAsia="仿宋"/>
                      <w:bCs/>
                      <w:szCs w:val="21"/>
                      <w:lang w:val="en-US" w:eastAsia="zh-CN"/>
                    </w:rPr>
                    <w:t>植绒</w:t>
                  </w:r>
                </w:p>
              </w:tc>
              <w:tc>
                <w:tcPr>
                  <w:tcW w:w="866" w:type="pct"/>
                  <w:shd w:val="clear" w:color="auto" w:fill="auto"/>
                  <w:vAlign w:val="center"/>
                </w:tcPr>
                <w:p w14:paraId="209FA9BB">
                  <w:pPr>
                    <w:jc w:val="center"/>
                    <w:rPr>
                      <w:rFonts w:hint="default" w:ascii="仿宋" w:hAnsi="仿宋" w:eastAsia="仿宋"/>
                      <w:szCs w:val="21"/>
                      <w:lang w:val="en-US" w:eastAsia="zh-CN"/>
                    </w:rPr>
                  </w:pPr>
                  <w:r>
                    <w:rPr>
                      <w:rFonts w:hint="eastAsia" w:eastAsia="仿宋"/>
                      <w:bCs/>
                      <w:szCs w:val="21"/>
                      <w:lang w:val="en-US" w:eastAsia="zh-CN"/>
                    </w:rPr>
                    <w:t>植绒废气</w:t>
                  </w:r>
                </w:p>
              </w:tc>
              <w:tc>
                <w:tcPr>
                  <w:tcW w:w="769" w:type="pct"/>
                  <w:shd w:val="clear" w:color="auto" w:fill="auto"/>
                  <w:vAlign w:val="center"/>
                </w:tcPr>
                <w:p w14:paraId="62BE3A34">
                  <w:pPr>
                    <w:tabs>
                      <w:tab w:val="left" w:pos="1728"/>
                    </w:tabs>
                    <w:adjustRightInd w:val="0"/>
                    <w:snapToGrid w:val="0"/>
                    <w:jc w:val="center"/>
                    <w:rPr>
                      <w:rFonts w:hint="eastAsia" w:ascii="仿宋" w:hAnsi="仿宋" w:eastAsia="仿宋"/>
                      <w:szCs w:val="21"/>
                      <w:lang w:val="en-US" w:eastAsia="zh-CN"/>
                    </w:rPr>
                  </w:pPr>
                  <w:r>
                    <w:rPr>
                      <w:rFonts w:hint="eastAsia" w:ascii="仿宋" w:hAnsi="仿宋" w:eastAsia="仿宋"/>
                      <w:szCs w:val="21"/>
                      <w:lang w:val="en-US" w:eastAsia="zh-CN"/>
                    </w:rPr>
                    <w:t>颗粒物</w:t>
                  </w:r>
                </w:p>
              </w:tc>
              <w:tc>
                <w:tcPr>
                  <w:tcW w:w="689" w:type="pct"/>
                  <w:vAlign w:val="center"/>
                </w:tcPr>
                <w:p w14:paraId="33B1024C">
                  <w:pPr>
                    <w:adjustRightInd w:val="0"/>
                    <w:snapToGrid w:val="0"/>
                    <w:jc w:val="center"/>
                    <w:rPr>
                      <w:rFonts w:hint="eastAsia" w:ascii="仿宋" w:hAnsi="仿宋" w:eastAsia="仿宋" w:cs="宋体"/>
                      <w:bCs/>
                      <w:szCs w:val="21"/>
                    </w:rPr>
                  </w:pPr>
                  <w:r>
                    <w:rPr>
                      <w:rFonts w:hint="eastAsia" w:ascii="仿宋" w:hAnsi="仿宋" w:eastAsia="仿宋" w:cs="宋体"/>
                      <w:bCs/>
                      <w:szCs w:val="21"/>
                      <w:lang w:val="en-US" w:eastAsia="zh-CN"/>
                    </w:rPr>
                    <w:t>整体抽风</w:t>
                  </w:r>
                </w:p>
              </w:tc>
              <w:tc>
                <w:tcPr>
                  <w:tcW w:w="1148" w:type="pct"/>
                  <w:shd w:val="clear" w:color="auto" w:fill="auto"/>
                  <w:vAlign w:val="center"/>
                </w:tcPr>
                <w:p w14:paraId="5C9E8CD3">
                  <w:pPr>
                    <w:tabs>
                      <w:tab w:val="left" w:pos="1728"/>
                    </w:tabs>
                    <w:adjustRightInd w:val="0"/>
                    <w:snapToGrid w:val="0"/>
                    <w:jc w:val="center"/>
                    <w:rPr>
                      <w:rFonts w:hint="default" w:ascii="仿宋" w:hAnsi="仿宋" w:eastAsia="仿宋"/>
                      <w:szCs w:val="21"/>
                      <w:lang w:val="en-US" w:eastAsia="zh-CN"/>
                    </w:rPr>
                  </w:pPr>
                  <w:r>
                    <w:rPr>
                      <w:rFonts w:hint="default" w:ascii="Times New Roman" w:hAnsi="Times New Roman" w:eastAsia="仿宋" w:cs="Times New Roman"/>
                      <w:bCs/>
                      <w:color w:val="auto"/>
                      <w:szCs w:val="21"/>
                      <w:highlight w:val="none"/>
                      <w:lang w:val="en-US" w:eastAsia="zh-CN"/>
                    </w:rPr>
                    <w:t>5#</w:t>
                  </w:r>
                  <w:r>
                    <w:rPr>
                      <w:rFonts w:hint="eastAsia" w:ascii="仿宋" w:hAnsi="仿宋" w:eastAsia="仿宋"/>
                      <w:szCs w:val="21"/>
                      <w:lang w:val="en-US" w:eastAsia="zh-CN"/>
                    </w:rPr>
                    <w:t>布袋除尘装置</w:t>
                  </w:r>
                </w:p>
              </w:tc>
              <w:tc>
                <w:tcPr>
                  <w:tcW w:w="722" w:type="pct"/>
                  <w:shd w:val="clear" w:color="auto" w:fill="auto"/>
                  <w:vAlign w:val="center"/>
                </w:tcPr>
                <w:p w14:paraId="47BCAEB2">
                  <w:pPr>
                    <w:tabs>
                      <w:tab w:val="left" w:pos="1728"/>
                    </w:tabs>
                    <w:adjustRightInd w:val="0"/>
                    <w:snapToGrid w:val="0"/>
                    <w:jc w:val="center"/>
                    <w:rPr>
                      <w:rFonts w:hint="eastAsia" w:ascii="仿宋" w:hAnsi="仿宋" w:eastAsia="仿宋"/>
                      <w:szCs w:val="21"/>
                    </w:rPr>
                  </w:pPr>
                  <w:r>
                    <w:rPr>
                      <w:rFonts w:hint="default" w:ascii="Times New Roman" w:hAnsi="Times New Roman" w:cs="Times New Roman"/>
                      <w:bCs/>
                      <w:szCs w:val="21"/>
                    </w:rPr>
                    <w:t>FQ-</w:t>
                  </w:r>
                  <w:r>
                    <w:rPr>
                      <w:rFonts w:hint="default" w:ascii="Times New Roman" w:hAnsi="Times New Roman" w:cs="Times New Roman"/>
                      <w:bCs/>
                      <w:szCs w:val="21"/>
                      <w:lang w:val="en-US" w:eastAsia="zh-CN"/>
                    </w:rPr>
                    <w:t>5</w:t>
                  </w:r>
                </w:p>
              </w:tc>
            </w:tr>
            <w:tr w14:paraId="0B3FE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3" w:type="pct"/>
                  <w:shd w:val="clear" w:color="auto" w:fill="auto"/>
                  <w:vAlign w:val="center"/>
                </w:tcPr>
                <w:p w14:paraId="73F2E851">
                  <w:pPr>
                    <w:jc w:val="center"/>
                    <w:rPr>
                      <w:rFonts w:hint="eastAsia" w:eastAsia="仿宋"/>
                      <w:bCs/>
                      <w:color w:val="0000FF"/>
                      <w:szCs w:val="21"/>
                      <w:lang w:val="en-US" w:eastAsia="zh-CN"/>
                    </w:rPr>
                  </w:pPr>
                  <w:r>
                    <w:rPr>
                      <w:rFonts w:hint="eastAsia" w:eastAsia="仿宋"/>
                      <w:bCs/>
                      <w:color w:val="0000FF"/>
                      <w:szCs w:val="21"/>
                      <w:lang w:val="en-US" w:eastAsia="zh-CN"/>
                    </w:rPr>
                    <w:t>筛毛</w:t>
                  </w:r>
                </w:p>
              </w:tc>
              <w:tc>
                <w:tcPr>
                  <w:tcW w:w="866" w:type="pct"/>
                  <w:shd w:val="clear" w:color="auto" w:fill="auto"/>
                  <w:vAlign w:val="center"/>
                </w:tcPr>
                <w:p w14:paraId="038E8542">
                  <w:pPr>
                    <w:jc w:val="center"/>
                    <w:rPr>
                      <w:rFonts w:hint="default" w:eastAsia="仿宋"/>
                      <w:bCs/>
                      <w:color w:val="0000FF"/>
                      <w:szCs w:val="21"/>
                      <w:lang w:val="en-US" w:eastAsia="zh-CN"/>
                    </w:rPr>
                  </w:pPr>
                  <w:r>
                    <w:rPr>
                      <w:rFonts w:hint="eastAsia" w:eastAsia="仿宋"/>
                      <w:bCs/>
                      <w:color w:val="0000FF"/>
                      <w:szCs w:val="21"/>
                      <w:lang w:val="en-US" w:eastAsia="zh-CN"/>
                    </w:rPr>
                    <w:t>筛毛废气</w:t>
                  </w:r>
                </w:p>
              </w:tc>
              <w:tc>
                <w:tcPr>
                  <w:tcW w:w="1303" w:type="dxa"/>
                  <w:shd w:val="clear" w:color="auto" w:fill="auto"/>
                  <w:vAlign w:val="center"/>
                </w:tcPr>
                <w:p w14:paraId="14EDB16F">
                  <w:pPr>
                    <w:tabs>
                      <w:tab w:val="left" w:pos="1728"/>
                    </w:tabs>
                    <w:adjustRightInd w:val="0"/>
                    <w:snapToGrid w:val="0"/>
                    <w:jc w:val="center"/>
                    <w:rPr>
                      <w:rFonts w:hint="default" w:ascii="仿宋" w:hAnsi="仿宋" w:eastAsia="仿宋"/>
                      <w:color w:val="0000FF"/>
                      <w:szCs w:val="21"/>
                      <w:lang w:val="en-US" w:eastAsia="zh-CN"/>
                    </w:rPr>
                  </w:pPr>
                  <w:r>
                    <w:rPr>
                      <w:rFonts w:hint="eastAsia" w:ascii="仿宋" w:hAnsi="仿宋" w:eastAsia="仿宋"/>
                      <w:color w:val="0000FF"/>
                      <w:szCs w:val="21"/>
                      <w:lang w:val="en-US" w:eastAsia="zh-CN"/>
                    </w:rPr>
                    <w:t>颗粒物</w:t>
                  </w:r>
                </w:p>
              </w:tc>
              <w:tc>
                <w:tcPr>
                  <w:tcW w:w="1168" w:type="dxa"/>
                  <w:vAlign w:val="center"/>
                </w:tcPr>
                <w:p w14:paraId="72069904">
                  <w:pPr>
                    <w:adjustRightInd w:val="0"/>
                    <w:snapToGrid w:val="0"/>
                    <w:jc w:val="center"/>
                    <w:rPr>
                      <w:rFonts w:hint="eastAsia" w:ascii="仿宋" w:hAnsi="仿宋" w:eastAsia="仿宋" w:cs="宋体"/>
                      <w:bCs/>
                      <w:color w:val="0000FF"/>
                      <w:szCs w:val="21"/>
                      <w:lang w:val="en-US" w:eastAsia="zh-CN"/>
                    </w:rPr>
                  </w:pPr>
                  <w:r>
                    <w:rPr>
                      <w:rFonts w:hint="eastAsia" w:ascii="仿宋" w:hAnsi="仿宋" w:eastAsia="仿宋" w:cs="宋体"/>
                      <w:bCs/>
                      <w:color w:val="0000FF"/>
                      <w:szCs w:val="21"/>
                      <w:lang w:val="en-US" w:eastAsia="zh-CN"/>
                    </w:rPr>
                    <w:t>整体抽风</w:t>
                  </w:r>
                </w:p>
              </w:tc>
              <w:tc>
                <w:tcPr>
                  <w:tcW w:w="1946" w:type="dxa"/>
                  <w:shd w:val="clear" w:color="auto" w:fill="auto"/>
                  <w:vAlign w:val="center"/>
                </w:tcPr>
                <w:p w14:paraId="1D4E9B02">
                  <w:pPr>
                    <w:tabs>
                      <w:tab w:val="left" w:pos="1728"/>
                    </w:tabs>
                    <w:adjustRightInd w:val="0"/>
                    <w:snapToGrid w:val="0"/>
                    <w:jc w:val="center"/>
                    <w:rPr>
                      <w:rFonts w:hint="default" w:ascii="Times New Roman" w:hAnsi="Times New Roman" w:eastAsia="仿宋" w:cs="Times New Roman"/>
                      <w:bCs/>
                      <w:color w:val="0000FF"/>
                      <w:szCs w:val="21"/>
                      <w:highlight w:val="none"/>
                      <w:lang w:val="en-US" w:eastAsia="zh-CN"/>
                    </w:rPr>
                  </w:pPr>
                  <w:r>
                    <w:rPr>
                      <w:rFonts w:hint="eastAsia" w:eastAsia="仿宋" w:cs="Times New Roman"/>
                      <w:bCs/>
                      <w:color w:val="0000FF"/>
                      <w:szCs w:val="21"/>
                      <w:highlight w:val="none"/>
                      <w:lang w:val="en-US" w:eastAsia="zh-CN"/>
                    </w:rPr>
                    <w:t>7</w:t>
                  </w:r>
                  <w:r>
                    <w:rPr>
                      <w:rFonts w:hint="default" w:ascii="Times New Roman" w:hAnsi="Times New Roman" w:eastAsia="仿宋" w:cs="Times New Roman"/>
                      <w:bCs/>
                      <w:color w:val="0000FF"/>
                      <w:szCs w:val="21"/>
                      <w:highlight w:val="none"/>
                      <w:lang w:val="en-US" w:eastAsia="zh-CN"/>
                    </w:rPr>
                    <w:t>#</w:t>
                  </w:r>
                  <w:r>
                    <w:rPr>
                      <w:rFonts w:hint="eastAsia" w:ascii="仿宋" w:hAnsi="仿宋" w:eastAsia="仿宋"/>
                      <w:color w:val="0000FF"/>
                      <w:szCs w:val="21"/>
                      <w:lang w:val="en-US" w:eastAsia="zh-CN"/>
                    </w:rPr>
                    <w:t>水旋除尘器</w:t>
                  </w:r>
                </w:p>
              </w:tc>
              <w:tc>
                <w:tcPr>
                  <w:tcW w:w="1224" w:type="dxa"/>
                  <w:shd w:val="clear" w:color="auto" w:fill="auto"/>
                  <w:vAlign w:val="center"/>
                </w:tcPr>
                <w:p w14:paraId="29DC3762">
                  <w:pPr>
                    <w:tabs>
                      <w:tab w:val="left" w:pos="1728"/>
                    </w:tabs>
                    <w:adjustRightInd w:val="0"/>
                    <w:snapToGrid w:val="0"/>
                    <w:jc w:val="center"/>
                    <w:rPr>
                      <w:rFonts w:hint="default" w:ascii="Times New Roman" w:hAnsi="Times New Roman" w:cs="Times New Roman"/>
                      <w:bCs/>
                      <w:color w:val="0000FF"/>
                      <w:szCs w:val="21"/>
                    </w:rPr>
                  </w:pPr>
                  <w:r>
                    <w:rPr>
                      <w:rFonts w:hint="default" w:ascii="Times New Roman" w:hAnsi="Times New Roman" w:cs="Times New Roman"/>
                      <w:bCs/>
                      <w:color w:val="0000FF"/>
                      <w:szCs w:val="21"/>
                    </w:rPr>
                    <w:t>FQ-</w:t>
                  </w:r>
                  <w:r>
                    <w:rPr>
                      <w:rFonts w:hint="eastAsia" w:cs="Times New Roman"/>
                      <w:bCs/>
                      <w:color w:val="0000FF"/>
                      <w:szCs w:val="21"/>
                      <w:lang w:val="en-US" w:eastAsia="zh-CN"/>
                    </w:rPr>
                    <w:t>7</w:t>
                  </w:r>
                </w:p>
              </w:tc>
            </w:tr>
          </w:tbl>
          <w:p w14:paraId="49568DAA">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废气收集、治理流程示意图如下：</w:t>
            </w:r>
          </w:p>
          <w:p w14:paraId="4B0467B1">
            <w:pPr>
              <w:adjustRightInd w:val="0"/>
              <w:snapToGrid w:val="0"/>
              <w:spacing w:line="360" w:lineRule="auto"/>
              <w:ind w:left="0" w:leftChars="0" w:right="0" w:rightChars="0" w:firstLine="0" w:firstLineChars="0"/>
              <w:jc w:val="center"/>
              <w:rPr>
                <w:rFonts w:hint="default" w:ascii="Times New Roman" w:hAnsi="Times New Roman" w:eastAsia="仿宋" w:cs="Times New Roman"/>
                <w:b/>
                <w:bCs/>
                <w:color w:val="auto"/>
                <w:sz w:val="24"/>
                <w:highlight w:val="none"/>
              </w:rPr>
            </w:pPr>
            <w:r>
              <w:rPr>
                <w:rFonts w:hint="eastAsia" w:ascii="Times New Roman" w:hAnsi="Times New Roman" w:eastAsia="仿宋" w:cs="Times New Roman"/>
                <w:bCs/>
                <w:color w:val="auto"/>
                <w:sz w:val="24"/>
                <w:highlight w:val="none"/>
                <w:lang w:eastAsia="zh-CN"/>
              </w:rPr>
              <w:drawing>
                <wp:inline distT="0" distB="0" distL="114300" distR="114300">
                  <wp:extent cx="5462905" cy="3268345"/>
                  <wp:effectExtent l="0" t="0" r="0" b="0"/>
                  <wp:docPr id="54" name="ECB019B1-382A-4266-B25C-5B523AA43C14-4" descr="C:/Users/Administrator/AppData/Local/Temp/wps.aLxzP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CB019B1-382A-4266-B25C-5B523AA43C14-4" descr="C:/Users/Administrator/AppData/Local/Temp/wps.aLxzPEwps"/>
                          <pic:cNvPicPr>
                            <a:picLocks noChangeAspect="1"/>
                          </pic:cNvPicPr>
                        </pic:nvPicPr>
                        <pic:blipFill>
                          <a:blip r:embed="rId19"/>
                          <a:stretch>
                            <a:fillRect/>
                          </a:stretch>
                        </pic:blipFill>
                        <pic:spPr>
                          <a:xfrm>
                            <a:off x="0" y="0"/>
                            <a:ext cx="5462905" cy="3268345"/>
                          </a:xfrm>
                          <a:prstGeom prst="rect">
                            <a:avLst/>
                          </a:prstGeom>
                        </pic:spPr>
                      </pic:pic>
                    </a:graphicData>
                  </a:graphic>
                </wp:inline>
              </w:drawing>
            </w:r>
          </w:p>
          <w:p w14:paraId="29C18805">
            <w:pPr>
              <w:adjustRightInd w:val="0"/>
              <w:snapToGrid w:val="0"/>
              <w:spacing w:line="360" w:lineRule="auto"/>
              <w:ind w:left="0" w:leftChars="0" w:right="0" w:rightChars="0" w:firstLine="0" w:firstLineChars="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0000FF"/>
                <w:sz w:val="24"/>
                <w:highlight w:val="none"/>
              </w:rPr>
              <w:t>图4-1  废气收集、治理流程示意图</w:t>
            </w:r>
          </w:p>
          <w:p w14:paraId="4B207FAA">
            <w:pPr>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color w:val="auto"/>
                <w:sz w:val="24"/>
                <w:highlight w:val="none"/>
              </w:rPr>
              <w:t>②</w:t>
            </w:r>
            <w:r>
              <w:rPr>
                <w:rFonts w:hint="default" w:ascii="Times New Roman" w:hAnsi="Times New Roman" w:eastAsia="仿宋" w:cs="Times New Roman"/>
                <w:bCs/>
                <w:color w:val="auto"/>
                <w:sz w:val="24"/>
                <w:highlight w:val="none"/>
              </w:rPr>
              <w:t>废气收集设计参数</w:t>
            </w:r>
          </w:p>
          <w:p w14:paraId="40F54907">
            <w:pPr>
              <w:widowControl/>
              <w:wordWrap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本项目废气采用</w:t>
            </w:r>
            <w:r>
              <w:rPr>
                <w:rFonts w:hint="eastAsia" w:eastAsia="仿宋" w:cs="Times New Roman"/>
                <w:color w:val="auto"/>
                <w:sz w:val="24"/>
                <w:highlight w:val="none"/>
                <w:lang w:val="en-US" w:eastAsia="zh-CN"/>
              </w:rPr>
              <w:t>密闭单元整体抽风</w:t>
            </w:r>
            <w:r>
              <w:rPr>
                <w:rFonts w:hint="default" w:ascii="Times New Roman" w:hAnsi="Times New Roman" w:eastAsia="仿宋" w:cs="Times New Roman"/>
                <w:color w:val="auto"/>
                <w:sz w:val="24"/>
                <w:highlight w:val="none"/>
              </w:rPr>
              <w:t>和集气罩收集。</w:t>
            </w:r>
          </w:p>
          <w:p w14:paraId="65288C3F">
            <w:pPr>
              <w:widowControl/>
              <w:wordWrap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&lt;1&gt;</w:t>
            </w:r>
            <w:r>
              <w:rPr>
                <w:rFonts w:hint="eastAsia" w:eastAsia="仿宋" w:cs="Times New Roman"/>
                <w:color w:val="auto"/>
                <w:sz w:val="24"/>
                <w:highlight w:val="none"/>
                <w:lang w:val="en-US" w:eastAsia="zh-CN"/>
              </w:rPr>
              <w:t>密闭单元</w:t>
            </w:r>
            <w:r>
              <w:rPr>
                <w:rFonts w:hint="default" w:ascii="Times New Roman" w:hAnsi="Times New Roman" w:eastAsia="仿宋" w:cs="Times New Roman"/>
                <w:color w:val="auto"/>
                <w:sz w:val="24"/>
                <w:highlight w:val="none"/>
              </w:rPr>
              <w:t>风量计算</w:t>
            </w:r>
          </w:p>
          <w:p w14:paraId="4BA2DFEC">
            <w:pPr>
              <w:widowControl/>
              <w:wordWrap w:val="0"/>
              <w:spacing w:line="360"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L=V×n×60</w:t>
            </w:r>
          </w:p>
          <w:p w14:paraId="38953C9F">
            <w:pPr>
              <w:widowControl/>
              <w:wordWrap w:val="0"/>
              <w:spacing w:line="360" w:lineRule="auto"/>
              <w:ind w:firstLine="480" w:firstLineChars="200"/>
            </w:pPr>
            <w:r>
              <w:rPr>
                <w:rFonts w:hint="default" w:ascii="Times New Roman" w:hAnsi="Times New Roman" w:eastAsia="仿宋" w:cs="Times New Roman"/>
                <w:color w:val="auto"/>
                <w:sz w:val="24"/>
                <w:highlight w:val="none"/>
              </w:rPr>
              <w:t>其中：</w:t>
            </w:r>
          </w:p>
          <w:p w14:paraId="4ADA7156">
            <w:pPr>
              <w:widowControl/>
              <w:wordWrap w:val="0"/>
              <w:spacing w:line="360" w:lineRule="auto"/>
              <w:ind w:firstLine="1200" w:firstLineChars="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L：排风量(m³/h)</w:t>
            </w:r>
          </w:p>
          <w:p w14:paraId="0481DDC1">
            <w:pPr>
              <w:widowControl/>
              <w:wordWrap w:val="0"/>
              <w:spacing w:line="360" w:lineRule="auto"/>
              <w:ind w:firstLine="1200" w:firstLineChars="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V：密闭罩的容积(m³)</w:t>
            </w:r>
          </w:p>
          <w:p w14:paraId="191BD54D">
            <w:pPr>
              <w:widowControl/>
              <w:wordWrap w:val="0"/>
              <w:spacing w:line="360" w:lineRule="auto"/>
              <w:ind w:firstLine="480" w:firstLineChars="200"/>
              <w:rPr>
                <w:rFonts w:hint="eastAsia" w:ascii="Times New Roman" w:hAnsi="Times New Roman" w:eastAsia="仿宋" w:cs="Times New Roman"/>
                <w:bCs/>
                <w:color w:val="auto"/>
                <w:sz w:val="24"/>
                <w:highlight w:val="none"/>
                <w:lang w:eastAsia="zh-CN"/>
              </w:rPr>
            </w:pPr>
            <w:r>
              <w:rPr>
                <w:rFonts w:hint="default" w:ascii="Times New Roman" w:hAnsi="Times New Roman" w:eastAsia="仿宋" w:cs="Times New Roman"/>
                <w:color w:val="auto"/>
                <w:sz w:val="24"/>
                <w:highlight w:val="none"/>
              </w:rPr>
              <w:t>n：换气次数(次/分钟)。根据罩内容积确定，容积越大，换气次数要求可适当降低。根据《三废处理工程技术手册》（废气卷）中工厂的小时换气次数（一般作业室6次/h，涂装室20次/h）。</w:t>
            </w:r>
          </w:p>
          <w:p w14:paraId="4B3F3FF5">
            <w:pPr>
              <w:widowControl/>
              <w:wordWrap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&lt;2&gt;集气罩风量计算</w:t>
            </w:r>
          </w:p>
          <w:p w14:paraId="7437FD00">
            <w:pPr>
              <w:widowControl/>
              <w:wordWrap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bCs/>
                <w:color w:val="auto"/>
                <w:sz w:val="24"/>
                <w:highlight w:val="none"/>
              </w:rPr>
              <w:t>根据《废气处理工程技术手册》（王纯张殿印主编），集气罩的</w:t>
            </w:r>
            <w:r>
              <w:rPr>
                <w:rFonts w:hint="default" w:ascii="Times New Roman" w:hAnsi="Times New Roman" w:eastAsia="仿宋" w:cs="Times New Roman"/>
                <w:color w:val="auto"/>
                <w:sz w:val="24"/>
                <w:highlight w:val="none"/>
              </w:rPr>
              <w:t>集风量L（m</w:t>
            </w:r>
            <w:r>
              <w:rPr>
                <w:rFonts w:hint="default" w:ascii="Times New Roman" w:hAnsi="Times New Roman" w:eastAsia="仿宋" w:cs="Times New Roman"/>
                <w:color w:val="auto"/>
                <w:sz w:val="24"/>
                <w:highlight w:val="none"/>
                <w:vertAlign w:val="superscript"/>
              </w:rPr>
              <w:t>3</w:t>
            </w:r>
            <w:r>
              <w:rPr>
                <w:rFonts w:hint="default" w:ascii="Times New Roman" w:hAnsi="Times New Roman" w:eastAsia="仿宋" w:cs="Times New Roman"/>
                <w:color w:val="auto"/>
                <w:sz w:val="24"/>
                <w:highlight w:val="none"/>
              </w:rPr>
              <w:t>/s）计算</w:t>
            </w:r>
            <w:r>
              <w:rPr>
                <w:rFonts w:hint="default" w:ascii="Times New Roman" w:hAnsi="Times New Roman" w:eastAsia="仿宋" w:cs="Times New Roman"/>
                <w:bCs/>
                <w:color w:val="auto"/>
                <w:sz w:val="24"/>
                <w:highlight w:val="none"/>
              </w:rPr>
              <w:t>公式如下：</w:t>
            </w:r>
          </w:p>
          <w:p w14:paraId="713E20C8">
            <w:pPr>
              <w:keepNext w:val="0"/>
              <w:keepLines w:val="0"/>
              <w:pageBreakBefore w:val="0"/>
              <w:widowControl/>
              <w:kinsoku/>
              <w:wordWrap w:val="0"/>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337310" cy="292735"/>
                  <wp:effectExtent l="0" t="0" r="15240" b="12065"/>
                  <wp:docPr id="9" name="图片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7" descr="IMG_256"/>
                          <pic:cNvPicPr>
                            <a:picLocks noChangeAspect="1"/>
                          </pic:cNvPicPr>
                        </pic:nvPicPr>
                        <pic:blipFill>
                          <a:blip r:embed="rId20"/>
                          <a:stretch>
                            <a:fillRect/>
                          </a:stretch>
                        </pic:blipFill>
                        <pic:spPr>
                          <a:xfrm>
                            <a:off x="0" y="0"/>
                            <a:ext cx="1337310" cy="292735"/>
                          </a:xfrm>
                          <a:prstGeom prst="rect">
                            <a:avLst/>
                          </a:prstGeom>
                          <a:noFill/>
                          <a:ln>
                            <a:noFill/>
                          </a:ln>
                        </pic:spPr>
                      </pic:pic>
                    </a:graphicData>
                  </a:graphic>
                </wp:inline>
              </w:drawing>
            </w:r>
          </w:p>
          <w:p w14:paraId="69EACFC2">
            <w:pPr>
              <w:widowControl/>
              <w:wordWrap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式中，P——排风罩敞开面的周长，m；</w:t>
            </w:r>
          </w:p>
          <w:p w14:paraId="1D28CC2A">
            <w:pPr>
              <w:widowControl/>
              <w:wordWrap w:val="0"/>
              <w:spacing w:line="360" w:lineRule="auto"/>
              <w:ind w:firstLine="1200" w:firstLineChars="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H——罩口至有害物源的距离，m；</w:t>
            </w:r>
          </w:p>
          <w:p w14:paraId="44001E90">
            <w:pPr>
              <w:widowControl/>
              <w:wordWrap w:val="0"/>
              <w:spacing w:line="360" w:lineRule="auto"/>
              <w:ind w:firstLine="1200" w:firstLineChars="5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v</w:t>
            </w:r>
            <w:r>
              <w:rPr>
                <w:rFonts w:hint="default" w:ascii="Times New Roman" w:hAnsi="Times New Roman" w:eastAsia="仿宋" w:cs="Times New Roman"/>
                <w:color w:val="auto"/>
                <w:sz w:val="24"/>
                <w:highlight w:val="none"/>
                <w:vertAlign w:val="subscript"/>
              </w:rPr>
              <w:t>x</w:t>
            </w:r>
            <w:r>
              <w:rPr>
                <w:rFonts w:hint="default" w:ascii="Times New Roman" w:hAnsi="Times New Roman" w:eastAsia="仿宋" w:cs="Times New Roman"/>
                <w:color w:val="auto"/>
                <w:sz w:val="24"/>
                <w:highlight w:val="none"/>
              </w:rPr>
              <w:t>——边缘控制点的控制风速，m/s</w:t>
            </w:r>
            <w:r>
              <w:rPr>
                <w:rFonts w:hint="default" w:ascii="Times New Roman" w:hAnsi="Times New Roman" w:eastAsia="仿宋" w:cs="Times New Roman"/>
                <w:bCs/>
                <w:color w:val="auto"/>
                <w:sz w:val="24"/>
                <w:highlight w:val="none"/>
              </w:rPr>
              <w:t>，本次取0.</w:t>
            </w:r>
            <w:r>
              <w:rPr>
                <w:rFonts w:hint="eastAsia" w:ascii="Times New Roman" w:hAnsi="Times New Roman" w:eastAsia="仿宋" w:cs="Times New Roman"/>
                <w:bCs/>
                <w:color w:val="auto"/>
                <w:sz w:val="24"/>
                <w:highlight w:val="none"/>
                <w:lang w:val="en-US" w:eastAsia="zh-CN"/>
              </w:rPr>
              <w:t>5</w:t>
            </w:r>
            <w:r>
              <w:rPr>
                <w:rFonts w:hint="default" w:ascii="Times New Roman" w:hAnsi="Times New Roman" w:eastAsia="仿宋" w:cs="Times New Roman"/>
                <w:bCs/>
                <w:color w:val="auto"/>
                <w:sz w:val="24"/>
                <w:highlight w:val="none"/>
              </w:rPr>
              <w:t>m/s；</w:t>
            </w:r>
          </w:p>
          <w:p w14:paraId="0A3706FF">
            <w:pPr>
              <w:widowControl/>
              <w:wordWrap w:val="0"/>
              <w:spacing w:line="360" w:lineRule="auto"/>
              <w:ind w:firstLine="1200" w:firstLineChars="500"/>
              <w:rPr>
                <w:rFonts w:hint="default" w:ascii="Times New Roman" w:hAnsi="Times New Roman" w:eastAsia="仿宋" w:cs="Times New Roman"/>
                <w:bCs/>
                <w:color w:val="auto"/>
                <w:sz w:val="24"/>
                <w:highlight w:val="none"/>
              </w:rPr>
            </w:pPr>
            <w:r>
              <w:rPr>
                <w:rFonts w:hint="default" w:ascii="Times New Roman" w:hAnsi="Times New Roman" w:eastAsia="仿宋" w:cs="Times New Roman"/>
                <w:color w:val="auto"/>
                <w:sz w:val="24"/>
                <w:highlight w:val="none"/>
              </w:rPr>
              <w:t>K——考虑沿高度分布不均匀的安全系数，本次取1.4。</w:t>
            </w:r>
          </w:p>
          <w:p w14:paraId="4BD04C2D">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本项目废气收集相关设计参数如下表：</w:t>
            </w:r>
          </w:p>
          <w:p w14:paraId="1C0386B2">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eastAsia" w:eastAsia="仿宋" w:cs="Times New Roman"/>
                <w:b/>
                <w:bCs/>
                <w:color w:val="auto"/>
                <w:sz w:val="24"/>
                <w:highlight w:val="none"/>
                <w:lang w:val="en-US" w:eastAsia="zh-CN"/>
              </w:rPr>
              <w:t>4</w:t>
            </w:r>
            <w:r>
              <w:rPr>
                <w:rFonts w:hint="default" w:ascii="Times New Roman" w:hAnsi="Times New Roman" w:eastAsia="仿宋" w:cs="Times New Roman"/>
                <w:b/>
                <w:bCs/>
                <w:color w:val="auto"/>
                <w:sz w:val="24"/>
                <w:highlight w:val="none"/>
              </w:rPr>
              <w:t xml:space="preserve">  废气收集设计参数</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4319"/>
              <w:gridCol w:w="1226"/>
              <w:gridCol w:w="1226"/>
              <w:gridCol w:w="563"/>
            </w:tblGrid>
            <w:tr w14:paraId="55D0A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tcBorders>
                    <w:top w:val="single" w:color="auto" w:sz="12" w:space="0"/>
                    <w:left w:val="nil"/>
                    <w:bottom w:val="single" w:color="auto" w:sz="4" w:space="0"/>
                    <w:right w:val="single" w:color="auto" w:sz="4" w:space="0"/>
                  </w:tcBorders>
                  <w:noWrap w:val="0"/>
                  <w:vAlign w:val="center"/>
                </w:tcPr>
                <w:p w14:paraId="283907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废气来源</w:t>
                  </w:r>
                </w:p>
              </w:tc>
              <w:tc>
                <w:tcPr>
                  <w:tcW w:w="2548" w:type="pct"/>
                  <w:tcBorders>
                    <w:top w:val="single" w:color="auto" w:sz="12" w:space="0"/>
                    <w:left w:val="single" w:color="auto" w:sz="4" w:space="0"/>
                    <w:bottom w:val="single" w:color="auto" w:sz="4" w:space="0"/>
                    <w:right w:val="single" w:color="auto" w:sz="4" w:space="0"/>
                  </w:tcBorders>
                  <w:noWrap w:val="0"/>
                  <w:vAlign w:val="center"/>
                </w:tcPr>
                <w:p w14:paraId="7E9554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收集参数</w:t>
                  </w:r>
                </w:p>
              </w:tc>
              <w:tc>
                <w:tcPr>
                  <w:tcW w:w="1446" w:type="pct"/>
                  <w:gridSpan w:val="2"/>
                  <w:tcBorders>
                    <w:top w:val="single" w:color="auto" w:sz="12" w:space="0"/>
                    <w:left w:val="single" w:color="auto" w:sz="4" w:space="0"/>
                    <w:bottom w:val="single" w:color="auto" w:sz="4" w:space="0"/>
                    <w:right w:val="single" w:color="auto" w:sz="4" w:space="0"/>
                  </w:tcBorders>
                  <w:noWrap w:val="0"/>
                  <w:vAlign w:val="center"/>
                </w:tcPr>
                <w:p w14:paraId="1CB1D9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废气量（m</w:t>
                  </w:r>
                  <w:r>
                    <w:rPr>
                      <w:rFonts w:hint="default" w:ascii="Times New Roman" w:hAnsi="Times New Roman" w:eastAsia="仿宋" w:cs="Times New Roman"/>
                      <w:b/>
                      <w:bCs/>
                      <w:color w:val="auto"/>
                      <w:sz w:val="18"/>
                      <w:szCs w:val="18"/>
                      <w:highlight w:val="none"/>
                      <w:vertAlign w:val="superscript"/>
                    </w:rPr>
                    <w:t>3</w:t>
                  </w:r>
                  <w:r>
                    <w:rPr>
                      <w:rFonts w:hint="default" w:ascii="Times New Roman" w:hAnsi="Times New Roman" w:eastAsia="仿宋" w:cs="Times New Roman"/>
                      <w:b/>
                      <w:bCs/>
                      <w:color w:val="auto"/>
                      <w:sz w:val="18"/>
                      <w:szCs w:val="18"/>
                      <w:highlight w:val="none"/>
                    </w:rPr>
                    <w:t>/h）</w:t>
                  </w:r>
                </w:p>
              </w:tc>
              <w:tc>
                <w:tcPr>
                  <w:tcW w:w="332" w:type="pct"/>
                  <w:tcBorders>
                    <w:top w:val="single" w:color="auto" w:sz="12" w:space="0"/>
                    <w:left w:val="single" w:color="auto" w:sz="4" w:space="0"/>
                    <w:bottom w:val="single" w:color="auto" w:sz="4" w:space="0"/>
                    <w:right w:val="nil"/>
                  </w:tcBorders>
                  <w:noWrap w:val="0"/>
                  <w:vAlign w:val="center"/>
                </w:tcPr>
                <w:p w14:paraId="3C973E86">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排放</w:t>
                  </w:r>
                </w:p>
                <w:p w14:paraId="58B0108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
                      <w:bCs/>
                      <w:color w:val="auto"/>
                      <w:sz w:val="18"/>
                      <w:szCs w:val="18"/>
                      <w:highlight w:val="none"/>
                    </w:rPr>
                  </w:pPr>
                  <w:r>
                    <w:rPr>
                      <w:rFonts w:hint="default" w:ascii="Times New Roman" w:hAnsi="Times New Roman" w:eastAsia="仿宋" w:cs="Times New Roman"/>
                      <w:b/>
                      <w:bCs/>
                      <w:color w:val="auto"/>
                      <w:sz w:val="18"/>
                      <w:szCs w:val="18"/>
                      <w:highlight w:val="none"/>
                    </w:rPr>
                    <w:t>方式</w:t>
                  </w:r>
                </w:p>
              </w:tc>
            </w:tr>
            <w:tr w14:paraId="02A2A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tcBorders>
                    <w:top w:val="single" w:color="auto" w:sz="4" w:space="0"/>
                    <w:left w:val="nil"/>
                    <w:bottom w:val="single" w:color="auto" w:sz="4" w:space="0"/>
                    <w:right w:val="single" w:color="auto" w:sz="4" w:space="0"/>
                  </w:tcBorders>
                  <w:shd w:val="clear" w:color="auto" w:fill="auto"/>
                  <w:noWrap w:val="0"/>
                  <w:vAlign w:val="center"/>
                </w:tcPr>
                <w:p w14:paraId="1D717F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注塑</w:t>
                  </w:r>
                </w:p>
              </w:tc>
              <w:tc>
                <w:tcPr>
                  <w:tcW w:w="2548" w:type="pct"/>
                  <w:tcBorders>
                    <w:top w:val="single" w:color="auto" w:sz="4" w:space="0"/>
                    <w:left w:val="single" w:color="auto" w:sz="4" w:space="0"/>
                    <w:right w:val="single" w:color="auto" w:sz="4" w:space="0"/>
                  </w:tcBorders>
                  <w:noWrap w:val="0"/>
                  <w:vAlign w:val="center"/>
                </w:tcPr>
                <w:p w14:paraId="4118C1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每台注塑机配备1个长方形集气罩，周长1.2m，距离</w:t>
                  </w:r>
                  <w:r>
                    <w:rPr>
                      <w:rFonts w:hint="eastAsia" w:eastAsia="仿宋" w:cs="Times New Roman"/>
                      <w:bCs/>
                      <w:color w:val="0000FF"/>
                      <w:sz w:val="18"/>
                      <w:szCs w:val="18"/>
                      <w:highlight w:val="none"/>
                      <w:lang w:val="en-US" w:eastAsia="zh-CN"/>
                    </w:rPr>
                    <w:t>出口处</w:t>
                  </w:r>
                  <w:r>
                    <w:rPr>
                      <w:rFonts w:hint="eastAsia" w:ascii="Times New Roman" w:hAnsi="Times New Roman" w:eastAsia="仿宋" w:cs="Times New Roman"/>
                      <w:bCs/>
                      <w:color w:val="0000FF"/>
                      <w:sz w:val="18"/>
                      <w:szCs w:val="18"/>
                      <w:highlight w:val="none"/>
                      <w:lang w:val="en-US" w:eastAsia="zh-CN"/>
                    </w:rPr>
                    <w:t>0.3m，风速取0.5m/s，共3个集气罩</w:t>
                  </w:r>
                </w:p>
              </w:tc>
              <w:tc>
                <w:tcPr>
                  <w:tcW w:w="723" w:type="pct"/>
                  <w:tcBorders>
                    <w:top w:val="single" w:color="auto" w:sz="4" w:space="0"/>
                    <w:left w:val="single" w:color="auto" w:sz="4" w:space="0"/>
                    <w:right w:val="single" w:color="auto" w:sz="4" w:space="0"/>
                  </w:tcBorders>
                  <w:noWrap w:val="0"/>
                  <w:vAlign w:val="center"/>
                </w:tcPr>
                <w:p w14:paraId="5085051F">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Cs/>
                      <w:color w:val="0000FF"/>
                      <w:sz w:val="18"/>
                      <w:szCs w:val="18"/>
                      <w:highlight w:val="none"/>
                    </w:rPr>
                  </w:pPr>
                  <w:r>
                    <w:rPr>
                      <w:rFonts w:hint="eastAsia" w:eastAsia="仿宋" w:cs="Times New Roman"/>
                      <w:bCs/>
                      <w:color w:val="0000FF"/>
                      <w:sz w:val="18"/>
                      <w:szCs w:val="18"/>
                      <w:highlight w:val="none"/>
                      <w:lang w:val="en-US" w:eastAsia="zh-CN"/>
                    </w:rPr>
                    <w:t>2721.6</w:t>
                  </w:r>
                  <w:r>
                    <w:rPr>
                      <w:rFonts w:hint="default" w:ascii="Times New Roman" w:hAnsi="Times New Roman" w:eastAsia="仿宋" w:cs="Times New Roman"/>
                      <w:bCs/>
                      <w:color w:val="0000FF"/>
                      <w:sz w:val="18"/>
                      <w:szCs w:val="18"/>
                      <w:highlight w:val="none"/>
                    </w:rPr>
                    <w:t>m</w:t>
                  </w:r>
                  <w:r>
                    <w:rPr>
                      <w:rFonts w:hint="default" w:ascii="Times New Roman" w:hAnsi="Times New Roman" w:eastAsia="仿宋" w:cs="Times New Roman"/>
                      <w:bCs/>
                      <w:color w:val="0000FF"/>
                      <w:sz w:val="18"/>
                      <w:szCs w:val="18"/>
                      <w:highlight w:val="none"/>
                      <w:vertAlign w:val="superscript"/>
                    </w:rPr>
                    <w:t>3</w:t>
                  </w:r>
                  <w:r>
                    <w:rPr>
                      <w:rFonts w:hint="default" w:ascii="Times New Roman" w:hAnsi="Times New Roman" w:eastAsia="仿宋" w:cs="Times New Roman"/>
                      <w:bCs/>
                      <w:color w:val="0000FF"/>
                      <w:sz w:val="18"/>
                      <w:szCs w:val="18"/>
                      <w:highlight w:val="none"/>
                    </w:rPr>
                    <w:t>/h</w:t>
                  </w:r>
                </w:p>
              </w:tc>
              <w:tc>
                <w:tcPr>
                  <w:tcW w:w="723" w:type="pct"/>
                  <w:vMerge w:val="restart"/>
                  <w:tcBorders>
                    <w:top w:val="single" w:color="auto" w:sz="4" w:space="0"/>
                    <w:left w:val="single" w:color="auto" w:sz="4" w:space="0"/>
                    <w:right w:val="single" w:color="auto" w:sz="4" w:space="0"/>
                  </w:tcBorders>
                  <w:noWrap w:val="0"/>
                  <w:vAlign w:val="center"/>
                </w:tcPr>
                <w:p w14:paraId="66DC16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18"/>
                      <w:szCs w:val="18"/>
                      <w:highlight w:val="none"/>
                    </w:rPr>
                  </w:pPr>
                  <w:r>
                    <w:rPr>
                      <w:rFonts w:hint="default" w:ascii="Times New Roman" w:hAnsi="Times New Roman" w:eastAsia="仿宋" w:cs="Times New Roman"/>
                      <w:bCs/>
                      <w:color w:val="auto"/>
                      <w:sz w:val="18"/>
                      <w:szCs w:val="18"/>
                      <w:highlight w:val="none"/>
                      <w:lang w:val="en-US" w:eastAsia="zh-CN"/>
                    </w:rPr>
                    <w:t>考虑到风压损失，管道距离等因素，风量按</w:t>
                  </w:r>
                  <w:r>
                    <w:rPr>
                      <w:rFonts w:hint="eastAsia" w:ascii="Times New Roman" w:hAnsi="Times New Roman" w:eastAsia="仿宋" w:cs="Times New Roman"/>
                      <w:bCs/>
                      <w:color w:val="auto"/>
                      <w:sz w:val="18"/>
                      <w:szCs w:val="18"/>
                      <w:highlight w:val="none"/>
                      <w:lang w:val="en-US" w:eastAsia="zh-CN"/>
                    </w:rPr>
                    <w:t>12000</w:t>
                  </w:r>
                  <w:r>
                    <w:rPr>
                      <w:rFonts w:hint="default" w:ascii="Times New Roman" w:hAnsi="Times New Roman" w:eastAsia="仿宋" w:cs="Times New Roman"/>
                      <w:bCs/>
                      <w:color w:val="auto"/>
                      <w:sz w:val="18"/>
                      <w:szCs w:val="18"/>
                      <w:highlight w:val="none"/>
                    </w:rPr>
                    <w:t>m</w:t>
                  </w:r>
                  <w:r>
                    <w:rPr>
                      <w:rFonts w:hint="default" w:ascii="Times New Roman" w:hAnsi="Times New Roman" w:eastAsia="仿宋" w:cs="Times New Roman"/>
                      <w:bCs/>
                      <w:color w:val="auto"/>
                      <w:sz w:val="18"/>
                      <w:szCs w:val="18"/>
                      <w:highlight w:val="none"/>
                      <w:vertAlign w:val="superscript"/>
                    </w:rPr>
                    <w:t>3</w:t>
                  </w:r>
                  <w:r>
                    <w:rPr>
                      <w:rFonts w:hint="default" w:ascii="Times New Roman" w:hAnsi="Times New Roman" w:eastAsia="仿宋" w:cs="Times New Roman"/>
                      <w:bCs/>
                      <w:color w:val="auto"/>
                      <w:sz w:val="18"/>
                      <w:szCs w:val="18"/>
                      <w:highlight w:val="none"/>
                    </w:rPr>
                    <w:t>/h</w:t>
                  </w:r>
                </w:p>
              </w:tc>
              <w:tc>
                <w:tcPr>
                  <w:tcW w:w="332" w:type="pct"/>
                  <w:vMerge w:val="restart"/>
                  <w:tcBorders>
                    <w:top w:val="single" w:color="auto" w:sz="4" w:space="0"/>
                    <w:left w:val="single" w:color="auto" w:sz="4" w:space="0"/>
                    <w:right w:val="nil"/>
                  </w:tcBorders>
                  <w:noWrap w:val="0"/>
                  <w:vAlign w:val="center"/>
                </w:tcPr>
                <w:p w14:paraId="17C14B31">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Cs/>
                      <w:color w:val="auto"/>
                      <w:sz w:val="18"/>
                      <w:szCs w:val="18"/>
                      <w:highlight w:val="none"/>
                    </w:rPr>
                  </w:pPr>
                  <w:r>
                    <w:rPr>
                      <w:rFonts w:hint="default" w:ascii="Times New Roman" w:hAnsi="Times New Roman" w:eastAsia="仿宋" w:cs="Times New Roman"/>
                      <w:bCs/>
                      <w:color w:val="auto"/>
                      <w:sz w:val="18"/>
                      <w:szCs w:val="18"/>
                      <w:highlight w:val="none"/>
                    </w:rPr>
                    <w:t>15米高</w:t>
                  </w:r>
                  <w:r>
                    <w:rPr>
                      <w:rFonts w:hint="eastAsia" w:ascii="Times New Roman" w:hAnsi="Times New Roman" w:eastAsia="仿宋" w:cs="Times New Roman"/>
                      <w:bCs/>
                      <w:color w:val="auto"/>
                      <w:sz w:val="18"/>
                      <w:szCs w:val="18"/>
                      <w:highlight w:val="none"/>
                      <w:lang w:val="en-US" w:eastAsia="zh-CN"/>
                    </w:rPr>
                    <w:t>FQ-6</w:t>
                  </w:r>
                  <w:r>
                    <w:rPr>
                      <w:rFonts w:hint="default" w:ascii="Times New Roman" w:hAnsi="Times New Roman" w:eastAsia="仿宋" w:cs="Times New Roman"/>
                      <w:bCs/>
                      <w:color w:val="auto"/>
                      <w:sz w:val="18"/>
                      <w:szCs w:val="18"/>
                      <w:highlight w:val="none"/>
                    </w:rPr>
                    <w:t>排气筒</w:t>
                  </w:r>
                </w:p>
              </w:tc>
            </w:tr>
            <w:tr w14:paraId="1D65F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tcBorders>
                    <w:top w:val="single" w:color="auto" w:sz="4" w:space="0"/>
                    <w:left w:val="nil"/>
                    <w:bottom w:val="single" w:color="auto" w:sz="4" w:space="0"/>
                    <w:right w:val="single" w:color="auto" w:sz="4" w:space="0"/>
                  </w:tcBorders>
                  <w:shd w:val="clear" w:color="auto" w:fill="auto"/>
                  <w:noWrap w:val="0"/>
                  <w:vAlign w:val="center"/>
                </w:tcPr>
                <w:p w14:paraId="17306F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上胶</w:t>
                  </w:r>
                </w:p>
              </w:tc>
              <w:tc>
                <w:tcPr>
                  <w:tcW w:w="2548" w:type="pct"/>
                  <w:tcBorders>
                    <w:top w:val="single" w:color="auto" w:sz="4" w:space="0"/>
                    <w:left w:val="single" w:color="auto" w:sz="4" w:space="0"/>
                    <w:bottom w:val="single" w:color="auto" w:sz="4" w:space="0"/>
                    <w:right w:val="single" w:color="auto" w:sz="4" w:space="0"/>
                  </w:tcBorders>
                  <w:noWrap w:val="0"/>
                  <w:vAlign w:val="center"/>
                </w:tcPr>
                <w:p w14:paraId="167586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生产单元为</w:t>
                  </w:r>
                  <w:r>
                    <w:rPr>
                      <w:rFonts w:hint="eastAsia" w:eastAsia="仿宋" w:cs="Times New Roman"/>
                      <w:bCs/>
                      <w:color w:val="auto"/>
                      <w:sz w:val="18"/>
                      <w:szCs w:val="18"/>
                      <w:highlight w:val="none"/>
                      <w:lang w:val="en-US" w:eastAsia="zh-CN"/>
                    </w:rPr>
                    <w:t>密闭单元</w:t>
                  </w:r>
                  <w:r>
                    <w:rPr>
                      <w:rFonts w:hint="eastAsia" w:ascii="Times New Roman" w:hAnsi="Times New Roman" w:eastAsia="仿宋" w:cs="Times New Roman"/>
                      <w:bCs/>
                      <w:color w:val="auto"/>
                      <w:sz w:val="18"/>
                      <w:szCs w:val="18"/>
                      <w:highlight w:val="none"/>
                      <w:lang w:val="en-US" w:eastAsia="zh-CN"/>
                    </w:rPr>
                    <w:t>，</w:t>
                  </w:r>
                  <w:r>
                    <w:rPr>
                      <w:rFonts w:hint="eastAsia" w:eastAsia="仿宋" w:cs="Times New Roman"/>
                      <w:bCs/>
                      <w:color w:val="auto"/>
                      <w:sz w:val="18"/>
                      <w:szCs w:val="18"/>
                      <w:highlight w:val="none"/>
                      <w:lang w:val="en-US" w:eastAsia="zh-CN"/>
                    </w:rPr>
                    <w:t>整体抽风</w:t>
                  </w:r>
                  <w:r>
                    <w:rPr>
                      <w:rFonts w:hint="eastAsia" w:ascii="Times New Roman" w:hAnsi="Times New Roman" w:eastAsia="仿宋" w:cs="Times New Roman"/>
                      <w:bCs/>
                      <w:color w:val="auto"/>
                      <w:sz w:val="18"/>
                      <w:szCs w:val="18"/>
                      <w:highlight w:val="none"/>
                      <w:lang w:val="en-US" w:eastAsia="zh-CN"/>
                    </w:rPr>
                    <w:t>，共2个密封</w:t>
                  </w:r>
                  <w:r>
                    <w:rPr>
                      <w:rFonts w:hint="eastAsia" w:eastAsia="仿宋" w:cs="Times New Roman"/>
                      <w:bCs/>
                      <w:color w:val="auto"/>
                      <w:sz w:val="18"/>
                      <w:szCs w:val="18"/>
                      <w:highlight w:val="none"/>
                      <w:lang w:val="en-US" w:eastAsia="zh-CN"/>
                    </w:rPr>
                    <w:t>单元，单个单元容积为5m</w:t>
                  </w:r>
                  <w:r>
                    <w:rPr>
                      <w:rFonts w:hint="eastAsia" w:eastAsia="仿宋" w:cs="Times New Roman"/>
                      <w:bCs/>
                      <w:color w:val="auto"/>
                      <w:sz w:val="18"/>
                      <w:szCs w:val="18"/>
                      <w:highlight w:val="none"/>
                      <w:vertAlign w:val="superscript"/>
                      <w:lang w:val="en-US" w:eastAsia="zh-CN"/>
                    </w:rPr>
                    <w:t>3</w:t>
                  </w:r>
                  <w:r>
                    <w:rPr>
                      <w:rFonts w:hint="eastAsia" w:eastAsia="仿宋" w:cs="Times New Roman"/>
                      <w:bCs/>
                      <w:color w:val="auto"/>
                      <w:sz w:val="18"/>
                      <w:szCs w:val="18"/>
                      <w:highlight w:val="none"/>
                      <w:lang w:val="en-US" w:eastAsia="zh-CN"/>
                    </w:rPr>
                    <w:t>，换气次数10次/h</w:t>
                  </w:r>
                </w:p>
              </w:tc>
              <w:tc>
                <w:tcPr>
                  <w:tcW w:w="723" w:type="pct"/>
                  <w:tcBorders>
                    <w:top w:val="single" w:color="auto" w:sz="4" w:space="0"/>
                    <w:left w:val="single" w:color="auto" w:sz="4" w:space="0"/>
                    <w:bottom w:val="single" w:color="auto" w:sz="4" w:space="0"/>
                    <w:right w:val="single" w:color="auto" w:sz="4" w:space="0"/>
                  </w:tcBorders>
                  <w:noWrap w:val="0"/>
                  <w:vAlign w:val="center"/>
                </w:tcPr>
                <w:p w14:paraId="25F43344">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Cs/>
                      <w:color w:val="auto"/>
                      <w:sz w:val="18"/>
                      <w:szCs w:val="18"/>
                      <w:highlight w:val="none"/>
                    </w:rPr>
                  </w:pPr>
                  <w:r>
                    <w:rPr>
                      <w:rFonts w:hint="eastAsia" w:eastAsia="仿宋" w:cs="Times New Roman"/>
                      <w:bCs/>
                      <w:color w:val="auto"/>
                      <w:sz w:val="18"/>
                      <w:szCs w:val="18"/>
                      <w:highlight w:val="none"/>
                      <w:lang w:val="en-US" w:eastAsia="zh-CN"/>
                    </w:rPr>
                    <w:t>100</w:t>
                  </w:r>
                  <w:r>
                    <w:rPr>
                      <w:rFonts w:hint="default" w:ascii="Times New Roman" w:hAnsi="Times New Roman" w:eastAsia="仿宋" w:cs="Times New Roman"/>
                      <w:bCs/>
                      <w:color w:val="auto"/>
                      <w:sz w:val="18"/>
                      <w:szCs w:val="18"/>
                      <w:highlight w:val="none"/>
                    </w:rPr>
                    <w:t>m</w:t>
                  </w:r>
                  <w:r>
                    <w:rPr>
                      <w:rFonts w:hint="default" w:ascii="Times New Roman" w:hAnsi="Times New Roman" w:eastAsia="仿宋" w:cs="Times New Roman"/>
                      <w:bCs/>
                      <w:color w:val="auto"/>
                      <w:sz w:val="18"/>
                      <w:szCs w:val="18"/>
                      <w:highlight w:val="none"/>
                      <w:vertAlign w:val="superscript"/>
                    </w:rPr>
                    <w:t>3</w:t>
                  </w:r>
                  <w:r>
                    <w:rPr>
                      <w:rFonts w:hint="default" w:ascii="Times New Roman" w:hAnsi="Times New Roman" w:eastAsia="仿宋" w:cs="Times New Roman"/>
                      <w:bCs/>
                      <w:color w:val="auto"/>
                      <w:sz w:val="18"/>
                      <w:szCs w:val="18"/>
                      <w:highlight w:val="none"/>
                    </w:rPr>
                    <w:t>/h</w:t>
                  </w:r>
                </w:p>
              </w:tc>
              <w:tc>
                <w:tcPr>
                  <w:tcW w:w="723" w:type="pct"/>
                  <w:vMerge w:val="continue"/>
                  <w:tcBorders>
                    <w:left w:val="single" w:color="auto" w:sz="4" w:space="0"/>
                    <w:right w:val="single" w:color="auto" w:sz="4" w:space="0"/>
                  </w:tcBorders>
                  <w:noWrap w:val="0"/>
                  <w:vAlign w:val="center"/>
                </w:tcPr>
                <w:p w14:paraId="61E436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18"/>
                      <w:szCs w:val="18"/>
                      <w:highlight w:val="none"/>
                    </w:rPr>
                  </w:pPr>
                </w:p>
              </w:tc>
              <w:tc>
                <w:tcPr>
                  <w:tcW w:w="332" w:type="pct"/>
                  <w:vMerge w:val="continue"/>
                  <w:tcBorders>
                    <w:left w:val="single" w:color="auto" w:sz="4" w:space="0"/>
                    <w:right w:val="nil"/>
                  </w:tcBorders>
                  <w:noWrap w:val="0"/>
                  <w:vAlign w:val="center"/>
                </w:tcPr>
                <w:p w14:paraId="5C9284CE">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Cs/>
                      <w:color w:val="auto"/>
                      <w:sz w:val="18"/>
                      <w:szCs w:val="18"/>
                      <w:highlight w:val="none"/>
                    </w:rPr>
                  </w:pPr>
                </w:p>
              </w:tc>
            </w:tr>
            <w:tr w14:paraId="72668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tcBorders>
                    <w:top w:val="single" w:color="auto" w:sz="4" w:space="0"/>
                    <w:left w:val="nil"/>
                    <w:bottom w:val="single" w:color="auto" w:sz="4" w:space="0"/>
                    <w:right w:val="single" w:color="auto" w:sz="4" w:space="0"/>
                  </w:tcBorders>
                  <w:shd w:val="clear" w:color="auto" w:fill="auto"/>
                  <w:noWrap w:val="0"/>
                  <w:vAlign w:val="center"/>
                </w:tcPr>
                <w:p w14:paraId="46BEEF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烘干</w:t>
                  </w:r>
                </w:p>
              </w:tc>
              <w:tc>
                <w:tcPr>
                  <w:tcW w:w="2548" w:type="pct"/>
                  <w:tcBorders>
                    <w:top w:val="single" w:color="auto" w:sz="4" w:space="0"/>
                    <w:left w:val="single" w:color="auto" w:sz="4" w:space="0"/>
                    <w:bottom w:val="single" w:color="auto" w:sz="4" w:space="0"/>
                    <w:right w:val="single" w:color="auto" w:sz="4" w:space="0"/>
                  </w:tcBorders>
                  <w:noWrap w:val="0"/>
                  <w:vAlign w:val="center"/>
                </w:tcPr>
                <w:p w14:paraId="12A160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生产单元为</w:t>
                  </w:r>
                  <w:r>
                    <w:rPr>
                      <w:rFonts w:hint="eastAsia" w:eastAsia="仿宋" w:cs="Times New Roman"/>
                      <w:bCs/>
                      <w:color w:val="auto"/>
                      <w:sz w:val="18"/>
                      <w:szCs w:val="18"/>
                      <w:highlight w:val="none"/>
                      <w:lang w:val="en-US" w:eastAsia="zh-CN"/>
                    </w:rPr>
                    <w:t>密闭单元</w:t>
                  </w:r>
                  <w:r>
                    <w:rPr>
                      <w:rFonts w:hint="eastAsia" w:ascii="Times New Roman" w:hAnsi="Times New Roman" w:eastAsia="仿宋" w:cs="Times New Roman"/>
                      <w:bCs/>
                      <w:color w:val="auto"/>
                      <w:sz w:val="18"/>
                      <w:szCs w:val="18"/>
                      <w:highlight w:val="none"/>
                      <w:lang w:val="en-US" w:eastAsia="zh-CN"/>
                    </w:rPr>
                    <w:t>，</w:t>
                  </w:r>
                  <w:r>
                    <w:rPr>
                      <w:rFonts w:hint="eastAsia" w:eastAsia="仿宋" w:cs="Times New Roman"/>
                      <w:bCs/>
                      <w:color w:val="auto"/>
                      <w:sz w:val="18"/>
                      <w:szCs w:val="18"/>
                      <w:highlight w:val="none"/>
                      <w:lang w:val="en-US" w:eastAsia="zh-CN"/>
                    </w:rPr>
                    <w:t>整体抽风</w:t>
                  </w:r>
                  <w:r>
                    <w:rPr>
                      <w:rFonts w:hint="eastAsia" w:ascii="Times New Roman" w:hAnsi="Times New Roman" w:eastAsia="仿宋" w:cs="Times New Roman"/>
                      <w:bCs/>
                      <w:color w:val="auto"/>
                      <w:sz w:val="18"/>
                      <w:szCs w:val="18"/>
                      <w:highlight w:val="none"/>
                      <w:lang w:val="en-US" w:eastAsia="zh-CN"/>
                    </w:rPr>
                    <w:t>，共2个密封</w:t>
                  </w:r>
                  <w:r>
                    <w:rPr>
                      <w:rFonts w:hint="eastAsia" w:eastAsia="仿宋" w:cs="Times New Roman"/>
                      <w:bCs/>
                      <w:color w:val="auto"/>
                      <w:sz w:val="18"/>
                      <w:szCs w:val="18"/>
                      <w:highlight w:val="none"/>
                      <w:lang w:val="en-US" w:eastAsia="zh-CN"/>
                    </w:rPr>
                    <w:t>单元，单个单元容积为5m</w:t>
                  </w:r>
                  <w:r>
                    <w:rPr>
                      <w:rFonts w:hint="eastAsia" w:eastAsia="仿宋" w:cs="Times New Roman"/>
                      <w:bCs/>
                      <w:color w:val="auto"/>
                      <w:sz w:val="18"/>
                      <w:szCs w:val="18"/>
                      <w:highlight w:val="none"/>
                      <w:vertAlign w:val="superscript"/>
                      <w:lang w:val="en-US" w:eastAsia="zh-CN"/>
                    </w:rPr>
                    <w:t>3</w:t>
                  </w:r>
                  <w:r>
                    <w:rPr>
                      <w:rFonts w:hint="eastAsia" w:eastAsia="仿宋" w:cs="Times New Roman"/>
                      <w:bCs/>
                      <w:color w:val="auto"/>
                      <w:sz w:val="18"/>
                      <w:szCs w:val="18"/>
                      <w:highlight w:val="none"/>
                      <w:lang w:val="en-US" w:eastAsia="zh-CN"/>
                    </w:rPr>
                    <w:t>，换气次数10次/h</w:t>
                  </w:r>
                </w:p>
              </w:tc>
              <w:tc>
                <w:tcPr>
                  <w:tcW w:w="723" w:type="pct"/>
                  <w:tcBorders>
                    <w:top w:val="single" w:color="auto" w:sz="4" w:space="0"/>
                    <w:left w:val="single" w:color="auto" w:sz="4" w:space="0"/>
                    <w:bottom w:val="single" w:color="auto" w:sz="4" w:space="0"/>
                    <w:right w:val="single" w:color="auto" w:sz="4" w:space="0"/>
                  </w:tcBorders>
                  <w:noWrap w:val="0"/>
                  <w:vAlign w:val="center"/>
                </w:tcPr>
                <w:p w14:paraId="2A893E06">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eastAsia" w:ascii="Times New Roman" w:hAnsi="Times New Roman" w:eastAsia="仿宋" w:cs="Times New Roman"/>
                      <w:bCs/>
                      <w:color w:val="auto"/>
                      <w:sz w:val="18"/>
                      <w:szCs w:val="18"/>
                      <w:highlight w:val="none"/>
                      <w:lang w:val="en-US" w:eastAsia="zh-CN"/>
                    </w:rPr>
                  </w:pPr>
                  <w:r>
                    <w:rPr>
                      <w:rFonts w:hint="eastAsia" w:eastAsia="仿宋" w:cs="Times New Roman"/>
                      <w:bCs/>
                      <w:color w:val="auto"/>
                      <w:sz w:val="18"/>
                      <w:szCs w:val="18"/>
                      <w:highlight w:val="none"/>
                      <w:lang w:val="en-US" w:eastAsia="zh-CN"/>
                    </w:rPr>
                    <w:t>100</w:t>
                  </w:r>
                  <w:r>
                    <w:rPr>
                      <w:rFonts w:hint="default" w:ascii="Times New Roman" w:hAnsi="Times New Roman" w:eastAsia="仿宋" w:cs="Times New Roman"/>
                      <w:bCs/>
                      <w:color w:val="auto"/>
                      <w:sz w:val="18"/>
                      <w:szCs w:val="18"/>
                      <w:highlight w:val="none"/>
                    </w:rPr>
                    <w:t>m</w:t>
                  </w:r>
                  <w:r>
                    <w:rPr>
                      <w:rFonts w:hint="default" w:ascii="Times New Roman" w:hAnsi="Times New Roman" w:eastAsia="仿宋" w:cs="Times New Roman"/>
                      <w:bCs/>
                      <w:color w:val="auto"/>
                      <w:sz w:val="18"/>
                      <w:szCs w:val="18"/>
                      <w:highlight w:val="none"/>
                      <w:vertAlign w:val="superscript"/>
                    </w:rPr>
                    <w:t>3</w:t>
                  </w:r>
                  <w:r>
                    <w:rPr>
                      <w:rFonts w:hint="default" w:ascii="Times New Roman" w:hAnsi="Times New Roman" w:eastAsia="仿宋" w:cs="Times New Roman"/>
                      <w:bCs/>
                      <w:color w:val="auto"/>
                      <w:sz w:val="18"/>
                      <w:szCs w:val="18"/>
                      <w:highlight w:val="none"/>
                    </w:rPr>
                    <w:t>/h</w:t>
                  </w:r>
                </w:p>
              </w:tc>
              <w:tc>
                <w:tcPr>
                  <w:tcW w:w="723" w:type="pct"/>
                  <w:vMerge w:val="continue"/>
                  <w:tcBorders>
                    <w:left w:val="single" w:color="auto" w:sz="4" w:space="0"/>
                    <w:right w:val="single" w:color="auto" w:sz="4" w:space="0"/>
                  </w:tcBorders>
                  <w:noWrap w:val="0"/>
                  <w:vAlign w:val="center"/>
                </w:tcPr>
                <w:p w14:paraId="3226BB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18"/>
                      <w:szCs w:val="18"/>
                      <w:highlight w:val="none"/>
                    </w:rPr>
                  </w:pPr>
                </w:p>
              </w:tc>
              <w:tc>
                <w:tcPr>
                  <w:tcW w:w="332" w:type="pct"/>
                  <w:vMerge w:val="continue"/>
                  <w:tcBorders>
                    <w:left w:val="single" w:color="auto" w:sz="4" w:space="0"/>
                    <w:right w:val="nil"/>
                  </w:tcBorders>
                  <w:noWrap w:val="0"/>
                  <w:vAlign w:val="center"/>
                </w:tcPr>
                <w:p w14:paraId="144194C3">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Cs/>
                      <w:color w:val="auto"/>
                      <w:sz w:val="18"/>
                      <w:szCs w:val="18"/>
                      <w:highlight w:val="none"/>
                    </w:rPr>
                  </w:pPr>
                </w:p>
              </w:tc>
            </w:tr>
            <w:tr w14:paraId="34998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tcBorders>
                    <w:top w:val="single" w:color="auto" w:sz="4" w:space="0"/>
                    <w:left w:val="nil"/>
                    <w:bottom w:val="single" w:color="auto" w:sz="4" w:space="0"/>
                    <w:right w:val="single" w:color="auto" w:sz="4" w:space="0"/>
                  </w:tcBorders>
                  <w:shd w:val="clear" w:color="auto" w:fill="auto"/>
                  <w:noWrap w:val="0"/>
                  <w:vAlign w:val="center"/>
                </w:tcPr>
                <w:p w14:paraId="048DAB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固化</w:t>
                  </w:r>
                </w:p>
              </w:tc>
              <w:tc>
                <w:tcPr>
                  <w:tcW w:w="2548" w:type="pct"/>
                  <w:tcBorders>
                    <w:top w:val="single" w:color="auto" w:sz="4" w:space="0"/>
                    <w:left w:val="single" w:color="auto" w:sz="4" w:space="0"/>
                    <w:bottom w:val="single" w:color="auto" w:sz="4" w:space="0"/>
                    <w:right w:val="single" w:color="auto" w:sz="4" w:space="0"/>
                  </w:tcBorders>
                  <w:noWrap w:val="0"/>
                  <w:vAlign w:val="center"/>
                </w:tcPr>
                <w:p w14:paraId="13173E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每台烘箱配备1个长方形集气罩，周长4.8m，距离</w:t>
                  </w:r>
                  <w:r>
                    <w:rPr>
                      <w:rFonts w:hint="eastAsia" w:eastAsia="仿宋" w:cs="Times New Roman"/>
                      <w:bCs/>
                      <w:color w:val="auto"/>
                      <w:sz w:val="18"/>
                      <w:szCs w:val="18"/>
                      <w:highlight w:val="none"/>
                      <w:lang w:val="en-US" w:eastAsia="zh-CN"/>
                    </w:rPr>
                    <w:t>出口处</w:t>
                  </w:r>
                  <w:r>
                    <w:rPr>
                      <w:rFonts w:hint="eastAsia" w:ascii="Times New Roman" w:hAnsi="Times New Roman" w:eastAsia="仿宋" w:cs="Times New Roman"/>
                      <w:bCs/>
                      <w:color w:val="auto"/>
                      <w:sz w:val="18"/>
                      <w:szCs w:val="18"/>
                      <w:highlight w:val="none"/>
                      <w:lang w:val="en-US" w:eastAsia="zh-CN"/>
                    </w:rPr>
                    <w:t>0.</w:t>
                  </w:r>
                  <w:r>
                    <w:rPr>
                      <w:rFonts w:hint="eastAsia" w:eastAsia="仿宋" w:cs="Times New Roman"/>
                      <w:bCs/>
                      <w:color w:val="auto"/>
                      <w:sz w:val="18"/>
                      <w:szCs w:val="18"/>
                      <w:highlight w:val="none"/>
                      <w:lang w:val="en-US" w:eastAsia="zh-CN"/>
                    </w:rPr>
                    <w:t>3</w:t>
                  </w:r>
                  <w:r>
                    <w:rPr>
                      <w:rFonts w:hint="eastAsia" w:ascii="Times New Roman" w:hAnsi="Times New Roman" w:eastAsia="仿宋" w:cs="Times New Roman"/>
                      <w:bCs/>
                      <w:color w:val="auto"/>
                      <w:sz w:val="18"/>
                      <w:szCs w:val="18"/>
                      <w:highlight w:val="none"/>
                      <w:lang w:val="en-US" w:eastAsia="zh-CN"/>
                    </w:rPr>
                    <w:t>m，风速取0.5m/s，共2个集气罩</w:t>
                  </w:r>
                </w:p>
              </w:tc>
              <w:tc>
                <w:tcPr>
                  <w:tcW w:w="723" w:type="pct"/>
                  <w:tcBorders>
                    <w:top w:val="single" w:color="auto" w:sz="4" w:space="0"/>
                    <w:left w:val="single" w:color="auto" w:sz="4" w:space="0"/>
                    <w:bottom w:val="single" w:color="auto" w:sz="4" w:space="0"/>
                    <w:right w:val="single" w:color="auto" w:sz="4" w:space="0"/>
                  </w:tcBorders>
                  <w:noWrap w:val="0"/>
                  <w:vAlign w:val="center"/>
                </w:tcPr>
                <w:p w14:paraId="2710E266">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Cs/>
                      <w:color w:val="auto"/>
                      <w:sz w:val="18"/>
                      <w:szCs w:val="18"/>
                      <w:highlight w:val="none"/>
                    </w:rPr>
                  </w:pPr>
                  <w:r>
                    <w:rPr>
                      <w:rFonts w:hint="eastAsia" w:eastAsia="仿宋" w:cs="Times New Roman"/>
                      <w:bCs/>
                      <w:color w:val="auto"/>
                      <w:sz w:val="18"/>
                      <w:szCs w:val="18"/>
                      <w:highlight w:val="none"/>
                      <w:lang w:val="en-US" w:eastAsia="zh-CN"/>
                    </w:rPr>
                    <w:t>7257.6</w:t>
                  </w:r>
                  <w:r>
                    <w:rPr>
                      <w:rFonts w:hint="default" w:ascii="Times New Roman" w:hAnsi="Times New Roman" w:eastAsia="仿宋" w:cs="Times New Roman"/>
                      <w:bCs/>
                      <w:color w:val="auto"/>
                      <w:sz w:val="18"/>
                      <w:szCs w:val="18"/>
                      <w:highlight w:val="none"/>
                    </w:rPr>
                    <w:t>m</w:t>
                  </w:r>
                  <w:r>
                    <w:rPr>
                      <w:rFonts w:hint="default" w:ascii="Times New Roman" w:hAnsi="Times New Roman" w:eastAsia="仿宋" w:cs="Times New Roman"/>
                      <w:bCs/>
                      <w:color w:val="auto"/>
                      <w:sz w:val="18"/>
                      <w:szCs w:val="18"/>
                      <w:highlight w:val="none"/>
                      <w:vertAlign w:val="superscript"/>
                    </w:rPr>
                    <w:t>3</w:t>
                  </w:r>
                  <w:r>
                    <w:rPr>
                      <w:rFonts w:hint="default" w:ascii="Times New Roman" w:hAnsi="Times New Roman" w:eastAsia="仿宋" w:cs="Times New Roman"/>
                      <w:bCs/>
                      <w:color w:val="auto"/>
                      <w:sz w:val="18"/>
                      <w:szCs w:val="18"/>
                      <w:highlight w:val="none"/>
                    </w:rPr>
                    <w:t>/h</w:t>
                  </w:r>
                </w:p>
              </w:tc>
              <w:tc>
                <w:tcPr>
                  <w:tcW w:w="723" w:type="pct"/>
                  <w:vMerge w:val="continue"/>
                  <w:tcBorders>
                    <w:left w:val="single" w:color="auto" w:sz="4" w:space="0"/>
                    <w:bottom w:val="single" w:color="auto" w:sz="4" w:space="0"/>
                    <w:right w:val="single" w:color="auto" w:sz="4" w:space="0"/>
                  </w:tcBorders>
                  <w:noWrap w:val="0"/>
                  <w:vAlign w:val="center"/>
                </w:tcPr>
                <w:p w14:paraId="06B0C5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18"/>
                      <w:szCs w:val="18"/>
                      <w:highlight w:val="none"/>
                    </w:rPr>
                  </w:pPr>
                </w:p>
              </w:tc>
              <w:tc>
                <w:tcPr>
                  <w:tcW w:w="332" w:type="pct"/>
                  <w:vMerge w:val="continue"/>
                  <w:tcBorders>
                    <w:left w:val="single" w:color="auto" w:sz="4" w:space="0"/>
                    <w:bottom w:val="single" w:color="auto" w:sz="4" w:space="0"/>
                    <w:right w:val="nil"/>
                  </w:tcBorders>
                  <w:noWrap w:val="0"/>
                  <w:vAlign w:val="center"/>
                </w:tcPr>
                <w:p w14:paraId="5D9D09F8">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Cs/>
                      <w:color w:val="auto"/>
                      <w:sz w:val="18"/>
                      <w:szCs w:val="18"/>
                      <w:highlight w:val="none"/>
                    </w:rPr>
                  </w:pPr>
                </w:p>
              </w:tc>
            </w:tr>
            <w:tr w14:paraId="05EB1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tcBorders>
                    <w:top w:val="single" w:color="auto" w:sz="4" w:space="0"/>
                    <w:left w:val="nil"/>
                    <w:bottom w:val="single" w:color="auto" w:sz="4" w:space="0"/>
                    <w:right w:val="single" w:color="auto" w:sz="4" w:space="0"/>
                  </w:tcBorders>
                  <w:shd w:val="clear" w:color="auto" w:fill="auto"/>
                  <w:noWrap w:val="0"/>
                  <w:vAlign w:val="center"/>
                </w:tcPr>
                <w:p w14:paraId="1F9E8A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植绒</w:t>
                  </w:r>
                </w:p>
              </w:tc>
              <w:tc>
                <w:tcPr>
                  <w:tcW w:w="2548" w:type="pct"/>
                  <w:tcBorders>
                    <w:top w:val="single" w:color="auto" w:sz="4" w:space="0"/>
                    <w:left w:val="single" w:color="auto" w:sz="4" w:space="0"/>
                    <w:bottom w:val="single" w:color="auto" w:sz="4" w:space="0"/>
                    <w:right w:val="single" w:color="auto" w:sz="4" w:space="0"/>
                  </w:tcBorders>
                  <w:noWrap w:val="0"/>
                  <w:vAlign w:val="center"/>
                </w:tcPr>
                <w:p w14:paraId="17C59E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18"/>
                      <w:szCs w:val="18"/>
                      <w:highlight w:val="none"/>
                    </w:rPr>
                  </w:pPr>
                  <w:r>
                    <w:rPr>
                      <w:rFonts w:hint="eastAsia" w:ascii="Times New Roman" w:hAnsi="Times New Roman" w:eastAsia="仿宋" w:cs="Times New Roman"/>
                      <w:bCs/>
                      <w:color w:val="auto"/>
                      <w:sz w:val="18"/>
                      <w:szCs w:val="18"/>
                      <w:highlight w:val="none"/>
                      <w:lang w:val="en-US" w:eastAsia="zh-CN"/>
                    </w:rPr>
                    <w:t>生产单元为</w:t>
                  </w:r>
                  <w:r>
                    <w:rPr>
                      <w:rFonts w:hint="eastAsia" w:eastAsia="仿宋" w:cs="Times New Roman"/>
                      <w:bCs/>
                      <w:color w:val="auto"/>
                      <w:sz w:val="18"/>
                      <w:szCs w:val="18"/>
                      <w:highlight w:val="none"/>
                      <w:lang w:val="en-US" w:eastAsia="zh-CN"/>
                    </w:rPr>
                    <w:t>密闭单元</w:t>
                  </w:r>
                  <w:r>
                    <w:rPr>
                      <w:rFonts w:hint="eastAsia" w:ascii="Times New Roman" w:hAnsi="Times New Roman" w:eastAsia="仿宋" w:cs="Times New Roman"/>
                      <w:bCs/>
                      <w:color w:val="auto"/>
                      <w:sz w:val="18"/>
                      <w:szCs w:val="18"/>
                      <w:highlight w:val="none"/>
                      <w:lang w:val="en-US" w:eastAsia="zh-CN"/>
                    </w:rPr>
                    <w:t>，</w:t>
                  </w:r>
                  <w:r>
                    <w:rPr>
                      <w:rFonts w:hint="eastAsia" w:eastAsia="仿宋" w:cs="Times New Roman"/>
                      <w:bCs/>
                      <w:color w:val="auto"/>
                      <w:sz w:val="18"/>
                      <w:szCs w:val="18"/>
                      <w:highlight w:val="none"/>
                      <w:lang w:val="en-US" w:eastAsia="zh-CN"/>
                    </w:rPr>
                    <w:t>整体抽风</w:t>
                  </w:r>
                  <w:r>
                    <w:rPr>
                      <w:rFonts w:hint="eastAsia" w:ascii="Times New Roman" w:hAnsi="Times New Roman" w:eastAsia="仿宋" w:cs="Times New Roman"/>
                      <w:bCs/>
                      <w:color w:val="auto"/>
                      <w:sz w:val="18"/>
                      <w:szCs w:val="18"/>
                      <w:highlight w:val="none"/>
                      <w:lang w:val="en-US" w:eastAsia="zh-CN"/>
                    </w:rPr>
                    <w:t>，共2个密封</w:t>
                  </w:r>
                  <w:r>
                    <w:rPr>
                      <w:rFonts w:hint="eastAsia" w:eastAsia="仿宋" w:cs="Times New Roman"/>
                      <w:bCs/>
                      <w:color w:val="auto"/>
                      <w:sz w:val="18"/>
                      <w:szCs w:val="18"/>
                      <w:highlight w:val="none"/>
                      <w:lang w:val="en-US" w:eastAsia="zh-CN"/>
                    </w:rPr>
                    <w:t>单元，单个单元容积为160m</w:t>
                  </w:r>
                  <w:r>
                    <w:rPr>
                      <w:rFonts w:hint="eastAsia" w:eastAsia="仿宋" w:cs="Times New Roman"/>
                      <w:bCs/>
                      <w:color w:val="auto"/>
                      <w:sz w:val="18"/>
                      <w:szCs w:val="18"/>
                      <w:highlight w:val="none"/>
                      <w:vertAlign w:val="superscript"/>
                      <w:lang w:val="en-US" w:eastAsia="zh-CN"/>
                    </w:rPr>
                    <w:t>3</w:t>
                  </w:r>
                  <w:r>
                    <w:rPr>
                      <w:rFonts w:hint="eastAsia" w:eastAsia="仿宋" w:cs="Times New Roman"/>
                      <w:bCs/>
                      <w:color w:val="auto"/>
                      <w:sz w:val="18"/>
                      <w:szCs w:val="18"/>
                      <w:highlight w:val="none"/>
                      <w:lang w:val="en-US" w:eastAsia="zh-CN"/>
                    </w:rPr>
                    <w:t>，换气次数20次/h</w:t>
                  </w:r>
                </w:p>
              </w:tc>
              <w:tc>
                <w:tcPr>
                  <w:tcW w:w="723" w:type="pct"/>
                  <w:tcBorders>
                    <w:top w:val="single" w:color="auto" w:sz="4" w:space="0"/>
                    <w:left w:val="single" w:color="auto" w:sz="4" w:space="0"/>
                    <w:right w:val="single" w:color="auto" w:sz="4" w:space="0"/>
                  </w:tcBorders>
                  <w:noWrap w:val="0"/>
                  <w:vAlign w:val="center"/>
                </w:tcPr>
                <w:p w14:paraId="392638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bCs/>
                      <w:color w:val="auto"/>
                      <w:sz w:val="18"/>
                      <w:szCs w:val="18"/>
                      <w:highlight w:val="none"/>
                    </w:rPr>
                  </w:pPr>
                  <w:r>
                    <w:rPr>
                      <w:rFonts w:hint="eastAsia" w:eastAsia="仿宋" w:cs="Times New Roman"/>
                      <w:bCs/>
                      <w:color w:val="auto"/>
                      <w:sz w:val="18"/>
                      <w:szCs w:val="18"/>
                      <w:highlight w:val="none"/>
                      <w:lang w:val="en-US" w:eastAsia="zh-CN"/>
                    </w:rPr>
                    <w:t>6400</w:t>
                  </w:r>
                  <w:r>
                    <w:rPr>
                      <w:rFonts w:hint="default" w:ascii="Times New Roman" w:hAnsi="Times New Roman" w:eastAsia="仿宋" w:cs="Times New Roman"/>
                      <w:bCs/>
                      <w:color w:val="auto"/>
                      <w:sz w:val="18"/>
                      <w:szCs w:val="18"/>
                      <w:highlight w:val="none"/>
                    </w:rPr>
                    <w:t>m</w:t>
                  </w:r>
                  <w:r>
                    <w:rPr>
                      <w:rFonts w:hint="default" w:ascii="Times New Roman" w:hAnsi="Times New Roman" w:eastAsia="仿宋" w:cs="Times New Roman"/>
                      <w:bCs/>
                      <w:color w:val="auto"/>
                      <w:sz w:val="18"/>
                      <w:szCs w:val="18"/>
                      <w:highlight w:val="none"/>
                      <w:vertAlign w:val="superscript"/>
                    </w:rPr>
                    <w:t>3</w:t>
                  </w:r>
                  <w:r>
                    <w:rPr>
                      <w:rFonts w:hint="default" w:ascii="Times New Roman" w:hAnsi="Times New Roman" w:eastAsia="仿宋" w:cs="Times New Roman"/>
                      <w:bCs/>
                      <w:color w:val="auto"/>
                      <w:sz w:val="18"/>
                      <w:szCs w:val="18"/>
                      <w:highlight w:val="none"/>
                    </w:rPr>
                    <w:t>/h</w:t>
                  </w:r>
                </w:p>
              </w:tc>
              <w:tc>
                <w:tcPr>
                  <w:tcW w:w="723" w:type="pct"/>
                  <w:tcBorders>
                    <w:top w:val="single" w:color="auto" w:sz="4" w:space="0"/>
                    <w:left w:val="single" w:color="auto" w:sz="4" w:space="0"/>
                    <w:right w:val="single" w:color="auto" w:sz="4" w:space="0"/>
                  </w:tcBorders>
                  <w:noWrap w:val="0"/>
                  <w:vAlign w:val="center"/>
                </w:tcPr>
                <w:p w14:paraId="71F0F9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auto"/>
                      <w:sz w:val="18"/>
                      <w:szCs w:val="18"/>
                      <w:highlight w:val="none"/>
                    </w:rPr>
                  </w:pPr>
                  <w:r>
                    <w:rPr>
                      <w:rFonts w:hint="default" w:ascii="Times New Roman" w:hAnsi="Times New Roman" w:eastAsia="仿宋" w:cs="Times New Roman"/>
                      <w:bCs/>
                      <w:color w:val="auto"/>
                      <w:sz w:val="18"/>
                      <w:szCs w:val="18"/>
                      <w:highlight w:val="none"/>
                      <w:lang w:val="en-US" w:eastAsia="zh-CN"/>
                    </w:rPr>
                    <w:t>考虑到风压损失，管道距离等因素，风量按</w:t>
                  </w:r>
                  <w:r>
                    <w:rPr>
                      <w:rFonts w:hint="eastAsia" w:ascii="Times New Roman" w:hAnsi="Times New Roman" w:eastAsia="仿宋" w:cs="Times New Roman"/>
                      <w:bCs/>
                      <w:color w:val="auto"/>
                      <w:sz w:val="18"/>
                      <w:szCs w:val="18"/>
                      <w:highlight w:val="none"/>
                      <w:lang w:val="en-US" w:eastAsia="zh-CN"/>
                    </w:rPr>
                    <w:t>8000</w:t>
                  </w:r>
                  <w:r>
                    <w:rPr>
                      <w:rFonts w:hint="default" w:ascii="Times New Roman" w:hAnsi="Times New Roman" w:eastAsia="仿宋" w:cs="Times New Roman"/>
                      <w:bCs/>
                      <w:color w:val="auto"/>
                      <w:sz w:val="18"/>
                      <w:szCs w:val="18"/>
                      <w:highlight w:val="none"/>
                    </w:rPr>
                    <w:t>m</w:t>
                  </w:r>
                  <w:r>
                    <w:rPr>
                      <w:rFonts w:hint="default" w:ascii="Times New Roman" w:hAnsi="Times New Roman" w:eastAsia="仿宋" w:cs="Times New Roman"/>
                      <w:bCs/>
                      <w:color w:val="auto"/>
                      <w:sz w:val="18"/>
                      <w:szCs w:val="18"/>
                      <w:highlight w:val="none"/>
                      <w:vertAlign w:val="superscript"/>
                    </w:rPr>
                    <w:t>3</w:t>
                  </w:r>
                  <w:r>
                    <w:rPr>
                      <w:rFonts w:hint="default" w:ascii="Times New Roman" w:hAnsi="Times New Roman" w:eastAsia="仿宋" w:cs="Times New Roman"/>
                      <w:bCs/>
                      <w:color w:val="auto"/>
                      <w:sz w:val="18"/>
                      <w:szCs w:val="18"/>
                      <w:highlight w:val="none"/>
                    </w:rPr>
                    <w:t>/h</w:t>
                  </w:r>
                </w:p>
              </w:tc>
              <w:tc>
                <w:tcPr>
                  <w:tcW w:w="332" w:type="pct"/>
                  <w:tcBorders>
                    <w:top w:val="single" w:color="auto" w:sz="4" w:space="0"/>
                    <w:left w:val="single" w:color="auto" w:sz="4" w:space="0"/>
                    <w:right w:val="nil"/>
                  </w:tcBorders>
                  <w:noWrap w:val="0"/>
                  <w:vAlign w:val="center"/>
                </w:tcPr>
                <w:p w14:paraId="65E9D9EB">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Cs/>
                      <w:color w:val="auto"/>
                      <w:sz w:val="18"/>
                      <w:szCs w:val="18"/>
                      <w:highlight w:val="none"/>
                    </w:rPr>
                  </w:pPr>
                  <w:r>
                    <w:rPr>
                      <w:rFonts w:hint="default" w:ascii="Times New Roman" w:hAnsi="Times New Roman" w:eastAsia="仿宋" w:cs="Times New Roman"/>
                      <w:bCs/>
                      <w:color w:val="auto"/>
                      <w:sz w:val="18"/>
                      <w:szCs w:val="18"/>
                      <w:highlight w:val="none"/>
                    </w:rPr>
                    <w:t>15米高</w:t>
                  </w:r>
                  <w:r>
                    <w:rPr>
                      <w:rFonts w:hint="eastAsia" w:ascii="Times New Roman" w:hAnsi="Times New Roman" w:eastAsia="仿宋" w:cs="Times New Roman"/>
                      <w:bCs/>
                      <w:color w:val="auto"/>
                      <w:sz w:val="18"/>
                      <w:szCs w:val="18"/>
                      <w:highlight w:val="none"/>
                      <w:lang w:val="en-US" w:eastAsia="zh-CN"/>
                    </w:rPr>
                    <w:t>FQ-5</w:t>
                  </w:r>
                  <w:r>
                    <w:rPr>
                      <w:rFonts w:hint="default" w:ascii="Times New Roman" w:hAnsi="Times New Roman" w:eastAsia="仿宋" w:cs="Times New Roman"/>
                      <w:bCs/>
                      <w:color w:val="auto"/>
                      <w:sz w:val="18"/>
                      <w:szCs w:val="18"/>
                      <w:highlight w:val="none"/>
                    </w:rPr>
                    <w:t>排气筒</w:t>
                  </w:r>
                </w:p>
              </w:tc>
            </w:tr>
            <w:tr w14:paraId="55C5F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tcBorders>
                    <w:top w:val="single" w:color="auto" w:sz="4" w:space="0"/>
                    <w:left w:val="nil"/>
                    <w:bottom w:val="single" w:color="auto" w:sz="12" w:space="0"/>
                    <w:right w:val="single" w:color="auto" w:sz="4" w:space="0"/>
                  </w:tcBorders>
                  <w:noWrap w:val="0"/>
                  <w:vAlign w:val="center"/>
                </w:tcPr>
                <w:p w14:paraId="25606C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0000FF"/>
                      <w:sz w:val="18"/>
                      <w:szCs w:val="18"/>
                      <w:highlight w:val="none"/>
                    </w:rPr>
                  </w:pPr>
                  <w:r>
                    <w:rPr>
                      <w:rFonts w:hint="eastAsia" w:ascii="Times New Roman" w:hAnsi="Times New Roman" w:eastAsia="仿宋" w:cs="Times New Roman"/>
                      <w:bCs/>
                      <w:color w:val="0000FF"/>
                      <w:sz w:val="18"/>
                      <w:szCs w:val="18"/>
                      <w:highlight w:val="none"/>
                      <w:lang w:val="en-US" w:eastAsia="zh-CN"/>
                    </w:rPr>
                    <w:t>筛毛</w:t>
                  </w:r>
                </w:p>
              </w:tc>
              <w:tc>
                <w:tcPr>
                  <w:tcW w:w="2548" w:type="pct"/>
                  <w:tcBorders>
                    <w:top w:val="single" w:color="auto" w:sz="4" w:space="0"/>
                    <w:left w:val="single" w:color="auto" w:sz="4" w:space="0"/>
                    <w:bottom w:val="single" w:color="auto" w:sz="12" w:space="0"/>
                    <w:right w:val="single" w:color="auto" w:sz="4" w:space="0"/>
                  </w:tcBorders>
                  <w:noWrap w:val="0"/>
                  <w:vAlign w:val="center"/>
                </w:tcPr>
                <w:p w14:paraId="7EFE2C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0000FF"/>
                      <w:sz w:val="18"/>
                      <w:szCs w:val="18"/>
                      <w:highlight w:val="none"/>
                    </w:rPr>
                  </w:pPr>
                  <w:r>
                    <w:rPr>
                      <w:rFonts w:hint="eastAsia" w:ascii="Times New Roman" w:hAnsi="Times New Roman" w:eastAsia="仿宋" w:cs="Times New Roman"/>
                      <w:bCs/>
                      <w:color w:val="0000FF"/>
                      <w:sz w:val="18"/>
                      <w:szCs w:val="18"/>
                      <w:highlight w:val="none"/>
                      <w:lang w:val="en-US" w:eastAsia="zh-CN"/>
                    </w:rPr>
                    <w:t>生产单元为</w:t>
                  </w:r>
                  <w:r>
                    <w:rPr>
                      <w:rFonts w:hint="eastAsia" w:eastAsia="仿宋" w:cs="Times New Roman"/>
                      <w:bCs/>
                      <w:color w:val="0000FF"/>
                      <w:sz w:val="18"/>
                      <w:szCs w:val="18"/>
                      <w:highlight w:val="none"/>
                      <w:lang w:val="en-US" w:eastAsia="zh-CN"/>
                    </w:rPr>
                    <w:t>密闭单元</w:t>
                  </w:r>
                  <w:r>
                    <w:rPr>
                      <w:rFonts w:hint="eastAsia" w:ascii="Times New Roman" w:hAnsi="Times New Roman" w:eastAsia="仿宋" w:cs="Times New Roman"/>
                      <w:bCs/>
                      <w:color w:val="0000FF"/>
                      <w:sz w:val="18"/>
                      <w:szCs w:val="18"/>
                      <w:highlight w:val="none"/>
                      <w:lang w:val="en-US" w:eastAsia="zh-CN"/>
                    </w:rPr>
                    <w:t>，</w:t>
                  </w:r>
                  <w:r>
                    <w:rPr>
                      <w:rFonts w:hint="eastAsia" w:eastAsia="仿宋" w:cs="Times New Roman"/>
                      <w:bCs/>
                      <w:color w:val="0000FF"/>
                      <w:sz w:val="18"/>
                      <w:szCs w:val="18"/>
                      <w:highlight w:val="none"/>
                      <w:lang w:val="en-US" w:eastAsia="zh-CN"/>
                    </w:rPr>
                    <w:t>整体抽风</w:t>
                  </w:r>
                  <w:r>
                    <w:rPr>
                      <w:rFonts w:hint="eastAsia" w:ascii="Times New Roman" w:hAnsi="Times New Roman" w:eastAsia="仿宋" w:cs="Times New Roman"/>
                      <w:bCs/>
                      <w:color w:val="0000FF"/>
                      <w:sz w:val="18"/>
                      <w:szCs w:val="18"/>
                      <w:highlight w:val="none"/>
                      <w:lang w:val="en-US" w:eastAsia="zh-CN"/>
                    </w:rPr>
                    <w:t>，共2个密封</w:t>
                  </w:r>
                  <w:r>
                    <w:rPr>
                      <w:rFonts w:hint="eastAsia" w:eastAsia="仿宋" w:cs="Times New Roman"/>
                      <w:bCs/>
                      <w:color w:val="0000FF"/>
                      <w:sz w:val="18"/>
                      <w:szCs w:val="18"/>
                      <w:highlight w:val="none"/>
                      <w:lang w:val="en-US" w:eastAsia="zh-CN"/>
                    </w:rPr>
                    <w:t>单元，单个单元容积为110m</w:t>
                  </w:r>
                  <w:r>
                    <w:rPr>
                      <w:rFonts w:hint="eastAsia" w:eastAsia="仿宋" w:cs="Times New Roman"/>
                      <w:bCs/>
                      <w:color w:val="0000FF"/>
                      <w:sz w:val="18"/>
                      <w:szCs w:val="18"/>
                      <w:highlight w:val="none"/>
                      <w:vertAlign w:val="superscript"/>
                      <w:lang w:val="en-US" w:eastAsia="zh-CN"/>
                    </w:rPr>
                    <w:t>3</w:t>
                  </w:r>
                  <w:r>
                    <w:rPr>
                      <w:rFonts w:hint="eastAsia" w:eastAsia="仿宋" w:cs="Times New Roman"/>
                      <w:bCs/>
                      <w:color w:val="0000FF"/>
                      <w:sz w:val="18"/>
                      <w:szCs w:val="18"/>
                      <w:highlight w:val="none"/>
                      <w:lang w:val="en-US" w:eastAsia="zh-CN"/>
                    </w:rPr>
                    <w:t>，换气次数20次/h</w:t>
                  </w:r>
                </w:p>
              </w:tc>
              <w:tc>
                <w:tcPr>
                  <w:tcW w:w="723" w:type="pct"/>
                  <w:tcBorders>
                    <w:left w:val="single" w:color="auto" w:sz="4" w:space="0"/>
                    <w:bottom w:val="single" w:color="auto" w:sz="12" w:space="0"/>
                    <w:right w:val="single" w:color="auto" w:sz="4" w:space="0"/>
                  </w:tcBorders>
                  <w:noWrap w:val="0"/>
                  <w:vAlign w:val="center"/>
                </w:tcPr>
                <w:p w14:paraId="5E7561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bCs/>
                      <w:color w:val="0000FF"/>
                      <w:sz w:val="18"/>
                      <w:szCs w:val="18"/>
                      <w:highlight w:val="none"/>
                    </w:rPr>
                  </w:pPr>
                  <w:r>
                    <w:rPr>
                      <w:rFonts w:hint="eastAsia" w:eastAsia="仿宋" w:cs="Times New Roman"/>
                      <w:bCs/>
                      <w:color w:val="0000FF"/>
                      <w:sz w:val="18"/>
                      <w:szCs w:val="18"/>
                      <w:highlight w:val="none"/>
                      <w:lang w:val="en-US" w:eastAsia="zh-CN"/>
                    </w:rPr>
                    <w:t>4400</w:t>
                  </w:r>
                  <w:r>
                    <w:rPr>
                      <w:rFonts w:hint="default" w:ascii="Times New Roman" w:hAnsi="Times New Roman" w:eastAsia="仿宋" w:cs="Times New Roman"/>
                      <w:bCs/>
                      <w:color w:val="0000FF"/>
                      <w:sz w:val="18"/>
                      <w:szCs w:val="18"/>
                      <w:highlight w:val="none"/>
                    </w:rPr>
                    <w:t>m</w:t>
                  </w:r>
                  <w:r>
                    <w:rPr>
                      <w:rFonts w:hint="default" w:ascii="Times New Roman" w:hAnsi="Times New Roman" w:eastAsia="仿宋" w:cs="Times New Roman"/>
                      <w:bCs/>
                      <w:color w:val="0000FF"/>
                      <w:sz w:val="18"/>
                      <w:szCs w:val="18"/>
                      <w:highlight w:val="none"/>
                      <w:vertAlign w:val="superscript"/>
                    </w:rPr>
                    <w:t>3</w:t>
                  </w:r>
                  <w:r>
                    <w:rPr>
                      <w:rFonts w:hint="default" w:ascii="Times New Roman" w:hAnsi="Times New Roman" w:eastAsia="仿宋" w:cs="Times New Roman"/>
                      <w:bCs/>
                      <w:color w:val="0000FF"/>
                      <w:sz w:val="18"/>
                      <w:szCs w:val="18"/>
                      <w:highlight w:val="none"/>
                    </w:rPr>
                    <w:t>/h</w:t>
                  </w:r>
                </w:p>
              </w:tc>
              <w:tc>
                <w:tcPr>
                  <w:tcW w:w="723" w:type="pct"/>
                  <w:tcBorders>
                    <w:left w:val="single" w:color="auto" w:sz="4" w:space="0"/>
                    <w:bottom w:val="single" w:color="auto" w:sz="12" w:space="0"/>
                    <w:right w:val="single" w:color="auto" w:sz="4" w:space="0"/>
                  </w:tcBorders>
                  <w:shd w:val="clear" w:color="auto" w:fill="auto"/>
                  <w:noWrap w:val="0"/>
                  <w:vAlign w:val="center"/>
                </w:tcPr>
                <w:p w14:paraId="55917E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Cs/>
                      <w:color w:val="0000FF"/>
                      <w:kern w:val="2"/>
                      <w:sz w:val="18"/>
                      <w:szCs w:val="18"/>
                      <w:highlight w:val="none"/>
                      <w:lang w:val="en-US" w:eastAsia="zh-CN" w:bidi="ar-SA"/>
                    </w:rPr>
                  </w:pPr>
                  <w:r>
                    <w:rPr>
                      <w:rFonts w:hint="default" w:ascii="Times New Roman" w:hAnsi="Times New Roman" w:eastAsia="仿宋" w:cs="Times New Roman"/>
                      <w:bCs/>
                      <w:color w:val="0000FF"/>
                      <w:sz w:val="18"/>
                      <w:szCs w:val="18"/>
                      <w:highlight w:val="none"/>
                      <w:lang w:val="en-US" w:eastAsia="zh-CN"/>
                    </w:rPr>
                    <w:t>考虑到风压损失，管道距离等因素，风量按</w:t>
                  </w:r>
                  <w:r>
                    <w:rPr>
                      <w:rFonts w:hint="eastAsia" w:eastAsia="仿宋" w:cs="Times New Roman"/>
                      <w:bCs/>
                      <w:color w:val="0000FF"/>
                      <w:sz w:val="18"/>
                      <w:szCs w:val="18"/>
                      <w:highlight w:val="none"/>
                      <w:lang w:val="en-US" w:eastAsia="zh-CN"/>
                    </w:rPr>
                    <w:t>6</w:t>
                  </w:r>
                  <w:r>
                    <w:rPr>
                      <w:rFonts w:hint="eastAsia" w:ascii="Times New Roman" w:hAnsi="Times New Roman" w:eastAsia="仿宋" w:cs="Times New Roman"/>
                      <w:bCs/>
                      <w:color w:val="0000FF"/>
                      <w:sz w:val="18"/>
                      <w:szCs w:val="18"/>
                      <w:highlight w:val="none"/>
                      <w:lang w:val="en-US" w:eastAsia="zh-CN"/>
                    </w:rPr>
                    <w:t>000</w:t>
                  </w:r>
                  <w:r>
                    <w:rPr>
                      <w:rFonts w:hint="default" w:ascii="Times New Roman" w:hAnsi="Times New Roman" w:eastAsia="仿宋" w:cs="Times New Roman"/>
                      <w:bCs/>
                      <w:color w:val="0000FF"/>
                      <w:sz w:val="18"/>
                      <w:szCs w:val="18"/>
                      <w:highlight w:val="none"/>
                    </w:rPr>
                    <w:t>m</w:t>
                  </w:r>
                  <w:r>
                    <w:rPr>
                      <w:rFonts w:hint="default" w:ascii="Times New Roman" w:hAnsi="Times New Roman" w:eastAsia="仿宋" w:cs="Times New Roman"/>
                      <w:bCs/>
                      <w:color w:val="0000FF"/>
                      <w:sz w:val="18"/>
                      <w:szCs w:val="18"/>
                      <w:highlight w:val="none"/>
                      <w:vertAlign w:val="superscript"/>
                    </w:rPr>
                    <w:t>3</w:t>
                  </w:r>
                  <w:r>
                    <w:rPr>
                      <w:rFonts w:hint="default" w:ascii="Times New Roman" w:hAnsi="Times New Roman" w:eastAsia="仿宋" w:cs="Times New Roman"/>
                      <w:bCs/>
                      <w:color w:val="0000FF"/>
                      <w:sz w:val="18"/>
                      <w:szCs w:val="18"/>
                      <w:highlight w:val="none"/>
                    </w:rPr>
                    <w:t>/h</w:t>
                  </w:r>
                </w:p>
              </w:tc>
              <w:tc>
                <w:tcPr>
                  <w:tcW w:w="332" w:type="pct"/>
                  <w:tcBorders>
                    <w:left w:val="single" w:color="auto" w:sz="4" w:space="0"/>
                    <w:bottom w:val="single" w:color="auto" w:sz="12" w:space="0"/>
                    <w:right w:val="nil"/>
                  </w:tcBorders>
                  <w:shd w:val="clear" w:color="auto" w:fill="auto"/>
                  <w:noWrap w:val="0"/>
                  <w:vAlign w:val="center"/>
                </w:tcPr>
                <w:p w14:paraId="18D93F9F">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仿宋" w:cs="Times New Roman"/>
                      <w:bCs/>
                      <w:color w:val="0000FF"/>
                      <w:kern w:val="2"/>
                      <w:sz w:val="18"/>
                      <w:szCs w:val="18"/>
                      <w:highlight w:val="none"/>
                      <w:lang w:val="en-US" w:eastAsia="zh-CN" w:bidi="ar-SA"/>
                    </w:rPr>
                  </w:pPr>
                  <w:r>
                    <w:rPr>
                      <w:rFonts w:hint="default" w:ascii="Times New Roman" w:hAnsi="Times New Roman" w:eastAsia="仿宋" w:cs="Times New Roman"/>
                      <w:bCs/>
                      <w:color w:val="0000FF"/>
                      <w:sz w:val="18"/>
                      <w:szCs w:val="18"/>
                      <w:highlight w:val="none"/>
                    </w:rPr>
                    <w:t>15米高</w:t>
                  </w:r>
                  <w:r>
                    <w:rPr>
                      <w:rFonts w:hint="eastAsia" w:ascii="Times New Roman" w:hAnsi="Times New Roman" w:eastAsia="仿宋" w:cs="Times New Roman"/>
                      <w:bCs/>
                      <w:color w:val="0000FF"/>
                      <w:sz w:val="18"/>
                      <w:szCs w:val="18"/>
                      <w:highlight w:val="none"/>
                      <w:lang w:val="en-US" w:eastAsia="zh-CN"/>
                    </w:rPr>
                    <w:t>FQ-</w:t>
                  </w:r>
                  <w:r>
                    <w:rPr>
                      <w:rFonts w:hint="eastAsia" w:eastAsia="仿宋" w:cs="Times New Roman"/>
                      <w:bCs/>
                      <w:color w:val="0000FF"/>
                      <w:sz w:val="18"/>
                      <w:szCs w:val="18"/>
                      <w:highlight w:val="none"/>
                      <w:lang w:val="en-US" w:eastAsia="zh-CN"/>
                    </w:rPr>
                    <w:t>7</w:t>
                  </w:r>
                  <w:r>
                    <w:rPr>
                      <w:rFonts w:hint="default" w:ascii="Times New Roman" w:hAnsi="Times New Roman" w:eastAsia="仿宋" w:cs="Times New Roman"/>
                      <w:bCs/>
                      <w:color w:val="0000FF"/>
                      <w:sz w:val="18"/>
                      <w:szCs w:val="18"/>
                      <w:highlight w:val="none"/>
                    </w:rPr>
                    <w:t>排气筒</w:t>
                  </w:r>
                </w:p>
              </w:tc>
            </w:tr>
          </w:tbl>
          <w:p w14:paraId="4E5D19A5">
            <w:pPr>
              <w:spacing w:before="120" w:beforeLines="50" w:line="360" w:lineRule="auto"/>
              <w:ind w:firstLine="480" w:firstLineChars="200"/>
              <w:rPr>
                <w:rFonts w:hint="default" w:ascii="Times New Roman" w:hAnsi="Times New Roman" w:eastAsia="仿宋" w:cs="Times New Roman"/>
                <w:color w:val="0000FF"/>
                <w:sz w:val="24"/>
                <w:highlight w:val="none"/>
              </w:rPr>
            </w:pPr>
            <w:r>
              <w:rPr>
                <w:rFonts w:hint="default" w:ascii="Times New Roman" w:hAnsi="Times New Roman" w:eastAsia="仿宋" w:cs="Times New Roman"/>
                <w:color w:val="0000FF"/>
                <w:sz w:val="24"/>
                <w:highlight w:val="none"/>
              </w:rPr>
              <w:t>③废气处理</w:t>
            </w:r>
            <w:r>
              <w:rPr>
                <w:rFonts w:hint="default" w:ascii="Times New Roman" w:hAnsi="Times New Roman" w:eastAsia="仿宋" w:cs="Times New Roman"/>
                <w:color w:val="0000FF"/>
                <w:sz w:val="24"/>
                <w:highlight w:val="none"/>
                <w:lang w:val="en-US" w:eastAsia="zh-CN"/>
              </w:rPr>
              <w:t>设施</w:t>
            </w:r>
            <w:r>
              <w:rPr>
                <w:rFonts w:hint="default" w:ascii="Times New Roman" w:hAnsi="Times New Roman" w:eastAsia="仿宋" w:cs="Times New Roman"/>
                <w:color w:val="0000FF"/>
                <w:sz w:val="24"/>
                <w:highlight w:val="none"/>
              </w:rPr>
              <w:t>运行原理及效果分析</w:t>
            </w:r>
          </w:p>
          <w:p w14:paraId="4D4E9D56">
            <w:pPr>
              <w:adjustRightInd w:val="0"/>
              <w:snapToGrid w:val="0"/>
              <w:spacing w:line="360" w:lineRule="auto"/>
              <w:ind w:firstLine="480" w:firstLineChars="200"/>
              <w:jc w:val="left"/>
              <w:rPr>
                <w:rFonts w:hint="eastAsia" w:ascii="Times New Roman" w:hAnsi="Times New Roman" w:eastAsia="仿宋" w:cs="Times New Roman"/>
                <w:bCs/>
                <w:color w:val="0000FF"/>
                <w:sz w:val="24"/>
                <w:highlight w:val="none"/>
                <w:lang w:val="en-US" w:eastAsia="zh-CN"/>
              </w:rPr>
            </w:pPr>
            <w:r>
              <w:rPr>
                <w:rFonts w:hint="default" w:ascii="Times New Roman" w:hAnsi="Times New Roman" w:eastAsia="仿宋" w:cs="Times New Roman"/>
                <w:bCs/>
                <w:color w:val="0000FF"/>
                <w:sz w:val="24"/>
                <w:highlight w:val="none"/>
              </w:rPr>
              <w:t>&lt;1&gt;</w:t>
            </w:r>
            <w:r>
              <w:rPr>
                <w:rFonts w:hint="eastAsia" w:ascii="Times New Roman" w:hAnsi="Times New Roman" w:eastAsia="仿宋" w:cs="Times New Roman"/>
                <w:bCs/>
                <w:color w:val="0000FF"/>
                <w:sz w:val="24"/>
                <w:highlight w:val="none"/>
                <w:lang w:val="en-US" w:eastAsia="zh-CN"/>
              </w:rPr>
              <w:t>布袋除尘装置</w:t>
            </w:r>
          </w:p>
          <w:p w14:paraId="6AB4C0D7">
            <w:pPr>
              <w:adjustRightInd w:val="0"/>
              <w:snapToGrid w:val="0"/>
              <w:spacing w:line="360" w:lineRule="auto"/>
              <w:ind w:firstLine="480" w:firstLineChars="200"/>
              <w:jc w:val="left"/>
              <w:rPr>
                <w:rFonts w:hint="default" w:ascii="Times New Roman" w:hAnsi="Times New Roman" w:eastAsia="仿宋" w:cs="Times New Roman"/>
                <w:bCs/>
                <w:color w:val="0000FF"/>
                <w:sz w:val="24"/>
                <w:highlight w:val="none"/>
              </w:rPr>
            </w:pPr>
            <w:r>
              <w:rPr>
                <w:rFonts w:hint="default" w:ascii="Times New Roman" w:hAnsi="Times New Roman" w:eastAsia="仿宋" w:cs="Times New Roman"/>
                <w:bCs/>
                <w:color w:val="0000FF"/>
                <w:sz w:val="24"/>
                <w:highlight w:val="none"/>
              </w:rPr>
              <w:t>本项目采用的除尘器类型为袋式除尘器，滤袋采用纺织的滤布或非纺织的毡制成。含尘气体从风口进入灰斗后，一部分较粗尘粒和凝聚的尘团，由于惯性作用直接落下，起到预收尘的作用。进入灰斗的气流折转向上涌入箱体，当通过内部装有金属骨架的滤袋时，粉尘被阻留在滤袋的外表面。净化后的气体进入滤袋上部的清洁室汇集到出风管排出。除尘器的清灰是逐室轮流进行的，其程序是由控制器根据工艺条件调整确定的。合理的清灰程序和清灰周期保证了该型除尘器的清灰效果和滤袋寿命。清灰控制器有定时和定阻两种清灰功能，定时式清灰适用于工况条件较为稳定的场合，工况条件如经常变化，则采用定阻式清灰即可实现清灰周期与运行阻力最佳配合。</w:t>
            </w:r>
          </w:p>
          <w:p w14:paraId="3DA89A74">
            <w:pPr>
              <w:adjustRightInd w:val="0"/>
              <w:snapToGrid w:val="0"/>
              <w:spacing w:line="360" w:lineRule="auto"/>
              <w:ind w:firstLine="480" w:firstLineChars="200"/>
              <w:jc w:val="left"/>
              <w:rPr>
                <w:rFonts w:hint="default" w:ascii="Times New Roman" w:hAnsi="Times New Roman" w:eastAsia="仿宋" w:cs="Times New Roman"/>
                <w:bCs/>
                <w:color w:val="0000FF"/>
                <w:sz w:val="24"/>
                <w:highlight w:val="none"/>
              </w:rPr>
            </w:pPr>
            <w:r>
              <w:rPr>
                <w:rFonts w:hint="default" w:ascii="Times New Roman" w:hAnsi="Times New Roman" w:eastAsia="仿宋" w:cs="Times New Roman"/>
                <w:bCs/>
                <w:color w:val="0000FF"/>
                <w:sz w:val="24"/>
                <w:highlight w:val="none"/>
              </w:rPr>
              <w:t>除尘器工作时，随着过滤的不断进行，滤袋外表的积尘逐渐增多，除尘器的阻力亦逐渐增加。当达到设定值时，清灰控制器发出清灰指令，将滤袋外表面的粉尘清除下来，并落入灰斗，然后再打开排气阀使该室恢复过滤。经过适当的时间间隔后除尘器再次进行下一室的清灰工作。</w:t>
            </w:r>
          </w:p>
          <w:p w14:paraId="2F8B881D">
            <w:pPr>
              <w:adjustRightInd w:val="0"/>
              <w:snapToGrid w:val="0"/>
              <w:spacing w:line="360" w:lineRule="auto"/>
              <w:ind w:firstLine="480" w:firstLineChars="200"/>
              <w:jc w:val="left"/>
              <w:rPr>
                <w:rFonts w:hint="default" w:ascii="Times New Roman" w:hAnsi="Times New Roman" w:eastAsia="仿宋" w:cs="Times New Roman"/>
                <w:bCs/>
                <w:color w:val="0000FF"/>
                <w:sz w:val="24"/>
                <w:highlight w:val="none"/>
              </w:rPr>
            </w:pPr>
            <w:r>
              <w:rPr>
                <w:rFonts w:hint="default" w:ascii="Times New Roman" w:hAnsi="Times New Roman" w:eastAsia="仿宋" w:cs="Times New Roman"/>
                <w:bCs/>
                <w:color w:val="0000FF"/>
                <w:sz w:val="24"/>
                <w:highlight w:val="none"/>
              </w:rPr>
              <w:t>对照《袋式除尘工程通用技术规范》（HJ2020-2012），袋式除尘工艺适用于各种风量下的含尘气体净化，且含尘空气的净化应优先采用袋式除尘工艺，袋式除尘器是一种成熟常用的除尘工艺，处理效率可达99%以上</w:t>
            </w:r>
            <w:r>
              <w:rPr>
                <w:rFonts w:hint="eastAsia" w:eastAsia="仿宋" w:cs="Times New Roman"/>
                <w:bCs/>
                <w:color w:val="0000FF"/>
                <w:sz w:val="24"/>
                <w:highlight w:val="none"/>
                <w:lang w:eastAsia="zh-CN"/>
              </w:rPr>
              <w:t>（</w:t>
            </w:r>
            <w:r>
              <w:rPr>
                <w:rFonts w:hint="eastAsia" w:eastAsia="仿宋" w:cs="Times New Roman"/>
                <w:bCs/>
                <w:color w:val="0000FF"/>
                <w:sz w:val="24"/>
                <w:highlight w:val="none"/>
                <w:lang w:val="en-US" w:eastAsia="zh-CN"/>
              </w:rPr>
              <w:t>本次取95%</w:t>
            </w:r>
            <w:r>
              <w:rPr>
                <w:rFonts w:hint="eastAsia" w:eastAsia="仿宋" w:cs="Times New Roman"/>
                <w:bCs/>
                <w:color w:val="0000FF"/>
                <w:sz w:val="24"/>
                <w:highlight w:val="none"/>
                <w:lang w:eastAsia="zh-CN"/>
              </w:rPr>
              <w:t>）</w:t>
            </w:r>
            <w:r>
              <w:rPr>
                <w:rFonts w:hint="default" w:ascii="Times New Roman" w:hAnsi="Times New Roman" w:eastAsia="仿宋" w:cs="Times New Roman"/>
                <w:bCs/>
                <w:color w:val="0000FF"/>
                <w:sz w:val="24"/>
                <w:highlight w:val="none"/>
              </w:rPr>
              <w:t>。</w:t>
            </w:r>
          </w:p>
          <w:p w14:paraId="1FD2551C">
            <w:pPr>
              <w:adjustRightInd w:val="0"/>
              <w:snapToGrid w:val="0"/>
              <w:spacing w:line="360" w:lineRule="auto"/>
              <w:ind w:firstLine="480" w:firstLineChars="200"/>
              <w:jc w:val="left"/>
              <w:rPr>
                <w:rFonts w:hint="default" w:ascii="Times New Roman" w:hAnsi="Times New Roman" w:eastAsia="仿宋" w:cs="Times New Roman"/>
                <w:bCs/>
                <w:color w:val="0000FF"/>
                <w:sz w:val="24"/>
                <w:highlight w:val="none"/>
              </w:rPr>
            </w:pPr>
            <w:r>
              <w:rPr>
                <w:rFonts w:hint="default" w:ascii="Times New Roman" w:hAnsi="Times New Roman" w:eastAsia="仿宋" w:cs="Times New Roman"/>
                <w:bCs/>
                <w:color w:val="0000FF"/>
                <w:sz w:val="24"/>
                <w:highlight w:val="none"/>
              </w:rPr>
              <w:t>&lt;</w:t>
            </w:r>
            <w:r>
              <w:rPr>
                <w:rFonts w:hint="eastAsia" w:ascii="Times New Roman" w:hAnsi="Times New Roman" w:eastAsia="仿宋" w:cs="Times New Roman"/>
                <w:bCs/>
                <w:color w:val="0000FF"/>
                <w:sz w:val="24"/>
                <w:highlight w:val="none"/>
                <w:lang w:val="en-US" w:eastAsia="zh-CN"/>
              </w:rPr>
              <w:t>2</w:t>
            </w:r>
            <w:r>
              <w:rPr>
                <w:rFonts w:hint="default" w:ascii="Times New Roman" w:hAnsi="Times New Roman" w:eastAsia="仿宋" w:cs="Times New Roman"/>
                <w:bCs/>
                <w:color w:val="0000FF"/>
                <w:sz w:val="24"/>
                <w:highlight w:val="none"/>
              </w:rPr>
              <w:t>&gt;活性炭吸附装置</w:t>
            </w:r>
          </w:p>
          <w:p w14:paraId="27F2B731">
            <w:pPr>
              <w:adjustRightInd w:val="0"/>
              <w:snapToGrid w:val="0"/>
              <w:spacing w:line="360" w:lineRule="auto"/>
              <w:ind w:firstLine="480" w:firstLineChars="200"/>
              <w:rPr>
                <w:rFonts w:hint="default" w:ascii="Times New Roman" w:hAnsi="Times New Roman" w:eastAsia="仿宋" w:cs="Times New Roman"/>
                <w:bCs/>
                <w:color w:val="0000FF"/>
                <w:sz w:val="24"/>
                <w:highlight w:val="none"/>
              </w:rPr>
            </w:pPr>
            <w:r>
              <w:rPr>
                <w:rFonts w:hint="default" w:ascii="Times New Roman" w:hAnsi="Times New Roman" w:eastAsia="仿宋" w:cs="Times New Roman"/>
                <w:bCs/>
                <w:color w:val="0000FF"/>
                <w:sz w:val="24"/>
                <w:highlight w:val="none"/>
              </w:rPr>
              <w:t>活性炭吸附是利用活性炭的多孔性，存在吸引力的原理而开发的。由于固体表面上存在着未平衡饱和的分子力或化学键力，因此</w:t>
            </w:r>
            <w:r>
              <w:rPr>
                <w:rFonts w:hint="eastAsia" w:eastAsia="仿宋" w:cs="Times New Roman"/>
                <w:bCs/>
                <w:color w:val="0000FF"/>
                <w:sz w:val="24"/>
                <w:highlight w:val="none"/>
                <w:lang w:eastAsia="zh-CN"/>
              </w:rPr>
              <w:t>当</w:t>
            </w:r>
            <w:r>
              <w:rPr>
                <w:rFonts w:hint="default" w:ascii="Times New Roman" w:hAnsi="Times New Roman" w:eastAsia="仿宋" w:cs="Times New Roman"/>
                <w:bCs/>
                <w:color w:val="0000FF"/>
                <w:sz w:val="24"/>
                <w:highlight w:val="none"/>
              </w:rPr>
              <w:t>固体表面与气体接触时，就能吸引气体分子，使其浓集并保持在固体表面，这种现象就是吸附现象。本工艺所采用的活性炭吸附法就是利用固体表面的这种性质，当废气与大表面积的多孔性活性炭相接触，废气中的污染物被吸附在活性炭固体表面，从而与气体混合物分离，达到净化的目的。</w:t>
            </w:r>
          </w:p>
          <w:p w14:paraId="0626F198">
            <w:pPr>
              <w:adjustRightInd w:val="0"/>
              <w:snapToGrid w:val="0"/>
              <w:spacing w:line="360" w:lineRule="auto"/>
              <w:ind w:firstLine="480" w:firstLineChars="200"/>
              <w:rPr>
                <w:rFonts w:hint="default" w:ascii="Times New Roman" w:hAnsi="Times New Roman" w:eastAsia="仿宋" w:cs="Times New Roman"/>
                <w:bCs/>
                <w:color w:val="0000FF"/>
                <w:sz w:val="24"/>
                <w:highlight w:val="none"/>
              </w:rPr>
            </w:pPr>
            <w:r>
              <w:rPr>
                <w:rFonts w:hint="default" w:ascii="Times New Roman" w:hAnsi="Times New Roman" w:eastAsia="仿宋" w:cs="Times New Roman"/>
                <w:bCs/>
                <w:color w:val="0000FF"/>
                <w:sz w:val="24"/>
                <w:highlight w:val="none"/>
              </w:rPr>
              <w:t>活性炭吸附法适用于大风量、低浓度、温度不高的有机废气治理，其能耗低、工艺成熟，效果可靠，是治理有机废气较为理想的方案。根据《材料研究与应用》2010年12月第4卷第4期，余倩等人《活性炭吸附技术对VOCs净化处理的研究进展》一文，采用两级活性炭吸附法能够使VOCs的去除率高达90-95%，本项目保守估计取90%。</w:t>
            </w:r>
          </w:p>
          <w:p w14:paraId="6FA129E3">
            <w:pPr>
              <w:adjustRightInd w:val="0"/>
              <w:snapToGrid w:val="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eastAsia" w:eastAsia="仿宋" w:cs="Times New Roman"/>
                <w:b/>
                <w:color w:val="auto"/>
                <w:sz w:val="24"/>
                <w:highlight w:val="none"/>
                <w:lang w:val="en-US" w:eastAsia="zh-CN"/>
              </w:rPr>
              <w:t>5</w:t>
            </w:r>
            <w:r>
              <w:rPr>
                <w:rFonts w:hint="default" w:ascii="Times New Roman" w:hAnsi="Times New Roman" w:eastAsia="仿宋" w:cs="Times New Roman"/>
                <w:b/>
                <w:color w:val="auto"/>
                <w:sz w:val="24"/>
                <w:highlight w:val="none"/>
              </w:rPr>
              <w:t xml:space="preserve">  两级活性炭吸附装置设计参数</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99"/>
              <w:gridCol w:w="2194"/>
              <w:gridCol w:w="2002"/>
              <w:gridCol w:w="1878"/>
            </w:tblGrid>
            <w:tr w14:paraId="47E32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noWrap w:val="0"/>
                  <w:vAlign w:val="center"/>
                </w:tcPr>
                <w:p w14:paraId="6F725E0D">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项目</w:t>
                  </w:r>
                </w:p>
              </w:tc>
              <w:tc>
                <w:tcPr>
                  <w:tcW w:w="1294" w:type="pct"/>
                  <w:noWrap w:val="0"/>
                  <w:vAlign w:val="center"/>
                </w:tcPr>
                <w:p w14:paraId="27240426">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技术指标</w:t>
                  </w:r>
                </w:p>
              </w:tc>
              <w:tc>
                <w:tcPr>
                  <w:tcW w:w="1181" w:type="pct"/>
                  <w:noWrap w:val="0"/>
                  <w:vAlign w:val="center"/>
                </w:tcPr>
                <w:p w14:paraId="551FEBE6">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项目</w:t>
                  </w:r>
                </w:p>
              </w:tc>
              <w:tc>
                <w:tcPr>
                  <w:tcW w:w="1108" w:type="pct"/>
                  <w:noWrap w:val="0"/>
                  <w:vAlign w:val="center"/>
                </w:tcPr>
                <w:p w14:paraId="3BDA1E7C">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技术指标</w:t>
                  </w:r>
                </w:p>
              </w:tc>
            </w:tr>
            <w:tr w14:paraId="0A0DB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noWrap w:val="0"/>
                  <w:vAlign w:val="center"/>
                </w:tcPr>
                <w:p w14:paraId="5B053DBC">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外观</w:t>
                  </w:r>
                </w:p>
              </w:tc>
              <w:tc>
                <w:tcPr>
                  <w:tcW w:w="1294" w:type="pct"/>
                  <w:noWrap w:val="0"/>
                  <w:vAlign w:val="center"/>
                </w:tcPr>
                <w:p w14:paraId="26D960CF">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颗粒状</w:t>
                  </w:r>
                </w:p>
              </w:tc>
              <w:tc>
                <w:tcPr>
                  <w:tcW w:w="1181" w:type="pct"/>
                  <w:noWrap w:val="0"/>
                  <w:vAlign w:val="center"/>
                </w:tcPr>
                <w:p w14:paraId="79B81FAA">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假比重</w:t>
                  </w:r>
                </w:p>
              </w:tc>
              <w:tc>
                <w:tcPr>
                  <w:tcW w:w="1108" w:type="pct"/>
                  <w:noWrap w:val="0"/>
                  <w:vAlign w:val="center"/>
                </w:tcPr>
                <w:p w14:paraId="15C3772D">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0.65g/ml</w:t>
                  </w:r>
                </w:p>
              </w:tc>
            </w:tr>
            <w:tr w14:paraId="35385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noWrap w:val="0"/>
                  <w:vAlign w:val="center"/>
                </w:tcPr>
                <w:p w14:paraId="61C32BB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活性炭装填量</w:t>
                  </w:r>
                </w:p>
              </w:tc>
              <w:tc>
                <w:tcPr>
                  <w:tcW w:w="1294" w:type="pct"/>
                  <w:noWrap w:val="0"/>
                  <w:vAlign w:val="center"/>
                </w:tcPr>
                <w:p w14:paraId="217AFD3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0000FF"/>
                      <w:szCs w:val="21"/>
                      <w:highlight w:val="none"/>
                    </w:rPr>
                    <w:t>0.</w:t>
                  </w:r>
                  <w:r>
                    <w:rPr>
                      <w:rFonts w:hint="eastAsia" w:eastAsia="仿宋" w:cs="Times New Roman"/>
                      <w:color w:val="0000FF"/>
                      <w:szCs w:val="21"/>
                      <w:highlight w:val="none"/>
                      <w:lang w:val="en-US" w:eastAsia="zh-CN"/>
                    </w:rPr>
                    <w:t>5</w:t>
                  </w:r>
                  <w:r>
                    <w:rPr>
                      <w:rFonts w:hint="default" w:ascii="Times New Roman" w:hAnsi="Times New Roman" w:eastAsia="仿宋" w:cs="Times New Roman"/>
                      <w:color w:val="0000FF"/>
                      <w:szCs w:val="21"/>
                      <w:highlight w:val="none"/>
                    </w:rPr>
                    <w:t>t/套</w:t>
                  </w:r>
                </w:p>
              </w:tc>
              <w:tc>
                <w:tcPr>
                  <w:tcW w:w="1181" w:type="pct"/>
                  <w:noWrap w:val="0"/>
                  <w:vAlign w:val="center"/>
                </w:tcPr>
                <w:p w14:paraId="7DD306CA">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硬度</w:t>
                  </w:r>
                </w:p>
              </w:tc>
              <w:tc>
                <w:tcPr>
                  <w:tcW w:w="1108" w:type="pct"/>
                  <w:noWrap w:val="0"/>
                  <w:vAlign w:val="center"/>
                </w:tcPr>
                <w:p w14:paraId="412E732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97%min</w:t>
                  </w:r>
                </w:p>
              </w:tc>
            </w:tr>
            <w:tr w14:paraId="17A0A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noWrap w:val="0"/>
                  <w:vAlign w:val="center"/>
                </w:tcPr>
                <w:p w14:paraId="5EAF944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比表面积</w:t>
                  </w:r>
                </w:p>
              </w:tc>
              <w:tc>
                <w:tcPr>
                  <w:tcW w:w="1294" w:type="pct"/>
                  <w:noWrap w:val="0"/>
                  <w:vAlign w:val="center"/>
                </w:tcPr>
                <w:p w14:paraId="3457A43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800m</w:t>
                  </w:r>
                  <w:r>
                    <w:rPr>
                      <w:rFonts w:hint="default" w:ascii="Times New Roman" w:hAnsi="Times New Roman" w:eastAsia="仿宋" w:cs="Times New Roman"/>
                      <w:color w:val="auto"/>
                      <w:szCs w:val="21"/>
                      <w:highlight w:val="none"/>
                      <w:vertAlign w:val="superscript"/>
                    </w:rPr>
                    <w:t>2</w:t>
                  </w:r>
                  <w:r>
                    <w:rPr>
                      <w:rFonts w:hint="default" w:ascii="Times New Roman" w:hAnsi="Times New Roman" w:eastAsia="仿宋" w:cs="Times New Roman"/>
                      <w:color w:val="auto"/>
                      <w:szCs w:val="21"/>
                      <w:highlight w:val="none"/>
                    </w:rPr>
                    <w:t>/g</w:t>
                  </w:r>
                </w:p>
              </w:tc>
              <w:tc>
                <w:tcPr>
                  <w:tcW w:w="1181" w:type="pct"/>
                  <w:noWrap w:val="0"/>
                  <w:vAlign w:val="center"/>
                </w:tcPr>
                <w:p w14:paraId="49A637BB">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着火点</w:t>
                  </w:r>
                </w:p>
              </w:tc>
              <w:tc>
                <w:tcPr>
                  <w:tcW w:w="1108" w:type="pct"/>
                  <w:noWrap w:val="0"/>
                  <w:vAlign w:val="center"/>
                </w:tcPr>
                <w:p w14:paraId="0110E011">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300℃</w:t>
                  </w:r>
                </w:p>
              </w:tc>
            </w:tr>
            <w:tr w14:paraId="37A5C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noWrap w:val="0"/>
                  <w:vAlign w:val="center"/>
                </w:tcPr>
                <w:p w14:paraId="6E3B0269">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直径</w:t>
                  </w:r>
                </w:p>
              </w:tc>
              <w:tc>
                <w:tcPr>
                  <w:tcW w:w="1294" w:type="pct"/>
                  <w:noWrap w:val="0"/>
                  <w:vAlign w:val="center"/>
                </w:tcPr>
                <w:p w14:paraId="3554B5D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4.0mm</w:t>
                  </w:r>
                </w:p>
              </w:tc>
              <w:tc>
                <w:tcPr>
                  <w:tcW w:w="1181" w:type="pct"/>
                  <w:noWrap w:val="0"/>
                  <w:vAlign w:val="center"/>
                </w:tcPr>
                <w:p w14:paraId="4B52EC45">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pH值</w:t>
                  </w:r>
                </w:p>
              </w:tc>
              <w:tc>
                <w:tcPr>
                  <w:tcW w:w="1108" w:type="pct"/>
                  <w:noWrap w:val="0"/>
                  <w:vAlign w:val="center"/>
                </w:tcPr>
                <w:p w14:paraId="0DBC536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7</w:t>
                  </w:r>
                </w:p>
              </w:tc>
            </w:tr>
            <w:tr w14:paraId="5CF77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noWrap w:val="0"/>
                  <w:vAlign w:val="center"/>
                </w:tcPr>
                <w:p w14:paraId="46679A21">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制品强度（抗拉强力）</w:t>
                  </w:r>
                </w:p>
              </w:tc>
              <w:tc>
                <w:tcPr>
                  <w:tcW w:w="1294" w:type="pct"/>
                  <w:noWrap w:val="0"/>
                  <w:vAlign w:val="center"/>
                </w:tcPr>
                <w:p w14:paraId="29AA2809">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≥30N（25mm）</w:t>
                  </w:r>
                </w:p>
              </w:tc>
              <w:tc>
                <w:tcPr>
                  <w:tcW w:w="1181" w:type="pct"/>
                  <w:noWrap w:val="0"/>
                  <w:vAlign w:val="center"/>
                </w:tcPr>
                <w:p w14:paraId="5AAED99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碘值</w:t>
                  </w:r>
                </w:p>
              </w:tc>
              <w:tc>
                <w:tcPr>
                  <w:tcW w:w="1108" w:type="pct"/>
                  <w:noWrap w:val="0"/>
                  <w:vAlign w:val="center"/>
                </w:tcPr>
                <w:p w14:paraId="4F91DB85">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800mg/g</w:t>
                  </w:r>
                </w:p>
              </w:tc>
            </w:tr>
            <w:tr w14:paraId="1E382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noWrap w:val="0"/>
                  <w:vAlign w:val="center"/>
                </w:tcPr>
                <w:p w14:paraId="3EAB2E8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堆积密度</w:t>
                  </w:r>
                </w:p>
              </w:tc>
              <w:tc>
                <w:tcPr>
                  <w:tcW w:w="1294" w:type="pct"/>
                  <w:noWrap w:val="0"/>
                  <w:vAlign w:val="center"/>
                </w:tcPr>
                <w:p w14:paraId="56D0A00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0.5kg/m</w:t>
                  </w:r>
                  <w:r>
                    <w:rPr>
                      <w:rFonts w:hint="default" w:ascii="Times New Roman" w:hAnsi="Times New Roman" w:eastAsia="仿宋" w:cs="Times New Roman"/>
                      <w:color w:val="auto"/>
                      <w:szCs w:val="21"/>
                      <w:highlight w:val="none"/>
                      <w:vertAlign w:val="superscript"/>
                    </w:rPr>
                    <w:t>3</w:t>
                  </w:r>
                </w:p>
              </w:tc>
              <w:tc>
                <w:tcPr>
                  <w:tcW w:w="1181" w:type="pct"/>
                  <w:noWrap w:val="0"/>
                  <w:vAlign w:val="center"/>
                </w:tcPr>
                <w:p w14:paraId="6D9C3E24">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更换周期</w:t>
                  </w:r>
                </w:p>
              </w:tc>
              <w:tc>
                <w:tcPr>
                  <w:tcW w:w="1108" w:type="pct"/>
                  <w:noWrap w:val="0"/>
                  <w:vAlign w:val="center"/>
                </w:tcPr>
                <w:p w14:paraId="2A1E6706">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51天</w:t>
                  </w:r>
                </w:p>
              </w:tc>
            </w:tr>
            <w:tr w14:paraId="21ABC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noWrap w:val="0"/>
                  <w:vAlign w:val="center"/>
                </w:tcPr>
                <w:p w14:paraId="2E7BAEAC">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含碳量</w:t>
                  </w:r>
                </w:p>
              </w:tc>
              <w:tc>
                <w:tcPr>
                  <w:tcW w:w="1294" w:type="pct"/>
                  <w:noWrap w:val="0"/>
                  <w:vAlign w:val="center"/>
                </w:tcPr>
                <w:p w14:paraId="443B35D5">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＞90%</w:t>
                  </w:r>
                </w:p>
              </w:tc>
              <w:tc>
                <w:tcPr>
                  <w:tcW w:w="1181" w:type="pct"/>
                  <w:noWrap w:val="0"/>
                  <w:vAlign w:val="center"/>
                </w:tcPr>
                <w:p w14:paraId="76964808">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1108" w:type="pct"/>
                  <w:noWrap w:val="0"/>
                  <w:vAlign w:val="center"/>
                </w:tcPr>
                <w:p w14:paraId="114A0AD4">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r>
          </w:tbl>
          <w:p w14:paraId="6DDC5A45">
            <w:pPr>
              <w:keepNext w:val="0"/>
              <w:keepLines w:val="0"/>
              <w:pageBreakBefore w:val="0"/>
              <w:widowControl w:val="0"/>
              <w:kinsoku/>
              <w:wordWrap/>
              <w:overflowPunct/>
              <w:topLinePunct w:val="0"/>
              <w:autoSpaceDE/>
              <w:autoSpaceDN/>
              <w:bidi w:val="0"/>
              <w:adjustRightInd/>
              <w:snapToGrid/>
              <w:spacing w:line="240" w:lineRule="auto"/>
              <w:ind w:firstLine="200" w:firstLineChars="200"/>
              <w:textAlignment w:val="auto"/>
              <w:rPr>
                <w:rFonts w:hint="default" w:ascii="Times New Roman" w:hAnsi="Times New Roman" w:eastAsia="仿宋" w:cs="Times New Roman"/>
                <w:bCs/>
                <w:color w:val="auto"/>
                <w:sz w:val="10"/>
                <w:szCs w:val="10"/>
                <w:highlight w:val="none"/>
              </w:rPr>
            </w:pPr>
          </w:p>
          <w:p w14:paraId="29B5006C">
            <w:pPr>
              <w:adjustRightInd w:val="0"/>
              <w:snapToGrid w:val="0"/>
              <w:spacing w:line="360" w:lineRule="auto"/>
              <w:ind w:firstLine="480" w:firstLineChars="200"/>
              <w:rPr>
                <w:rFonts w:hint="eastAsia" w:ascii="Times New Roman" w:hAnsi="Times New Roman" w:eastAsia="仿宋" w:cs="Times New Roman"/>
                <w:bCs/>
                <w:color w:val="0000FF"/>
                <w:sz w:val="24"/>
                <w:highlight w:val="none"/>
                <w:lang w:val="en-US" w:eastAsia="zh-CN"/>
              </w:rPr>
            </w:pPr>
            <w:r>
              <w:rPr>
                <w:rFonts w:hint="default" w:ascii="Times New Roman" w:hAnsi="Times New Roman" w:eastAsia="仿宋" w:cs="Times New Roman"/>
                <w:bCs/>
                <w:color w:val="0000FF"/>
                <w:sz w:val="24"/>
                <w:highlight w:val="none"/>
              </w:rPr>
              <w:t>&lt;</w:t>
            </w:r>
            <w:r>
              <w:rPr>
                <w:rFonts w:hint="eastAsia" w:ascii="Times New Roman" w:hAnsi="Times New Roman" w:eastAsia="仿宋" w:cs="Times New Roman"/>
                <w:bCs/>
                <w:color w:val="0000FF"/>
                <w:sz w:val="24"/>
                <w:highlight w:val="none"/>
                <w:lang w:val="en-US" w:eastAsia="zh-CN"/>
              </w:rPr>
              <w:t>2</w:t>
            </w:r>
            <w:r>
              <w:rPr>
                <w:rFonts w:hint="default" w:ascii="Times New Roman" w:hAnsi="Times New Roman" w:eastAsia="仿宋" w:cs="Times New Roman"/>
                <w:bCs/>
                <w:color w:val="0000FF"/>
                <w:sz w:val="24"/>
                <w:highlight w:val="none"/>
              </w:rPr>
              <w:t>&gt;</w:t>
            </w:r>
            <w:r>
              <w:rPr>
                <w:rFonts w:hint="eastAsia" w:ascii="Times New Roman" w:hAnsi="Times New Roman" w:eastAsia="仿宋" w:cs="Times New Roman"/>
                <w:bCs/>
                <w:color w:val="0000FF"/>
                <w:sz w:val="24"/>
                <w:highlight w:val="none"/>
                <w:lang w:val="en-US" w:eastAsia="zh-CN"/>
              </w:rPr>
              <w:t>水旋除尘器</w:t>
            </w:r>
          </w:p>
          <w:p w14:paraId="3B1AFE2C">
            <w:pPr>
              <w:adjustRightInd w:val="0"/>
              <w:snapToGrid w:val="0"/>
              <w:spacing w:line="360" w:lineRule="auto"/>
              <w:ind w:firstLine="480" w:firstLineChars="200"/>
              <w:rPr>
                <w:rFonts w:hint="eastAsia" w:eastAsia="仿宋" w:cs="Times New Roman"/>
                <w:bCs/>
                <w:color w:val="0000FF"/>
                <w:sz w:val="24"/>
                <w:highlight w:val="none"/>
                <w:lang w:val="en-US" w:eastAsia="zh-CN"/>
              </w:rPr>
            </w:pPr>
            <w:r>
              <w:rPr>
                <w:rFonts w:hint="eastAsia" w:ascii="Times New Roman" w:hAnsi="Times New Roman" w:eastAsia="仿宋" w:cs="Times New Roman"/>
                <w:bCs/>
                <w:color w:val="0000FF"/>
                <w:sz w:val="24"/>
                <w:highlight w:val="none"/>
                <w:lang w:val="en-US" w:eastAsia="zh-CN"/>
              </w:rPr>
              <w:t>水旋除尘器的除尘技术为湿式除尘，主要通过水形成旋转气流，使含尘气体与水充分接触，利用惯性碰撞、拦截、扩散等作用将粉尘从气体中</w:t>
            </w:r>
            <w:r>
              <w:rPr>
                <w:rFonts w:hint="eastAsia" w:eastAsia="仿宋" w:cs="Times New Roman"/>
                <w:bCs/>
                <w:color w:val="0000FF"/>
                <w:sz w:val="24"/>
                <w:highlight w:val="none"/>
                <w:lang w:val="en-US" w:eastAsia="zh-CN"/>
              </w:rPr>
              <w:t>分离出来。而湿式除尘器则通过水膜的黏附和旋转水流的冲刷来去除粉尘颗粒物。处理效率保守估计以80%计。</w:t>
            </w:r>
          </w:p>
          <w:p w14:paraId="17BA1D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仿宋" w:cs="Times New Roman"/>
                <w:bCs/>
                <w:color w:val="0000FF"/>
                <w:sz w:val="24"/>
                <w:highlight w:val="none"/>
                <w:lang w:val="en-US" w:eastAsia="zh-CN"/>
              </w:rPr>
            </w:pPr>
            <w:r>
              <w:rPr>
                <w:rFonts w:hint="eastAsia" w:eastAsia="仿宋" w:cs="Times New Roman"/>
                <w:bCs/>
                <w:color w:val="0000FF"/>
                <w:sz w:val="24"/>
                <w:highlight w:val="none"/>
                <w:lang w:val="en-US" w:eastAsia="zh-CN"/>
              </w:rPr>
              <w:t>④废气处理设施技术可行性分析</w:t>
            </w:r>
          </w:p>
          <w:p w14:paraId="297A9D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FF"/>
                <w:sz w:val="24"/>
                <w:highlight w:val="none"/>
              </w:rPr>
            </w:pPr>
            <w:r>
              <w:rPr>
                <w:rFonts w:hint="default" w:ascii="Times New Roman" w:hAnsi="Times New Roman" w:eastAsia="仿宋" w:cs="Times New Roman"/>
                <w:color w:val="0000FF"/>
                <w:sz w:val="24"/>
                <w:highlight w:val="none"/>
              </w:rPr>
              <w:t>本项目参考《排污许可证申请与核发技术规范  橡胶和塑料制品工业》（HJ1122-2020）</w:t>
            </w:r>
            <w:r>
              <w:rPr>
                <w:rFonts w:hint="eastAsia" w:eastAsia="仿宋" w:cs="Times New Roman"/>
                <w:color w:val="0000FF"/>
                <w:sz w:val="24"/>
                <w:highlight w:val="none"/>
                <w:lang w:eastAsia="zh-CN"/>
              </w:rPr>
              <w:t>、</w:t>
            </w:r>
            <w:r>
              <w:rPr>
                <w:rFonts w:hint="default" w:ascii="Times New Roman" w:hAnsi="Times New Roman" w:eastAsia="仿宋" w:cs="Times New Roman"/>
                <w:color w:val="0000FF"/>
                <w:sz w:val="24"/>
                <w:highlight w:val="none"/>
              </w:rPr>
              <w:t xml:space="preserve">《排污许可证申请与核发技术规范  </w:t>
            </w:r>
            <w:r>
              <w:rPr>
                <w:rFonts w:hint="eastAsia" w:eastAsia="仿宋" w:cs="Times New Roman"/>
                <w:color w:val="0000FF"/>
                <w:sz w:val="24"/>
                <w:highlight w:val="none"/>
                <w:lang w:val="en-US" w:eastAsia="zh-CN"/>
              </w:rPr>
              <w:t>总则</w:t>
            </w:r>
            <w:r>
              <w:rPr>
                <w:rFonts w:hint="default" w:ascii="Times New Roman" w:hAnsi="Times New Roman" w:eastAsia="仿宋" w:cs="Times New Roman"/>
                <w:color w:val="0000FF"/>
                <w:sz w:val="24"/>
                <w:highlight w:val="none"/>
              </w:rPr>
              <w:t>》（HJ942</w:t>
            </w:r>
            <w:r>
              <w:rPr>
                <w:rFonts w:hint="eastAsia" w:eastAsia="仿宋" w:cs="Times New Roman"/>
                <w:color w:val="0000FF"/>
                <w:sz w:val="24"/>
                <w:highlight w:val="none"/>
                <w:lang w:val="en-US" w:eastAsia="zh-CN"/>
              </w:rPr>
              <w:t>-</w:t>
            </w:r>
            <w:r>
              <w:rPr>
                <w:rFonts w:hint="default" w:ascii="Times New Roman" w:hAnsi="Times New Roman" w:eastAsia="仿宋" w:cs="Times New Roman"/>
                <w:color w:val="0000FF"/>
                <w:sz w:val="24"/>
                <w:highlight w:val="none"/>
              </w:rPr>
              <w:t>2018）</w:t>
            </w:r>
            <w:r>
              <w:rPr>
                <w:rFonts w:hint="eastAsia" w:eastAsia="仿宋" w:cs="Times New Roman"/>
                <w:color w:val="0000FF"/>
                <w:sz w:val="24"/>
                <w:highlight w:val="none"/>
                <w:lang w:val="en-US" w:eastAsia="zh-CN"/>
              </w:rPr>
              <w:t>进行对照，本项目配套的污染防治设施均</w:t>
            </w:r>
            <w:r>
              <w:rPr>
                <w:rFonts w:hint="default" w:ascii="Times New Roman" w:hAnsi="Times New Roman" w:eastAsia="仿宋" w:cs="Times New Roman"/>
                <w:color w:val="0000FF"/>
                <w:sz w:val="24"/>
                <w:highlight w:val="none"/>
              </w:rPr>
              <w:t>属于可行技术。</w:t>
            </w:r>
          </w:p>
          <w:p w14:paraId="59292280">
            <w:pPr>
              <w:adjustRightInd w:val="0"/>
              <w:snapToGrid w:val="0"/>
              <w:jc w:val="center"/>
              <w:rPr>
                <w:rFonts w:hint="default" w:ascii="Times New Roman" w:hAnsi="Times New Roman" w:eastAsia="仿宋" w:cs="Times New Roman"/>
                <w:b/>
                <w:color w:val="0000FF"/>
                <w:sz w:val="24"/>
                <w:highlight w:val="none"/>
              </w:rPr>
            </w:pPr>
            <w:r>
              <w:rPr>
                <w:rFonts w:hint="default" w:ascii="Times New Roman" w:hAnsi="Times New Roman" w:eastAsia="仿宋" w:cs="Times New Roman"/>
                <w:b/>
                <w:color w:val="0000FF"/>
                <w:sz w:val="24"/>
                <w:highlight w:val="none"/>
              </w:rPr>
              <w:t>表4-</w:t>
            </w:r>
            <w:r>
              <w:rPr>
                <w:rFonts w:hint="eastAsia" w:eastAsia="仿宋" w:cs="Times New Roman"/>
                <w:b/>
                <w:color w:val="0000FF"/>
                <w:sz w:val="24"/>
                <w:highlight w:val="none"/>
                <w:lang w:val="en-US" w:eastAsia="zh-CN"/>
              </w:rPr>
              <w:t>6</w:t>
            </w:r>
            <w:r>
              <w:rPr>
                <w:rFonts w:hint="default" w:ascii="Times New Roman" w:hAnsi="Times New Roman" w:eastAsia="仿宋" w:cs="Times New Roman"/>
                <w:b/>
                <w:color w:val="0000FF"/>
                <w:sz w:val="24"/>
                <w:highlight w:val="none"/>
              </w:rPr>
              <w:t xml:space="preserve">  废气污染治理推荐可行技术清单</w:t>
            </w:r>
          </w:p>
          <w:tbl>
            <w:tblPr>
              <w:tblStyle w:val="30"/>
              <w:tblW w:w="848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0"/>
              <w:gridCol w:w="942"/>
              <w:gridCol w:w="2795"/>
              <w:gridCol w:w="1328"/>
              <w:gridCol w:w="1199"/>
            </w:tblGrid>
            <w:tr w14:paraId="6C5DA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957" w:type="dxa"/>
                  <w:gridSpan w:val="3"/>
                  <w:vAlign w:val="center"/>
                </w:tcPr>
                <w:p w14:paraId="518089F2">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《排污许可证申请与核发技术规范 橡胶和塑料制品工业》（HJ1122-2020）</w:t>
                  </w:r>
                </w:p>
              </w:tc>
              <w:tc>
                <w:tcPr>
                  <w:tcW w:w="1328" w:type="dxa"/>
                  <w:vMerge w:val="restart"/>
                  <w:vAlign w:val="center"/>
                </w:tcPr>
                <w:p w14:paraId="3ECC1FE5">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实际污染防治措施</w:t>
                  </w:r>
                </w:p>
              </w:tc>
              <w:tc>
                <w:tcPr>
                  <w:tcW w:w="1199" w:type="dxa"/>
                  <w:vMerge w:val="restart"/>
                  <w:vAlign w:val="center"/>
                </w:tcPr>
                <w:p w14:paraId="4C713551">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是否是可行技术</w:t>
                  </w:r>
                </w:p>
              </w:tc>
            </w:tr>
            <w:tr w14:paraId="47CFE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220" w:type="dxa"/>
                  <w:vAlign w:val="center"/>
                </w:tcPr>
                <w:p w14:paraId="19183B24">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产排</w:t>
                  </w:r>
                  <w:r>
                    <w:rPr>
                      <w:rFonts w:hint="default" w:ascii="Times New Roman" w:hAnsi="Times New Roman" w:eastAsia="仿宋" w:cs="Times New Roman"/>
                      <w:b/>
                      <w:color w:val="0000FF"/>
                      <w:szCs w:val="21"/>
                      <w:highlight w:val="none"/>
                      <w:lang w:val="en-US" w:eastAsia="zh-CN"/>
                    </w:rPr>
                    <w:t>污</w:t>
                  </w:r>
                  <w:r>
                    <w:rPr>
                      <w:rFonts w:hint="default" w:ascii="Times New Roman" w:hAnsi="Times New Roman" w:eastAsia="仿宋" w:cs="Times New Roman"/>
                      <w:b/>
                      <w:color w:val="0000FF"/>
                      <w:szCs w:val="21"/>
                      <w:highlight w:val="none"/>
                    </w:rPr>
                    <w:t>环节</w:t>
                  </w:r>
                </w:p>
              </w:tc>
              <w:tc>
                <w:tcPr>
                  <w:tcW w:w="942" w:type="dxa"/>
                  <w:vAlign w:val="center"/>
                </w:tcPr>
                <w:p w14:paraId="79010978">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污染物项目</w:t>
                  </w:r>
                </w:p>
              </w:tc>
              <w:tc>
                <w:tcPr>
                  <w:tcW w:w="2795" w:type="dxa"/>
                  <w:vAlign w:val="center"/>
                </w:tcPr>
                <w:p w14:paraId="02AB93CA">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污染防治可行技术</w:t>
                  </w:r>
                </w:p>
              </w:tc>
              <w:tc>
                <w:tcPr>
                  <w:tcW w:w="1328" w:type="dxa"/>
                  <w:vMerge w:val="continue"/>
                  <w:vAlign w:val="center"/>
                </w:tcPr>
                <w:p w14:paraId="65682987">
                  <w:pPr>
                    <w:adjustRightInd w:val="0"/>
                    <w:snapToGrid w:val="0"/>
                    <w:jc w:val="center"/>
                    <w:rPr>
                      <w:rFonts w:hint="default" w:ascii="Times New Roman" w:hAnsi="Times New Roman" w:eastAsia="仿宋" w:cs="Times New Roman"/>
                      <w:b/>
                      <w:color w:val="0000FF"/>
                      <w:szCs w:val="21"/>
                      <w:highlight w:val="none"/>
                    </w:rPr>
                  </w:pPr>
                </w:p>
              </w:tc>
              <w:tc>
                <w:tcPr>
                  <w:tcW w:w="1199" w:type="dxa"/>
                  <w:vMerge w:val="continue"/>
                  <w:vAlign w:val="center"/>
                </w:tcPr>
                <w:p w14:paraId="06F5AF42">
                  <w:pPr>
                    <w:adjustRightInd w:val="0"/>
                    <w:snapToGrid w:val="0"/>
                    <w:jc w:val="center"/>
                    <w:rPr>
                      <w:rFonts w:hint="default" w:ascii="Times New Roman" w:hAnsi="Times New Roman" w:eastAsia="仿宋" w:cs="Times New Roman"/>
                      <w:b/>
                      <w:color w:val="0000FF"/>
                      <w:szCs w:val="21"/>
                      <w:highlight w:val="none"/>
                    </w:rPr>
                  </w:pPr>
                </w:p>
              </w:tc>
            </w:tr>
            <w:tr w14:paraId="5C0A6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20" w:type="dxa"/>
                  <w:vAlign w:val="center"/>
                </w:tcPr>
                <w:p w14:paraId="0DB35F9A">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塑料零件及其他塑料制品制造</w:t>
                  </w:r>
                </w:p>
              </w:tc>
              <w:tc>
                <w:tcPr>
                  <w:tcW w:w="942" w:type="dxa"/>
                  <w:vAlign w:val="center"/>
                </w:tcPr>
                <w:p w14:paraId="50E87C26">
                  <w:pPr>
                    <w:adjustRightInd w:val="0"/>
                    <w:snapToGrid w:val="0"/>
                    <w:jc w:val="center"/>
                    <w:rPr>
                      <w:rFonts w:hint="default" w:ascii="Times New Roman" w:hAnsi="Times New Roman" w:eastAsia="仿宋" w:cs="Times New Roman"/>
                      <w:color w:val="0000FF"/>
                      <w:szCs w:val="21"/>
                      <w:highlight w:val="none"/>
                      <w:lang w:val="en-US" w:eastAsia="zh-CN"/>
                    </w:rPr>
                  </w:pPr>
                  <w:r>
                    <w:rPr>
                      <w:rFonts w:hint="default" w:ascii="Times New Roman" w:hAnsi="Times New Roman" w:eastAsia="仿宋" w:cs="Times New Roman"/>
                      <w:color w:val="0000FF"/>
                      <w:szCs w:val="21"/>
                      <w:highlight w:val="none"/>
                    </w:rPr>
                    <w:t>非甲烷总烃</w:t>
                  </w:r>
                </w:p>
              </w:tc>
              <w:tc>
                <w:tcPr>
                  <w:tcW w:w="2795" w:type="dxa"/>
                  <w:vAlign w:val="center"/>
                </w:tcPr>
                <w:p w14:paraId="1720B0F2">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喷淋、吸附、吸附浓缩+热力燃烧/催化燃烧</w:t>
                  </w:r>
                </w:p>
              </w:tc>
              <w:tc>
                <w:tcPr>
                  <w:tcW w:w="1328" w:type="dxa"/>
                  <w:vAlign w:val="center"/>
                </w:tcPr>
                <w:p w14:paraId="4B1A198A">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lang w:eastAsia="zh-CN"/>
                    </w:rPr>
                    <w:t>两级活性炭</w:t>
                  </w:r>
                  <w:r>
                    <w:rPr>
                      <w:rFonts w:hint="default" w:ascii="Times New Roman" w:hAnsi="Times New Roman" w:eastAsia="仿宋" w:cs="Times New Roman"/>
                      <w:color w:val="0000FF"/>
                      <w:szCs w:val="21"/>
                      <w:highlight w:val="none"/>
                    </w:rPr>
                    <w:t>吸附</w:t>
                  </w:r>
                </w:p>
              </w:tc>
              <w:tc>
                <w:tcPr>
                  <w:tcW w:w="1199" w:type="dxa"/>
                  <w:vAlign w:val="center"/>
                </w:tcPr>
                <w:p w14:paraId="1FC13B31">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是</w:t>
                  </w:r>
                </w:p>
              </w:tc>
            </w:tr>
            <w:tr w14:paraId="7AB80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57" w:type="dxa"/>
                  <w:gridSpan w:val="3"/>
                  <w:shd w:val="clear" w:color="auto" w:fill="auto"/>
                  <w:vAlign w:val="center"/>
                </w:tcPr>
                <w:p w14:paraId="45061F01">
                  <w:pPr>
                    <w:adjustRightInd w:val="0"/>
                    <w:snapToGrid w:val="0"/>
                    <w:jc w:val="center"/>
                    <w:rPr>
                      <w:rFonts w:hint="default" w:ascii="Times New Roman" w:hAnsi="Times New Roman" w:eastAsia="仿宋" w:cs="Times New Roman"/>
                      <w:b/>
                      <w:color w:val="0000FF"/>
                      <w:kern w:val="2"/>
                      <w:sz w:val="21"/>
                      <w:szCs w:val="21"/>
                      <w:highlight w:val="none"/>
                      <w:lang w:val="en-US" w:eastAsia="zh-CN" w:bidi="ar-SA"/>
                    </w:rPr>
                  </w:pPr>
                  <w:r>
                    <w:rPr>
                      <w:rFonts w:hint="default" w:ascii="Times New Roman" w:hAnsi="Times New Roman" w:eastAsia="仿宋" w:cs="Times New Roman"/>
                      <w:b/>
                      <w:color w:val="0000FF"/>
                      <w:kern w:val="2"/>
                      <w:sz w:val="21"/>
                      <w:szCs w:val="21"/>
                      <w:highlight w:val="none"/>
                      <w:lang w:val="en-US" w:eastAsia="zh-CN" w:bidi="ar-SA"/>
                    </w:rPr>
                    <w:t>《排污许可证申请与核发技术规范  总则》（HJ942-2018）</w:t>
                  </w:r>
                </w:p>
              </w:tc>
              <w:tc>
                <w:tcPr>
                  <w:tcW w:w="1328" w:type="dxa"/>
                  <w:vMerge w:val="restart"/>
                  <w:vAlign w:val="center"/>
                </w:tcPr>
                <w:p w14:paraId="4A9932DF">
                  <w:pPr>
                    <w:adjustRightInd w:val="0"/>
                    <w:snapToGrid w:val="0"/>
                    <w:jc w:val="center"/>
                    <w:rPr>
                      <w:rFonts w:hint="default" w:ascii="Times New Roman" w:hAnsi="Times New Roman" w:eastAsia="仿宋" w:cs="Times New Roman"/>
                      <w:color w:val="0000FF"/>
                      <w:szCs w:val="21"/>
                      <w:highlight w:val="none"/>
                      <w:lang w:eastAsia="zh-CN"/>
                    </w:rPr>
                  </w:pPr>
                  <w:r>
                    <w:rPr>
                      <w:rFonts w:hint="default" w:ascii="Times New Roman" w:hAnsi="Times New Roman" w:eastAsia="仿宋" w:cs="Times New Roman"/>
                      <w:b/>
                      <w:color w:val="0000FF"/>
                      <w:szCs w:val="21"/>
                      <w:highlight w:val="none"/>
                    </w:rPr>
                    <w:t>实际污染防治措施</w:t>
                  </w:r>
                </w:p>
              </w:tc>
              <w:tc>
                <w:tcPr>
                  <w:tcW w:w="1199" w:type="dxa"/>
                  <w:vMerge w:val="restart"/>
                  <w:vAlign w:val="center"/>
                </w:tcPr>
                <w:p w14:paraId="272F28EF">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b/>
                      <w:color w:val="0000FF"/>
                      <w:szCs w:val="21"/>
                      <w:highlight w:val="none"/>
                    </w:rPr>
                    <w:t>是否是可行技术</w:t>
                  </w:r>
                </w:p>
              </w:tc>
            </w:tr>
            <w:tr w14:paraId="54650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20" w:type="dxa"/>
                  <w:shd w:val="clear" w:color="auto" w:fill="auto"/>
                  <w:vAlign w:val="center"/>
                </w:tcPr>
                <w:p w14:paraId="54D848D6">
                  <w:pPr>
                    <w:adjustRightInd w:val="0"/>
                    <w:snapToGrid w:val="0"/>
                    <w:jc w:val="center"/>
                    <w:rPr>
                      <w:rFonts w:hint="default" w:ascii="Times New Roman" w:hAnsi="Times New Roman" w:eastAsia="仿宋" w:cs="Times New Roman"/>
                      <w:color w:val="0000FF"/>
                      <w:szCs w:val="21"/>
                      <w:highlight w:val="none"/>
                      <w:lang w:val="en-US" w:eastAsia="zh-CN"/>
                    </w:rPr>
                  </w:pPr>
                  <w:r>
                    <w:rPr>
                      <w:rFonts w:hint="default" w:ascii="Times New Roman" w:hAnsi="Times New Roman" w:eastAsia="仿宋" w:cs="Times New Roman"/>
                      <w:b/>
                      <w:color w:val="0000FF"/>
                      <w:szCs w:val="21"/>
                      <w:highlight w:val="none"/>
                    </w:rPr>
                    <w:t>产排</w:t>
                  </w:r>
                  <w:r>
                    <w:rPr>
                      <w:rFonts w:hint="default" w:ascii="Times New Roman" w:hAnsi="Times New Roman" w:eastAsia="仿宋" w:cs="Times New Roman"/>
                      <w:b/>
                      <w:color w:val="0000FF"/>
                      <w:szCs w:val="21"/>
                      <w:highlight w:val="none"/>
                      <w:lang w:val="en-US" w:eastAsia="zh-CN"/>
                    </w:rPr>
                    <w:t>污</w:t>
                  </w:r>
                  <w:r>
                    <w:rPr>
                      <w:rFonts w:hint="default" w:ascii="Times New Roman" w:hAnsi="Times New Roman" w:eastAsia="仿宋" w:cs="Times New Roman"/>
                      <w:b/>
                      <w:color w:val="0000FF"/>
                      <w:szCs w:val="21"/>
                      <w:highlight w:val="none"/>
                    </w:rPr>
                    <w:t>环节</w:t>
                  </w:r>
                </w:p>
              </w:tc>
              <w:tc>
                <w:tcPr>
                  <w:tcW w:w="942" w:type="dxa"/>
                  <w:shd w:val="clear" w:color="auto" w:fill="auto"/>
                  <w:vAlign w:val="center"/>
                </w:tcPr>
                <w:p w14:paraId="15FD2AB4">
                  <w:pPr>
                    <w:adjustRightInd w:val="0"/>
                    <w:snapToGrid w:val="0"/>
                    <w:jc w:val="center"/>
                    <w:rPr>
                      <w:rFonts w:hint="default" w:ascii="Times New Roman" w:hAnsi="Times New Roman" w:eastAsia="仿宋" w:cs="Times New Roman"/>
                      <w:color w:val="0000FF"/>
                      <w:szCs w:val="21"/>
                      <w:highlight w:val="none"/>
                      <w:lang w:val="en-US" w:eastAsia="zh-CN"/>
                    </w:rPr>
                  </w:pPr>
                  <w:r>
                    <w:rPr>
                      <w:rFonts w:hint="default" w:ascii="Times New Roman" w:hAnsi="Times New Roman" w:eastAsia="仿宋" w:cs="Times New Roman"/>
                      <w:b/>
                      <w:color w:val="0000FF"/>
                      <w:szCs w:val="21"/>
                      <w:highlight w:val="none"/>
                    </w:rPr>
                    <w:t>污染物项目</w:t>
                  </w:r>
                </w:p>
              </w:tc>
              <w:tc>
                <w:tcPr>
                  <w:tcW w:w="2795" w:type="dxa"/>
                  <w:shd w:val="clear" w:color="auto" w:fill="auto"/>
                  <w:vAlign w:val="center"/>
                </w:tcPr>
                <w:p w14:paraId="6FC98857">
                  <w:pPr>
                    <w:adjustRightInd w:val="0"/>
                    <w:snapToGrid w:val="0"/>
                    <w:jc w:val="center"/>
                    <w:rPr>
                      <w:rFonts w:hint="default" w:ascii="Times New Roman" w:hAnsi="Times New Roman" w:eastAsia="仿宋" w:cs="Times New Roman"/>
                      <w:color w:val="0000FF"/>
                      <w:szCs w:val="21"/>
                      <w:highlight w:val="none"/>
                      <w:lang w:val="en-US" w:eastAsia="zh-CN"/>
                    </w:rPr>
                  </w:pPr>
                  <w:r>
                    <w:rPr>
                      <w:rFonts w:hint="default" w:ascii="Times New Roman" w:hAnsi="Times New Roman" w:eastAsia="仿宋" w:cs="Times New Roman"/>
                      <w:b/>
                      <w:color w:val="0000FF"/>
                      <w:szCs w:val="21"/>
                      <w:highlight w:val="none"/>
                    </w:rPr>
                    <w:t>污染防治可行技术</w:t>
                  </w:r>
                </w:p>
              </w:tc>
              <w:tc>
                <w:tcPr>
                  <w:tcW w:w="1328" w:type="dxa"/>
                  <w:vMerge w:val="continue"/>
                  <w:vAlign w:val="center"/>
                </w:tcPr>
                <w:p w14:paraId="39005C30">
                  <w:pPr>
                    <w:adjustRightInd w:val="0"/>
                    <w:snapToGrid w:val="0"/>
                    <w:jc w:val="center"/>
                    <w:rPr>
                      <w:rFonts w:hint="default" w:ascii="Times New Roman" w:hAnsi="Times New Roman" w:eastAsia="仿宋" w:cs="Times New Roman"/>
                      <w:color w:val="0000FF"/>
                      <w:szCs w:val="21"/>
                      <w:highlight w:val="none"/>
                      <w:lang w:eastAsia="zh-CN"/>
                    </w:rPr>
                  </w:pPr>
                </w:p>
              </w:tc>
              <w:tc>
                <w:tcPr>
                  <w:tcW w:w="1199" w:type="dxa"/>
                  <w:vMerge w:val="continue"/>
                  <w:vAlign w:val="center"/>
                </w:tcPr>
                <w:p w14:paraId="2DFC2D77">
                  <w:pPr>
                    <w:adjustRightInd w:val="0"/>
                    <w:snapToGrid w:val="0"/>
                    <w:jc w:val="center"/>
                    <w:rPr>
                      <w:rFonts w:hint="default" w:ascii="Times New Roman" w:hAnsi="Times New Roman" w:eastAsia="仿宋" w:cs="Times New Roman"/>
                      <w:color w:val="0000FF"/>
                      <w:szCs w:val="21"/>
                      <w:highlight w:val="none"/>
                    </w:rPr>
                  </w:pPr>
                </w:p>
              </w:tc>
            </w:tr>
            <w:tr w14:paraId="7EEB4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20" w:type="dxa"/>
                  <w:shd w:val="clear" w:color="auto" w:fill="auto"/>
                  <w:vAlign w:val="center"/>
                </w:tcPr>
                <w:p w14:paraId="74517F0E">
                  <w:pPr>
                    <w:adjustRightInd w:val="0"/>
                    <w:snapToGrid w:val="0"/>
                    <w:jc w:val="center"/>
                    <w:rPr>
                      <w:rFonts w:hint="eastAsia" w:ascii="Times New Roman" w:hAnsi="Times New Roman" w:eastAsia="仿宋" w:cs="Times New Roman"/>
                      <w:b/>
                      <w:color w:val="0000FF"/>
                      <w:szCs w:val="21"/>
                      <w:highlight w:val="none"/>
                      <w:lang w:eastAsia="zh-CN"/>
                    </w:rPr>
                  </w:pPr>
                  <w:r>
                    <w:rPr>
                      <w:rFonts w:hint="eastAsia" w:eastAsia="仿宋" w:cs="Times New Roman"/>
                      <w:color w:val="0000FF"/>
                      <w:szCs w:val="21"/>
                      <w:highlight w:val="none"/>
                      <w:lang w:val="en-US" w:eastAsia="zh-CN"/>
                    </w:rPr>
                    <w:t>/</w:t>
                  </w:r>
                </w:p>
              </w:tc>
              <w:tc>
                <w:tcPr>
                  <w:tcW w:w="942" w:type="dxa"/>
                  <w:shd w:val="clear" w:color="auto" w:fill="auto"/>
                  <w:vAlign w:val="center"/>
                </w:tcPr>
                <w:p w14:paraId="5CEECE1A">
                  <w:pPr>
                    <w:adjustRightInd w:val="0"/>
                    <w:snapToGrid w:val="0"/>
                    <w:jc w:val="center"/>
                    <w:rPr>
                      <w:rFonts w:hint="eastAsia" w:ascii="Times New Roman" w:hAnsi="Times New Roman" w:eastAsia="仿宋" w:cs="Times New Roman"/>
                      <w:b/>
                      <w:color w:val="0000FF"/>
                      <w:szCs w:val="21"/>
                      <w:highlight w:val="none"/>
                      <w:lang w:eastAsia="zh-CN"/>
                    </w:rPr>
                  </w:pPr>
                  <w:r>
                    <w:rPr>
                      <w:rFonts w:hint="eastAsia" w:eastAsia="仿宋" w:cs="Times New Roman"/>
                      <w:color w:val="0000FF"/>
                      <w:szCs w:val="21"/>
                      <w:highlight w:val="none"/>
                      <w:lang w:val="en-US" w:eastAsia="zh-CN"/>
                    </w:rPr>
                    <w:t>颗粒物</w:t>
                  </w:r>
                </w:p>
              </w:tc>
              <w:tc>
                <w:tcPr>
                  <w:tcW w:w="2795" w:type="dxa"/>
                  <w:shd w:val="clear" w:color="auto" w:fill="auto"/>
                  <w:vAlign w:val="center"/>
                </w:tcPr>
                <w:p w14:paraId="616442AD">
                  <w:pPr>
                    <w:adjustRightInd w:val="0"/>
                    <w:snapToGrid w:val="0"/>
                    <w:jc w:val="center"/>
                    <w:rPr>
                      <w:rFonts w:hint="default" w:ascii="Times New Roman" w:hAnsi="Times New Roman" w:eastAsia="仿宋" w:cs="Times New Roman"/>
                      <w:b/>
                      <w:color w:val="0000FF"/>
                      <w:szCs w:val="21"/>
                      <w:highlight w:val="none"/>
                    </w:rPr>
                  </w:pPr>
                  <w:r>
                    <w:rPr>
                      <w:rFonts w:hint="default" w:eastAsia="仿宋" w:cs="Times New Roman"/>
                      <w:color w:val="0000FF"/>
                      <w:szCs w:val="21"/>
                      <w:highlight w:val="none"/>
                      <w:lang w:val="en-US" w:eastAsia="zh-CN"/>
                    </w:rPr>
                    <w:t>袋式除尘器、电除尘器、电袋复合除尘器、其他</w:t>
                  </w:r>
                </w:p>
              </w:tc>
              <w:tc>
                <w:tcPr>
                  <w:tcW w:w="1328" w:type="dxa"/>
                  <w:vAlign w:val="center"/>
                </w:tcPr>
                <w:p w14:paraId="4FD6B317">
                  <w:pPr>
                    <w:adjustRightInd w:val="0"/>
                    <w:snapToGrid w:val="0"/>
                    <w:jc w:val="center"/>
                    <w:rPr>
                      <w:rFonts w:hint="default" w:ascii="Times New Roman" w:hAnsi="Times New Roman" w:eastAsia="仿宋" w:cs="Times New Roman"/>
                      <w:color w:val="0000FF"/>
                      <w:szCs w:val="21"/>
                      <w:highlight w:val="none"/>
                      <w:lang w:val="en-US" w:eastAsia="zh-CN"/>
                    </w:rPr>
                  </w:pPr>
                  <w:r>
                    <w:rPr>
                      <w:rFonts w:hint="eastAsia" w:eastAsia="仿宋" w:cs="Times New Roman"/>
                      <w:color w:val="0000FF"/>
                      <w:szCs w:val="21"/>
                      <w:highlight w:val="none"/>
                      <w:lang w:val="en-US" w:eastAsia="zh-CN"/>
                    </w:rPr>
                    <w:t>袋式除尘装置、水旋除尘器</w:t>
                  </w:r>
                </w:p>
              </w:tc>
              <w:tc>
                <w:tcPr>
                  <w:tcW w:w="1199" w:type="dxa"/>
                  <w:vAlign w:val="center"/>
                </w:tcPr>
                <w:p w14:paraId="7684A5A9">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是</w:t>
                  </w:r>
                </w:p>
              </w:tc>
            </w:tr>
          </w:tbl>
          <w:p w14:paraId="5571608B">
            <w:pPr>
              <w:keepNext w:val="0"/>
              <w:keepLines w:val="0"/>
              <w:pageBreakBefore w:val="0"/>
              <w:widowControl w:val="0"/>
              <w:kinsoku/>
              <w:wordWrap/>
              <w:overflowPunct/>
              <w:topLinePunct w:val="0"/>
              <w:autoSpaceDE/>
              <w:autoSpaceDN/>
              <w:bidi w:val="0"/>
              <w:adjustRightInd w:val="0"/>
              <w:snapToGrid w:val="0"/>
              <w:spacing w:line="240" w:lineRule="auto"/>
              <w:ind w:firstLine="200" w:firstLineChars="200"/>
              <w:textAlignment w:val="auto"/>
              <w:rPr>
                <w:rFonts w:hint="default" w:ascii="Times New Roman" w:hAnsi="Times New Roman" w:eastAsia="仿宋" w:cs="Times New Roman"/>
                <w:color w:val="0000FF"/>
                <w:sz w:val="10"/>
                <w:szCs w:val="10"/>
                <w:highlight w:val="none"/>
              </w:rPr>
            </w:pPr>
          </w:p>
          <w:p w14:paraId="7E3F7D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0000FF"/>
                <w:sz w:val="24"/>
                <w:highlight w:val="none"/>
              </w:rPr>
            </w:pPr>
            <w:r>
              <w:rPr>
                <w:rFonts w:hint="default" w:ascii="Times New Roman" w:hAnsi="Times New Roman" w:eastAsia="仿宋" w:cs="Times New Roman"/>
                <w:color w:val="0000FF"/>
                <w:sz w:val="24"/>
                <w:highlight w:val="none"/>
              </w:rPr>
              <w:t>综上所述，本项目废气污染防治措施可行。</w:t>
            </w:r>
          </w:p>
          <w:p w14:paraId="533BAD2D">
            <w:pPr>
              <w:adjustRightInd w:val="0"/>
              <w:snapToGrid w:val="0"/>
              <w:spacing w:line="360" w:lineRule="auto"/>
              <w:ind w:firstLine="480" w:firstLineChars="200"/>
              <w:rPr>
                <w:rFonts w:hint="default" w:ascii="Times New Roman" w:hAnsi="Times New Roman" w:eastAsia="仿宋" w:cs="Times New Roman"/>
                <w:bCs/>
                <w:color w:val="0000FF"/>
                <w:sz w:val="24"/>
                <w:highlight w:val="none"/>
              </w:rPr>
            </w:pPr>
            <w:r>
              <w:rPr>
                <w:rFonts w:hint="eastAsia" w:eastAsia="仿宋" w:cs="Times New Roman"/>
                <w:bCs/>
                <w:color w:val="0000FF"/>
                <w:sz w:val="24"/>
                <w:highlight w:val="none"/>
                <w:lang w:val="en-US" w:eastAsia="zh-CN"/>
              </w:rPr>
              <w:t>⑤</w:t>
            </w:r>
            <w:r>
              <w:rPr>
                <w:rFonts w:hint="default" w:ascii="Times New Roman" w:hAnsi="Times New Roman" w:eastAsia="仿宋" w:cs="Times New Roman"/>
                <w:bCs/>
                <w:color w:val="0000FF"/>
                <w:sz w:val="24"/>
                <w:highlight w:val="none"/>
              </w:rPr>
              <w:t>排气筒设置合理性分析</w:t>
            </w:r>
          </w:p>
          <w:p w14:paraId="73BE1045">
            <w:pPr>
              <w:adjustRightInd w:val="0"/>
              <w:snapToGrid w:val="0"/>
              <w:jc w:val="center"/>
              <w:rPr>
                <w:rFonts w:hint="default" w:ascii="Times New Roman" w:hAnsi="Times New Roman" w:eastAsia="仿宋" w:cs="Times New Roman"/>
                <w:b/>
                <w:bCs/>
                <w:color w:val="0000FF"/>
                <w:sz w:val="24"/>
                <w:highlight w:val="none"/>
                <w:lang w:bidi="ar"/>
              </w:rPr>
            </w:pPr>
            <w:r>
              <w:rPr>
                <w:rFonts w:hint="default" w:ascii="Times New Roman" w:hAnsi="Times New Roman" w:eastAsia="仿宋" w:cs="Times New Roman"/>
                <w:b/>
                <w:bCs/>
                <w:color w:val="0000FF"/>
                <w:sz w:val="24"/>
                <w:highlight w:val="none"/>
                <w:lang w:bidi="ar"/>
              </w:rPr>
              <w:t>表4-</w:t>
            </w:r>
            <w:r>
              <w:rPr>
                <w:rFonts w:hint="eastAsia" w:eastAsia="仿宋" w:cs="Times New Roman"/>
                <w:b/>
                <w:bCs/>
                <w:color w:val="0000FF"/>
                <w:sz w:val="24"/>
                <w:highlight w:val="none"/>
                <w:lang w:val="en-US" w:eastAsia="zh-CN" w:bidi="ar"/>
              </w:rPr>
              <w:t>8</w:t>
            </w:r>
            <w:r>
              <w:rPr>
                <w:rFonts w:hint="default" w:ascii="Times New Roman" w:hAnsi="Times New Roman" w:eastAsia="仿宋" w:cs="Times New Roman"/>
                <w:b/>
                <w:bCs/>
                <w:color w:val="0000FF"/>
                <w:sz w:val="24"/>
                <w:highlight w:val="none"/>
                <w:lang w:bidi="ar"/>
              </w:rPr>
              <w:t xml:space="preserve">  本项目排气筒设施情况</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8"/>
              <w:gridCol w:w="2295"/>
              <w:gridCol w:w="1309"/>
              <w:gridCol w:w="1892"/>
              <w:gridCol w:w="1976"/>
            </w:tblGrid>
            <w:tr w14:paraId="088EF2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9" w:type="pct"/>
                  <w:noWrap w:val="0"/>
                  <w:vAlign w:val="center"/>
                </w:tcPr>
                <w:p w14:paraId="27DD6556">
                  <w:pPr>
                    <w:jc w:val="center"/>
                    <w:rPr>
                      <w:rFonts w:hint="default" w:ascii="Times New Roman" w:hAnsi="Times New Roman" w:eastAsia="仿宋" w:cs="Times New Roman"/>
                      <w:b/>
                      <w:bCs/>
                      <w:color w:val="0000FF"/>
                      <w:szCs w:val="21"/>
                      <w:highlight w:val="none"/>
                      <w:lang w:bidi="ar"/>
                    </w:rPr>
                  </w:pPr>
                  <w:r>
                    <w:rPr>
                      <w:rFonts w:hint="default" w:ascii="Times New Roman" w:hAnsi="Times New Roman" w:eastAsia="仿宋" w:cs="Times New Roman"/>
                      <w:b/>
                      <w:bCs/>
                      <w:color w:val="0000FF"/>
                      <w:szCs w:val="21"/>
                      <w:highlight w:val="none"/>
                      <w:lang w:bidi="ar"/>
                    </w:rPr>
                    <w:t>排气筒</w:t>
                  </w:r>
                </w:p>
              </w:tc>
              <w:tc>
                <w:tcPr>
                  <w:tcW w:w="1354" w:type="pct"/>
                  <w:noWrap w:val="0"/>
                  <w:vAlign w:val="center"/>
                </w:tcPr>
                <w:p w14:paraId="24361C05">
                  <w:pPr>
                    <w:jc w:val="center"/>
                    <w:rPr>
                      <w:rFonts w:hint="default" w:ascii="Times New Roman" w:hAnsi="Times New Roman" w:eastAsia="仿宋" w:cs="Times New Roman"/>
                      <w:b/>
                      <w:bCs/>
                      <w:color w:val="0000FF"/>
                      <w:szCs w:val="21"/>
                      <w:highlight w:val="none"/>
                      <w:lang w:bidi="ar"/>
                    </w:rPr>
                  </w:pPr>
                  <w:r>
                    <w:rPr>
                      <w:rFonts w:hint="default" w:ascii="Times New Roman" w:hAnsi="Times New Roman" w:eastAsia="仿宋" w:cs="Times New Roman"/>
                      <w:b/>
                      <w:bCs/>
                      <w:color w:val="0000FF"/>
                      <w:szCs w:val="21"/>
                      <w:highlight w:val="none"/>
                      <w:lang w:bidi="ar"/>
                    </w:rPr>
                    <w:t>工艺</w:t>
                  </w:r>
                </w:p>
              </w:tc>
              <w:tc>
                <w:tcPr>
                  <w:tcW w:w="772" w:type="pct"/>
                  <w:noWrap w:val="0"/>
                  <w:vAlign w:val="center"/>
                </w:tcPr>
                <w:p w14:paraId="2A09FF15">
                  <w:pPr>
                    <w:jc w:val="center"/>
                    <w:rPr>
                      <w:rFonts w:hint="default" w:ascii="Times New Roman" w:hAnsi="Times New Roman" w:eastAsia="仿宋" w:cs="Times New Roman"/>
                      <w:b/>
                      <w:bCs/>
                      <w:color w:val="0000FF"/>
                      <w:szCs w:val="21"/>
                      <w:highlight w:val="none"/>
                      <w:lang w:bidi="ar"/>
                    </w:rPr>
                  </w:pPr>
                  <w:r>
                    <w:rPr>
                      <w:rFonts w:hint="default" w:ascii="Times New Roman" w:hAnsi="Times New Roman" w:eastAsia="仿宋" w:cs="Times New Roman"/>
                      <w:b/>
                      <w:bCs/>
                      <w:color w:val="0000FF"/>
                      <w:szCs w:val="21"/>
                      <w:highlight w:val="none"/>
                      <w:lang w:bidi="ar"/>
                    </w:rPr>
                    <w:t>风量(m</w:t>
                  </w:r>
                  <w:r>
                    <w:rPr>
                      <w:rFonts w:hint="default" w:ascii="Times New Roman" w:hAnsi="Times New Roman" w:eastAsia="仿宋" w:cs="Times New Roman"/>
                      <w:b/>
                      <w:bCs/>
                      <w:color w:val="0000FF"/>
                      <w:szCs w:val="21"/>
                      <w:highlight w:val="none"/>
                      <w:vertAlign w:val="superscript"/>
                      <w:lang w:bidi="ar"/>
                    </w:rPr>
                    <w:t>3</w:t>
                  </w:r>
                  <w:r>
                    <w:rPr>
                      <w:rFonts w:hint="default" w:ascii="Times New Roman" w:hAnsi="Times New Roman" w:eastAsia="仿宋" w:cs="Times New Roman"/>
                      <w:b/>
                      <w:bCs/>
                      <w:color w:val="0000FF"/>
                      <w:szCs w:val="21"/>
                      <w:highlight w:val="none"/>
                      <w:lang w:bidi="ar"/>
                    </w:rPr>
                    <w:t>/h)</w:t>
                  </w:r>
                </w:p>
              </w:tc>
              <w:tc>
                <w:tcPr>
                  <w:tcW w:w="1116" w:type="pct"/>
                  <w:noWrap w:val="0"/>
                  <w:vAlign w:val="center"/>
                </w:tcPr>
                <w:p w14:paraId="2FFF9D89">
                  <w:pPr>
                    <w:jc w:val="center"/>
                    <w:rPr>
                      <w:rFonts w:hint="default" w:ascii="Times New Roman" w:hAnsi="Times New Roman" w:eastAsia="仿宋" w:cs="Times New Roman"/>
                      <w:b/>
                      <w:bCs/>
                      <w:color w:val="0000FF"/>
                      <w:szCs w:val="21"/>
                      <w:highlight w:val="none"/>
                      <w:lang w:bidi="ar"/>
                    </w:rPr>
                  </w:pPr>
                  <w:r>
                    <w:rPr>
                      <w:rFonts w:hint="default" w:ascii="Times New Roman" w:hAnsi="Times New Roman" w:eastAsia="仿宋" w:cs="Times New Roman"/>
                      <w:b/>
                      <w:bCs/>
                      <w:color w:val="0000FF"/>
                      <w:szCs w:val="21"/>
                      <w:highlight w:val="none"/>
                      <w:lang w:bidi="ar"/>
                    </w:rPr>
                    <w:t>排气筒内径（m）</w:t>
                  </w:r>
                </w:p>
              </w:tc>
              <w:tc>
                <w:tcPr>
                  <w:tcW w:w="1166" w:type="pct"/>
                  <w:noWrap w:val="0"/>
                  <w:vAlign w:val="center"/>
                </w:tcPr>
                <w:p w14:paraId="3F88E758">
                  <w:pPr>
                    <w:jc w:val="center"/>
                    <w:rPr>
                      <w:rFonts w:hint="default" w:ascii="Times New Roman" w:hAnsi="Times New Roman" w:eastAsia="仿宋" w:cs="Times New Roman"/>
                      <w:b/>
                      <w:bCs/>
                      <w:color w:val="0000FF"/>
                      <w:szCs w:val="21"/>
                      <w:highlight w:val="none"/>
                      <w:lang w:bidi="ar"/>
                    </w:rPr>
                  </w:pPr>
                  <w:r>
                    <w:rPr>
                      <w:rFonts w:hint="default" w:ascii="Times New Roman" w:hAnsi="Times New Roman" w:eastAsia="仿宋" w:cs="Times New Roman"/>
                      <w:b/>
                      <w:bCs/>
                      <w:color w:val="0000FF"/>
                      <w:szCs w:val="21"/>
                      <w:highlight w:val="none"/>
                      <w:lang w:bidi="ar"/>
                    </w:rPr>
                    <w:t>烟气流速（m/s）</w:t>
                  </w:r>
                </w:p>
              </w:tc>
            </w:tr>
            <w:tr w14:paraId="5B013D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9" w:type="pct"/>
                  <w:noWrap w:val="0"/>
                  <w:vAlign w:val="center"/>
                </w:tcPr>
                <w:p w14:paraId="09FB054D">
                  <w:pPr>
                    <w:jc w:val="center"/>
                    <w:rPr>
                      <w:rFonts w:hint="default" w:ascii="Times New Roman" w:hAnsi="Times New Roman" w:eastAsia="仿宋" w:cs="Times New Roman"/>
                      <w:color w:val="0000FF"/>
                      <w:szCs w:val="21"/>
                      <w:highlight w:val="none"/>
                      <w:lang w:val="en-US" w:eastAsia="zh-CN" w:bidi="ar"/>
                    </w:rPr>
                  </w:pPr>
                  <w:r>
                    <w:rPr>
                      <w:rFonts w:hint="eastAsia" w:ascii="Times New Roman" w:hAnsi="Times New Roman" w:eastAsia="仿宋" w:cs="Times New Roman"/>
                      <w:color w:val="0000FF"/>
                      <w:szCs w:val="21"/>
                      <w:highlight w:val="none"/>
                      <w:lang w:val="en-US" w:eastAsia="zh-CN" w:bidi="ar"/>
                    </w:rPr>
                    <w:t>FQ-5</w:t>
                  </w:r>
                </w:p>
              </w:tc>
              <w:tc>
                <w:tcPr>
                  <w:tcW w:w="1354" w:type="pct"/>
                  <w:noWrap w:val="0"/>
                  <w:vAlign w:val="center"/>
                </w:tcPr>
                <w:p w14:paraId="02E8C945">
                  <w:pPr>
                    <w:jc w:val="center"/>
                    <w:rPr>
                      <w:rFonts w:hint="default" w:ascii="Times New Roman" w:hAnsi="Times New Roman" w:eastAsia="仿宋" w:cs="Times New Roman"/>
                      <w:color w:val="0000FF"/>
                      <w:szCs w:val="21"/>
                      <w:highlight w:val="none"/>
                      <w:lang w:val="en-US" w:eastAsia="zh-CN" w:bidi="ar"/>
                    </w:rPr>
                  </w:pPr>
                  <w:r>
                    <w:rPr>
                      <w:rFonts w:hint="eastAsia" w:ascii="Times New Roman" w:hAnsi="Times New Roman" w:eastAsia="仿宋" w:cs="Times New Roman"/>
                      <w:color w:val="0000FF"/>
                      <w:szCs w:val="21"/>
                      <w:highlight w:val="none"/>
                      <w:lang w:val="en-US" w:eastAsia="zh-CN" w:bidi="ar"/>
                    </w:rPr>
                    <w:t>植绒</w:t>
                  </w:r>
                </w:p>
              </w:tc>
              <w:tc>
                <w:tcPr>
                  <w:tcW w:w="772" w:type="pct"/>
                  <w:noWrap w:val="0"/>
                  <w:vAlign w:val="center"/>
                </w:tcPr>
                <w:p w14:paraId="17F90F8C">
                  <w:pPr>
                    <w:jc w:val="center"/>
                    <w:rPr>
                      <w:rFonts w:hint="default" w:ascii="Times New Roman" w:hAnsi="Times New Roman" w:eastAsia="仿宋" w:cs="Times New Roman"/>
                      <w:color w:val="0000FF"/>
                      <w:szCs w:val="21"/>
                      <w:highlight w:val="none"/>
                      <w:lang w:val="en-US" w:eastAsia="zh-CN" w:bidi="ar"/>
                    </w:rPr>
                  </w:pPr>
                  <w:r>
                    <w:rPr>
                      <w:rFonts w:hint="eastAsia" w:ascii="Times New Roman" w:hAnsi="Times New Roman" w:eastAsia="仿宋" w:cs="Times New Roman"/>
                      <w:color w:val="0000FF"/>
                      <w:szCs w:val="21"/>
                      <w:highlight w:val="none"/>
                      <w:lang w:val="en-US" w:eastAsia="zh-CN" w:bidi="ar"/>
                    </w:rPr>
                    <w:t>8000</w:t>
                  </w:r>
                </w:p>
              </w:tc>
              <w:tc>
                <w:tcPr>
                  <w:tcW w:w="1116" w:type="pct"/>
                  <w:noWrap w:val="0"/>
                  <w:vAlign w:val="center"/>
                </w:tcPr>
                <w:p w14:paraId="1FE3303E">
                  <w:pPr>
                    <w:jc w:val="center"/>
                    <w:rPr>
                      <w:rFonts w:hint="default" w:ascii="Times New Roman" w:hAnsi="Times New Roman" w:eastAsia="仿宋" w:cs="Times New Roman"/>
                      <w:color w:val="0000FF"/>
                      <w:szCs w:val="21"/>
                      <w:highlight w:val="none"/>
                      <w:lang w:val="en-US" w:eastAsia="zh-CN" w:bidi="ar"/>
                    </w:rPr>
                  </w:pPr>
                  <w:r>
                    <w:rPr>
                      <w:rFonts w:hint="default" w:ascii="Times New Roman" w:hAnsi="Times New Roman" w:eastAsia="仿宋" w:cs="Times New Roman"/>
                      <w:color w:val="0000FF"/>
                      <w:szCs w:val="21"/>
                      <w:highlight w:val="none"/>
                      <w:lang w:bidi="ar"/>
                    </w:rPr>
                    <w:t>0.</w:t>
                  </w:r>
                  <w:r>
                    <w:rPr>
                      <w:rFonts w:hint="eastAsia" w:ascii="Times New Roman" w:hAnsi="Times New Roman" w:eastAsia="仿宋" w:cs="Times New Roman"/>
                      <w:color w:val="0000FF"/>
                      <w:szCs w:val="21"/>
                      <w:highlight w:val="none"/>
                      <w:lang w:val="en-US" w:eastAsia="zh-CN" w:bidi="ar"/>
                    </w:rPr>
                    <w:t>4</w:t>
                  </w:r>
                  <w:r>
                    <w:rPr>
                      <w:rFonts w:hint="eastAsia" w:eastAsia="仿宋" w:cs="Times New Roman"/>
                      <w:color w:val="0000FF"/>
                      <w:szCs w:val="21"/>
                      <w:highlight w:val="none"/>
                      <w:lang w:val="en-US" w:eastAsia="zh-CN" w:bidi="ar"/>
                    </w:rPr>
                    <w:t>3</w:t>
                  </w:r>
                </w:p>
              </w:tc>
              <w:tc>
                <w:tcPr>
                  <w:tcW w:w="1166" w:type="pct"/>
                  <w:noWrap w:val="0"/>
                  <w:vAlign w:val="center"/>
                </w:tcPr>
                <w:p w14:paraId="6BF01532">
                  <w:pPr>
                    <w:jc w:val="center"/>
                    <w:rPr>
                      <w:rFonts w:hint="default" w:ascii="Times New Roman" w:hAnsi="Times New Roman" w:eastAsia="仿宋" w:cs="Times New Roman"/>
                      <w:color w:val="0000FF"/>
                      <w:szCs w:val="21"/>
                      <w:highlight w:val="none"/>
                      <w:lang w:val="en-US" w:eastAsia="zh-CN" w:bidi="ar"/>
                    </w:rPr>
                  </w:pPr>
                  <w:r>
                    <w:rPr>
                      <w:rFonts w:hint="default" w:ascii="Times New Roman" w:hAnsi="Times New Roman" w:eastAsia="仿宋" w:cs="Times New Roman"/>
                      <w:color w:val="0000FF"/>
                      <w:szCs w:val="21"/>
                      <w:highlight w:val="none"/>
                      <w:lang w:bidi="ar"/>
                    </w:rPr>
                    <w:t>1</w:t>
                  </w:r>
                  <w:r>
                    <w:rPr>
                      <w:rFonts w:hint="eastAsia" w:ascii="Times New Roman" w:hAnsi="Times New Roman" w:eastAsia="仿宋" w:cs="Times New Roman"/>
                      <w:color w:val="0000FF"/>
                      <w:szCs w:val="21"/>
                      <w:highlight w:val="none"/>
                      <w:lang w:val="en-US" w:eastAsia="zh-CN" w:bidi="ar"/>
                    </w:rPr>
                    <w:t>5.</w:t>
                  </w:r>
                  <w:r>
                    <w:rPr>
                      <w:rFonts w:hint="eastAsia" w:eastAsia="仿宋" w:cs="Times New Roman"/>
                      <w:color w:val="0000FF"/>
                      <w:szCs w:val="21"/>
                      <w:highlight w:val="none"/>
                      <w:lang w:val="en-US" w:eastAsia="zh-CN" w:bidi="ar"/>
                    </w:rPr>
                    <w:t>31</w:t>
                  </w:r>
                </w:p>
              </w:tc>
            </w:tr>
            <w:tr w14:paraId="69DDB2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9" w:type="pct"/>
                  <w:noWrap w:val="0"/>
                  <w:vAlign w:val="center"/>
                </w:tcPr>
                <w:p w14:paraId="657764AA">
                  <w:pPr>
                    <w:jc w:val="center"/>
                    <w:rPr>
                      <w:rFonts w:hint="default" w:ascii="Times New Roman" w:hAnsi="Times New Roman" w:eastAsia="仿宋" w:cs="Times New Roman"/>
                      <w:color w:val="0000FF"/>
                      <w:szCs w:val="21"/>
                      <w:highlight w:val="none"/>
                      <w:lang w:val="en-US" w:bidi="ar"/>
                    </w:rPr>
                  </w:pPr>
                  <w:r>
                    <w:rPr>
                      <w:rFonts w:hint="eastAsia" w:ascii="Times New Roman" w:hAnsi="Times New Roman" w:eastAsia="仿宋" w:cs="Times New Roman"/>
                      <w:color w:val="0000FF"/>
                      <w:szCs w:val="21"/>
                      <w:highlight w:val="none"/>
                      <w:lang w:val="en-US" w:eastAsia="zh-CN" w:bidi="ar"/>
                    </w:rPr>
                    <w:t>FQ-6</w:t>
                  </w:r>
                </w:p>
              </w:tc>
              <w:tc>
                <w:tcPr>
                  <w:tcW w:w="1354" w:type="pct"/>
                  <w:noWrap w:val="0"/>
                  <w:vAlign w:val="center"/>
                </w:tcPr>
                <w:p w14:paraId="18AEF965">
                  <w:pPr>
                    <w:jc w:val="center"/>
                    <w:rPr>
                      <w:rFonts w:hint="default" w:ascii="Times New Roman" w:hAnsi="Times New Roman" w:eastAsia="仿宋" w:cs="Times New Roman"/>
                      <w:color w:val="0000FF"/>
                      <w:szCs w:val="21"/>
                      <w:highlight w:val="none"/>
                      <w:lang w:val="en-US" w:eastAsia="zh-CN" w:bidi="ar"/>
                    </w:rPr>
                  </w:pPr>
                  <w:r>
                    <w:rPr>
                      <w:rFonts w:hint="eastAsia" w:ascii="Times New Roman" w:hAnsi="Times New Roman" w:eastAsia="仿宋" w:cs="Times New Roman"/>
                      <w:color w:val="0000FF"/>
                      <w:szCs w:val="21"/>
                      <w:highlight w:val="none"/>
                      <w:lang w:val="en-US" w:eastAsia="zh-CN" w:bidi="ar"/>
                    </w:rPr>
                    <w:t>注塑、上胶、烘干、固化</w:t>
                  </w:r>
                </w:p>
              </w:tc>
              <w:tc>
                <w:tcPr>
                  <w:tcW w:w="772" w:type="pct"/>
                  <w:noWrap w:val="0"/>
                  <w:vAlign w:val="center"/>
                </w:tcPr>
                <w:p w14:paraId="7DCD4654">
                  <w:pPr>
                    <w:jc w:val="center"/>
                    <w:rPr>
                      <w:rFonts w:hint="default" w:ascii="Times New Roman" w:hAnsi="Times New Roman" w:eastAsia="仿宋" w:cs="Times New Roman"/>
                      <w:color w:val="0000FF"/>
                      <w:szCs w:val="21"/>
                      <w:highlight w:val="none"/>
                      <w:lang w:val="en-US" w:eastAsia="zh-CN" w:bidi="ar"/>
                    </w:rPr>
                  </w:pPr>
                  <w:r>
                    <w:rPr>
                      <w:rFonts w:hint="eastAsia" w:ascii="Times New Roman" w:hAnsi="Times New Roman" w:eastAsia="仿宋" w:cs="Times New Roman"/>
                      <w:color w:val="0000FF"/>
                      <w:szCs w:val="21"/>
                      <w:highlight w:val="none"/>
                      <w:lang w:val="en-US" w:eastAsia="zh-CN" w:bidi="ar"/>
                    </w:rPr>
                    <w:t>12000</w:t>
                  </w:r>
                </w:p>
              </w:tc>
              <w:tc>
                <w:tcPr>
                  <w:tcW w:w="1116" w:type="pct"/>
                  <w:noWrap w:val="0"/>
                  <w:vAlign w:val="center"/>
                </w:tcPr>
                <w:p w14:paraId="09D352A6">
                  <w:pPr>
                    <w:jc w:val="center"/>
                    <w:rPr>
                      <w:rFonts w:hint="default" w:ascii="Times New Roman" w:hAnsi="Times New Roman" w:eastAsia="仿宋" w:cs="Times New Roman"/>
                      <w:color w:val="0000FF"/>
                      <w:szCs w:val="21"/>
                      <w:highlight w:val="none"/>
                      <w:lang w:val="en-US" w:eastAsia="zh-CN" w:bidi="ar"/>
                    </w:rPr>
                  </w:pPr>
                  <w:r>
                    <w:rPr>
                      <w:rFonts w:hint="default" w:ascii="Times New Roman" w:hAnsi="Times New Roman" w:eastAsia="仿宋" w:cs="Times New Roman"/>
                      <w:color w:val="0000FF"/>
                      <w:szCs w:val="21"/>
                      <w:highlight w:val="none"/>
                      <w:lang w:bidi="ar"/>
                    </w:rPr>
                    <w:t>0.</w:t>
                  </w:r>
                  <w:r>
                    <w:rPr>
                      <w:rFonts w:hint="eastAsia" w:ascii="Times New Roman" w:hAnsi="Times New Roman" w:eastAsia="仿宋" w:cs="Times New Roman"/>
                      <w:color w:val="0000FF"/>
                      <w:szCs w:val="21"/>
                      <w:highlight w:val="none"/>
                      <w:lang w:val="en-US" w:eastAsia="zh-CN" w:bidi="ar"/>
                    </w:rPr>
                    <w:t>5</w:t>
                  </w:r>
                  <w:r>
                    <w:rPr>
                      <w:rFonts w:hint="eastAsia" w:eastAsia="仿宋" w:cs="Times New Roman"/>
                      <w:color w:val="0000FF"/>
                      <w:szCs w:val="21"/>
                      <w:highlight w:val="none"/>
                      <w:lang w:val="en-US" w:eastAsia="zh-CN" w:bidi="ar"/>
                    </w:rPr>
                    <w:t>3</w:t>
                  </w:r>
                </w:p>
              </w:tc>
              <w:tc>
                <w:tcPr>
                  <w:tcW w:w="1166" w:type="pct"/>
                  <w:noWrap w:val="0"/>
                  <w:vAlign w:val="center"/>
                </w:tcPr>
                <w:p w14:paraId="63257889">
                  <w:pPr>
                    <w:jc w:val="center"/>
                    <w:rPr>
                      <w:rFonts w:hint="default" w:ascii="Times New Roman" w:hAnsi="Times New Roman" w:eastAsia="仿宋" w:cs="Times New Roman"/>
                      <w:color w:val="0000FF"/>
                      <w:szCs w:val="21"/>
                      <w:highlight w:val="none"/>
                      <w:lang w:val="en-US" w:eastAsia="zh-CN" w:bidi="ar"/>
                    </w:rPr>
                  </w:pPr>
                  <w:r>
                    <w:rPr>
                      <w:rFonts w:hint="default" w:ascii="Times New Roman" w:hAnsi="Times New Roman" w:eastAsia="仿宋" w:cs="Times New Roman"/>
                      <w:color w:val="0000FF"/>
                      <w:szCs w:val="21"/>
                      <w:highlight w:val="none"/>
                      <w:lang w:bidi="ar"/>
                    </w:rPr>
                    <w:t>1</w:t>
                  </w:r>
                  <w:r>
                    <w:rPr>
                      <w:rFonts w:hint="eastAsia" w:ascii="Times New Roman" w:hAnsi="Times New Roman" w:eastAsia="仿宋" w:cs="Times New Roman"/>
                      <w:color w:val="0000FF"/>
                      <w:szCs w:val="21"/>
                      <w:highlight w:val="none"/>
                      <w:lang w:val="en-US" w:eastAsia="zh-CN" w:bidi="ar"/>
                    </w:rPr>
                    <w:t>5.</w:t>
                  </w:r>
                  <w:r>
                    <w:rPr>
                      <w:rFonts w:hint="eastAsia" w:eastAsia="仿宋" w:cs="Times New Roman"/>
                      <w:color w:val="0000FF"/>
                      <w:szCs w:val="21"/>
                      <w:highlight w:val="none"/>
                      <w:lang w:val="en-US" w:eastAsia="zh-CN" w:bidi="ar"/>
                    </w:rPr>
                    <w:t>12</w:t>
                  </w:r>
                </w:p>
              </w:tc>
            </w:tr>
            <w:tr w14:paraId="46EA91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9" w:type="pct"/>
                  <w:noWrap w:val="0"/>
                  <w:vAlign w:val="center"/>
                </w:tcPr>
                <w:p w14:paraId="5F9FB2CD">
                  <w:pPr>
                    <w:jc w:val="center"/>
                    <w:rPr>
                      <w:rFonts w:hint="eastAsia" w:ascii="Times New Roman" w:hAnsi="Times New Roman" w:eastAsia="仿宋" w:cs="Times New Roman"/>
                      <w:color w:val="0000FF"/>
                      <w:szCs w:val="21"/>
                      <w:highlight w:val="none"/>
                      <w:lang w:val="en-US" w:eastAsia="zh-CN" w:bidi="ar"/>
                    </w:rPr>
                  </w:pPr>
                  <w:r>
                    <w:rPr>
                      <w:rFonts w:hint="eastAsia" w:ascii="Times New Roman" w:hAnsi="Times New Roman" w:eastAsia="仿宋" w:cs="Times New Roman"/>
                      <w:color w:val="0000FF"/>
                      <w:szCs w:val="21"/>
                      <w:highlight w:val="none"/>
                      <w:lang w:val="en-US" w:eastAsia="zh-CN" w:bidi="ar"/>
                    </w:rPr>
                    <w:t>FQ-</w:t>
                  </w:r>
                  <w:r>
                    <w:rPr>
                      <w:rFonts w:hint="eastAsia" w:eastAsia="仿宋" w:cs="Times New Roman"/>
                      <w:color w:val="0000FF"/>
                      <w:szCs w:val="21"/>
                      <w:highlight w:val="none"/>
                      <w:lang w:val="en-US" w:eastAsia="zh-CN" w:bidi="ar"/>
                    </w:rPr>
                    <w:t>7</w:t>
                  </w:r>
                </w:p>
              </w:tc>
              <w:tc>
                <w:tcPr>
                  <w:tcW w:w="1354" w:type="pct"/>
                  <w:noWrap w:val="0"/>
                  <w:vAlign w:val="center"/>
                </w:tcPr>
                <w:p w14:paraId="47C1F655">
                  <w:pPr>
                    <w:jc w:val="center"/>
                    <w:rPr>
                      <w:rFonts w:hint="default" w:ascii="Times New Roman" w:hAnsi="Times New Roman" w:eastAsia="仿宋" w:cs="Times New Roman"/>
                      <w:color w:val="0000FF"/>
                      <w:szCs w:val="21"/>
                      <w:highlight w:val="none"/>
                      <w:lang w:val="en-US" w:eastAsia="zh-CN" w:bidi="ar"/>
                    </w:rPr>
                  </w:pPr>
                  <w:r>
                    <w:rPr>
                      <w:rFonts w:hint="eastAsia" w:eastAsia="仿宋" w:cs="Times New Roman"/>
                      <w:color w:val="0000FF"/>
                      <w:szCs w:val="21"/>
                      <w:highlight w:val="none"/>
                      <w:lang w:val="en-US" w:eastAsia="zh-CN" w:bidi="ar"/>
                    </w:rPr>
                    <w:t>筛毛</w:t>
                  </w:r>
                </w:p>
              </w:tc>
              <w:tc>
                <w:tcPr>
                  <w:tcW w:w="772" w:type="pct"/>
                  <w:noWrap w:val="0"/>
                  <w:vAlign w:val="center"/>
                </w:tcPr>
                <w:p w14:paraId="15467A1B">
                  <w:pPr>
                    <w:jc w:val="center"/>
                    <w:rPr>
                      <w:rFonts w:hint="default" w:ascii="Times New Roman" w:hAnsi="Times New Roman" w:eastAsia="仿宋" w:cs="Times New Roman"/>
                      <w:color w:val="0000FF"/>
                      <w:szCs w:val="21"/>
                      <w:highlight w:val="none"/>
                      <w:lang w:val="en-US" w:eastAsia="zh-CN" w:bidi="ar"/>
                    </w:rPr>
                  </w:pPr>
                  <w:r>
                    <w:rPr>
                      <w:rFonts w:hint="eastAsia" w:eastAsia="仿宋" w:cs="Times New Roman"/>
                      <w:color w:val="0000FF"/>
                      <w:szCs w:val="21"/>
                      <w:highlight w:val="none"/>
                      <w:lang w:val="en-US" w:eastAsia="zh-CN" w:bidi="ar"/>
                    </w:rPr>
                    <w:t>6000</w:t>
                  </w:r>
                </w:p>
              </w:tc>
              <w:tc>
                <w:tcPr>
                  <w:tcW w:w="1116" w:type="pct"/>
                  <w:noWrap w:val="0"/>
                  <w:vAlign w:val="center"/>
                </w:tcPr>
                <w:p w14:paraId="0C79C189">
                  <w:pPr>
                    <w:jc w:val="center"/>
                    <w:rPr>
                      <w:rFonts w:hint="default" w:ascii="Times New Roman" w:hAnsi="Times New Roman" w:eastAsia="仿宋" w:cs="Times New Roman"/>
                      <w:color w:val="0000FF"/>
                      <w:szCs w:val="21"/>
                      <w:highlight w:val="none"/>
                      <w:lang w:val="en-US" w:eastAsia="zh-CN" w:bidi="ar"/>
                    </w:rPr>
                  </w:pPr>
                  <w:r>
                    <w:rPr>
                      <w:rFonts w:hint="eastAsia" w:eastAsia="仿宋" w:cs="Times New Roman"/>
                      <w:color w:val="0000FF"/>
                      <w:szCs w:val="21"/>
                      <w:highlight w:val="none"/>
                      <w:lang w:val="en-US" w:eastAsia="zh-CN" w:bidi="ar"/>
                    </w:rPr>
                    <w:t>0.37</w:t>
                  </w:r>
                </w:p>
              </w:tc>
              <w:tc>
                <w:tcPr>
                  <w:tcW w:w="1166" w:type="pct"/>
                  <w:noWrap w:val="0"/>
                  <w:vAlign w:val="center"/>
                </w:tcPr>
                <w:p w14:paraId="197C1547">
                  <w:pPr>
                    <w:jc w:val="center"/>
                    <w:rPr>
                      <w:rFonts w:hint="default" w:ascii="Times New Roman" w:hAnsi="Times New Roman" w:eastAsia="仿宋" w:cs="Times New Roman"/>
                      <w:color w:val="0000FF"/>
                      <w:szCs w:val="21"/>
                      <w:highlight w:val="none"/>
                      <w:lang w:val="en-US" w:eastAsia="zh-CN" w:bidi="ar"/>
                    </w:rPr>
                  </w:pPr>
                  <w:r>
                    <w:rPr>
                      <w:rFonts w:hint="eastAsia" w:eastAsia="仿宋" w:cs="Times New Roman"/>
                      <w:color w:val="0000FF"/>
                      <w:szCs w:val="21"/>
                      <w:highlight w:val="none"/>
                      <w:lang w:val="en-US" w:eastAsia="zh-CN" w:bidi="ar"/>
                    </w:rPr>
                    <w:t>15.51</w:t>
                  </w:r>
                </w:p>
              </w:tc>
            </w:tr>
          </w:tbl>
          <w:p w14:paraId="03403BD8">
            <w:pPr>
              <w:keepNext w:val="0"/>
              <w:keepLines w:val="0"/>
              <w:pageBreakBefore w:val="0"/>
              <w:widowControl w:val="0"/>
              <w:kinsoku/>
              <w:wordWrap/>
              <w:overflowPunct/>
              <w:topLinePunct w:val="0"/>
              <w:autoSpaceDE/>
              <w:autoSpaceDN/>
              <w:bidi w:val="0"/>
              <w:adjustRightInd w:val="0"/>
              <w:snapToGrid w:val="0"/>
              <w:spacing w:line="240" w:lineRule="auto"/>
              <w:ind w:firstLine="200" w:firstLineChars="200"/>
              <w:jc w:val="both"/>
              <w:textAlignment w:val="auto"/>
              <w:rPr>
                <w:rFonts w:hint="default" w:ascii="Times New Roman" w:hAnsi="Times New Roman" w:eastAsia="仿宋" w:cs="Times New Roman"/>
                <w:color w:val="auto"/>
                <w:sz w:val="10"/>
                <w:szCs w:val="10"/>
                <w:highlight w:val="none"/>
              </w:rPr>
            </w:pPr>
          </w:p>
          <w:p w14:paraId="6AF0E7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《制定地方大气污染物排放标准的技术方法》（GB/T 3840-91）中 5.6.1规定“排气筒出口处烟气速度Vs不得小于（GB/T 3840-91）中式（23）计算出的风速Vc的1.5倍”，项目所在地年平均风速2.6m/s，经计算，风速Vc的1.5倍为3.9m/s，</w:t>
            </w:r>
            <w:r>
              <w:rPr>
                <w:rFonts w:hint="default" w:ascii="Times New Roman" w:hAnsi="Times New Roman" w:eastAsia="仿宋" w:cs="Times New Roman"/>
                <w:color w:val="auto"/>
                <w:sz w:val="24"/>
                <w:highlight w:val="none"/>
                <w:lang w:val="zh-CN"/>
              </w:rPr>
              <w:t>项目设置的排气筒出口处烟气速度在15m/s</w:t>
            </w:r>
            <w:r>
              <w:rPr>
                <w:rFonts w:hint="default" w:ascii="Times New Roman" w:hAnsi="Times New Roman" w:eastAsia="仿宋" w:cs="Times New Roman"/>
                <w:color w:val="auto"/>
                <w:sz w:val="24"/>
                <w:highlight w:val="none"/>
              </w:rPr>
              <w:t>左右</w:t>
            </w:r>
            <w:r>
              <w:rPr>
                <w:rFonts w:hint="default" w:ascii="Times New Roman" w:hAnsi="Times New Roman" w:eastAsia="仿宋" w:cs="Times New Roman"/>
                <w:color w:val="auto"/>
                <w:sz w:val="24"/>
                <w:highlight w:val="none"/>
                <w:lang w:val="zh-CN"/>
              </w:rPr>
              <w:t>，</w:t>
            </w:r>
            <w:r>
              <w:rPr>
                <w:rFonts w:hint="default" w:ascii="Times New Roman" w:hAnsi="Times New Roman" w:eastAsia="仿宋" w:cs="Times New Roman"/>
                <w:color w:val="auto"/>
                <w:sz w:val="24"/>
                <w:highlight w:val="none"/>
              </w:rPr>
              <w:t>大于风速Vc的1.5倍，同时符合《大气污染治理工程技术导则》（HJ2000-2010）中“5.3.5 排气筒的出口直径应根据出口流速确定，流速宜取15m/s左右。”的要求，废气污染物能够较快的扩散。</w:t>
            </w:r>
          </w:p>
          <w:p w14:paraId="4D65FC7E">
            <w:pPr>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制定地方大气污染物排放标准的技术方法》(GB/T13201-91)中规定“在排气筒四周存在居住、工作等需要保护的建筑群时，最后排气筒高度还应加上被保护建筑群的2/3平均高度”。本项目四周不存在需要保护的建筑群，本项目不予考虑。</w:t>
            </w:r>
          </w:p>
          <w:p w14:paraId="738B8A6C">
            <w:pPr>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根据《大气污染物综合排放标准》（DB32/4041-2021）中规定“排气</w:t>
            </w:r>
            <w:r>
              <w:rPr>
                <w:rFonts w:hint="default" w:ascii="Times New Roman" w:hAnsi="Times New Roman" w:eastAsia="仿宋" w:cs="Times New Roman"/>
                <w:bCs/>
                <w:color w:val="auto"/>
                <w:sz w:val="24"/>
                <w:highlight w:val="none"/>
                <w:lang w:val="en-US" w:eastAsia="zh-CN"/>
              </w:rPr>
              <w:t>筒</w:t>
            </w:r>
            <w:r>
              <w:rPr>
                <w:rFonts w:hint="default" w:ascii="Times New Roman" w:hAnsi="Times New Roman" w:eastAsia="仿宋" w:cs="Times New Roman"/>
                <w:bCs/>
                <w:color w:val="auto"/>
                <w:sz w:val="24"/>
                <w:highlight w:val="none"/>
              </w:rPr>
              <w:t>高度应按环境影响评价要求确定，且至少不低于15m”，本项排气筒达到15米，符合该标准要求。</w:t>
            </w:r>
          </w:p>
          <w:p w14:paraId="46865EC9">
            <w:pPr>
              <w:spacing w:line="360" w:lineRule="auto"/>
              <w:ind w:firstLine="480" w:firstLineChars="200"/>
              <w:jc w:val="both"/>
              <w:rPr>
                <w:rFonts w:hint="default" w:ascii="Times New Roman" w:hAnsi="Times New Roman" w:eastAsia="仿宋" w:cs="Times New Roman"/>
                <w:bCs/>
                <w:color w:val="auto"/>
                <w:sz w:val="24"/>
                <w:highlight w:val="none"/>
              </w:rPr>
            </w:pPr>
            <w:r>
              <w:rPr>
                <w:rFonts w:hint="eastAsia" w:ascii="Times New Roman" w:hAnsi="Times New Roman" w:eastAsia="仿宋" w:cs="Times New Roman"/>
                <w:color w:val="auto"/>
                <w:sz w:val="24"/>
                <w:highlight w:val="none"/>
                <w:lang w:val="en-US" w:eastAsia="zh-CN"/>
              </w:rPr>
              <w:t>综上所述</w:t>
            </w:r>
            <w:r>
              <w:rPr>
                <w:rFonts w:hint="default" w:ascii="Times New Roman" w:hAnsi="Times New Roman" w:eastAsia="仿宋" w:cs="Times New Roman"/>
                <w:color w:val="auto"/>
                <w:sz w:val="24"/>
                <w:highlight w:val="none"/>
              </w:rPr>
              <w:t>，本项目的排气筒设置是合理可行的。</w:t>
            </w:r>
          </w:p>
          <w:p w14:paraId="25124667">
            <w:pPr>
              <w:adjustRightInd w:val="0"/>
              <w:snapToGrid w:val="0"/>
              <w:spacing w:line="360" w:lineRule="auto"/>
              <w:ind w:firstLine="480" w:firstLineChars="200"/>
              <w:jc w:val="both"/>
              <w:rPr>
                <w:rFonts w:hint="eastAsia" w:eastAsia="仿宋" w:cs="Times New Roman"/>
                <w:bCs/>
                <w:color w:val="0000FF"/>
                <w:sz w:val="24"/>
                <w:highlight w:val="none"/>
                <w:lang w:val="en-US" w:eastAsia="zh-CN"/>
              </w:rPr>
            </w:pPr>
            <w:r>
              <w:rPr>
                <w:rFonts w:hint="eastAsia" w:eastAsia="仿宋" w:cs="Times New Roman"/>
                <w:bCs/>
                <w:color w:val="0000FF"/>
                <w:sz w:val="24"/>
                <w:highlight w:val="none"/>
                <w:lang w:val="en-US" w:eastAsia="zh-CN"/>
              </w:rPr>
              <w:t>⑥工程实例</w:t>
            </w:r>
          </w:p>
          <w:p w14:paraId="20242326">
            <w:pPr>
              <w:adjustRightInd w:val="0"/>
              <w:snapToGrid w:val="0"/>
              <w:spacing w:line="360" w:lineRule="auto"/>
              <w:ind w:firstLine="480" w:firstLineChars="200"/>
              <w:jc w:val="both"/>
              <w:rPr>
                <w:rFonts w:hint="eastAsia" w:eastAsia="仿宋" w:cs="Times New Roman"/>
                <w:bCs/>
                <w:color w:val="0000FF"/>
                <w:sz w:val="24"/>
                <w:highlight w:val="none"/>
                <w:lang w:val="en-US" w:eastAsia="zh-CN"/>
              </w:rPr>
            </w:pPr>
            <w:r>
              <w:rPr>
                <w:rFonts w:hint="default" w:ascii="Times New Roman" w:hAnsi="Times New Roman" w:eastAsia="仿宋" w:cs="Times New Roman"/>
                <w:bCs/>
                <w:color w:val="0000FF"/>
                <w:sz w:val="24"/>
                <w:highlight w:val="none"/>
              </w:rPr>
              <w:t>&lt;</w:t>
            </w:r>
            <w:r>
              <w:rPr>
                <w:rFonts w:hint="eastAsia" w:eastAsia="仿宋" w:cs="Times New Roman"/>
                <w:bCs/>
                <w:color w:val="0000FF"/>
                <w:sz w:val="24"/>
                <w:highlight w:val="none"/>
                <w:lang w:val="en-US" w:eastAsia="zh-CN"/>
              </w:rPr>
              <w:t>1</w:t>
            </w:r>
            <w:r>
              <w:rPr>
                <w:rFonts w:hint="default" w:ascii="Times New Roman" w:hAnsi="Times New Roman" w:eastAsia="仿宋" w:cs="Times New Roman"/>
                <w:bCs/>
                <w:color w:val="0000FF"/>
                <w:sz w:val="24"/>
                <w:highlight w:val="none"/>
              </w:rPr>
              <w:t>&gt;</w:t>
            </w:r>
            <w:r>
              <w:rPr>
                <w:rFonts w:hint="eastAsia" w:eastAsia="仿宋" w:cs="Times New Roman"/>
                <w:bCs/>
                <w:color w:val="0000FF"/>
                <w:sz w:val="24"/>
                <w:highlight w:val="none"/>
                <w:lang w:val="en-US" w:eastAsia="zh-CN"/>
              </w:rPr>
              <w:t>布袋除尘器</w:t>
            </w:r>
          </w:p>
          <w:p w14:paraId="3D75C458">
            <w:pPr>
              <w:adjustRightInd w:val="0"/>
              <w:snapToGrid w:val="0"/>
              <w:spacing w:line="360" w:lineRule="auto"/>
              <w:ind w:firstLine="480" w:firstLineChars="200"/>
              <w:rPr>
                <w:rFonts w:hint="default" w:ascii="Times New Roman" w:hAnsi="Times New Roman" w:eastAsia="仿宋" w:cs="Times New Roman"/>
                <w:bCs/>
                <w:color w:val="0000FF"/>
              </w:rPr>
            </w:pPr>
            <w:r>
              <w:rPr>
                <w:rFonts w:hint="default" w:ascii="Times New Roman" w:hAnsi="Times New Roman" w:eastAsia="仿宋" w:cs="Times New Roman"/>
                <w:bCs/>
                <w:color w:val="0000FF"/>
                <w:sz w:val="24"/>
              </w:rPr>
              <w:t>佛山市恒英木业家具有限公司于2018年5月申报了《佛山市恒英木业家具有限公司年产实木家具510套新建项目》，该项目于2018年6月建成，2019 年12月通过了自主环保验收。该项目木加工粉尘经收集后进入一套布袋除尘器处理后通过15米高的排气筒达标排放，根据其环境保护竣工验收检测数据，经处理后的废气可达标排放，废气处理效率</w:t>
            </w:r>
            <w:r>
              <w:rPr>
                <w:rFonts w:hint="eastAsia" w:ascii="Times New Roman" w:hAnsi="Times New Roman" w:eastAsia="仿宋" w:cs="Times New Roman"/>
                <w:bCs/>
                <w:color w:val="0000FF"/>
                <w:sz w:val="24"/>
                <w:lang w:val="en-US" w:eastAsia="zh-CN"/>
              </w:rPr>
              <w:t>约97.8%，故本项目布袋除尘装置对颗粒物的去除效率取</w:t>
            </w:r>
            <w:r>
              <w:rPr>
                <w:rFonts w:hint="default" w:ascii="Times New Roman" w:hAnsi="Times New Roman" w:eastAsia="仿宋" w:cs="Times New Roman"/>
                <w:bCs/>
                <w:color w:val="0000FF"/>
                <w:sz w:val="24"/>
              </w:rPr>
              <w:t>9</w:t>
            </w:r>
            <w:r>
              <w:rPr>
                <w:rFonts w:hint="eastAsia" w:ascii="Times New Roman" w:hAnsi="Times New Roman" w:eastAsia="仿宋" w:cs="Times New Roman"/>
                <w:bCs/>
                <w:color w:val="0000FF"/>
                <w:sz w:val="24"/>
                <w:lang w:val="en-US" w:eastAsia="zh-CN"/>
              </w:rPr>
              <w:t>5</w:t>
            </w:r>
            <w:r>
              <w:rPr>
                <w:rFonts w:hint="default" w:ascii="Times New Roman" w:hAnsi="Times New Roman" w:eastAsia="仿宋" w:cs="Times New Roman"/>
                <w:bCs/>
                <w:color w:val="0000FF"/>
                <w:sz w:val="24"/>
              </w:rPr>
              <w:t>%</w:t>
            </w:r>
            <w:r>
              <w:rPr>
                <w:rFonts w:hint="eastAsia" w:ascii="Times New Roman" w:hAnsi="Times New Roman" w:eastAsia="仿宋" w:cs="Times New Roman"/>
                <w:bCs/>
                <w:color w:val="0000FF"/>
                <w:sz w:val="24"/>
                <w:lang w:val="en-US" w:eastAsia="zh-CN"/>
              </w:rPr>
              <w:t>是可行的</w:t>
            </w:r>
            <w:r>
              <w:rPr>
                <w:rFonts w:hint="default" w:ascii="Times New Roman" w:hAnsi="Times New Roman" w:eastAsia="仿宋" w:cs="Times New Roman"/>
                <w:bCs/>
                <w:color w:val="0000FF"/>
                <w:sz w:val="24"/>
              </w:rPr>
              <w:t>。</w:t>
            </w:r>
          </w:p>
          <w:p w14:paraId="7116D7FD">
            <w:pPr>
              <w:pStyle w:val="15"/>
              <w:adjustRightInd w:val="0"/>
              <w:snapToGrid w:val="0"/>
              <w:ind w:firstLineChars="200"/>
              <w:rPr>
                <w:rFonts w:hint="default" w:ascii="Times New Roman" w:hAnsi="Times New Roman" w:eastAsia="仿宋" w:cs="Times New Roman"/>
                <w:bCs/>
                <w:color w:val="0000FF"/>
              </w:rPr>
            </w:pPr>
            <w:r>
              <w:rPr>
                <w:rFonts w:hint="default" w:ascii="Times New Roman" w:hAnsi="Times New Roman" w:eastAsia="仿宋" w:cs="Times New Roman"/>
                <w:bCs/>
                <w:color w:val="0000FF"/>
              </w:rPr>
              <w:t>工程实例废气监测结果见图4-2。</w:t>
            </w:r>
          </w:p>
          <w:p w14:paraId="55C2EF60">
            <w:pPr>
              <w:pStyle w:val="15"/>
              <w:adjustRightInd w:val="0"/>
              <w:snapToGrid w:val="0"/>
              <w:ind w:firstLine="210"/>
              <w:jc w:val="center"/>
              <w:rPr>
                <w:rFonts w:ascii="仿宋" w:hAnsi="仿宋" w:eastAsia="仿宋"/>
                <w:bCs/>
                <w:color w:val="0000FF"/>
              </w:rPr>
            </w:pPr>
            <w:r>
              <w:rPr>
                <w:rFonts w:ascii="仿宋" w:hAnsi="仿宋" w:eastAsia="仿宋"/>
                <w:bCs/>
                <w:color w:val="0000FF"/>
              </w:rPr>
              <w:drawing>
                <wp:inline distT="0" distB="0" distL="0" distR="0">
                  <wp:extent cx="4110990" cy="3724275"/>
                  <wp:effectExtent l="0" t="0" r="381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110990" cy="3724275"/>
                          </a:xfrm>
                          <a:prstGeom prst="rect">
                            <a:avLst/>
                          </a:prstGeom>
                          <a:noFill/>
                        </pic:spPr>
                      </pic:pic>
                    </a:graphicData>
                  </a:graphic>
                </wp:inline>
              </w:drawing>
            </w:r>
          </w:p>
          <w:p w14:paraId="3F9718D6">
            <w:pPr>
              <w:pStyle w:val="15"/>
              <w:adjustRightInd w:val="0"/>
              <w:snapToGrid w:val="0"/>
              <w:ind w:firstLine="211"/>
              <w:jc w:val="center"/>
              <w:rPr>
                <w:rFonts w:ascii="仿宋" w:hAnsi="仿宋" w:eastAsia="仿宋"/>
                <w:b/>
                <w:bCs/>
                <w:color w:val="0000FF"/>
              </w:rPr>
            </w:pPr>
            <w:r>
              <w:rPr>
                <w:rFonts w:ascii="仿宋" w:hAnsi="仿宋" w:eastAsia="仿宋"/>
                <w:b/>
                <w:bCs/>
                <w:color w:val="0000FF"/>
              </w:rPr>
              <w:t>图</w:t>
            </w:r>
            <w:r>
              <w:rPr>
                <w:rFonts w:hint="default" w:ascii="Times New Roman" w:hAnsi="Times New Roman" w:eastAsia="仿宋" w:cs="Times New Roman"/>
                <w:b/>
                <w:bCs/>
                <w:color w:val="0000FF"/>
              </w:rPr>
              <w:t>4-2</w:t>
            </w:r>
            <w:r>
              <w:rPr>
                <w:rFonts w:hint="eastAsia" w:ascii="仿宋" w:hAnsi="仿宋" w:eastAsia="仿宋"/>
                <w:b/>
                <w:bCs/>
                <w:color w:val="0000FF"/>
                <w:lang w:val="en-US" w:eastAsia="zh-CN"/>
              </w:rPr>
              <w:t xml:space="preserve"> </w:t>
            </w:r>
            <w:r>
              <w:rPr>
                <w:rFonts w:hint="eastAsia" w:ascii="仿宋" w:hAnsi="仿宋" w:eastAsia="仿宋"/>
                <w:b/>
                <w:bCs/>
                <w:color w:val="0000FF"/>
              </w:rPr>
              <w:t xml:space="preserve"> 工程实例废气监测结果</w:t>
            </w:r>
          </w:p>
          <w:p w14:paraId="63C72D7F">
            <w:pPr>
              <w:adjustRightInd w:val="0"/>
              <w:snapToGrid w:val="0"/>
              <w:spacing w:line="360" w:lineRule="auto"/>
              <w:ind w:firstLine="480" w:firstLineChars="200"/>
              <w:jc w:val="both"/>
              <w:rPr>
                <w:rFonts w:hint="eastAsia" w:eastAsia="仿宋" w:cs="Times New Roman"/>
                <w:bCs/>
                <w:color w:val="0000FF"/>
                <w:sz w:val="24"/>
                <w:highlight w:val="none"/>
                <w:lang w:val="en-US" w:eastAsia="zh-CN"/>
              </w:rPr>
            </w:pPr>
            <w:r>
              <w:rPr>
                <w:rFonts w:hint="eastAsia" w:eastAsia="仿宋" w:cs="Times New Roman"/>
                <w:bCs/>
                <w:color w:val="0000FF"/>
                <w:sz w:val="24"/>
                <w:highlight w:val="none"/>
                <w:lang w:val="en-US" w:eastAsia="zh-CN"/>
              </w:rPr>
              <w:t>&lt;2&gt;活性炭吸附装置</w:t>
            </w:r>
          </w:p>
          <w:p w14:paraId="36F0EE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0000FF"/>
                <w:sz w:val="24"/>
                <w:highlight w:val="none"/>
              </w:rPr>
            </w:pPr>
            <w:r>
              <w:rPr>
                <w:rFonts w:hint="default" w:ascii="Times New Roman" w:hAnsi="Times New Roman" w:eastAsia="仿宋" w:cs="Times New Roman"/>
                <w:color w:val="0000FF"/>
                <w:sz w:val="24"/>
                <w:highlight w:val="none"/>
              </w:rPr>
              <w:t>根据无锡市新环化工环境监测站于2019年3月对“常州市博源塑业有限公司年产260万件塑料制品项目”的“两级活性炭吸附装置”废气进出口的验收检测数据，具体见下表。</w:t>
            </w:r>
          </w:p>
          <w:p w14:paraId="3AD107AF">
            <w:pPr>
              <w:adjustRightInd w:val="0"/>
              <w:snapToGrid w:val="0"/>
              <w:jc w:val="center"/>
              <w:rPr>
                <w:rFonts w:hint="default" w:ascii="Times New Roman" w:hAnsi="Times New Roman" w:eastAsia="仿宋" w:cs="Times New Roman"/>
                <w:b/>
                <w:color w:val="0000FF"/>
                <w:sz w:val="24"/>
                <w:highlight w:val="none"/>
              </w:rPr>
            </w:pPr>
            <w:r>
              <w:rPr>
                <w:rFonts w:hint="default" w:ascii="Times New Roman" w:hAnsi="Times New Roman" w:eastAsia="仿宋" w:cs="Times New Roman"/>
                <w:b/>
                <w:color w:val="0000FF"/>
                <w:sz w:val="24"/>
                <w:highlight w:val="none"/>
              </w:rPr>
              <w:t>表4-</w:t>
            </w:r>
            <w:r>
              <w:rPr>
                <w:rFonts w:hint="eastAsia" w:eastAsia="仿宋" w:cs="Times New Roman"/>
                <w:b/>
                <w:color w:val="0000FF"/>
                <w:sz w:val="24"/>
                <w:highlight w:val="none"/>
                <w:lang w:val="en-US" w:eastAsia="zh-CN"/>
              </w:rPr>
              <w:t>8</w:t>
            </w:r>
            <w:r>
              <w:rPr>
                <w:rFonts w:hint="default" w:ascii="Times New Roman" w:hAnsi="Times New Roman" w:eastAsia="仿宋" w:cs="Times New Roman"/>
                <w:b/>
                <w:color w:val="0000FF"/>
                <w:sz w:val="24"/>
                <w:highlight w:val="none"/>
              </w:rPr>
              <w:t xml:space="preserve">  工程实例废气监测结果表</w:t>
            </w:r>
          </w:p>
          <w:tbl>
            <w:tblPr>
              <w:tblStyle w:val="2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411"/>
              <w:gridCol w:w="1412"/>
              <w:gridCol w:w="1412"/>
              <w:gridCol w:w="1412"/>
              <w:gridCol w:w="1417"/>
            </w:tblGrid>
            <w:tr w14:paraId="16B83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restart"/>
                  <w:noWrap w:val="0"/>
                  <w:vAlign w:val="center"/>
                </w:tcPr>
                <w:p w14:paraId="0FCD548B">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项目点位</w:t>
                  </w:r>
                </w:p>
              </w:tc>
              <w:tc>
                <w:tcPr>
                  <w:tcW w:w="833" w:type="pct"/>
                  <w:vMerge w:val="restart"/>
                  <w:noWrap w:val="0"/>
                  <w:vAlign w:val="center"/>
                </w:tcPr>
                <w:p w14:paraId="2FF73FD5">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监测时间</w:t>
                  </w:r>
                </w:p>
              </w:tc>
              <w:tc>
                <w:tcPr>
                  <w:tcW w:w="3335" w:type="pct"/>
                  <w:gridSpan w:val="4"/>
                  <w:noWrap w:val="0"/>
                  <w:vAlign w:val="center"/>
                </w:tcPr>
                <w:p w14:paraId="52D1CD79">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非甲烷总烃监测结果（mg/m</w:t>
                  </w:r>
                  <w:r>
                    <w:rPr>
                      <w:rFonts w:hint="default" w:ascii="Times New Roman" w:hAnsi="Times New Roman" w:eastAsia="仿宋" w:cs="Times New Roman"/>
                      <w:b/>
                      <w:color w:val="0000FF"/>
                      <w:szCs w:val="21"/>
                      <w:highlight w:val="none"/>
                      <w:vertAlign w:val="superscript"/>
                    </w:rPr>
                    <w:t>3</w:t>
                  </w:r>
                  <w:r>
                    <w:rPr>
                      <w:rFonts w:hint="default" w:ascii="Times New Roman" w:hAnsi="Times New Roman" w:eastAsia="仿宋" w:cs="Times New Roman"/>
                      <w:b/>
                      <w:color w:val="0000FF"/>
                      <w:szCs w:val="21"/>
                      <w:highlight w:val="none"/>
                    </w:rPr>
                    <w:t>）</w:t>
                  </w:r>
                </w:p>
              </w:tc>
            </w:tr>
            <w:tr w14:paraId="4C0B1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noWrap w:val="0"/>
                  <w:vAlign w:val="center"/>
                </w:tcPr>
                <w:p w14:paraId="4B2BD12B">
                  <w:pPr>
                    <w:adjustRightInd w:val="0"/>
                    <w:snapToGrid w:val="0"/>
                    <w:jc w:val="center"/>
                    <w:rPr>
                      <w:rFonts w:hint="default" w:ascii="Times New Roman" w:hAnsi="Times New Roman" w:eastAsia="仿宋" w:cs="Times New Roman"/>
                      <w:b/>
                      <w:color w:val="0000FF"/>
                      <w:szCs w:val="21"/>
                      <w:highlight w:val="none"/>
                    </w:rPr>
                  </w:pPr>
                </w:p>
              </w:tc>
              <w:tc>
                <w:tcPr>
                  <w:tcW w:w="833" w:type="pct"/>
                  <w:vMerge w:val="continue"/>
                  <w:noWrap w:val="0"/>
                  <w:vAlign w:val="center"/>
                </w:tcPr>
                <w:p w14:paraId="5CBA7E42">
                  <w:pPr>
                    <w:adjustRightInd w:val="0"/>
                    <w:snapToGrid w:val="0"/>
                    <w:jc w:val="center"/>
                    <w:rPr>
                      <w:rFonts w:hint="default" w:ascii="Times New Roman" w:hAnsi="Times New Roman" w:eastAsia="仿宋" w:cs="Times New Roman"/>
                      <w:b/>
                      <w:color w:val="0000FF"/>
                      <w:szCs w:val="21"/>
                      <w:highlight w:val="none"/>
                    </w:rPr>
                  </w:pPr>
                </w:p>
              </w:tc>
              <w:tc>
                <w:tcPr>
                  <w:tcW w:w="833" w:type="pct"/>
                  <w:noWrap w:val="0"/>
                  <w:vAlign w:val="center"/>
                </w:tcPr>
                <w:p w14:paraId="58EC96E7">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1</w:t>
                  </w:r>
                </w:p>
              </w:tc>
              <w:tc>
                <w:tcPr>
                  <w:tcW w:w="833" w:type="pct"/>
                  <w:noWrap w:val="0"/>
                  <w:vAlign w:val="center"/>
                </w:tcPr>
                <w:p w14:paraId="3EC6FF46">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2</w:t>
                  </w:r>
                </w:p>
              </w:tc>
              <w:tc>
                <w:tcPr>
                  <w:tcW w:w="833" w:type="pct"/>
                  <w:noWrap w:val="0"/>
                  <w:vAlign w:val="center"/>
                </w:tcPr>
                <w:p w14:paraId="43FB2D8B">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3</w:t>
                  </w:r>
                </w:p>
              </w:tc>
              <w:tc>
                <w:tcPr>
                  <w:tcW w:w="836" w:type="pct"/>
                  <w:noWrap w:val="0"/>
                  <w:vAlign w:val="center"/>
                </w:tcPr>
                <w:p w14:paraId="7183D929">
                  <w:pPr>
                    <w:adjustRightInd w:val="0"/>
                    <w:snapToGrid w:val="0"/>
                    <w:jc w:val="center"/>
                    <w:rPr>
                      <w:rFonts w:hint="default" w:ascii="Times New Roman" w:hAnsi="Times New Roman" w:eastAsia="仿宋" w:cs="Times New Roman"/>
                      <w:b/>
                      <w:color w:val="0000FF"/>
                      <w:szCs w:val="21"/>
                      <w:highlight w:val="none"/>
                    </w:rPr>
                  </w:pPr>
                  <w:r>
                    <w:rPr>
                      <w:rFonts w:hint="default" w:ascii="Times New Roman" w:hAnsi="Times New Roman" w:eastAsia="仿宋" w:cs="Times New Roman"/>
                      <w:b/>
                      <w:color w:val="0000FF"/>
                      <w:szCs w:val="21"/>
                      <w:highlight w:val="none"/>
                    </w:rPr>
                    <w:t>平均值</w:t>
                  </w:r>
                </w:p>
              </w:tc>
            </w:tr>
            <w:tr w14:paraId="2FCEF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noWrap w:val="0"/>
                  <w:vAlign w:val="center"/>
                </w:tcPr>
                <w:p w14:paraId="7BE3A4E5">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废气进口</w:t>
                  </w:r>
                </w:p>
              </w:tc>
              <w:tc>
                <w:tcPr>
                  <w:tcW w:w="833" w:type="pct"/>
                  <w:vMerge w:val="restart"/>
                  <w:noWrap w:val="0"/>
                  <w:vAlign w:val="center"/>
                </w:tcPr>
                <w:p w14:paraId="5F39853A">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2019.3.29</w:t>
                  </w:r>
                </w:p>
              </w:tc>
              <w:tc>
                <w:tcPr>
                  <w:tcW w:w="833" w:type="pct"/>
                  <w:noWrap w:val="0"/>
                  <w:vAlign w:val="center"/>
                </w:tcPr>
                <w:p w14:paraId="6DB7AE24">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4.22</w:t>
                  </w:r>
                </w:p>
              </w:tc>
              <w:tc>
                <w:tcPr>
                  <w:tcW w:w="833" w:type="pct"/>
                  <w:noWrap w:val="0"/>
                  <w:vAlign w:val="center"/>
                </w:tcPr>
                <w:p w14:paraId="0A398CF8">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3.48</w:t>
                  </w:r>
                </w:p>
              </w:tc>
              <w:tc>
                <w:tcPr>
                  <w:tcW w:w="833" w:type="pct"/>
                  <w:noWrap w:val="0"/>
                  <w:vAlign w:val="center"/>
                </w:tcPr>
                <w:p w14:paraId="23DDC3B1">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4.09</w:t>
                  </w:r>
                </w:p>
              </w:tc>
              <w:tc>
                <w:tcPr>
                  <w:tcW w:w="836" w:type="pct"/>
                  <w:noWrap w:val="0"/>
                  <w:vAlign w:val="center"/>
                </w:tcPr>
                <w:p w14:paraId="46847384">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3.93</w:t>
                  </w:r>
                </w:p>
              </w:tc>
            </w:tr>
            <w:tr w14:paraId="748D6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noWrap w:val="0"/>
                  <w:vAlign w:val="center"/>
                </w:tcPr>
                <w:p w14:paraId="4BF35CF4">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废气出口</w:t>
                  </w:r>
                </w:p>
              </w:tc>
              <w:tc>
                <w:tcPr>
                  <w:tcW w:w="833" w:type="pct"/>
                  <w:vMerge w:val="continue"/>
                  <w:noWrap w:val="0"/>
                  <w:vAlign w:val="center"/>
                </w:tcPr>
                <w:p w14:paraId="5F4EC1C4">
                  <w:pPr>
                    <w:adjustRightInd w:val="0"/>
                    <w:snapToGrid w:val="0"/>
                    <w:jc w:val="center"/>
                    <w:rPr>
                      <w:rFonts w:hint="default" w:ascii="Times New Roman" w:hAnsi="Times New Roman" w:eastAsia="仿宋" w:cs="Times New Roman"/>
                      <w:color w:val="0000FF"/>
                      <w:szCs w:val="21"/>
                      <w:highlight w:val="none"/>
                    </w:rPr>
                  </w:pPr>
                </w:p>
              </w:tc>
              <w:tc>
                <w:tcPr>
                  <w:tcW w:w="833" w:type="pct"/>
                  <w:noWrap w:val="0"/>
                  <w:vAlign w:val="center"/>
                </w:tcPr>
                <w:p w14:paraId="4843708F">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0.25</w:t>
                  </w:r>
                </w:p>
              </w:tc>
              <w:tc>
                <w:tcPr>
                  <w:tcW w:w="833" w:type="pct"/>
                  <w:noWrap w:val="0"/>
                  <w:vAlign w:val="center"/>
                </w:tcPr>
                <w:p w14:paraId="09722582">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0.29</w:t>
                  </w:r>
                </w:p>
              </w:tc>
              <w:tc>
                <w:tcPr>
                  <w:tcW w:w="833" w:type="pct"/>
                  <w:noWrap w:val="0"/>
                  <w:vAlign w:val="center"/>
                </w:tcPr>
                <w:p w14:paraId="3C0F9B9B">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0.25</w:t>
                  </w:r>
                </w:p>
              </w:tc>
              <w:tc>
                <w:tcPr>
                  <w:tcW w:w="836" w:type="pct"/>
                  <w:noWrap w:val="0"/>
                  <w:vAlign w:val="center"/>
                </w:tcPr>
                <w:p w14:paraId="00A7C4EB">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0.26</w:t>
                  </w:r>
                </w:p>
              </w:tc>
            </w:tr>
            <w:tr w14:paraId="456FD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noWrap w:val="0"/>
                  <w:vAlign w:val="center"/>
                </w:tcPr>
                <w:p w14:paraId="0E4F6F0A">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处理效率</w:t>
                  </w:r>
                </w:p>
              </w:tc>
              <w:tc>
                <w:tcPr>
                  <w:tcW w:w="833" w:type="pct"/>
                  <w:vMerge w:val="continue"/>
                  <w:noWrap w:val="0"/>
                  <w:vAlign w:val="center"/>
                </w:tcPr>
                <w:p w14:paraId="203F4A1D">
                  <w:pPr>
                    <w:adjustRightInd w:val="0"/>
                    <w:snapToGrid w:val="0"/>
                    <w:jc w:val="center"/>
                    <w:rPr>
                      <w:rFonts w:hint="default" w:ascii="Times New Roman" w:hAnsi="Times New Roman" w:eastAsia="仿宋" w:cs="Times New Roman"/>
                      <w:color w:val="0000FF"/>
                      <w:szCs w:val="21"/>
                      <w:highlight w:val="none"/>
                    </w:rPr>
                  </w:pPr>
                </w:p>
              </w:tc>
              <w:tc>
                <w:tcPr>
                  <w:tcW w:w="833" w:type="pct"/>
                  <w:noWrap w:val="0"/>
                  <w:vAlign w:val="center"/>
                </w:tcPr>
                <w:p w14:paraId="079EA0C0">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94.1</w:t>
                  </w:r>
                </w:p>
              </w:tc>
              <w:tc>
                <w:tcPr>
                  <w:tcW w:w="833" w:type="pct"/>
                  <w:noWrap w:val="0"/>
                  <w:vAlign w:val="center"/>
                </w:tcPr>
                <w:p w14:paraId="204AFCBE">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91.7</w:t>
                  </w:r>
                </w:p>
              </w:tc>
              <w:tc>
                <w:tcPr>
                  <w:tcW w:w="833" w:type="pct"/>
                  <w:noWrap w:val="0"/>
                  <w:vAlign w:val="center"/>
                </w:tcPr>
                <w:p w14:paraId="1947B126">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93.9</w:t>
                  </w:r>
                </w:p>
              </w:tc>
              <w:tc>
                <w:tcPr>
                  <w:tcW w:w="836" w:type="pct"/>
                  <w:noWrap w:val="0"/>
                  <w:vAlign w:val="center"/>
                </w:tcPr>
                <w:p w14:paraId="5190E46F">
                  <w:pPr>
                    <w:adjustRightInd w:val="0"/>
                    <w:snapToGrid w:val="0"/>
                    <w:jc w:val="center"/>
                    <w:rPr>
                      <w:rFonts w:hint="default" w:ascii="Times New Roman" w:hAnsi="Times New Roman" w:eastAsia="仿宋" w:cs="Times New Roman"/>
                      <w:color w:val="0000FF"/>
                      <w:szCs w:val="21"/>
                      <w:highlight w:val="none"/>
                    </w:rPr>
                  </w:pPr>
                  <w:r>
                    <w:rPr>
                      <w:rFonts w:hint="default" w:ascii="Times New Roman" w:hAnsi="Times New Roman" w:eastAsia="仿宋" w:cs="Times New Roman"/>
                      <w:color w:val="0000FF"/>
                      <w:szCs w:val="21"/>
                      <w:highlight w:val="none"/>
                    </w:rPr>
                    <w:t>93.4</w:t>
                  </w:r>
                </w:p>
              </w:tc>
            </w:tr>
          </w:tbl>
          <w:p w14:paraId="0253F28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0000FF"/>
                <w:sz w:val="24"/>
                <w:highlight w:val="none"/>
              </w:rPr>
            </w:pPr>
            <w:r>
              <w:rPr>
                <w:rFonts w:hint="default" w:ascii="Times New Roman" w:hAnsi="Times New Roman" w:eastAsia="仿宋" w:cs="Times New Roman"/>
                <w:color w:val="0000FF"/>
                <w:sz w:val="24"/>
                <w:highlight w:val="none"/>
              </w:rPr>
              <w:t>由上表可知，“两级活性炭吸附装置”对有机废气的去除效率平均在90%以上</w:t>
            </w:r>
            <w:r>
              <w:rPr>
                <w:rFonts w:hint="eastAsia" w:eastAsia="仿宋" w:cs="Times New Roman"/>
                <w:color w:val="0000FF"/>
                <w:sz w:val="24"/>
                <w:highlight w:val="none"/>
                <w:lang w:eastAsia="zh-CN"/>
              </w:rPr>
              <w:t>，</w:t>
            </w:r>
            <w:r>
              <w:rPr>
                <w:rFonts w:hint="eastAsia" w:eastAsia="仿宋" w:cs="Times New Roman"/>
                <w:color w:val="0000FF"/>
                <w:sz w:val="24"/>
                <w:highlight w:val="none"/>
                <w:lang w:val="en-US" w:eastAsia="zh-CN"/>
              </w:rPr>
              <w:t>故本项目两级活性炭吸附装置对非甲烷总烃的去除效率取90%是可行的</w:t>
            </w:r>
            <w:r>
              <w:rPr>
                <w:rFonts w:hint="default" w:ascii="Times New Roman" w:hAnsi="Times New Roman" w:eastAsia="仿宋" w:cs="Times New Roman"/>
                <w:color w:val="0000FF"/>
                <w:sz w:val="24"/>
                <w:highlight w:val="none"/>
              </w:rPr>
              <w:t>。</w:t>
            </w:r>
          </w:p>
          <w:p w14:paraId="5867FD4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仿宋" w:cs="Times New Roman"/>
                <w:color w:val="0000FF"/>
                <w:sz w:val="24"/>
                <w:highlight w:val="none"/>
                <w:lang w:val="en-US" w:eastAsia="zh-CN"/>
              </w:rPr>
            </w:pPr>
            <w:r>
              <w:rPr>
                <w:rFonts w:hint="eastAsia" w:eastAsia="仿宋" w:cs="Times New Roman"/>
                <w:color w:val="0000FF"/>
                <w:sz w:val="24"/>
                <w:highlight w:val="none"/>
                <w:lang w:val="en-US" w:eastAsia="zh-CN"/>
              </w:rPr>
              <w:t>&lt;3&gt;</w:t>
            </w:r>
            <w:r>
              <w:rPr>
                <w:rFonts w:hint="eastAsia" w:ascii="Times New Roman" w:hAnsi="Times New Roman" w:eastAsia="仿宋" w:cs="Times New Roman"/>
                <w:color w:val="0000FF"/>
                <w:sz w:val="24"/>
                <w:highlight w:val="none"/>
                <w:lang w:val="en-US" w:eastAsia="zh-CN"/>
              </w:rPr>
              <w:t>水旋除尘器</w:t>
            </w:r>
          </w:p>
          <w:p w14:paraId="495AFAA7">
            <w:pPr>
              <w:pStyle w:val="15"/>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eastAsia="仿宋"/>
                <w:bCs/>
                <w:color w:val="0000FF"/>
                <w:highlight w:val="none"/>
                <w:lang w:val="en-US" w:eastAsia="zh-CN"/>
              </w:rPr>
            </w:pPr>
            <w:r>
              <w:rPr>
                <w:rFonts w:hint="eastAsia" w:eastAsia="仿宋"/>
                <w:bCs/>
                <w:color w:val="0000FF"/>
                <w:highlight w:val="none"/>
                <w:lang w:val="en-US" w:eastAsia="zh-CN"/>
              </w:rPr>
              <w:t>本项目参考现有项目验收报告中江苏正远检验检测有限公司出具的“湿式除尘器”进出口中颗粒物检测数据（报告编号：HBH032），具体见下表。</w:t>
            </w:r>
          </w:p>
          <w:p w14:paraId="185E0010">
            <w:pPr>
              <w:jc w:val="center"/>
              <w:rPr>
                <w:rFonts w:eastAsia="仿宋"/>
                <w:b/>
                <w:color w:val="0000FF"/>
                <w:sz w:val="24"/>
                <w:highlight w:val="none"/>
              </w:rPr>
            </w:pPr>
            <w:r>
              <w:rPr>
                <w:rFonts w:hint="eastAsia" w:eastAsia="仿宋"/>
                <w:b/>
                <w:color w:val="0000FF"/>
                <w:sz w:val="24"/>
                <w:highlight w:val="none"/>
              </w:rPr>
              <w:t>表4-</w:t>
            </w:r>
            <w:r>
              <w:rPr>
                <w:rFonts w:hint="eastAsia" w:eastAsia="仿宋"/>
                <w:b/>
                <w:color w:val="0000FF"/>
                <w:sz w:val="24"/>
                <w:highlight w:val="none"/>
                <w:lang w:val="en-US" w:eastAsia="zh-CN"/>
              </w:rPr>
              <w:t>9</w:t>
            </w:r>
            <w:r>
              <w:rPr>
                <w:rFonts w:hint="eastAsia" w:eastAsia="仿宋"/>
                <w:b/>
                <w:color w:val="0000FF"/>
                <w:sz w:val="24"/>
                <w:highlight w:val="none"/>
              </w:rPr>
              <w:t xml:space="preserve"> </w:t>
            </w:r>
            <w:r>
              <w:rPr>
                <w:rFonts w:hint="eastAsia" w:eastAsia="仿宋"/>
                <w:b/>
                <w:color w:val="0000FF"/>
                <w:sz w:val="24"/>
                <w:highlight w:val="none"/>
                <w:lang w:val="en-US" w:eastAsia="zh-CN"/>
              </w:rPr>
              <w:t xml:space="preserve"> </w:t>
            </w:r>
            <w:r>
              <w:rPr>
                <w:rFonts w:hint="eastAsia" w:eastAsia="仿宋"/>
                <w:b/>
                <w:color w:val="0000FF"/>
                <w:sz w:val="24"/>
                <w:highlight w:val="none"/>
              </w:rPr>
              <w:t xml:space="preserve"> 工程实例废气监测结果表</w:t>
            </w:r>
          </w:p>
          <w:tbl>
            <w:tblPr>
              <w:tblStyle w:val="29"/>
              <w:tblW w:w="497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56"/>
              <w:gridCol w:w="775"/>
              <w:gridCol w:w="974"/>
              <w:gridCol w:w="879"/>
              <w:gridCol w:w="879"/>
              <w:gridCol w:w="883"/>
              <w:gridCol w:w="879"/>
              <w:gridCol w:w="879"/>
              <w:gridCol w:w="884"/>
              <w:gridCol w:w="559"/>
              <w:gridCol w:w="490"/>
            </w:tblGrid>
            <w:tr w14:paraId="4799BC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exact"/>
              </w:trPr>
              <w:tc>
                <w:tcPr>
                  <w:tcW w:w="670" w:type="pct"/>
                  <w:gridSpan w:val="2"/>
                  <w:vMerge w:val="restart"/>
                  <w:noWrap w:val="0"/>
                  <w:vAlign w:val="center"/>
                </w:tcPr>
                <w:p w14:paraId="2CF61069">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监测点位</w:t>
                  </w:r>
                </w:p>
              </w:tc>
              <w:tc>
                <w:tcPr>
                  <w:tcW w:w="577" w:type="pct"/>
                  <w:vMerge w:val="restart"/>
                  <w:noWrap w:val="0"/>
                  <w:vAlign w:val="center"/>
                </w:tcPr>
                <w:p w14:paraId="6BC313D8">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监测项目</w:t>
                  </w:r>
                </w:p>
              </w:tc>
              <w:tc>
                <w:tcPr>
                  <w:tcW w:w="3131" w:type="pct"/>
                  <w:gridSpan w:val="6"/>
                  <w:noWrap w:val="0"/>
                  <w:vAlign w:val="center"/>
                </w:tcPr>
                <w:p w14:paraId="7AA47E55">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监测结果（mg/L）</w:t>
                  </w:r>
                </w:p>
              </w:tc>
              <w:tc>
                <w:tcPr>
                  <w:tcW w:w="331" w:type="pct"/>
                  <w:vMerge w:val="restart"/>
                  <w:noWrap w:val="0"/>
                  <w:vAlign w:val="center"/>
                </w:tcPr>
                <w:p w14:paraId="4609C461">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处理效率%</w:t>
                  </w:r>
                </w:p>
              </w:tc>
              <w:tc>
                <w:tcPr>
                  <w:tcW w:w="290" w:type="pct"/>
                  <w:vMerge w:val="restart"/>
                  <w:noWrap w:val="0"/>
                  <w:vAlign w:val="center"/>
                </w:tcPr>
                <w:p w14:paraId="6AC577AD">
                  <w:pPr>
                    <w:kinsoku w:val="0"/>
                    <w:overflowPunct w:val="0"/>
                    <w:autoSpaceDE w:val="0"/>
                    <w:autoSpaceDN w:val="0"/>
                    <w:adjustRightInd w:val="0"/>
                    <w:jc w:val="center"/>
                    <w:rPr>
                      <w:rFonts w:hint="default" w:ascii="Times New Roman" w:hAnsi="Times New Roman" w:eastAsia="仿宋" w:cs="Times New Roman"/>
                      <w:b/>
                      <w:bCs/>
                      <w:color w:val="0000FF"/>
                      <w:w w:val="99"/>
                      <w:kern w:val="0"/>
                      <w:sz w:val="15"/>
                      <w:szCs w:val="15"/>
                      <w:highlight w:val="none"/>
                    </w:rPr>
                  </w:pPr>
                  <w:r>
                    <w:rPr>
                      <w:rFonts w:hint="default" w:ascii="Times New Roman" w:hAnsi="Times New Roman" w:eastAsia="仿宋" w:cs="Times New Roman"/>
                      <w:b/>
                      <w:bCs/>
                      <w:color w:val="0000FF"/>
                      <w:w w:val="99"/>
                      <w:kern w:val="0"/>
                      <w:sz w:val="15"/>
                      <w:szCs w:val="15"/>
                      <w:highlight w:val="none"/>
                    </w:rPr>
                    <w:t>标准</w:t>
                  </w:r>
                </w:p>
                <w:p w14:paraId="4D328B78">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w w:val="99"/>
                      <w:kern w:val="0"/>
                      <w:sz w:val="15"/>
                      <w:szCs w:val="15"/>
                      <w:highlight w:val="none"/>
                      <w:lang w:eastAsia="zh-CN"/>
                    </w:rPr>
                    <w:t>限值</w:t>
                  </w:r>
                </w:p>
              </w:tc>
            </w:tr>
            <w:tr w14:paraId="6D09D4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9" w:hRule="exact"/>
              </w:trPr>
              <w:tc>
                <w:tcPr>
                  <w:tcW w:w="670" w:type="pct"/>
                  <w:gridSpan w:val="2"/>
                  <w:vMerge w:val="continue"/>
                  <w:noWrap w:val="0"/>
                  <w:vAlign w:val="center"/>
                </w:tcPr>
                <w:p w14:paraId="5284686D">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577" w:type="pct"/>
                  <w:vMerge w:val="continue"/>
                  <w:noWrap w:val="0"/>
                  <w:vAlign w:val="center"/>
                </w:tcPr>
                <w:p w14:paraId="6ED512F7">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1565" w:type="pct"/>
                  <w:gridSpan w:val="3"/>
                  <w:noWrap w:val="0"/>
                  <w:vAlign w:val="center"/>
                </w:tcPr>
                <w:p w14:paraId="2A14BFAA">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2022年</w:t>
                  </w:r>
                  <w:r>
                    <w:rPr>
                      <w:rFonts w:hint="default" w:ascii="Times New Roman" w:hAnsi="Times New Roman" w:eastAsia="仿宋" w:cs="Times New Roman"/>
                      <w:b/>
                      <w:bCs/>
                      <w:color w:val="0000FF"/>
                      <w:spacing w:val="-55"/>
                      <w:kern w:val="0"/>
                      <w:sz w:val="15"/>
                      <w:szCs w:val="15"/>
                      <w:highlight w:val="none"/>
                    </w:rPr>
                    <w:t xml:space="preserve"> </w:t>
                  </w:r>
                  <w:r>
                    <w:rPr>
                      <w:rFonts w:hint="default" w:ascii="Times New Roman" w:hAnsi="Times New Roman" w:eastAsia="仿宋" w:cs="Times New Roman"/>
                      <w:b/>
                      <w:bCs/>
                      <w:color w:val="0000FF"/>
                      <w:kern w:val="0"/>
                      <w:sz w:val="15"/>
                      <w:szCs w:val="15"/>
                      <w:highlight w:val="none"/>
                    </w:rPr>
                    <w:t>08月25日</w:t>
                  </w:r>
                </w:p>
              </w:tc>
              <w:tc>
                <w:tcPr>
                  <w:tcW w:w="1566" w:type="pct"/>
                  <w:gridSpan w:val="3"/>
                  <w:noWrap w:val="0"/>
                  <w:vAlign w:val="center"/>
                </w:tcPr>
                <w:p w14:paraId="4102AA2E">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2022年</w:t>
                  </w:r>
                  <w:r>
                    <w:rPr>
                      <w:rFonts w:hint="default" w:ascii="Times New Roman" w:hAnsi="Times New Roman" w:eastAsia="仿宋" w:cs="Times New Roman"/>
                      <w:b/>
                      <w:bCs/>
                      <w:color w:val="0000FF"/>
                      <w:spacing w:val="-52"/>
                      <w:kern w:val="0"/>
                      <w:sz w:val="15"/>
                      <w:szCs w:val="15"/>
                      <w:highlight w:val="none"/>
                    </w:rPr>
                    <w:t xml:space="preserve"> </w:t>
                  </w:r>
                  <w:r>
                    <w:rPr>
                      <w:rFonts w:hint="default" w:ascii="Times New Roman" w:hAnsi="Times New Roman" w:eastAsia="仿宋" w:cs="Times New Roman"/>
                      <w:b/>
                      <w:bCs/>
                      <w:color w:val="0000FF"/>
                      <w:kern w:val="0"/>
                      <w:sz w:val="15"/>
                      <w:szCs w:val="15"/>
                      <w:highlight w:val="none"/>
                    </w:rPr>
                    <w:t>08月26日</w:t>
                  </w:r>
                </w:p>
              </w:tc>
              <w:tc>
                <w:tcPr>
                  <w:tcW w:w="331" w:type="pct"/>
                  <w:vMerge w:val="continue"/>
                  <w:noWrap w:val="0"/>
                  <w:vAlign w:val="center"/>
                </w:tcPr>
                <w:p w14:paraId="0B2D3D63">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290" w:type="pct"/>
                  <w:vMerge w:val="continue"/>
                  <w:noWrap w:val="0"/>
                  <w:vAlign w:val="center"/>
                </w:tcPr>
                <w:p w14:paraId="11B6E68B">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r>
            <w:tr w14:paraId="3C733F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exact"/>
              </w:trPr>
              <w:tc>
                <w:tcPr>
                  <w:tcW w:w="670" w:type="pct"/>
                  <w:gridSpan w:val="2"/>
                  <w:vMerge w:val="continue"/>
                  <w:noWrap w:val="0"/>
                  <w:vAlign w:val="center"/>
                </w:tcPr>
                <w:p w14:paraId="09D966BA">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577" w:type="pct"/>
                  <w:vMerge w:val="continue"/>
                  <w:noWrap w:val="0"/>
                  <w:vAlign w:val="center"/>
                </w:tcPr>
                <w:p w14:paraId="6D187FEB">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521" w:type="pct"/>
                  <w:noWrap w:val="0"/>
                  <w:vAlign w:val="center"/>
                </w:tcPr>
                <w:p w14:paraId="75F3ABBF">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第一次</w:t>
                  </w:r>
                </w:p>
              </w:tc>
              <w:tc>
                <w:tcPr>
                  <w:tcW w:w="521" w:type="pct"/>
                  <w:noWrap w:val="0"/>
                  <w:vAlign w:val="center"/>
                </w:tcPr>
                <w:p w14:paraId="120FFE3D">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第二次</w:t>
                  </w:r>
                </w:p>
              </w:tc>
              <w:tc>
                <w:tcPr>
                  <w:tcW w:w="523" w:type="pct"/>
                  <w:noWrap w:val="0"/>
                  <w:vAlign w:val="center"/>
                </w:tcPr>
                <w:p w14:paraId="1AB5F6DC">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第三次</w:t>
                  </w:r>
                </w:p>
              </w:tc>
              <w:tc>
                <w:tcPr>
                  <w:tcW w:w="521" w:type="pct"/>
                  <w:noWrap w:val="0"/>
                  <w:vAlign w:val="center"/>
                </w:tcPr>
                <w:p w14:paraId="113364E0">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第一次</w:t>
                  </w:r>
                </w:p>
              </w:tc>
              <w:tc>
                <w:tcPr>
                  <w:tcW w:w="521" w:type="pct"/>
                  <w:noWrap w:val="0"/>
                  <w:vAlign w:val="center"/>
                </w:tcPr>
                <w:p w14:paraId="6D2B0EAB">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第二次</w:t>
                  </w:r>
                </w:p>
              </w:tc>
              <w:tc>
                <w:tcPr>
                  <w:tcW w:w="523" w:type="pct"/>
                  <w:noWrap w:val="0"/>
                  <w:vAlign w:val="center"/>
                </w:tcPr>
                <w:p w14:paraId="3BEDD9B3">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b/>
                      <w:bCs/>
                      <w:color w:val="0000FF"/>
                      <w:kern w:val="0"/>
                      <w:sz w:val="15"/>
                      <w:szCs w:val="15"/>
                      <w:highlight w:val="none"/>
                    </w:rPr>
                    <w:t>第三次</w:t>
                  </w:r>
                </w:p>
              </w:tc>
              <w:tc>
                <w:tcPr>
                  <w:tcW w:w="331" w:type="pct"/>
                  <w:vMerge w:val="continue"/>
                  <w:noWrap w:val="0"/>
                  <w:vAlign w:val="center"/>
                </w:tcPr>
                <w:p w14:paraId="13FDE3ED">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290" w:type="pct"/>
                  <w:vMerge w:val="continue"/>
                  <w:noWrap w:val="0"/>
                  <w:vAlign w:val="center"/>
                </w:tcPr>
                <w:p w14:paraId="2046154C">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r>
            <w:tr w14:paraId="3A24E5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6" w:hRule="exact"/>
              </w:trPr>
              <w:tc>
                <w:tcPr>
                  <w:tcW w:w="211" w:type="pct"/>
                  <w:vMerge w:val="restart"/>
                  <w:noWrap w:val="0"/>
                  <w:vAlign w:val="center"/>
                </w:tcPr>
                <w:p w14:paraId="67029FAF">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P1</w:t>
                  </w:r>
                </w:p>
              </w:tc>
              <w:tc>
                <w:tcPr>
                  <w:tcW w:w="458" w:type="pct"/>
                  <w:vMerge w:val="restart"/>
                  <w:noWrap w:val="0"/>
                  <w:vAlign w:val="center"/>
                </w:tcPr>
                <w:p w14:paraId="5ACADD0C">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进口</w:t>
                  </w:r>
                </w:p>
                <w:p w14:paraId="458ECEE8">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（颗粒物）</w:t>
                  </w:r>
                </w:p>
              </w:tc>
              <w:tc>
                <w:tcPr>
                  <w:tcW w:w="577" w:type="pct"/>
                  <w:noWrap w:val="0"/>
                  <w:vAlign w:val="center"/>
                </w:tcPr>
                <w:p w14:paraId="4FE9161E">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标干流量</w:t>
                  </w:r>
                  <w:r>
                    <w:rPr>
                      <w:rFonts w:hint="default" w:ascii="Times New Roman" w:hAnsi="Times New Roman" w:eastAsia="仿宋" w:cs="Times New Roman"/>
                      <w:color w:val="0000FF"/>
                      <w:spacing w:val="-54"/>
                      <w:kern w:val="0"/>
                      <w:sz w:val="15"/>
                      <w:szCs w:val="15"/>
                      <w:highlight w:val="none"/>
                    </w:rPr>
                    <w:t xml:space="preserve"> </w:t>
                  </w:r>
                  <w:r>
                    <w:rPr>
                      <w:rFonts w:hint="default" w:ascii="Times New Roman" w:hAnsi="Times New Roman" w:eastAsia="仿宋" w:cs="Times New Roman"/>
                      <w:color w:val="0000FF"/>
                      <w:kern w:val="0"/>
                      <w:sz w:val="15"/>
                      <w:szCs w:val="15"/>
                      <w:highlight w:val="none"/>
                    </w:rPr>
                    <w:t>Nm</w:t>
                  </w:r>
                  <w:r>
                    <w:rPr>
                      <w:rFonts w:hint="default" w:ascii="Times New Roman" w:hAnsi="Times New Roman" w:eastAsia="仿宋" w:cs="Times New Roman"/>
                      <w:color w:val="0000FF"/>
                      <w:kern w:val="0"/>
                      <w:sz w:val="15"/>
                      <w:szCs w:val="15"/>
                      <w:highlight w:val="none"/>
                      <w:vertAlign w:val="superscript"/>
                      <w:lang w:val="en-US" w:eastAsia="zh-CN"/>
                    </w:rPr>
                    <w:t>3</w:t>
                  </w:r>
                  <w:r>
                    <w:rPr>
                      <w:rFonts w:hint="default" w:ascii="Times New Roman" w:hAnsi="Times New Roman" w:eastAsia="仿宋" w:cs="Times New Roman"/>
                      <w:color w:val="0000FF"/>
                      <w:kern w:val="0"/>
                      <w:sz w:val="15"/>
                      <w:szCs w:val="15"/>
                      <w:highlight w:val="none"/>
                    </w:rPr>
                    <w:t>/h</w:t>
                  </w:r>
                </w:p>
              </w:tc>
              <w:tc>
                <w:tcPr>
                  <w:tcW w:w="521" w:type="pct"/>
                  <w:noWrap w:val="0"/>
                  <w:vAlign w:val="center"/>
                </w:tcPr>
                <w:p w14:paraId="4E65FF75">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7589</w:t>
                  </w:r>
                </w:p>
              </w:tc>
              <w:tc>
                <w:tcPr>
                  <w:tcW w:w="521" w:type="pct"/>
                  <w:noWrap w:val="0"/>
                  <w:vAlign w:val="center"/>
                </w:tcPr>
                <w:p w14:paraId="25524EDA">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7594</w:t>
                  </w:r>
                </w:p>
              </w:tc>
              <w:tc>
                <w:tcPr>
                  <w:tcW w:w="523" w:type="pct"/>
                  <w:noWrap w:val="0"/>
                  <w:vAlign w:val="center"/>
                </w:tcPr>
                <w:p w14:paraId="65B7F66A">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7531</w:t>
                  </w:r>
                </w:p>
              </w:tc>
              <w:tc>
                <w:tcPr>
                  <w:tcW w:w="521" w:type="pct"/>
                  <w:noWrap w:val="0"/>
                  <w:vAlign w:val="center"/>
                </w:tcPr>
                <w:p w14:paraId="4F327C8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7299</w:t>
                  </w:r>
                </w:p>
              </w:tc>
              <w:tc>
                <w:tcPr>
                  <w:tcW w:w="521" w:type="pct"/>
                  <w:noWrap w:val="0"/>
                  <w:vAlign w:val="center"/>
                </w:tcPr>
                <w:p w14:paraId="58021518">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7362</w:t>
                  </w:r>
                </w:p>
              </w:tc>
              <w:tc>
                <w:tcPr>
                  <w:tcW w:w="523" w:type="pct"/>
                  <w:noWrap w:val="0"/>
                  <w:vAlign w:val="center"/>
                </w:tcPr>
                <w:p w14:paraId="2BD7787C">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7342</w:t>
                  </w:r>
                </w:p>
              </w:tc>
              <w:tc>
                <w:tcPr>
                  <w:tcW w:w="331" w:type="pct"/>
                  <w:noWrap w:val="0"/>
                  <w:vAlign w:val="center"/>
                </w:tcPr>
                <w:p w14:paraId="4C06665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c>
                <w:tcPr>
                  <w:tcW w:w="290" w:type="pct"/>
                  <w:noWrap w:val="0"/>
                  <w:vAlign w:val="center"/>
                </w:tcPr>
                <w:p w14:paraId="3D139D7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r>
            <w:tr w14:paraId="4F4E09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1" w:hRule="exact"/>
              </w:trPr>
              <w:tc>
                <w:tcPr>
                  <w:tcW w:w="211" w:type="pct"/>
                  <w:vMerge w:val="continue"/>
                  <w:noWrap w:val="0"/>
                  <w:vAlign w:val="center"/>
                </w:tcPr>
                <w:p w14:paraId="711BB172">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458" w:type="pct"/>
                  <w:vMerge w:val="continue"/>
                  <w:noWrap w:val="0"/>
                  <w:vAlign w:val="center"/>
                </w:tcPr>
                <w:p w14:paraId="2E15BE0A">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577" w:type="pct"/>
                  <w:noWrap w:val="0"/>
                  <w:vAlign w:val="center"/>
                </w:tcPr>
                <w:p w14:paraId="3DBB9BD9">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排放浓度</w:t>
                  </w:r>
                  <w:r>
                    <w:rPr>
                      <w:rFonts w:hint="default" w:ascii="Times New Roman" w:hAnsi="Times New Roman" w:eastAsia="仿宋" w:cs="Times New Roman"/>
                      <w:color w:val="0000FF"/>
                      <w:spacing w:val="-64"/>
                      <w:kern w:val="0"/>
                      <w:sz w:val="15"/>
                      <w:szCs w:val="15"/>
                      <w:highlight w:val="none"/>
                    </w:rPr>
                    <w:t xml:space="preserve"> </w:t>
                  </w:r>
                  <w:r>
                    <w:rPr>
                      <w:rFonts w:hint="default" w:ascii="Times New Roman" w:hAnsi="Times New Roman" w:eastAsia="仿宋" w:cs="Times New Roman"/>
                      <w:color w:val="0000FF"/>
                      <w:kern w:val="0"/>
                      <w:sz w:val="15"/>
                      <w:szCs w:val="15"/>
                      <w:highlight w:val="none"/>
                    </w:rPr>
                    <w:t>mg/m</w:t>
                  </w:r>
                  <w:r>
                    <w:rPr>
                      <w:rFonts w:hint="default" w:ascii="Times New Roman" w:hAnsi="Times New Roman" w:eastAsia="仿宋" w:cs="Times New Roman"/>
                      <w:color w:val="0000FF"/>
                      <w:kern w:val="0"/>
                      <w:sz w:val="15"/>
                      <w:szCs w:val="15"/>
                      <w:highlight w:val="none"/>
                      <w:vertAlign w:val="superscript"/>
                      <w:lang w:val="en-US" w:eastAsia="zh-CN"/>
                    </w:rPr>
                    <w:t>3</w:t>
                  </w:r>
                </w:p>
              </w:tc>
              <w:tc>
                <w:tcPr>
                  <w:tcW w:w="521" w:type="pct"/>
                  <w:noWrap w:val="0"/>
                  <w:vAlign w:val="center"/>
                </w:tcPr>
                <w:p w14:paraId="30F358B5">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7.6</w:t>
                  </w:r>
                </w:p>
              </w:tc>
              <w:tc>
                <w:tcPr>
                  <w:tcW w:w="521" w:type="pct"/>
                  <w:noWrap w:val="0"/>
                  <w:vAlign w:val="center"/>
                </w:tcPr>
                <w:p w14:paraId="51C3B935">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8.9</w:t>
                  </w:r>
                </w:p>
              </w:tc>
              <w:tc>
                <w:tcPr>
                  <w:tcW w:w="523" w:type="pct"/>
                  <w:noWrap w:val="0"/>
                  <w:vAlign w:val="center"/>
                </w:tcPr>
                <w:p w14:paraId="4D61B8A3">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8.3</w:t>
                  </w:r>
                </w:p>
              </w:tc>
              <w:tc>
                <w:tcPr>
                  <w:tcW w:w="521" w:type="pct"/>
                  <w:noWrap w:val="0"/>
                  <w:vAlign w:val="center"/>
                </w:tcPr>
                <w:p w14:paraId="2909492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7.3</w:t>
                  </w:r>
                </w:p>
              </w:tc>
              <w:tc>
                <w:tcPr>
                  <w:tcW w:w="521" w:type="pct"/>
                  <w:noWrap w:val="0"/>
                  <w:vAlign w:val="center"/>
                </w:tcPr>
                <w:p w14:paraId="0BA85E7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7.5</w:t>
                  </w:r>
                </w:p>
              </w:tc>
              <w:tc>
                <w:tcPr>
                  <w:tcW w:w="523" w:type="pct"/>
                  <w:noWrap w:val="0"/>
                  <w:vAlign w:val="center"/>
                </w:tcPr>
                <w:p w14:paraId="0354B76A">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8.0</w:t>
                  </w:r>
                </w:p>
              </w:tc>
              <w:tc>
                <w:tcPr>
                  <w:tcW w:w="331" w:type="pct"/>
                  <w:noWrap w:val="0"/>
                  <w:vAlign w:val="center"/>
                </w:tcPr>
                <w:p w14:paraId="377ABF1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c>
                <w:tcPr>
                  <w:tcW w:w="290" w:type="pct"/>
                  <w:noWrap w:val="0"/>
                  <w:vAlign w:val="center"/>
                </w:tcPr>
                <w:p w14:paraId="55850F8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r>
            <w:tr w14:paraId="650E25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1" w:hRule="exact"/>
              </w:trPr>
              <w:tc>
                <w:tcPr>
                  <w:tcW w:w="211" w:type="pct"/>
                  <w:vMerge w:val="continue"/>
                  <w:noWrap w:val="0"/>
                  <w:vAlign w:val="center"/>
                </w:tcPr>
                <w:p w14:paraId="090538DD">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458" w:type="pct"/>
                  <w:vMerge w:val="continue"/>
                  <w:noWrap w:val="0"/>
                  <w:vAlign w:val="center"/>
                </w:tcPr>
                <w:p w14:paraId="626CD99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577" w:type="pct"/>
                  <w:noWrap w:val="0"/>
                  <w:vAlign w:val="center"/>
                </w:tcPr>
                <w:p w14:paraId="037E085A">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排放速率</w:t>
                  </w:r>
                  <w:r>
                    <w:rPr>
                      <w:rFonts w:hint="default" w:ascii="Times New Roman" w:hAnsi="Times New Roman" w:eastAsia="仿宋" w:cs="Times New Roman"/>
                      <w:color w:val="0000FF"/>
                      <w:spacing w:val="-57"/>
                      <w:kern w:val="0"/>
                      <w:sz w:val="15"/>
                      <w:szCs w:val="15"/>
                      <w:highlight w:val="none"/>
                    </w:rPr>
                    <w:t xml:space="preserve"> </w:t>
                  </w:r>
                  <w:r>
                    <w:rPr>
                      <w:rFonts w:hint="default" w:ascii="Times New Roman" w:hAnsi="Times New Roman" w:eastAsia="仿宋" w:cs="Times New Roman"/>
                      <w:color w:val="0000FF"/>
                      <w:kern w:val="0"/>
                      <w:sz w:val="15"/>
                      <w:szCs w:val="15"/>
                      <w:highlight w:val="none"/>
                    </w:rPr>
                    <w:t>kg/h</w:t>
                  </w:r>
                </w:p>
              </w:tc>
              <w:tc>
                <w:tcPr>
                  <w:tcW w:w="521" w:type="pct"/>
                  <w:noWrap w:val="0"/>
                  <w:vAlign w:val="center"/>
                </w:tcPr>
                <w:p w14:paraId="1BA06F06">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0.058</w:t>
                  </w:r>
                </w:p>
              </w:tc>
              <w:tc>
                <w:tcPr>
                  <w:tcW w:w="521" w:type="pct"/>
                  <w:noWrap w:val="0"/>
                  <w:vAlign w:val="center"/>
                </w:tcPr>
                <w:p w14:paraId="7E811C66">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0.068</w:t>
                  </w:r>
                </w:p>
              </w:tc>
              <w:tc>
                <w:tcPr>
                  <w:tcW w:w="523" w:type="pct"/>
                  <w:noWrap w:val="0"/>
                  <w:vAlign w:val="center"/>
                </w:tcPr>
                <w:p w14:paraId="14E6F0EB">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0.063</w:t>
                  </w:r>
                </w:p>
              </w:tc>
              <w:tc>
                <w:tcPr>
                  <w:tcW w:w="521" w:type="pct"/>
                  <w:noWrap w:val="0"/>
                  <w:vAlign w:val="center"/>
                </w:tcPr>
                <w:p w14:paraId="7A56505D">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0.053</w:t>
                  </w:r>
                </w:p>
              </w:tc>
              <w:tc>
                <w:tcPr>
                  <w:tcW w:w="521" w:type="pct"/>
                  <w:noWrap w:val="0"/>
                  <w:vAlign w:val="center"/>
                </w:tcPr>
                <w:p w14:paraId="59D514A1">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0.055</w:t>
                  </w:r>
                </w:p>
              </w:tc>
              <w:tc>
                <w:tcPr>
                  <w:tcW w:w="523" w:type="pct"/>
                  <w:noWrap w:val="0"/>
                  <w:vAlign w:val="center"/>
                </w:tcPr>
                <w:p w14:paraId="036621A6">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0.059</w:t>
                  </w:r>
                </w:p>
              </w:tc>
              <w:tc>
                <w:tcPr>
                  <w:tcW w:w="331" w:type="pct"/>
                  <w:noWrap w:val="0"/>
                  <w:vAlign w:val="center"/>
                </w:tcPr>
                <w:p w14:paraId="48ADA489">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c>
                <w:tcPr>
                  <w:tcW w:w="290" w:type="pct"/>
                  <w:noWrap w:val="0"/>
                  <w:vAlign w:val="center"/>
                </w:tcPr>
                <w:p w14:paraId="56B7AB6F">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r>
            <w:tr w14:paraId="04CCFF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6" w:hRule="exact"/>
              </w:trPr>
              <w:tc>
                <w:tcPr>
                  <w:tcW w:w="211" w:type="pct"/>
                  <w:vMerge w:val="continue"/>
                  <w:noWrap w:val="0"/>
                  <w:vAlign w:val="center"/>
                </w:tcPr>
                <w:p w14:paraId="711C5908">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458" w:type="pct"/>
                  <w:vMerge w:val="restart"/>
                  <w:noWrap w:val="0"/>
                  <w:vAlign w:val="center"/>
                </w:tcPr>
                <w:p w14:paraId="467286AF">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出口</w:t>
                  </w:r>
                </w:p>
                <w:p w14:paraId="4C75043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（颗粒物）</w:t>
                  </w:r>
                </w:p>
              </w:tc>
              <w:tc>
                <w:tcPr>
                  <w:tcW w:w="577" w:type="pct"/>
                  <w:noWrap w:val="0"/>
                  <w:vAlign w:val="center"/>
                </w:tcPr>
                <w:p w14:paraId="535EC059">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标干流量</w:t>
                  </w:r>
                  <w:r>
                    <w:rPr>
                      <w:rFonts w:hint="default" w:ascii="Times New Roman" w:hAnsi="Times New Roman" w:eastAsia="仿宋" w:cs="Times New Roman"/>
                      <w:color w:val="0000FF"/>
                      <w:spacing w:val="-54"/>
                      <w:kern w:val="0"/>
                      <w:sz w:val="15"/>
                      <w:szCs w:val="15"/>
                      <w:highlight w:val="none"/>
                    </w:rPr>
                    <w:t xml:space="preserve"> </w:t>
                  </w:r>
                  <w:r>
                    <w:rPr>
                      <w:rFonts w:hint="default" w:ascii="Times New Roman" w:hAnsi="Times New Roman" w:eastAsia="仿宋" w:cs="Times New Roman"/>
                      <w:color w:val="0000FF"/>
                      <w:kern w:val="0"/>
                      <w:sz w:val="15"/>
                      <w:szCs w:val="15"/>
                      <w:highlight w:val="none"/>
                    </w:rPr>
                    <w:t>Nm</w:t>
                  </w:r>
                  <w:r>
                    <w:rPr>
                      <w:rFonts w:hint="default" w:ascii="Times New Roman" w:hAnsi="Times New Roman" w:eastAsia="仿宋" w:cs="Times New Roman"/>
                      <w:color w:val="0000FF"/>
                      <w:kern w:val="0"/>
                      <w:sz w:val="15"/>
                      <w:szCs w:val="15"/>
                      <w:highlight w:val="none"/>
                      <w:vertAlign w:val="superscript"/>
                      <w:lang w:val="en-US" w:eastAsia="zh-CN"/>
                    </w:rPr>
                    <w:t>3</w:t>
                  </w:r>
                  <w:r>
                    <w:rPr>
                      <w:rFonts w:hint="default" w:ascii="Times New Roman" w:hAnsi="Times New Roman" w:eastAsia="仿宋" w:cs="Times New Roman"/>
                      <w:color w:val="0000FF"/>
                      <w:kern w:val="0"/>
                      <w:sz w:val="15"/>
                      <w:szCs w:val="15"/>
                      <w:highlight w:val="none"/>
                    </w:rPr>
                    <w:t>/h</w:t>
                  </w:r>
                </w:p>
              </w:tc>
              <w:tc>
                <w:tcPr>
                  <w:tcW w:w="521" w:type="pct"/>
                  <w:noWrap w:val="0"/>
                  <w:vAlign w:val="center"/>
                </w:tcPr>
                <w:p w14:paraId="3C002ADB">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7205</w:t>
                  </w:r>
                </w:p>
              </w:tc>
              <w:tc>
                <w:tcPr>
                  <w:tcW w:w="521" w:type="pct"/>
                  <w:noWrap w:val="0"/>
                  <w:vAlign w:val="center"/>
                </w:tcPr>
                <w:p w14:paraId="2A799CD6">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6925</w:t>
                  </w:r>
                </w:p>
              </w:tc>
              <w:tc>
                <w:tcPr>
                  <w:tcW w:w="523" w:type="pct"/>
                  <w:noWrap w:val="0"/>
                  <w:vAlign w:val="center"/>
                </w:tcPr>
                <w:p w14:paraId="57112969">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6957</w:t>
                  </w:r>
                </w:p>
              </w:tc>
              <w:tc>
                <w:tcPr>
                  <w:tcW w:w="521" w:type="pct"/>
                  <w:noWrap w:val="0"/>
                  <w:vAlign w:val="center"/>
                </w:tcPr>
                <w:p w14:paraId="695A1D8C">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6475</w:t>
                  </w:r>
                </w:p>
              </w:tc>
              <w:tc>
                <w:tcPr>
                  <w:tcW w:w="521" w:type="pct"/>
                  <w:noWrap w:val="0"/>
                  <w:vAlign w:val="center"/>
                </w:tcPr>
                <w:p w14:paraId="0BE13850">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6718</w:t>
                  </w:r>
                </w:p>
              </w:tc>
              <w:tc>
                <w:tcPr>
                  <w:tcW w:w="523" w:type="pct"/>
                  <w:noWrap w:val="0"/>
                  <w:vAlign w:val="center"/>
                </w:tcPr>
                <w:p w14:paraId="7834CB6D">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6727</w:t>
                  </w:r>
                </w:p>
              </w:tc>
              <w:tc>
                <w:tcPr>
                  <w:tcW w:w="331" w:type="pct"/>
                  <w:noWrap w:val="0"/>
                  <w:vAlign w:val="center"/>
                </w:tcPr>
                <w:p w14:paraId="5E2AB6CE">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c>
                <w:tcPr>
                  <w:tcW w:w="290" w:type="pct"/>
                  <w:noWrap w:val="0"/>
                  <w:vAlign w:val="center"/>
                </w:tcPr>
                <w:p w14:paraId="753871BE">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r>
            <w:tr w14:paraId="61A063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0" w:hRule="exact"/>
              </w:trPr>
              <w:tc>
                <w:tcPr>
                  <w:tcW w:w="211" w:type="pct"/>
                  <w:vMerge w:val="continue"/>
                  <w:noWrap w:val="0"/>
                  <w:vAlign w:val="center"/>
                </w:tcPr>
                <w:p w14:paraId="0A950AEB">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458" w:type="pct"/>
                  <w:vMerge w:val="continue"/>
                  <w:noWrap w:val="0"/>
                  <w:vAlign w:val="center"/>
                </w:tcPr>
                <w:p w14:paraId="48CCED8F">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577" w:type="pct"/>
                  <w:noWrap w:val="0"/>
                  <w:vAlign w:val="center"/>
                </w:tcPr>
                <w:p w14:paraId="25AF4453">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lang w:val="en-US" w:eastAsia="zh-CN"/>
                    </w:rPr>
                  </w:pPr>
                  <w:r>
                    <w:rPr>
                      <w:rFonts w:hint="default" w:ascii="Times New Roman" w:hAnsi="Times New Roman" w:eastAsia="仿宋" w:cs="Times New Roman"/>
                      <w:color w:val="0000FF"/>
                      <w:kern w:val="0"/>
                      <w:sz w:val="15"/>
                      <w:szCs w:val="15"/>
                      <w:highlight w:val="none"/>
                    </w:rPr>
                    <w:t>排放浓度</w:t>
                  </w:r>
                  <w:r>
                    <w:rPr>
                      <w:rFonts w:hint="default" w:ascii="Times New Roman" w:hAnsi="Times New Roman" w:eastAsia="仿宋" w:cs="Times New Roman"/>
                      <w:color w:val="0000FF"/>
                      <w:spacing w:val="-64"/>
                      <w:kern w:val="0"/>
                      <w:sz w:val="15"/>
                      <w:szCs w:val="15"/>
                      <w:highlight w:val="none"/>
                    </w:rPr>
                    <w:t xml:space="preserve"> </w:t>
                  </w:r>
                  <w:r>
                    <w:rPr>
                      <w:rFonts w:hint="default" w:ascii="Times New Roman" w:hAnsi="Times New Roman" w:eastAsia="仿宋" w:cs="Times New Roman"/>
                      <w:color w:val="0000FF"/>
                      <w:kern w:val="0"/>
                      <w:sz w:val="15"/>
                      <w:szCs w:val="15"/>
                      <w:highlight w:val="none"/>
                    </w:rPr>
                    <w:t>mg/m</w:t>
                  </w:r>
                  <w:r>
                    <w:rPr>
                      <w:rFonts w:hint="default" w:ascii="Times New Roman" w:hAnsi="Times New Roman" w:eastAsia="仿宋" w:cs="Times New Roman"/>
                      <w:color w:val="0000FF"/>
                      <w:kern w:val="0"/>
                      <w:sz w:val="15"/>
                      <w:szCs w:val="15"/>
                      <w:highlight w:val="none"/>
                      <w:vertAlign w:val="superscript"/>
                      <w:lang w:val="en-US" w:eastAsia="zh-CN"/>
                    </w:rPr>
                    <w:t>3</w:t>
                  </w:r>
                </w:p>
              </w:tc>
              <w:tc>
                <w:tcPr>
                  <w:tcW w:w="521" w:type="pct"/>
                  <w:noWrap w:val="0"/>
                  <w:vAlign w:val="center"/>
                </w:tcPr>
                <w:p w14:paraId="152696AA">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1.2</w:t>
                  </w:r>
                </w:p>
              </w:tc>
              <w:tc>
                <w:tcPr>
                  <w:tcW w:w="521" w:type="pct"/>
                  <w:noWrap w:val="0"/>
                  <w:vAlign w:val="center"/>
                </w:tcPr>
                <w:p w14:paraId="7905DACF">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ND</w:t>
                  </w:r>
                </w:p>
              </w:tc>
              <w:tc>
                <w:tcPr>
                  <w:tcW w:w="523" w:type="pct"/>
                  <w:noWrap w:val="0"/>
                  <w:vAlign w:val="center"/>
                </w:tcPr>
                <w:p w14:paraId="3F13726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ND</w:t>
                  </w:r>
                </w:p>
              </w:tc>
              <w:tc>
                <w:tcPr>
                  <w:tcW w:w="521" w:type="pct"/>
                  <w:noWrap w:val="0"/>
                  <w:vAlign w:val="center"/>
                </w:tcPr>
                <w:p w14:paraId="6B411CD3">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ND</w:t>
                  </w:r>
                </w:p>
              </w:tc>
              <w:tc>
                <w:tcPr>
                  <w:tcW w:w="521" w:type="pct"/>
                  <w:noWrap w:val="0"/>
                  <w:vAlign w:val="center"/>
                </w:tcPr>
                <w:p w14:paraId="3EC5151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ND</w:t>
                  </w:r>
                </w:p>
              </w:tc>
              <w:tc>
                <w:tcPr>
                  <w:tcW w:w="523" w:type="pct"/>
                  <w:noWrap w:val="0"/>
                  <w:vAlign w:val="center"/>
                </w:tcPr>
                <w:p w14:paraId="445BE281">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1.3</w:t>
                  </w:r>
                </w:p>
              </w:tc>
              <w:tc>
                <w:tcPr>
                  <w:tcW w:w="331" w:type="pct"/>
                  <w:noWrap w:val="0"/>
                  <w:vAlign w:val="center"/>
                </w:tcPr>
                <w:p w14:paraId="3EA45B04">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c>
                <w:tcPr>
                  <w:tcW w:w="290" w:type="pct"/>
                  <w:noWrap w:val="0"/>
                  <w:vAlign w:val="center"/>
                </w:tcPr>
                <w:p w14:paraId="520C0A22">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20</w:t>
                  </w:r>
                </w:p>
              </w:tc>
            </w:tr>
            <w:tr w14:paraId="5CEE97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211" w:type="pct"/>
                  <w:vMerge w:val="continue"/>
                  <w:noWrap w:val="0"/>
                  <w:vAlign w:val="center"/>
                </w:tcPr>
                <w:p w14:paraId="62A147CD">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458" w:type="pct"/>
                  <w:vMerge w:val="continue"/>
                  <w:noWrap w:val="0"/>
                  <w:vAlign w:val="center"/>
                </w:tcPr>
                <w:p w14:paraId="3A35AAA7">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p>
              </w:tc>
              <w:tc>
                <w:tcPr>
                  <w:tcW w:w="577" w:type="pct"/>
                  <w:noWrap w:val="0"/>
                  <w:vAlign w:val="center"/>
                </w:tcPr>
                <w:p w14:paraId="4AF9FFAE">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排放速</w:t>
                  </w:r>
                </w:p>
                <w:p w14:paraId="30D77A55">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率</w:t>
                  </w:r>
                  <w:r>
                    <w:rPr>
                      <w:rFonts w:hint="default" w:ascii="Times New Roman" w:hAnsi="Times New Roman" w:eastAsia="仿宋" w:cs="Times New Roman"/>
                      <w:color w:val="0000FF"/>
                      <w:spacing w:val="-55"/>
                      <w:kern w:val="0"/>
                      <w:sz w:val="15"/>
                      <w:szCs w:val="15"/>
                      <w:highlight w:val="none"/>
                    </w:rPr>
                    <w:t xml:space="preserve"> </w:t>
                  </w:r>
                  <w:r>
                    <w:rPr>
                      <w:rFonts w:hint="default" w:ascii="Times New Roman" w:hAnsi="Times New Roman" w:eastAsia="仿宋" w:cs="Times New Roman"/>
                      <w:color w:val="0000FF"/>
                      <w:kern w:val="0"/>
                      <w:sz w:val="15"/>
                      <w:szCs w:val="15"/>
                      <w:highlight w:val="none"/>
                    </w:rPr>
                    <w:t>kg/h</w:t>
                  </w:r>
                </w:p>
              </w:tc>
              <w:tc>
                <w:tcPr>
                  <w:tcW w:w="521" w:type="pct"/>
                  <w:noWrap w:val="0"/>
                  <w:vAlign w:val="center"/>
                </w:tcPr>
                <w:p w14:paraId="221CC468">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8.65×10</w:t>
                  </w:r>
                  <w:r>
                    <w:rPr>
                      <w:rFonts w:hint="default" w:ascii="Times New Roman" w:hAnsi="Times New Roman" w:eastAsia="仿宋" w:cs="Times New Roman"/>
                      <w:color w:val="0000FF"/>
                      <w:kern w:val="0"/>
                      <w:position w:val="7"/>
                      <w:sz w:val="15"/>
                      <w:szCs w:val="15"/>
                      <w:highlight w:val="none"/>
                      <w:vertAlign w:val="superscript"/>
                    </w:rPr>
                    <w:t>-3</w:t>
                  </w:r>
                </w:p>
              </w:tc>
              <w:tc>
                <w:tcPr>
                  <w:tcW w:w="521" w:type="pct"/>
                  <w:noWrap w:val="0"/>
                  <w:vAlign w:val="center"/>
                </w:tcPr>
                <w:p w14:paraId="78A8D86E">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c>
                <w:tcPr>
                  <w:tcW w:w="523" w:type="pct"/>
                  <w:noWrap w:val="0"/>
                  <w:vAlign w:val="center"/>
                </w:tcPr>
                <w:p w14:paraId="09F58D70">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c>
                <w:tcPr>
                  <w:tcW w:w="521" w:type="pct"/>
                  <w:noWrap w:val="0"/>
                  <w:vAlign w:val="center"/>
                </w:tcPr>
                <w:p w14:paraId="755DEA38">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c>
                <w:tcPr>
                  <w:tcW w:w="521" w:type="pct"/>
                  <w:noWrap w:val="0"/>
                  <w:vAlign w:val="center"/>
                </w:tcPr>
                <w:p w14:paraId="38B3521B">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w:t>
                  </w:r>
                </w:p>
              </w:tc>
              <w:tc>
                <w:tcPr>
                  <w:tcW w:w="523" w:type="pct"/>
                  <w:noWrap w:val="0"/>
                  <w:vAlign w:val="center"/>
                </w:tcPr>
                <w:p w14:paraId="7F45A298">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8.75×10</w:t>
                  </w:r>
                  <w:r>
                    <w:rPr>
                      <w:rFonts w:hint="default" w:ascii="Times New Roman" w:hAnsi="Times New Roman" w:eastAsia="仿宋" w:cs="Times New Roman"/>
                      <w:color w:val="0000FF"/>
                      <w:kern w:val="0"/>
                      <w:position w:val="7"/>
                      <w:sz w:val="15"/>
                      <w:szCs w:val="15"/>
                      <w:highlight w:val="none"/>
                      <w:vertAlign w:val="superscript"/>
                    </w:rPr>
                    <w:t>-3</w:t>
                  </w:r>
                </w:p>
              </w:tc>
              <w:tc>
                <w:tcPr>
                  <w:tcW w:w="331" w:type="pct"/>
                  <w:noWrap w:val="0"/>
                  <w:vAlign w:val="center"/>
                </w:tcPr>
                <w:p w14:paraId="2773AA51">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kern w:val="0"/>
                      <w:sz w:val="15"/>
                      <w:szCs w:val="15"/>
                      <w:highlight w:val="none"/>
                    </w:rPr>
                    <w:t>85.3</w:t>
                  </w:r>
                </w:p>
              </w:tc>
              <w:tc>
                <w:tcPr>
                  <w:tcW w:w="290" w:type="pct"/>
                  <w:noWrap w:val="0"/>
                  <w:vAlign w:val="center"/>
                </w:tcPr>
                <w:p w14:paraId="7ED74246">
                  <w:pPr>
                    <w:kinsoku w:val="0"/>
                    <w:overflowPunct w:val="0"/>
                    <w:autoSpaceDE w:val="0"/>
                    <w:autoSpaceDN w:val="0"/>
                    <w:adjustRightInd w:val="0"/>
                    <w:jc w:val="center"/>
                    <w:rPr>
                      <w:rFonts w:hint="default" w:ascii="Times New Roman" w:hAnsi="Times New Roman" w:eastAsia="仿宋" w:cs="Times New Roman"/>
                      <w:color w:val="0000FF"/>
                      <w:kern w:val="0"/>
                      <w:sz w:val="15"/>
                      <w:szCs w:val="15"/>
                      <w:highlight w:val="none"/>
                    </w:rPr>
                  </w:pPr>
                  <w:r>
                    <w:rPr>
                      <w:rFonts w:hint="default" w:ascii="Times New Roman" w:hAnsi="Times New Roman" w:eastAsia="仿宋" w:cs="Times New Roman"/>
                      <w:color w:val="0000FF"/>
                      <w:w w:val="99"/>
                      <w:kern w:val="0"/>
                      <w:sz w:val="15"/>
                      <w:szCs w:val="15"/>
                      <w:highlight w:val="none"/>
                    </w:rPr>
                    <w:t>1</w:t>
                  </w:r>
                </w:p>
              </w:tc>
            </w:tr>
          </w:tbl>
          <w:p w14:paraId="674D0B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0000FF"/>
                <w:sz w:val="24"/>
                <w:highlight w:val="none"/>
                <w:lang w:val="en-US" w:eastAsia="zh-CN"/>
              </w:rPr>
            </w:pPr>
            <w:r>
              <w:rPr>
                <w:rFonts w:hint="eastAsia" w:eastAsia="仿宋"/>
                <w:bCs/>
                <w:color w:val="0000FF"/>
                <w:sz w:val="24"/>
                <w:highlight w:val="none"/>
              </w:rPr>
              <w:t>由上表可知，“湿式除尘器”对颗粒物的去除效率平均为85.3%，因此本项目</w:t>
            </w:r>
            <w:r>
              <w:rPr>
                <w:rFonts w:hint="eastAsia" w:eastAsia="仿宋"/>
                <w:bCs/>
                <w:color w:val="0000FF"/>
                <w:sz w:val="24"/>
                <w:highlight w:val="none"/>
                <w:lang w:val="en-US" w:eastAsia="zh-CN"/>
              </w:rPr>
              <w:t>水旋</w:t>
            </w:r>
            <w:r>
              <w:rPr>
                <w:rFonts w:hint="eastAsia" w:eastAsia="仿宋"/>
                <w:bCs/>
                <w:color w:val="0000FF"/>
                <w:sz w:val="24"/>
                <w:highlight w:val="none"/>
              </w:rPr>
              <w:t>除尘器对颗粒物的去除效率取80%</w:t>
            </w:r>
            <w:r>
              <w:rPr>
                <w:rFonts w:hint="eastAsia" w:eastAsia="仿宋"/>
                <w:bCs/>
                <w:color w:val="0000FF"/>
                <w:sz w:val="24"/>
                <w:highlight w:val="none"/>
                <w:lang w:val="en-US" w:eastAsia="zh-CN"/>
              </w:rPr>
              <w:t>可行</w:t>
            </w:r>
            <w:r>
              <w:rPr>
                <w:rFonts w:hint="eastAsia" w:eastAsia="仿宋"/>
                <w:bCs/>
                <w:color w:val="0000FF"/>
                <w:sz w:val="24"/>
                <w:highlight w:val="none"/>
              </w:rPr>
              <w:t>。</w:t>
            </w:r>
          </w:p>
          <w:p w14:paraId="5F4D81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（2）无组织废气</w:t>
            </w:r>
          </w:p>
          <w:p w14:paraId="0FF2D5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本项目无组织废气主要为未捕集的</w:t>
            </w:r>
            <w:r>
              <w:rPr>
                <w:rFonts w:hint="eastAsia" w:ascii="Times New Roman" w:hAnsi="Times New Roman" w:eastAsia="仿宋" w:cs="Times New Roman"/>
                <w:bCs/>
                <w:color w:val="auto"/>
                <w:sz w:val="24"/>
                <w:highlight w:val="none"/>
                <w:lang w:val="en-US" w:eastAsia="zh-CN"/>
              </w:rPr>
              <w:t>注塑、上胶、烘干、固化、植绒、筛毛</w:t>
            </w:r>
            <w:r>
              <w:rPr>
                <w:rFonts w:hint="default" w:ascii="Times New Roman" w:hAnsi="Times New Roman" w:eastAsia="仿宋" w:cs="Times New Roman"/>
                <w:bCs/>
                <w:color w:val="auto"/>
                <w:sz w:val="24"/>
                <w:highlight w:val="none"/>
              </w:rPr>
              <w:t>废气，建设单位拟通过以下措施控制项目无组织排放的废气：</w:t>
            </w:r>
          </w:p>
          <w:p w14:paraId="4956D0CC">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①</w:t>
            </w:r>
            <w:r>
              <w:rPr>
                <w:rFonts w:hint="default" w:ascii="Times New Roman" w:hAnsi="Times New Roman" w:eastAsia="仿宋" w:cs="Times New Roman"/>
                <w:color w:val="auto"/>
                <w:sz w:val="24"/>
                <w:highlight w:val="none"/>
              </w:rPr>
              <w:t>根据《大气污染控制工程》（高等教育出版社）中集气罩的设计规范合理设置集气罩的尺寸和安装位置</w:t>
            </w:r>
            <w:r>
              <w:rPr>
                <w:rFonts w:hint="default" w:ascii="Times New Roman" w:hAnsi="Times New Roman" w:eastAsia="仿宋" w:cs="Times New Roman"/>
                <w:bCs/>
                <w:color w:val="auto"/>
                <w:sz w:val="24"/>
                <w:highlight w:val="none"/>
              </w:rPr>
              <w:t>，尽可能提高废气的捕集效率。</w:t>
            </w:r>
            <w:r>
              <w:rPr>
                <w:rFonts w:hint="default" w:ascii="Times New Roman" w:hAnsi="Times New Roman" w:eastAsia="仿宋" w:cs="Times New Roman"/>
                <w:color w:val="auto"/>
                <w:sz w:val="24"/>
                <w:highlight w:val="none"/>
              </w:rPr>
              <w:t>在投入使用前，需进行调试以确保各点位达到设计排风量；提高断面风速、罩口风速或系统排风量，但不宜超过上限值；集气罩的设置应避免气流干扰</w:t>
            </w:r>
            <w:r>
              <w:rPr>
                <w:rFonts w:hint="default" w:ascii="Times New Roman" w:hAnsi="Times New Roman" w:eastAsia="仿宋" w:cs="Times New Roman"/>
                <w:bCs/>
                <w:color w:val="auto"/>
                <w:sz w:val="24"/>
                <w:highlight w:val="none"/>
              </w:rPr>
              <w:t>，设备使用后风机仍继续运行1小时以上以提高废气捕集效率，减小无组织排放源强；</w:t>
            </w:r>
          </w:p>
          <w:p w14:paraId="2C5A1A26">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lang w:eastAsia="zh-CN"/>
              </w:rPr>
            </w:pPr>
            <w:r>
              <w:rPr>
                <w:rFonts w:hint="default" w:ascii="Times New Roman" w:hAnsi="Times New Roman" w:eastAsia="仿宋" w:cs="Times New Roman"/>
                <w:bCs/>
                <w:color w:val="auto"/>
                <w:sz w:val="24"/>
                <w:highlight w:val="none"/>
              </w:rPr>
              <w:t>②</w:t>
            </w:r>
            <w:r>
              <w:rPr>
                <w:rFonts w:hint="eastAsia" w:ascii="Times New Roman" w:hAnsi="Times New Roman" w:eastAsia="仿宋" w:cs="Times New Roman"/>
                <w:bCs/>
                <w:color w:val="auto"/>
                <w:sz w:val="24"/>
                <w:highlight w:val="none"/>
                <w:lang w:val="en-US" w:eastAsia="zh-CN"/>
              </w:rPr>
              <w:t>加强生产单元的密闭性。</w:t>
            </w:r>
          </w:p>
          <w:p w14:paraId="47709FD0">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lang w:eastAsia="zh-CN"/>
              </w:rPr>
            </w:pPr>
            <w:r>
              <w:rPr>
                <w:rFonts w:hint="default" w:ascii="Times New Roman" w:hAnsi="Times New Roman" w:eastAsia="仿宋" w:cs="Times New Roman"/>
                <w:bCs/>
                <w:color w:val="auto"/>
                <w:sz w:val="24"/>
                <w:highlight w:val="none"/>
              </w:rPr>
              <w:t>③加强现场管理，增强员工意识，规范操作，减少</w:t>
            </w:r>
            <w:r>
              <w:rPr>
                <w:rFonts w:hint="eastAsia" w:eastAsia="仿宋" w:cs="Times New Roman"/>
                <w:bCs/>
                <w:color w:val="auto"/>
                <w:sz w:val="24"/>
                <w:highlight w:val="none"/>
                <w:lang w:val="en-US" w:eastAsia="zh-CN"/>
              </w:rPr>
              <w:t>生产</w:t>
            </w:r>
            <w:r>
              <w:rPr>
                <w:rFonts w:hint="default" w:ascii="Times New Roman" w:hAnsi="Times New Roman" w:eastAsia="仿宋" w:cs="Times New Roman"/>
                <w:bCs/>
                <w:color w:val="auto"/>
                <w:sz w:val="24"/>
                <w:highlight w:val="none"/>
              </w:rPr>
              <w:t>过程无组织废气的逸散</w:t>
            </w:r>
            <w:r>
              <w:rPr>
                <w:rFonts w:hint="default" w:ascii="Times New Roman" w:hAnsi="Times New Roman" w:eastAsia="仿宋" w:cs="Times New Roman"/>
                <w:bCs/>
                <w:color w:val="auto"/>
                <w:sz w:val="24"/>
                <w:highlight w:val="none"/>
                <w:lang w:eastAsia="zh-CN"/>
              </w:rPr>
              <w:t>；</w:t>
            </w:r>
          </w:p>
          <w:p w14:paraId="6E72F83B">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④</w:t>
            </w:r>
            <w:r>
              <w:rPr>
                <w:rFonts w:hint="default" w:ascii="Times New Roman" w:hAnsi="Times New Roman" w:eastAsia="仿宋" w:cs="Times New Roman"/>
                <w:color w:val="auto"/>
                <w:sz w:val="24"/>
              </w:rPr>
              <w:t>定期对废气处理设施进行维护、保养和清理，保证其处理效率</w:t>
            </w:r>
            <w:r>
              <w:rPr>
                <w:rFonts w:hint="default" w:ascii="Times New Roman" w:hAnsi="Times New Roman" w:eastAsia="仿宋" w:cs="Times New Roman"/>
                <w:bCs/>
                <w:color w:val="auto"/>
                <w:sz w:val="24"/>
                <w:highlight w:val="none"/>
              </w:rPr>
              <w:t>。</w:t>
            </w:r>
          </w:p>
          <w:p w14:paraId="4E59D9BF">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综上所述，本项目无组织废气污染防治措施可行，可达标排放。</w:t>
            </w:r>
          </w:p>
          <w:p w14:paraId="1FB1E2D7">
            <w:pPr>
              <w:numPr>
                <w:ilvl w:val="0"/>
                <w:numId w:val="9"/>
              </w:numPr>
              <w:adjustRightInd w:val="0"/>
              <w:snapToGrid w:val="0"/>
              <w:spacing w:line="360" w:lineRule="auto"/>
              <w:ind w:left="0" w:leftChars="0" w:firstLine="480" w:firstLineChars="200"/>
              <w:jc w:val="both"/>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rPr>
              <w:t>达标</w:t>
            </w:r>
            <w:r>
              <w:rPr>
                <w:rFonts w:hint="default" w:ascii="Times New Roman" w:hAnsi="Times New Roman" w:eastAsia="仿宋" w:cs="Times New Roman"/>
                <w:bCs/>
                <w:color w:val="auto"/>
                <w:sz w:val="24"/>
                <w:highlight w:val="none"/>
                <w:lang w:val="en-US" w:eastAsia="zh-CN"/>
              </w:rPr>
              <w:t>排放分析</w:t>
            </w:r>
          </w:p>
          <w:p w14:paraId="4406B63D">
            <w:pPr>
              <w:adjustRightInd w:val="0"/>
              <w:snapToGrid w:val="0"/>
              <w:spacing w:line="360" w:lineRule="auto"/>
              <w:ind w:firstLine="480" w:firstLineChars="200"/>
              <w:jc w:val="both"/>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（1）</w:t>
            </w:r>
            <w:r>
              <w:rPr>
                <w:rFonts w:hint="default" w:ascii="Times New Roman" w:hAnsi="Times New Roman" w:eastAsia="仿宋" w:cs="Times New Roman"/>
                <w:color w:val="auto"/>
                <w:sz w:val="24"/>
              </w:rPr>
              <w:t>有组织废气</w:t>
            </w:r>
          </w:p>
          <w:p w14:paraId="186FEF84">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rPr>
              <w:t>本项目有组织废气</w:t>
            </w:r>
            <w:r>
              <w:rPr>
                <w:rFonts w:hint="default" w:ascii="Times New Roman" w:hAnsi="Times New Roman" w:eastAsia="仿宋" w:cs="Times New Roman"/>
                <w:bCs/>
                <w:color w:val="auto"/>
                <w:sz w:val="24"/>
                <w:lang w:val="en-US" w:eastAsia="zh-CN"/>
              </w:rPr>
              <w:t>产排</w:t>
            </w:r>
            <w:r>
              <w:rPr>
                <w:rFonts w:hint="default" w:ascii="Times New Roman" w:hAnsi="Times New Roman" w:eastAsia="仿宋" w:cs="Times New Roman"/>
                <w:bCs/>
                <w:color w:val="auto"/>
                <w:sz w:val="24"/>
              </w:rPr>
              <w:t>情况见下表：</w:t>
            </w:r>
          </w:p>
        </w:tc>
      </w:tr>
    </w:tbl>
    <w:p w14:paraId="51C918F8">
      <w:pPr>
        <w:adjustRightInd w:val="0"/>
        <w:snapToGrid w:val="0"/>
        <w:spacing w:line="360" w:lineRule="auto"/>
        <w:rPr>
          <w:rFonts w:hint="default" w:ascii="Times New Roman" w:hAnsi="Times New Roman" w:eastAsia="仿宋" w:cs="Times New Roman"/>
          <w:b/>
          <w:color w:val="auto"/>
          <w:kern w:val="0"/>
          <w:sz w:val="28"/>
          <w:szCs w:val="28"/>
          <w:highlight w:val="none"/>
        </w:rPr>
        <w:sectPr>
          <w:pgSz w:w="11907" w:h="16840"/>
          <w:pgMar w:top="1701" w:right="1531" w:bottom="2126" w:left="1531" w:header="851" w:footer="851" w:gutter="0"/>
          <w:pgBorders>
            <w:top w:val="none" w:sz="0" w:space="0"/>
            <w:left w:val="none" w:sz="0" w:space="0"/>
            <w:bottom w:val="none" w:sz="0" w:space="0"/>
            <w:right w:val="none" w:sz="0" w:space="0"/>
          </w:pgBorders>
          <w:lnNumType w:countBy="0" w:restart="continuous"/>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773"/>
      </w:tblGrid>
      <w:tr w14:paraId="7CCA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dxa"/>
            <w:noWrap w:val="0"/>
            <w:vAlign w:val="center"/>
          </w:tcPr>
          <w:p w14:paraId="62314DD5">
            <w:pPr>
              <w:adjustRightInd w:val="0"/>
              <w:snapToGrid w:val="0"/>
              <w:spacing w:line="360" w:lineRule="auto"/>
              <w:ind w:left="0" w:leftChars="0" w:right="0" w:rightChars="0" w:firstLine="0" w:firstLineChars="0"/>
              <w:jc w:val="center"/>
              <w:rPr>
                <w:rFonts w:hint="default" w:ascii="Times New Roman" w:hAnsi="Times New Roman" w:eastAsia="仿宋" w:cs="Times New Roman"/>
                <w:b/>
                <w:color w:val="auto"/>
                <w:kern w:val="0"/>
                <w:sz w:val="28"/>
                <w:szCs w:val="28"/>
                <w:highlight w:val="none"/>
                <w:vertAlign w:val="baseline"/>
              </w:rPr>
            </w:pPr>
            <w:r>
              <w:rPr>
                <w:rFonts w:hint="default" w:ascii="Times New Roman" w:hAnsi="Times New Roman" w:eastAsia="仿宋" w:cs="Times New Roman"/>
                <w:bCs/>
                <w:color w:val="auto"/>
                <w:sz w:val="24"/>
                <w:highlight w:val="none"/>
              </w:rPr>
              <w:t>运营期环境影响和保护措施</w:t>
            </w:r>
          </w:p>
        </w:tc>
        <w:tc>
          <w:tcPr>
            <w:tcW w:w="12812" w:type="dxa"/>
            <w:noWrap w:val="0"/>
            <w:vAlign w:val="top"/>
          </w:tcPr>
          <w:p w14:paraId="57E2FF72">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eastAsia" w:eastAsia="仿宋" w:cs="Times New Roman"/>
                <w:b/>
                <w:bCs/>
                <w:color w:val="auto"/>
                <w:sz w:val="24"/>
                <w:lang w:val="en-US" w:eastAsia="zh-CN"/>
              </w:rPr>
              <w:t>10</w:t>
            </w:r>
            <w:r>
              <w:rPr>
                <w:rFonts w:hint="default" w:ascii="Times New Roman" w:hAnsi="Times New Roman" w:eastAsia="仿宋" w:cs="Times New Roman"/>
                <w:b/>
                <w:bCs/>
                <w:color w:val="auto"/>
                <w:sz w:val="24"/>
              </w:rPr>
              <w:t xml:space="preserve">  本项目有组织废气排放源强表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12"/>
              <w:gridCol w:w="922"/>
              <w:gridCol w:w="1316"/>
              <w:gridCol w:w="839"/>
              <w:gridCol w:w="781"/>
              <w:gridCol w:w="791"/>
              <w:gridCol w:w="1183"/>
              <w:gridCol w:w="676"/>
              <w:gridCol w:w="666"/>
              <w:gridCol w:w="693"/>
              <w:gridCol w:w="603"/>
              <w:gridCol w:w="696"/>
              <w:gridCol w:w="643"/>
              <w:gridCol w:w="648"/>
              <w:gridCol w:w="644"/>
              <w:gridCol w:w="639"/>
            </w:tblGrid>
            <w:tr w14:paraId="2470C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23" w:type="pct"/>
                  <w:vMerge w:val="restart"/>
                  <w:noWrap w:val="0"/>
                  <w:vAlign w:val="center"/>
                </w:tcPr>
                <w:p w14:paraId="718DCC32">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污染源</w:t>
                  </w:r>
                </w:p>
                <w:p w14:paraId="6572D0DF">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名称</w:t>
                  </w:r>
                </w:p>
              </w:tc>
              <w:tc>
                <w:tcPr>
                  <w:tcW w:w="367" w:type="pct"/>
                  <w:vMerge w:val="restart"/>
                  <w:noWrap w:val="0"/>
                  <w:vAlign w:val="center"/>
                </w:tcPr>
                <w:p w14:paraId="20434DF3">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废气量m</w:t>
                  </w:r>
                  <w:r>
                    <w:rPr>
                      <w:rFonts w:hint="default" w:ascii="Times New Roman" w:hAnsi="Times New Roman" w:eastAsia="仿宋" w:cs="Times New Roman"/>
                      <w:b/>
                      <w:bCs/>
                      <w:color w:val="auto"/>
                      <w:spacing w:val="-6"/>
                      <w:sz w:val="21"/>
                      <w:szCs w:val="21"/>
                      <w:vertAlign w:val="superscript"/>
                    </w:rPr>
                    <w:t>3</w:t>
                  </w:r>
                  <w:r>
                    <w:rPr>
                      <w:rFonts w:hint="default" w:ascii="Times New Roman" w:hAnsi="Times New Roman" w:eastAsia="仿宋" w:cs="Times New Roman"/>
                      <w:b/>
                      <w:bCs/>
                      <w:color w:val="auto"/>
                      <w:spacing w:val="-6"/>
                      <w:sz w:val="21"/>
                      <w:szCs w:val="21"/>
                    </w:rPr>
                    <w:t>/h</w:t>
                  </w:r>
                </w:p>
              </w:tc>
              <w:tc>
                <w:tcPr>
                  <w:tcW w:w="524" w:type="pct"/>
                  <w:vMerge w:val="restart"/>
                  <w:noWrap w:val="0"/>
                  <w:vAlign w:val="center"/>
                </w:tcPr>
                <w:p w14:paraId="319374E2">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污染物</w:t>
                  </w:r>
                </w:p>
                <w:p w14:paraId="3077259F">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名称</w:t>
                  </w:r>
                </w:p>
              </w:tc>
              <w:tc>
                <w:tcPr>
                  <w:tcW w:w="960" w:type="pct"/>
                  <w:gridSpan w:val="3"/>
                  <w:noWrap w:val="0"/>
                  <w:vAlign w:val="center"/>
                </w:tcPr>
                <w:p w14:paraId="3BA9C4E0">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产生情况</w:t>
                  </w:r>
                </w:p>
              </w:tc>
              <w:tc>
                <w:tcPr>
                  <w:tcW w:w="471" w:type="pct"/>
                  <w:vMerge w:val="restart"/>
                  <w:noWrap w:val="0"/>
                  <w:vAlign w:val="center"/>
                </w:tcPr>
                <w:p w14:paraId="32CC5098">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治理措施</w:t>
                  </w:r>
                </w:p>
              </w:tc>
              <w:tc>
                <w:tcPr>
                  <w:tcW w:w="269" w:type="pct"/>
                  <w:vMerge w:val="restart"/>
                  <w:shd w:val="clear" w:color="auto" w:fill="auto"/>
                  <w:noWrap w:val="0"/>
                  <w:vAlign w:val="center"/>
                </w:tcPr>
                <w:p w14:paraId="0E4C0195">
                  <w:pPr>
                    <w:contextualSpacing/>
                    <w:jc w:val="center"/>
                    <w:rPr>
                      <w:rFonts w:hint="default" w:ascii="Times New Roman" w:hAnsi="Times New Roman" w:eastAsia="仿宋" w:cs="Times New Roman"/>
                      <w:b/>
                      <w:bCs/>
                      <w:color w:val="auto"/>
                      <w:spacing w:val="-6"/>
                      <w:sz w:val="21"/>
                      <w:szCs w:val="21"/>
                      <w:lang w:val="en-US" w:eastAsia="zh-CN"/>
                    </w:rPr>
                  </w:pPr>
                  <w:r>
                    <w:rPr>
                      <w:rFonts w:hint="default" w:ascii="Times New Roman" w:hAnsi="Times New Roman" w:eastAsia="仿宋" w:cs="Times New Roman"/>
                      <w:b/>
                      <w:bCs/>
                      <w:color w:val="auto"/>
                      <w:spacing w:val="-6"/>
                      <w:sz w:val="21"/>
                      <w:szCs w:val="21"/>
                    </w:rPr>
                    <w:t>去除率％</w:t>
                  </w:r>
                </w:p>
              </w:tc>
              <w:tc>
                <w:tcPr>
                  <w:tcW w:w="265" w:type="pct"/>
                  <w:vMerge w:val="restart"/>
                  <w:noWrap w:val="0"/>
                  <w:vAlign w:val="center"/>
                </w:tcPr>
                <w:p w14:paraId="1131723B">
                  <w:pPr>
                    <w:contextualSpacing/>
                    <w:jc w:val="center"/>
                    <w:rPr>
                      <w:rFonts w:hint="default" w:ascii="Times New Roman" w:hAnsi="Times New Roman" w:eastAsia="仿宋" w:cs="Times New Roman"/>
                      <w:b/>
                      <w:bCs/>
                      <w:color w:val="auto"/>
                      <w:spacing w:val="-6"/>
                      <w:sz w:val="21"/>
                      <w:szCs w:val="21"/>
                      <w:lang w:val="en-US" w:eastAsia="zh-CN"/>
                    </w:rPr>
                  </w:pPr>
                  <w:r>
                    <w:rPr>
                      <w:rFonts w:hint="eastAsia" w:ascii="Times New Roman" w:hAnsi="Times New Roman" w:eastAsia="仿宋" w:cs="Times New Roman"/>
                      <w:b/>
                      <w:bCs/>
                      <w:color w:val="auto"/>
                      <w:spacing w:val="-6"/>
                      <w:sz w:val="21"/>
                      <w:szCs w:val="21"/>
                      <w:lang w:val="en-US" w:eastAsia="zh-CN"/>
                    </w:rPr>
                    <w:t>污染物名称</w:t>
                  </w:r>
                </w:p>
              </w:tc>
              <w:tc>
                <w:tcPr>
                  <w:tcW w:w="793" w:type="pct"/>
                  <w:gridSpan w:val="3"/>
                  <w:noWrap w:val="0"/>
                  <w:vAlign w:val="center"/>
                </w:tcPr>
                <w:p w14:paraId="72BB2045">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排放情况</w:t>
                  </w:r>
                </w:p>
              </w:tc>
              <w:tc>
                <w:tcPr>
                  <w:tcW w:w="514" w:type="pct"/>
                  <w:gridSpan w:val="2"/>
                  <w:noWrap w:val="0"/>
                  <w:vAlign w:val="center"/>
                </w:tcPr>
                <w:p w14:paraId="5C420AF8">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执行标准</w:t>
                  </w:r>
                </w:p>
              </w:tc>
              <w:tc>
                <w:tcPr>
                  <w:tcW w:w="256" w:type="pct"/>
                  <w:vMerge w:val="restart"/>
                  <w:noWrap w:val="0"/>
                  <w:vAlign w:val="center"/>
                </w:tcPr>
                <w:p w14:paraId="0BF585EA">
                  <w:pPr>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排气筒名称及编号</w:t>
                  </w:r>
                </w:p>
              </w:tc>
              <w:tc>
                <w:tcPr>
                  <w:tcW w:w="254" w:type="pct"/>
                  <w:vMerge w:val="restart"/>
                  <w:noWrap w:val="0"/>
                  <w:vAlign w:val="center"/>
                </w:tcPr>
                <w:p w14:paraId="79508AEA">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排放</w:t>
                  </w:r>
                </w:p>
                <w:p w14:paraId="5F52F795">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方式</w:t>
                  </w:r>
                </w:p>
              </w:tc>
            </w:tr>
            <w:tr w14:paraId="57C3A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23" w:type="pct"/>
                  <w:vMerge w:val="continue"/>
                  <w:noWrap w:val="0"/>
                  <w:vAlign w:val="center"/>
                </w:tcPr>
                <w:p w14:paraId="5D503204">
                  <w:pPr>
                    <w:contextualSpacing/>
                    <w:rPr>
                      <w:rFonts w:hint="default" w:ascii="Times New Roman" w:hAnsi="Times New Roman" w:eastAsia="仿宋" w:cs="Times New Roman"/>
                      <w:b/>
                      <w:bCs/>
                      <w:color w:val="auto"/>
                      <w:spacing w:val="-6"/>
                      <w:sz w:val="21"/>
                      <w:szCs w:val="21"/>
                    </w:rPr>
                  </w:pPr>
                </w:p>
              </w:tc>
              <w:tc>
                <w:tcPr>
                  <w:tcW w:w="367" w:type="pct"/>
                  <w:vMerge w:val="continue"/>
                  <w:noWrap w:val="0"/>
                  <w:vAlign w:val="center"/>
                </w:tcPr>
                <w:p w14:paraId="1641EE9E">
                  <w:pPr>
                    <w:contextualSpacing/>
                    <w:rPr>
                      <w:rFonts w:hint="default" w:ascii="Times New Roman" w:hAnsi="Times New Roman" w:eastAsia="仿宋" w:cs="Times New Roman"/>
                      <w:b/>
                      <w:bCs/>
                      <w:color w:val="auto"/>
                      <w:spacing w:val="-6"/>
                      <w:sz w:val="21"/>
                      <w:szCs w:val="21"/>
                    </w:rPr>
                  </w:pPr>
                </w:p>
              </w:tc>
              <w:tc>
                <w:tcPr>
                  <w:tcW w:w="524" w:type="pct"/>
                  <w:vMerge w:val="continue"/>
                  <w:noWrap w:val="0"/>
                  <w:vAlign w:val="center"/>
                </w:tcPr>
                <w:p w14:paraId="7F6DDDA6">
                  <w:pPr>
                    <w:contextualSpacing/>
                    <w:rPr>
                      <w:rFonts w:hint="default" w:ascii="Times New Roman" w:hAnsi="Times New Roman" w:eastAsia="仿宋" w:cs="Times New Roman"/>
                      <w:b/>
                      <w:bCs/>
                      <w:color w:val="auto"/>
                      <w:spacing w:val="-6"/>
                      <w:sz w:val="21"/>
                      <w:szCs w:val="21"/>
                    </w:rPr>
                  </w:pPr>
                </w:p>
              </w:tc>
              <w:tc>
                <w:tcPr>
                  <w:tcW w:w="334" w:type="pct"/>
                  <w:noWrap w:val="0"/>
                  <w:tcMar>
                    <w:top w:w="0" w:type="dxa"/>
                    <w:left w:w="28" w:type="dxa"/>
                    <w:bottom w:w="0" w:type="dxa"/>
                    <w:right w:w="28" w:type="dxa"/>
                  </w:tcMar>
                  <w:vAlign w:val="center"/>
                </w:tcPr>
                <w:p w14:paraId="15149D50">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产生量t/a</w:t>
                  </w:r>
                </w:p>
              </w:tc>
              <w:tc>
                <w:tcPr>
                  <w:tcW w:w="311" w:type="pct"/>
                  <w:noWrap w:val="0"/>
                  <w:tcMar>
                    <w:top w:w="0" w:type="dxa"/>
                    <w:left w:w="28" w:type="dxa"/>
                    <w:bottom w:w="0" w:type="dxa"/>
                    <w:right w:w="28" w:type="dxa"/>
                  </w:tcMar>
                  <w:vAlign w:val="center"/>
                </w:tcPr>
                <w:p w14:paraId="49E24C40">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浓度mg/m</w:t>
                  </w:r>
                  <w:r>
                    <w:rPr>
                      <w:rFonts w:hint="default" w:ascii="Times New Roman" w:hAnsi="Times New Roman" w:eastAsia="仿宋" w:cs="Times New Roman"/>
                      <w:b/>
                      <w:bCs/>
                      <w:color w:val="auto"/>
                      <w:spacing w:val="-6"/>
                      <w:sz w:val="21"/>
                      <w:szCs w:val="21"/>
                      <w:vertAlign w:val="superscript"/>
                    </w:rPr>
                    <w:t>3</w:t>
                  </w:r>
                </w:p>
              </w:tc>
              <w:tc>
                <w:tcPr>
                  <w:tcW w:w="315" w:type="pct"/>
                  <w:noWrap w:val="0"/>
                  <w:vAlign w:val="center"/>
                </w:tcPr>
                <w:p w14:paraId="4397AB10">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速率kg/h</w:t>
                  </w:r>
                </w:p>
              </w:tc>
              <w:tc>
                <w:tcPr>
                  <w:tcW w:w="471" w:type="pct"/>
                  <w:vMerge w:val="continue"/>
                  <w:noWrap w:val="0"/>
                  <w:vAlign w:val="center"/>
                </w:tcPr>
                <w:p w14:paraId="41D5A11D">
                  <w:pPr>
                    <w:contextualSpacing/>
                    <w:rPr>
                      <w:rFonts w:hint="default" w:ascii="Times New Roman" w:hAnsi="Times New Roman" w:eastAsia="仿宋" w:cs="Times New Roman"/>
                      <w:b/>
                      <w:bCs/>
                      <w:color w:val="auto"/>
                      <w:spacing w:val="-6"/>
                      <w:sz w:val="21"/>
                      <w:szCs w:val="21"/>
                    </w:rPr>
                  </w:pPr>
                </w:p>
              </w:tc>
              <w:tc>
                <w:tcPr>
                  <w:tcW w:w="269" w:type="pct"/>
                  <w:vMerge w:val="continue"/>
                  <w:noWrap w:val="0"/>
                  <w:vAlign w:val="center"/>
                </w:tcPr>
                <w:p w14:paraId="2C302AE2">
                  <w:pPr>
                    <w:contextualSpacing/>
                    <w:rPr>
                      <w:rFonts w:hint="default" w:ascii="Times New Roman" w:hAnsi="Times New Roman" w:eastAsia="仿宋" w:cs="Times New Roman"/>
                      <w:b/>
                      <w:bCs/>
                      <w:color w:val="auto"/>
                      <w:spacing w:val="-6"/>
                      <w:sz w:val="21"/>
                      <w:szCs w:val="21"/>
                    </w:rPr>
                  </w:pPr>
                </w:p>
              </w:tc>
              <w:tc>
                <w:tcPr>
                  <w:tcW w:w="265" w:type="pct"/>
                  <w:vMerge w:val="continue"/>
                  <w:noWrap w:val="0"/>
                  <w:vAlign w:val="center"/>
                </w:tcPr>
                <w:p w14:paraId="194B1EFC">
                  <w:pPr>
                    <w:contextualSpacing/>
                    <w:rPr>
                      <w:rFonts w:hint="default" w:ascii="Times New Roman" w:hAnsi="Times New Roman" w:eastAsia="仿宋" w:cs="Times New Roman"/>
                      <w:b/>
                      <w:bCs/>
                      <w:color w:val="auto"/>
                      <w:spacing w:val="-6"/>
                      <w:sz w:val="21"/>
                      <w:szCs w:val="21"/>
                    </w:rPr>
                  </w:pPr>
                </w:p>
              </w:tc>
              <w:tc>
                <w:tcPr>
                  <w:tcW w:w="276" w:type="pct"/>
                  <w:noWrap w:val="0"/>
                  <w:vAlign w:val="center"/>
                </w:tcPr>
                <w:p w14:paraId="2C02DD9C">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排放量t/a</w:t>
                  </w:r>
                </w:p>
              </w:tc>
              <w:tc>
                <w:tcPr>
                  <w:tcW w:w="240" w:type="pct"/>
                  <w:noWrap w:val="0"/>
                  <w:vAlign w:val="center"/>
                </w:tcPr>
                <w:p w14:paraId="1087938A">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浓度mg/m</w:t>
                  </w:r>
                  <w:r>
                    <w:rPr>
                      <w:rFonts w:hint="default" w:ascii="Times New Roman" w:hAnsi="Times New Roman" w:eastAsia="仿宋" w:cs="Times New Roman"/>
                      <w:b/>
                      <w:bCs/>
                      <w:color w:val="auto"/>
                      <w:spacing w:val="-6"/>
                      <w:sz w:val="21"/>
                      <w:szCs w:val="21"/>
                      <w:vertAlign w:val="superscript"/>
                    </w:rPr>
                    <w:t>3</w:t>
                  </w:r>
                </w:p>
              </w:tc>
              <w:tc>
                <w:tcPr>
                  <w:tcW w:w="277" w:type="pct"/>
                  <w:noWrap w:val="0"/>
                  <w:vAlign w:val="center"/>
                </w:tcPr>
                <w:p w14:paraId="41A625C4">
                  <w:pPr>
                    <w:contextualSpacing/>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速率kg/h</w:t>
                  </w:r>
                </w:p>
              </w:tc>
              <w:tc>
                <w:tcPr>
                  <w:tcW w:w="256" w:type="pct"/>
                  <w:noWrap w:val="0"/>
                  <w:vAlign w:val="center"/>
                </w:tcPr>
                <w:p w14:paraId="77E4EC75">
                  <w:pPr>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浓度mg/m</w:t>
                  </w:r>
                  <w:r>
                    <w:rPr>
                      <w:rFonts w:hint="default" w:ascii="Times New Roman" w:hAnsi="Times New Roman" w:eastAsia="仿宋" w:cs="Times New Roman"/>
                      <w:b/>
                      <w:bCs/>
                      <w:color w:val="auto"/>
                      <w:spacing w:val="-6"/>
                      <w:sz w:val="21"/>
                      <w:szCs w:val="21"/>
                      <w:vertAlign w:val="superscript"/>
                    </w:rPr>
                    <w:t>3</w:t>
                  </w:r>
                </w:p>
              </w:tc>
              <w:tc>
                <w:tcPr>
                  <w:tcW w:w="258" w:type="pct"/>
                  <w:noWrap w:val="0"/>
                  <w:vAlign w:val="center"/>
                </w:tcPr>
                <w:p w14:paraId="360BD8A4">
                  <w:pPr>
                    <w:jc w:val="center"/>
                    <w:rPr>
                      <w:rFonts w:hint="default" w:ascii="Times New Roman" w:hAnsi="Times New Roman" w:eastAsia="仿宋" w:cs="Times New Roman"/>
                      <w:b/>
                      <w:bCs/>
                      <w:color w:val="auto"/>
                      <w:spacing w:val="-6"/>
                      <w:sz w:val="21"/>
                      <w:szCs w:val="21"/>
                    </w:rPr>
                  </w:pPr>
                  <w:r>
                    <w:rPr>
                      <w:rFonts w:hint="default" w:ascii="Times New Roman" w:hAnsi="Times New Roman" w:eastAsia="仿宋" w:cs="Times New Roman"/>
                      <w:b/>
                      <w:bCs/>
                      <w:color w:val="auto"/>
                      <w:spacing w:val="-6"/>
                      <w:sz w:val="21"/>
                      <w:szCs w:val="21"/>
                    </w:rPr>
                    <w:t>速率kg/h</w:t>
                  </w:r>
                </w:p>
              </w:tc>
              <w:tc>
                <w:tcPr>
                  <w:tcW w:w="256" w:type="pct"/>
                  <w:vMerge w:val="continue"/>
                  <w:noWrap w:val="0"/>
                  <w:vAlign w:val="center"/>
                </w:tcPr>
                <w:p w14:paraId="2904D8DA">
                  <w:pPr>
                    <w:jc w:val="center"/>
                    <w:rPr>
                      <w:rFonts w:hint="default" w:ascii="Times New Roman" w:hAnsi="Times New Roman" w:eastAsia="仿宋" w:cs="Times New Roman"/>
                      <w:b/>
                      <w:bCs/>
                      <w:color w:val="auto"/>
                      <w:spacing w:val="-6"/>
                      <w:sz w:val="21"/>
                      <w:szCs w:val="21"/>
                    </w:rPr>
                  </w:pPr>
                </w:p>
              </w:tc>
              <w:tc>
                <w:tcPr>
                  <w:tcW w:w="254" w:type="pct"/>
                  <w:vMerge w:val="continue"/>
                  <w:noWrap w:val="0"/>
                  <w:vAlign w:val="center"/>
                </w:tcPr>
                <w:p w14:paraId="578930A5">
                  <w:pPr>
                    <w:contextualSpacing/>
                    <w:rPr>
                      <w:rFonts w:hint="default" w:ascii="Times New Roman" w:hAnsi="Times New Roman" w:eastAsia="仿宋" w:cs="Times New Roman"/>
                      <w:b/>
                      <w:bCs/>
                      <w:color w:val="auto"/>
                      <w:spacing w:val="-6"/>
                      <w:sz w:val="21"/>
                      <w:szCs w:val="21"/>
                    </w:rPr>
                  </w:pPr>
                </w:p>
              </w:tc>
            </w:tr>
            <w:tr w14:paraId="1A8B3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0" w:hRule="atLeast"/>
                <w:jc w:val="center"/>
              </w:trPr>
              <w:tc>
                <w:tcPr>
                  <w:tcW w:w="323" w:type="pct"/>
                  <w:noWrap w:val="0"/>
                  <w:vAlign w:val="center"/>
                </w:tcPr>
                <w:p w14:paraId="5A723F41">
                  <w:pPr>
                    <w:jc w:val="center"/>
                    <w:rPr>
                      <w:rFonts w:hint="default" w:ascii="Times New Roman" w:hAnsi="Times New Roman" w:eastAsia="仿宋" w:cs="Times New Roman"/>
                      <w:bCs/>
                      <w:color w:val="auto"/>
                      <w:spacing w:val="-6"/>
                      <w:sz w:val="21"/>
                      <w:szCs w:val="21"/>
                      <w:lang w:val="en-US" w:eastAsia="zh-CN"/>
                    </w:rPr>
                  </w:pPr>
                  <w:r>
                    <w:rPr>
                      <w:rFonts w:hint="eastAsia" w:ascii="Times New Roman" w:hAnsi="Times New Roman" w:eastAsia="仿宋" w:cs="Times New Roman"/>
                      <w:bCs/>
                      <w:color w:val="auto"/>
                      <w:spacing w:val="-6"/>
                      <w:sz w:val="21"/>
                      <w:szCs w:val="21"/>
                      <w:lang w:val="en-US" w:eastAsia="zh-CN"/>
                    </w:rPr>
                    <w:t>注塑</w:t>
                  </w:r>
                  <w:r>
                    <w:rPr>
                      <w:rFonts w:hint="eastAsia" w:eastAsia="仿宋" w:cs="Times New Roman"/>
                      <w:bCs/>
                      <w:color w:val="auto"/>
                      <w:spacing w:val="-6"/>
                      <w:sz w:val="21"/>
                      <w:szCs w:val="21"/>
                      <w:lang w:val="en-US" w:eastAsia="zh-CN"/>
                    </w:rPr>
                    <w:t>、</w:t>
                  </w:r>
                  <w:r>
                    <w:rPr>
                      <w:rFonts w:hint="eastAsia" w:ascii="Times New Roman" w:hAnsi="Times New Roman" w:eastAsia="仿宋" w:cs="Times New Roman"/>
                      <w:bCs/>
                      <w:color w:val="auto"/>
                      <w:spacing w:val="-6"/>
                      <w:sz w:val="21"/>
                      <w:szCs w:val="21"/>
                      <w:lang w:val="en-US" w:eastAsia="zh-CN"/>
                    </w:rPr>
                    <w:t>上胶、烘干、固化</w:t>
                  </w:r>
                </w:p>
              </w:tc>
              <w:tc>
                <w:tcPr>
                  <w:tcW w:w="367" w:type="pct"/>
                  <w:noWrap w:val="0"/>
                  <w:vAlign w:val="center"/>
                </w:tcPr>
                <w:p w14:paraId="73B6F0AE">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12000</w:t>
                  </w:r>
                </w:p>
              </w:tc>
              <w:tc>
                <w:tcPr>
                  <w:tcW w:w="524" w:type="pct"/>
                  <w:noWrap w:val="0"/>
                  <w:vAlign w:val="center"/>
                </w:tcPr>
                <w:p w14:paraId="3F5C972D">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非甲烷总烃</w:t>
                  </w:r>
                </w:p>
              </w:tc>
              <w:tc>
                <w:tcPr>
                  <w:tcW w:w="334" w:type="pct"/>
                  <w:noWrap w:val="0"/>
                  <w:tcMar>
                    <w:top w:w="0" w:type="dxa"/>
                    <w:left w:w="28" w:type="dxa"/>
                    <w:bottom w:w="0" w:type="dxa"/>
                    <w:right w:w="28" w:type="dxa"/>
                  </w:tcMar>
                  <w:vAlign w:val="center"/>
                </w:tcPr>
                <w:p w14:paraId="1B156B8C">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0.325</w:t>
                  </w:r>
                </w:p>
              </w:tc>
              <w:tc>
                <w:tcPr>
                  <w:tcW w:w="311" w:type="pct"/>
                  <w:noWrap w:val="0"/>
                  <w:tcMar>
                    <w:top w:w="0" w:type="dxa"/>
                    <w:left w:w="28" w:type="dxa"/>
                    <w:bottom w:w="0" w:type="dxa"/>
                    <w:right w:w="28" w:type="dxa"/>
                  </w:tcMar>
                  <w:vAlign w:val="center"/>
                </w:tcPr>
                <w:p w14:paraId="60D932DE">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3.762</w:t>
                  </w:r>
                </w:p>
              </w:tc>
              <w:tc>
                <w:tcPr>
                  <w:tcW w:w="315" w:type="pct"/>
                  <w:shd w:val="clear" w:color="auto" w:fill="auto"/>
                  <w:noWrap w:val="0"/>
                  <w:vAlign w:val="center"/>
                </w:tcPr>
                <w:p w14:paraId="2ED875EF">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eastAsia" w:eastAsia="仿宋" w:cs="Times New Roman"/>
                      <w:bCs/>
                      <w:color w:val="auto"/>
                      <w:sz w:val="21"/>
                      <w:szCs w:val="21"/>
                      <w:highlight w:val="none"/>
                      <w:lang w:val="en-US" w:eastAsia="zh-CN"/>
                    </w:rPr>
                    <w:t>0.045</w:t>
                  </w:r>
                </w:p>
              </w:tc>
              <w:tc>
                <w:tcPr>
                  <w:tcW w:w="471" w:type="pct"/>
                  <w:noWrap w:val="0"/>
                  <w:vAlign w:val="center"/>
                </w:tcPr>
                <w:p w14:paraId="3270F5F9">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6#两级活性炭吸附装置</w:t>
                  </w:r>
                </w:p>
              </w:tc>
              <w:tc>
                <w:tcPr>
                  <w:tcW w:w="269" w:type="pct"/>
                  <w:noWrap w:val="0"/>
                  <w:vAlign w:val="center"/>
                </w:tcPr>
                <w:p w14:paraId="35F8A00D">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90</w:t>
                  </w:r>
                </w:p>
              </w:tc>
              <w:tc>
                <w:tcPr>
                  <w:tcW w:w="265" w:type="pct"/>
                  <w:noWrap w:val="0"/>
                  <w:vAlign w:val="center"/>
                </w:tcPr>
                <w:p w14:paraId="4A8835FF">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非甲烷总烃</w:t>
                  </w:r>
                </w:p>
              </w:tc>
              <w:tc>
                <w:tcPr>
                  <w:tcW w:w="276" w:type="pct"/>
                  <w:noWrap w:val="0"/>
                  <w:vAlign w:val="center"/>
                </w:tcPr>
                <w:p w14:paraId="34596639">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0.03</w:t>
                  </w:r>
                  <w:r>
                    <w:rPr>
                      <w:rFonts w:hint="eastAsia" w:eastAsia="仿宋" w:cs="Times New Roman"/>
                      <w:bCs/>
                      <w:color w:val="auto"/>
                      <w:sz w:val="21"/>
                      <w:szCs w:val="21"/>
                      <w:highlight w:val="none"/>
                      <w:lang w:val="en-US" w:eastAsia="zh-CN"/>
                    </w:rPr>
                    <w:t>3</w:t>
                  </w:r>
                </w:p>
              </w:tc>
              <w:tc>
                <w:tcPr>
                  <w:tcW w:w="240" w:type="pct"/>
                  <w:noWrap w:val="0"/>
                  <w:vAlign w:val="center"/>
                </w:tcPr>
                <w:p w14:paraId="2A3398C7">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0.3</w:t>
                  </w:r>
                  <w:r>
                    <w:rPr>
                      <w:rFonts w:hint="eastAsia" w:eastAsia="仿宋" w:cs="Times New Roman"/>
                      <w:bCs/>
                      <w:color w:val="auto"/>
                      <w:sz w:val="21"/>
                      <w:szCs w:val="21"/>
                      <w:highlight w:val="none"/>
                      <w:lang w:val="en-US" w:eastAsia="zh-CN"/>
                    </w:rPr>
                    <w:t>76</w:t>
                  </w:r>
                </w:p>
              </w:tc>
              <w:tc>
                <w:tcPr>
                  <w:tcW w:w="277" w:type="pct"/>
                  <w:noWrap w:val="0"/>
                  <w:vAlign w:val="center"/>
                </w:tcPr>
                <w:p w14:paraId="59F5844D">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0.00</w:t>
                  </w:r>
                  <w:r>
                    <w:rPr>
                      <w:rFonts w:hint="eastAsia" w:eastAsia="仿宋" w:cs="Times New Roman"/>
                      <w:bCs/>
                      <w:color w:val="auto"/>
                      <w:sz w:val="21"/>
                      <w:szCs w:val="21"/>
                      <w:highlight w:val="none"/>
                      <w:lang w:val="en-US" w:eastAsia="zh-CN"/>
                    </w:rPr>
                    <w:t>5</w:t>
                  </w:r>
                </w:p>
              </w:tc>
              <w:tc>
                <w:tcPr>
                  <w:tcW w:w="256" w:type="pct"/>
                  <w:noWrap w:val="0"/>
                  <w:vAlign w:val="center"/>
                </w:tcPr>
                <w:p w14:paraId="61EE2F8B">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60</w:t>
                  </w:r>
                </w:p>
              </w:tc>
              <w:tc>
                <w:tcPr>
                  <w:tcW w:w="258" w:type="pct"/>
                  <w:noWrap w:val="0"/>
                  <w:vAlign w:val="center"/>
                </w:tcPr>
                <w:p w14:paraId="349AA25C">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3</w:t>
                  </w:r>
                </w:p>
              </w:tc>
              <w:tc>
                <w:tcPr>
                  <w:tcW w:w="256" w:type="pct"/>
                  <w:noWrap w:val="0"/>
                  <w:vAlign w:val="center"/>
                </w:tcPr>
                <w:p w14:paraId="500DC165">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FQ-6</w:t>
                  </w:r>
                </w:p>
              </w:tc>
              <w:tc>
                <w:tcPr>
                  <w:tcW w:w="254" w:type="pct"/>
                  <w:noWrap w:val="0"/>
                  <w:vAlign w:val="center"/>
                </w:tcPr>
                <w:p w14:paraId="462FF7C2">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72</w:t>
                  </w:r>
                  <w:r>
                    <w:rPr>
                      <w:rFonts w:hint="default" w:ascii="Times New Roman" w:hAnsi="Times New Roman" w:eastAsia="仿宋" w:cs="Times New Roman"/>
                      <w:bCs/>
                      <w:color w:val="auto"/>
                      <w:sz w:val="21"/>
                      <w:szCs w:val="21"/>
                      <w:highlight w:val="none"/>
                      <w:lang w:val="en-US" w:eastAsia="zh-CN"/>
                    </w:rPr>
                    <w:t>00h</w:t>
                  </w:r>
                </w:p>
                <w:p w14:paraId="2BCD6A9F">
                  <w:pPr>
                    <w:widowControl/>
                    <w:snapToGrid w:val="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连续</w:t>
                  </w:r>
                </w:p>
              </w:tc>
            </w:tr>
            <w:tr w14:paraId="469B8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23" w:type="pct"/>
                  <w:noWrap w:val="0"/>
                  <w:vAlign w:val="center"/>
                </w:tcPr>
                <w:p w14:paraId="38BBAB2A">
                  <w:pPr>
                    <w:jc w:val="center"/>
                    <w:rPr>
                      <w:rFonts w:hint="default" w:ascii="Times New Roman" w:hAnsi="Times New Roman" w:eastAsia="仿宋" w:cs="Times New Roman"/>
                      <w:bCs/>
                      <w:color w:val="0000FF"/>
                      <w:spacing w:val="-6"/>
                      <w:sz w:val="21"/>
                      <w:szCs w:val="21"/>
                      <w:lang w:val="en-US" w:eastAsia="zh-CN"/>
                    </w:rPr>
                  </w:pPr>
                  <w:r>
                    <w:rPr>
                      <w:rFonts w:hint="eastAsia" w:ascii="Times New Roman" w:hAnsi="Times New Roman" w:eastAsia="仿宋" w:cs="Times New Roman"/>
                      <w:bCs/>
                      <w:color w:val="0000FF"/>
                      <w:spacing w:val="-6"/>
                      <w:sz w:val="21"/>
                      <w:szCs w:val="21"/>
                      <w:lang w:val="en-US" w:eastAsia="zh-CN"/>
                    </w:rPr>
                    <w:t>植绒</w:t>
                  </w:r>
                </w:p>
              </w:tc>
              <w:tc>
                <w:tcPr>
                  <w:tcW w:w="367" w:type="pct"/>
                  <w:noWrap w:val="0"/>
                  <w:vAlign w:val="center"/>
                </w:tcPr>
                <w:p w14:paraId="7C131E29">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ascii="Times New Roman" w:hAnsi="Times New Roman" w:eastAsia="仿宋" w:cs="Times New Roman"/>
                      <w:bCs/>
                      <w:color w:val="0000FF"/>
                      <w:sz w:val="21"/>
                      <w:szCs w:val="21"/>
                      <w:highlight w:val="none"/>
                      <w:lang w:val="en-US" w:eastAsia="zh-CN"/>
                    </w:rPr>
                    <w:t>8000</w:t>
                  </w:r>
                </w:p>
              </w:tc>
              <w:tc>
                <w:tcPr>
                  <w:tcW w:w="524" w:type="pct"/>
                  <w:noWrap w:val="0"/>
                  <w:vAlign w:val="center"/>
                </w:tcPr>
                <w:p w14:paraId="25F69F06">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ascii="Times New Roman" w:hAnsi="Times New Roman" w:eastAsia="仿宋" w:cs="Times New Roman"/>
                      <w:bCs/>
                      <w:color w:val="0000FF"/>
                      <w:sz w:val="21"/>
                      <w:szCs w:val="21"/>
                      <w:highlight w:val="none"/>
                      <w:lang w:val="en-US" w:eastAsia="zh-CN"/>
                    </w:rPr>
                    <w:t>颗粒物</w:t>
                  </w:r>
                </w:p>
              </w:tc>
              <w:tc>
                <w:tcPr>
                  <w:tcW w:w="334" w:type="pct"/>
                  <w:noWrap w:val="0"/>
                  <w:tcMar>
                    <w:top w:w="0" w:type="dxa"/>
                    <w:left w:w="28" w:type="dxa"/>
                    <w:bottom w:w="0" w:type="dxa"/>
                    <w:right w:w="28" w:type="dxa"/>
                  </w:tcMar>
                  <w:vAlign w:val="center"/>
                </w:tcPr>
                <w:p w14:paraId="3BA19161">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ascii="Times New Roman" w:hAnsi="Times New Roman" w:eastAsia="仿宋" w:cs="Times New Roman"/>
                      <w:bCs/>
                      <w:color w:val="0000FF"/>
                      <w:sz w:val="21"/>
                      <w:szCs w:val="21"/>
                      <w:highlight w:val="none"/>
                      <w:lang w:val="en-US" w:eastAsia="zh-CN"/>
                    </w:rPr>
                    <w:t>0.</w:t>
                  </w:r>
                  <w:r>
                    <w:rPr>
                      <w:rFonts w:hint="eastAsia" w:eastAsia="仿宋" w:cs="Times New Roman"/>
                      <w:bCs/>
                      <w:color w:val="0000FF"/>
                      <w:sz w:val="21"/>
                      <w:szCs w:val="21"/>
                      <w:highlight w:val="none"/>
                      <w:lang w:val="en-US" w:eastAsia="zh-CN"/>
                    </w:rPr>
                    <w:t>752</w:t>
                  </w:r>
                </w:p>
              </w:tc>
              <w:tc>
                <w:tcPr>
                  <w:tcW w:w="311" w:type="pct"/>
                  <w:noWrap w:val="0"/>
                  <w:tcMar>
                    <w:top w:w="0" w:type="dxa"/>
                    <w:left w:w="28" w:type="dxa"/>
                    <w:bottom w:w="0" w:type="dxa"/>
                    <w:right w:w="28" w:type="dxa"/>
                  </w:tcMar>
                  <w:vAlign w:val="center"/>
                </w:tcPr>
                <w:p w14:paraId="59834DB0">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13.056</w:t>
                  </w:r>
                </w:p>
              </w:tc>
              <w:tc>
                <w:tcPr>
                  <w:tcW w:w="315" w:type="pct"/>
                  <w:shd w:val="clear" w:color="auto" w:fill="auto"/>
                  <w:noWrap w:val="0"/>
                  <w:vAlign w:val="center"/>
                </w:tcPr>
                <w:p w14:paraId="56AB1AD0">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0.104</w:t>
                  </w:r>
                </w:p>
              </w:tc>
              <w:tc>
                <w:tcPr>
                  <w:tcW w:w="471" w:type="pct"/>
                  <w:noWrap w:val="0"/>
                  <w:vAlign w:val="center"/>
                </w:tcPr>
                <w:p w14:paraId="6439B520">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default" w:ascii="Times New Roman" w:hAnsi="Times New Roman" w:eastAsia="仿宋" w:cs="Times New Roman"/>
                      <w:bCs/>
                      <w:color w:val="0000FF"/>
                      <w:sz w:val="21"/>
                      <w:szCs w:val="21"/>
                      <w:highlight w:val="none"/>
                      <w:lang w:val="en-US" w:eastAsia="zh-CN"/>
                    </w:rPr>
                    <w:t>5#布袋除尘装置</w:t>
                  </w:r>
                </w:p>
              </w:tc>
              <w:tc>
                <w:tcPr>
                  <w:tcW w:w="269" w:type="pct"/>
                  <w:noWrap w:val="0"/>
                  <w:vAlign w:val="center"/>
                </w:tcPr>
                <w:p w14:paraId="4E9513EE">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ascii="Times New Roman" w:hAnsi="Times New Roman" w:eastAsia="仿宋" w:cs="Times New Roman"/>
                      <w:bCs/>
                      <w:color w:val="0000FF"/>
                      <w:sz w:val="21"/>
                      <w:szCs w:val="21"/>
                      <w:highlight w:val="none"/>
                      <w:lang w:val="en-US" w:eastAsia="zh-CN"/>
                    </w:rPr>
                    <w:t>9</w:t>
                  </w:r>
                  <w:r>
                    <w:rPr>
                      <w:rFonts w:hint="eastAsia" w:eastAsia="仿宋" w:cs="Times New Roman"/>
                      <w:bCs/>
                      <w:color w:val="0000FF"/>
                      <w:sz w:val="21"/>
                      <w:szCs w:val="21"/>
                      <w:highlight w:val="none"/>
                      <w:lang w:val="en-US" w:eastAsia="zh-CN"/>
                    </w:rPr>
                    <w:t>5</w:t>
                  </w:r>
                </w:p>
              </w:tc>
              <w:tc>
                <w:tcPr>
                  <w:tcW w:w="265" w:type="pct"/>
                  <w:noWrap w:val="0"/>
                  <w:vAlign w:val="center"/>
                </w:tcPr>
                <w:p w14:paraId="74EC4C56">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ascii="Times New Roman" w:hAnsi="Times New Roman" w:eastAsia="仿宋" w:cs="Times New Roman"/>
                      <w:bCs/>
                      <w:color w:val="0000FF"/>
                      <w:sz w:val="21"/>
                      <w:szCs w:val="21"/>
                      <w:highlight w:val="none"/>
                      <w:lang w:val="en-US" w:eastAsia="zh-CN"/>
                    </w:rPr>
                    <w:t>颗粒物</w:t>
                  </w:r>
                </w:p>
              </w:tc>
              <w:tc>
                <w:tcPr>
                  <w:tcW w:w="276" w:type="pct"/>
                  <w:noWrap w:val="0"/>
                  <w:vAlign w:val="center"/>
                </w:tcPr>
                <w:p w14:paraId="0EA95B0D">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0.038</w:t>
                  </w:r>
                </w:p>
              </w:tc>
              <w:tc>
                <w:tcPr>
                  <w:tcW w:w="240" w:type="pct"/>
                  <w:noWrap w:val="0"/>
                  <w:vAlign w:val="center"/>
                </w:tcPr>
                <w:p w14:paraId="3E2C244B">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0.653</w:t>
                  </w:r>
                </w:p>
              </w:tc>
              <w:tc>
                <w:tcPr>
                  <w:tcW w:w="277" w:type="pct"/>
                  <w:noWrap w:val="0"/>
                  <w:vAlign w:val="center"/>
                </w:tcPr>
                <w:p w14:paraId="15E8675C">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0.005</w:t>
                  </w:r>
                </w:p>
              </w:tc>
              <w:tc>
                <w:tcPr>
                  <w:tcW w:w="256" w:type="pct"/>
                  <w:noWrap w:val="0"/>
                  <w:vAlign w:val="center"/>
                </w:tcPr>
                <w:p w14:paraId="1A146FB8">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ascii="Times New Roman" w:hAnsi="Times New Roman" w:eastAsia="仿宋" w:cs="Times New Roman"/>
                      <w:bCs/>
                      <w:color w:val="0000FF"/>
                      <w:sz w:val="21"/>
                      <w:szCs w:val="21"/>
                      <w:highlight w:val="none"/>
                      <w:lang w:val="en-US" w:eastAsia="zh-CN"/>
                    </w:rPr>
                    <w:t>20</w:t>
                  </w:r>
                </w:p>
              </w:tc>
              <w:tc>
                <w:tcPr>
                  <w:tcW w:w="258" w:type="pct"/>
                  <w:noWrap w:val="0"/>
                  <w:vAlign w:val="center"/>
                </w:tcPr>
                <w:p w14:paraId="52FB1FE3">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ascii="Times New Roman" w:hAnsi="Times New Roman" w:eastAsia="仿宋" w:cs="Times New Roman"/>
                      <w:bCs/>
                      <w:color w:val="0000FF"/>
                      <w:sz w:val="21"/>
                      <w:szCs w:val="21"/>
                      <w:highlight w:val="none"/>
                      <w:lang w:val="en-US" w:eastAsia="zh-CN"/>
                    </w:rPr>
                    <w:t>1</w:t>
                  </w:r>
                </w:p>
              </w:tc>
              <w:tc>
                <w:tcPr>
                  <w:tcW w:w="256" w:type="pct"/>
                  <w:noWrap w:val="0"/>
                  <w:vAlign w:val="center"/>
                </w:tcPr>
                <w:p w14:paraId="4EEE38F4">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ascii="Times New Roman" w:hAnsi="Times New Roman" w:eastAsia="仿宋" w:cs="Times New Roman"/>
                      <w:bCs/>
                      <w:color w:val="0000FF"/>
                      <w:sz w:val="21"/>
                      <w:szCs w:val="21"/>
                      <w:highlight w:val="none"/>
                      <w:lang w:val="en-US" w:eastAsia="zh-CN"/>
                    </w:rPr>
                    <w:t>FQ-5</w:t>
                  </w:r>
                </w:p>
              </w:tc>
              <w:tc>
                <w:tcPr>
                  <w:tcW w:w="254" w:type="pct"/>
                  <w:noWrap w:val="0"/>
                  <w:vAlign w:val="center"/>
                </w:tcPr>
                <w:p w14:paraId="178EED0A">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ascii="Times New Roman" w:hAnsi="Times New Roman" w:eastAsia="仿宋" w:cs="Times New Roman"/>
                      <w:bCs/>
                      <w:color w:val="0000FF"/>
                      <w:sz w:val="21"/>
                      <w:szCs w:val="21"/>
                      <w:highlight w:val="none"/>
                      <w:lang w:val="en-US" w:eastAsia="zh-CN"/>
                    </w:rPr>
                    <w:t>7200</w:t>
                  </w:r>
                  <w:r>
                    <w:rPr>
                      <w:rFonts w:hint="default" w:ascii="Times New Roman" w:hAnsi="Times New Roman" w:eastAsia="仿宋" w:cs="Times New Roman"/>
                      <w:bCs/>
                      <w:color w:val="0000FF"/>
                      <w:sz w:val="21"/>
                      <w:szCs w:val="21"/>
                      <w:highlight w:val="none"/>
                      <w:lang w:val="en-US" w:eastAsia="zh-CN"/>
                    </w:rPr>
                    <w:t>h</w:t>
                  </w:r>
                </w:p>
                <w:p w14:paraId="2B7CF3A4">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default" w:ascii="Times New Roman" w:hAnsi="Times New Roman" w:eastAsia="仿宋" w:cs="Times New Roman"/>
                      <w:bCs/>
                      <w:color w:val="0000FF"/>
                      <w:sz w:val="21"/>
                      <w:szCs w:val="21"/>
                      <w:highlight w:val="none"/>
                      <w:lang w:val="en-US" w:eastAsia="zh-CN"/>
                    </w:rPr>
                    <w:t>连续</w:t>
                  </w:r>
                </w:p>
              </w:tc>
            </w:tr>
            <w:tr w14:paraId="5F74F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23" w:type="pct"/>
                  <w:noWrap w:val="0"/>
                  <w:vAlign w:val="center"/>
                </w:tcPr>
                <w:p w14:paraId="162FC7A2">
                  <w:pPr>
                    <w:jc w:val="center"/>
                    <w:rPr>
                      <w:rFonts w:hint="eastAsia" w:ascii="Times New Roman" w:hAnsi="Times New Roman" w:eastAsia="仿宋" w:cs="Times New Roman"/>
                      <w:bCs/>
                      <w:color w:val="0000FF"/>
                      <w:spacing w:val="-6"/>
                      <w:sz w:val="21"/>
                      <w:szCs w:val="21"/>
                      <w:lang w:val="en-US" w:eastAsia="zh-CN"/>
                    </w:rPr>
                  </w:pPr>
                  <w:r>
                    <w:rPr>
                      <w:rFonts w:hint="eastAsia" w:ascii="Times New Roman" w:hAnsi="Times New Roman" w:eastAsia="仿宋" w:cs="Times New Roman"/>
                      <w:bCs/>
                      <w:color w:val="0000FF"/>
                      <w:spacing w:val="-6"/>
                      <w:sz w:val="21"/>
                      <w:szCs w:val="21"/>
                      <w:lang w:val="en-US" w:eastAsia="zh-CN"/>
                    </w:rPr>
                    <w:t>筛毛</w:t>
                  </w:r>
                </w:p>
              </w:tc>
              <w:tc>
                <w:tcPr>
                  <w:tcW w:w="367" w:type="pct"/>
                  <w:noWrap w:val="0"/>
                  <w:vAlign w:val="center"/>
                </w:tcPr>
                <w:p w14:paraId="61C016F6">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6000</w:t>
                  </w:r>
                </w:p>
              </w:tc>
              <w:tc>
                <w:tcPr>
                  <w:tcW w:w="524" w:type="pct"/>
                  <w:noWrap w:val="0"/>
                  <w:vAlign w:val="center"/>
                </w:tcPr>
                <w:p w14:paraId="670BD932">
                  <w:pPr>
                    <w:widowControl/>
                    <w:snapToGrid w:val="0"/>
                    <w:jc w:val="center"/>
                    <w:rPr>
                      <w:rFonts w:hint="eastAsia" w:ascii="Times New Roman" w:hAnsi="Times New Roman" w:eastAsia="仿宋" w:cs="Times New Roman"/>
                      <w:bCs/>
                      <w:color w:val="0000FF"/>
                      <w:sz w:val="21"/>
                      <w:szCs w:val="21"/>
                      <w:highlight w:val="none"/>
                      <w:lang w:val="en-US" w:eastAsia="zh-CN"/>
                    </w:rPr>
                  </w:pPr>
                  <w:r>
                    <w:rPr>
                      <w:rFonts w:hint="eastAsia" w:ascii="Times New Roman" w:hAnsi="Times New Roman" w:eastAsia="仿宋" w:cs="Times New Roman"/>
                      <w:bCs/>
                      <w:color w:val="0000FF"/>
                      <w:sz w:val="21"/>
                      <w:szCs w:val="21"/>
                      <w:highlight w:val="none"/>
                      <w:lang w:val="en-US" w:eastAsia="zh-CN"/>
                    </w:rPr>
                    <w:t>颗粒物</w:t>
                  </w:r>
                </w:p>
              </w:tc>
              <w:tc>
                <w:tcPr>
                  <w:tcW w:w="334" w:type="pct"/>
                  <w:noWrap w:val="0"/>
                  <w:tcMar>
                    <w:top w:w="0" w:type="dxa"/>
                    <w:left w:w="28" w:type="dxa"/>
                    <w:bottom w:w="0" w:type="dxa"/>
                    <w:right w:w="28" w:type="dxa"/>
                  </w:tcMar>
                  <w:vAlign w:val="center"/>
                </w:tcPr>
                <w:p w14:paraId="762F78F9">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0.04</w:t>
                  </w:r>
                </w:p>
              </w:tc>
              <w:tc>
                <w:tcPr>
                  <w:tcW w:w="311" w:type="pct"/>
                  <w:noWrap w:val="0"/>
                  <w:tcMar>
                    <w:top w:w="0" w:type="dxa"/>
                    <w:left w:w="28" w:type="dxa"/>
                    <w:bottom w:w="0" w:type="dxa"/>
                    <w:right w:w="28" w:type="dxa"/>
                  </w:tcMar>
                  <w:vAlign w:val="center"/>
                </w:tcPr>
                <w:p w14:paraId="4E1212FA">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0.926</w:t>
                  </w:r>
                </w:p>
              </w:tc>
              <w:tc>
                <w:tcPr>
                  <w:tcW w:w="315" w:type="pct"/>
                  <w:shd w:val="clear" w:color="auto" w:fill="auto"/>
                  <w:noWrap w:val="0"/>
                  <w:vAlign w:val="center"/>
                </w:tcPr>
                <w:p w14:paraId="2D59E5F2">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0.006</w:t>
                  </w:r>
                </w:p>
              </w:tc>
              <w:tc>
                <w:tcPr>
                  <w:tcW w:w="471" w:type="pct"/>
                  <w:noWrap w:val="0"/>
                  <w:vAlign w:val="center"/>
                </w:tcPr>
                <w:p w14:paraId="27C0B706">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7</w:t>
                  </w:r>
                  <w:r>
                    <w:rPr>
                      <w:rFonts w:hint="default" w:ascii="Times New Roman" w:hAnsi="Times New Roman" w:eastAsia="仿宋" w:cs="Times New Roman"/>
                      <w:bCs/>
                      <w:color w:val="0000FF"/>
                      <w:sz w:val="21"/>
                      <w:szCs w:val="21"/>
                      <w:highlight w:val="none"/>
                      <w:lang w:val="en-US" w:eastAsia="zh-CN"/>
                    </w:rPr>
                    <w:t>#</w:t>
                  </w:r>
                  <w:r>
                    <w:rPr>
                      <w:rFonts w:hint="eastAsia" w:eastAsia="仿宋" w:cs="Times New Roman"/>
                      <w:bCs/>
                      <w:color w:val="0000FF"/>
                      <w:sz w:val="21"/>
                      <w:szCs w:val="21"/>
                      <w:highlight w:val="none"/>
                      <w:lang w:val="en-US" w:eastAsia="zh-CN"/>
                    </w:rPr>
                    <w:t>水旋除尘器</w:t>
                  </w:r>
                </w:p>
              </w:tc>
              <w:tc>
                <w:tcPr>
                  <w:tcW w:w="269" w:type="pct"/>
                  <w:noWrap w:val="0"/>
                  <w:vAlign w:val="center"/>
                </w:tcPr>
                <w:p w14:paraId="5388F705">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80</w:t>
                  </w:r>
                </w:p>
              </w:tc>
              <w:tc>
                <w:tcPr>
                  <w:tcW w:w="265" w:type="pct"/>
                  <w:noWrap w:val="0"/>
                  <w:vAlign w:val="center"/>
                </w:tcPr>
                <w:p w14:paraId="49867087">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颗粒物</w:t>
                  </w:r>
                </w:p>
              </w:tc>
              <w:tc>
                <w:tcPr>
                  <w:tcW w:w="276" w:type="pct"/>
                  <w:noWrap w:val="0"/>
                  <w:vAlign w:val="center"/>
                </w:tcPr>
                <w:p w14:paraId="6A1D33E7">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0.008</w:t>
                  </w:r>
                </w:p>
              </w:tc>
              <w:tc>
                <w:tcPr>
                  <w:tcW w:w="240" w:type="pct"/>
                  <w:noWrap w:val="0"/>
                  <w:vAlign w:val="center"/>
                </w:tcPr>
                <w:p w14:paraId="403076CD">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0.185</w:t>
                  </w:r>
                </w:p>
              </w:tc>
              <w:tc>
                <w:tcPr>
                  <w:tcW w:w="277" w:type="pct"/>
                  <w:noWrap w:val="0"/>
                  <w:vAlign w:val="center"/>
                </w:tcPr>
                <w:p w14:paraId="62CD3B55">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eastAsia="仿宋" w:cs="Times New Roman"/>
                      <w:bCs/>
                      <w:color w:val="0000FF"/>
                      <w:sz w:val="21"/>
                      <w:szCs w:val="21"/>
                      <w:highlight w:val="none"/>
                      <w:lang w:val="en-US" w:eastAsia="zh-CN"/>
                    </w:rPr>
                    <w:t>0.001</w:t>
                  </w:r>
                </w:p>
              </w:tc>
              <w:tc>
                <w:tcPr>
                  <w:tcW w:w="256" w:type="pct"/>
                  <w:shd w:val="clear" w:color="auto" w:fill="auto"/>
                  <w:noWrap w:val="0"/>
                  <w:vAlign w:val="center"/>
                </w:tcPr>
                <w:p w14:paraId="42A991E0">
                  <w:pPr>
                    <w:widowControl/>
                    <w:snapToGrid w:val="0"/>
                    <w:jc w:val="center"/>
                    <w:rPr>
                      <w:rFonts w:hint="eastAsia" w:ascii="Times New Roman" w:hAnsi="Times New Roman" w:eastAsia="仿宋" w:cs="Times New Roman"/>
                      <w:bCs/>
                      <w:color w:val="0000FF"/>
                      <w:kern w:val="2"/>
                      <w:sz w:val="21"/>
                      <w:szCs w:val="21"/>
                      <w:highlight w:val="none"/>
                      <w:lang w:val="en-US" w:eastAsia="zh-CN" w:bidi="ar-SA"/>
                    </w:rPr>
                  </w:pPr>
                  <w:r>
                    <w:rPr>
                      <w:rFonts w:hint="eastAsia" w:ascii="Times New Roman" w:hAnsi="Times New Roman" w:eastAsia="仿宋" w:cs="Times New Roman"/>
                      <w:bCs/>
                      <w:color w:val="0000FF"/>
                      <w:sz w:val="21"/>
                      <w:szCs w:val="21"/>
                      <w:highlight w:val="none"/>
                      <w:lang w:val="en-US" w:eastAsia="zh-CN"/>
                    </w:rPr>
                    <w:t>20</w:t>
                  </w:r>
                </w:p>
              </w:tc>
              <w:tc>
                <w:tcPr>
                  <w:tcW w:w="258" w:type="pct"/>
                  <w:shd w:val="clear" w:color="auto" w:fill="auto"/>
                  <w:noWrap w:val="0"/>
                  <w:vAlign w:val="center"/>
                </w:tcPr>
                <w:p w14:paraId="41D82B81">
                  <w:pPr>
                    <w:widowControl/>
                    <w:snapToGrid w:val="0"/>
                    <w:jc w:val="center"/>
                    <w:rPr>
                      <w:rFonts w:hint="eastAsia" w:ascii="Times New Roman" w:hAnsi="Times New Roman" w:eastAsia="仿宋" w:cs="Times New Roman"/>
                      <w:bCs/>
                      <w:color w:val="0000FF"/>
                      <w:kern w:val="2"/>
                      <w:sz w:val="21"/>
                      <w:szCs w:val="21"/>
                      <w:highlight w:val="none"/>
                      <w:lang w:val="en-US" w:eastAsia="zh-CN" w:bidi="ar-SA"/>
                    </w:rPr>
                  </w:pPr>
                  <w:r>
                    <w:rPr>
                      <w:rFonts w:hint="eastAsia" w:ascii="Times New Roman" w:hAnsi="Times New Roman" w:eastAsia="仿宋" w:cs="Times New Roman"/>
                      <w:bCs/>
                      <w:color w:val="0000FF"/>
                      <w:sz w:val="21"/>
                      <w:szCs w:val="21"/>
                      <w:highlight w:val="none"/>
                      <w:lang w:val="en-US" w:eastAsia="zh-CN"/>
                    </w:rPr>
                    <w:t>1</w:t>
                  </w:r>
                </w:p>
              </w:tc>
              <w:tc>
                <w:tcPr>
                  <w:tcW w:w="256" w:type="pct"/>
                  <w:shd w:val="clear" w:color="auto" w:fill="auto"/>
                  <w:noWrap w:val="0"/>
                  <w:vAlign w:val="center"/>
                </w:tcPr>
                <w:p w14:paraId="2ADEA5C8">
                  <w:pPr>
                    <w:widowControl/>
                    <w:snapToGrid w:val="0"/>
                    <w:jc w:val="center"/>
                    <w:rPr>
                      <w:rFonts w:hint="default" w:ascii="Times New Roman" w:hAnsi="Times New Roman" w:eastAsia="仿宋" w:cs="Times New Roman"/>
                      <w:bCs/>
                      <w:color w:val="0000FF"/>
                      <w:kern w:val="2"/>
                      <w:sz w:val="21"/>
                      <w:szCs w:val="21"/>
                      <w:highlight w:val="none"/>
                      <w:lang w:val="en-US" w:eastAsia="zh-CN" w:bidi="ar-SA"/>
                    </w:rPr>
                  </w:pPr>
                  <w:r>
                    <w:rPr>
                      <w:rFonts w:hint="eastAsia" w:ascii="Times New Roman" w:hAnsi="Times New Roman" w:eastAsia="仿宋" w:cs="Times New Roman"/>
                      <w:bCs/>
                      <w:color w:val="0000FF"/>
                      <w:sz w:val="21"/>
                      <w:szCs w:val="21"/>
                      <w:highlight w:val="none"/>
                      <w:lang w:val="en-US" w:eastAsia="zh-CN"/>
                    </w:rPr>
                    <w:t>FQ-</w:t>
                  </w:r>
                  <w:r>
                    <w:rPr>
                      <w:rFonts w:hint="eastAsia" w:eastAsia="仿宋" w:cs="Times New Roman"/>
                      <w:bCs/>
                      <w:color w:val="0000FF"/>
                      <w:sz w:val="21"/>
                      <w:szCs w:val="21"/>
                      <w:highlight w:val="none"/>
                      <w:lang w:val="en-US" w:eastAsia="zh-CN"/>
                    </w:rPr>
                    <w:t>7</w:t>
                  </w:r>
                </w:p>
              </w:tc>
              <w:tc>
                <w:tcPr>
                  <w:tcW w:w="254" w:type="pct"/>
                  <w:shd w:val="clear" w:color="auto" w:fill="auto"/>
                  <w:noWrap w:val="0"/>
                  <w:vAlign w:val="center"/>
                </w:tcPr>
                <w:p w14:paraId="0EF05285">
                  <w:pPr>
                    <w:widowControl/>
                    <w:snapToGrid w:val="0"/>
                    <w:jc w:val="center"/>
                    <w:rPr>
                      <w:rFonts w:hint="default" w:ascii="Times New Roman" w:hAnsi="Times New Roman" w:eastAsia="仿宋" w:cs="Times New Roman"/>
                      <w:bCs/>
                      <w:color w:val="0000FF"/>
                      <w:sz w:val="21"/>
                      <w:szCs w:val="21"/>
                      <w:highlight w:val="none"/>
                      <w:lang w:val="en-US" w:eastAsia="zh-CN"/>
                    </w:rPr>
                  </w:pPr>
                  <w:r>
                    <w:rPr>
                      <w:rFonts w:hint="eastAsia" w:ascii="Times New Roman" w:hAnsi="Times New Roman" w:eastAsia="仿宋" w:cs="Times New Roman"/>
                      <w:bCs/>
                      <w:color w:val="0000FF"/>
                      <w:sz w:val="21"/>
                      <w:szCs w:val="21"/>
                      <w:highlight w:val="none"/>
                      <w:lang w:val="en-US" w:eastAsia="zh-CN"/>
                    </w:rPr>
                    <w:t>7200</w:t>
                  </w:r>
                  <w:r>
                    <w:rPr>
                      <w:rFonts w:hint="default" w:ascii="Times New Roman" w:hAnsi="Times New Roman" w:eastAsia="仿宋" w:cs="Times New Roman"/>
                      <w:bCs/>
                      <w:color w:val="0000FF"/>
                      <w:sz w:val="21"/>
                      <w:szCs w:val="21"/>
                      <w:highlight w:val="none"/>
                      <w:lang w:val="en-US" w:eastAsia="zh-CN"/>
                    </w:rPr>
                    <w:t>h</w:t>
                  </w:r>
                </w:p>
                <w:p w14:paraId="64F5DC7A">
                  <w:pPr>
                    <w:widowControl/>
                    <w:snapToGrid w:val="0"/>
                    <w:jc w:val="center"/>
                    <w:rPr>
                      <w:rFonts w:hint="default" w:ascii="Times New Roman" w:hAnsi="Times New Roman" w:eastAsia="仿宋" w:cs="Times New Roman"/>
                      <w:bCs/>
                      <w:color w:val="0000FF"/>
                      <w:kern w:val="2"/>
                      <w:sz w:val="21"/>
                      <w:szCs w:val="21"/>
                      <w:highlight w:val="none"/>
                      <w:lang w:val="en-US" w:eastAsia="zh-CN" w:bidi="ar-SA"/>
                    </w:rPr>
                  </w:pPr>
                  <w:r>
                    <w:rPr>
                      <w:rFonts w:hint="default" w:ascii="Times New Roman" w:hAnsi="Times New Roman" w:eastAsia="仿宋" w:cs="Times New Roman"/>
                      <w:bCs/>
                      <w:color w:val="0000FF"/>
                      <w:sz w:val="21"/>
                      <w:szCs w:val="21"/>
                      <w:highlight w:val="none"/>
                      <w:lang w:val="en-US" w:eastAsia="zh-CN"/>
                    </w:rPr>
                    <w:t>连续</w:t>
                  </w:r>
                </w:p>
              </w:tc>
            </w:tr>
          </w:tbl>
          <w:p w14:paraId="18ACA4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787A50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rPr>
              <w:t>由上表可知，</w:t>
            </w:r>
            <w:r>
              <w:rPr>
                <w:rFonts w:hint="eastAsia" w:ascii="Times New Roman" w:hAnsi="Times New Roman" w:eastAsia="仿宋" w:cs="Times New Roman"/>
                <w:bCs/>
                <w:color w:val="auto"/>
                <w:sz w:val="24"/>
                <w:lang w:val="en-US" w:eastAsia="zh-CN"/>
              </w:rPr>
              <w:t>FQ-6</w:t>
            </w:r>
            <w:r>
              <w:rPr>
                <w:rFonts w:hint="default" w:ascii="Times New Roman" w:hAnsi="Times New Roman" w:eastAsia="仿宋" w:cs="Times New Roman"/>
                <w:bCs/>
                <w:color w:val="auto"/>
                <w:sz w:val="24"/>
                <w:lang w:val="en-US" w:eastAsia="zh-CN"/>
              </w:rPr>
              <w:t>排气筒排放的非甲烷总烃</w:t>
            </w:r>
            <w:r>
              <w:rPr>
                <w:rFonts w:hint="eastAsia" w:ascii="Times New Roman" w:hAnsi="Times New Roman" w:eastAsia="仿宋" w:cs="Times New Roman"/>
                <w:bCs/>
                <w:color w:val="auto"/>
                <w:sz w:val="24"/>
                <w:lang w:val="en-US" w:eastAsia="zh-CN"/>
              </w:rPr>
              <w:t>、FQ-5排气筒</w:t>
            </w:r>
            <w:r>
              <w:rPr>
                <w:rFonts w:hint="eastAsia" w:eastAsia="仿宋" w:cs="Times New Roman"/>
                <w:bCs/>
                <w:color w:val="auto"/>
                <w:sz w:val="24"/>
                <w:lang w:val="en-US" w:eastAsia="zh-CN"/>
              </w:rPr>
              <w:t>和</w:t>
            </w:r>
            <w:r>
              <w:rPr>
                <w:rFonts w:hint="eastAsia" w:ascii="Times New Roman" w:hAnsi="Times New Roman" w:eastAsia="仿宋" w:cs="Times New Roman"/>
                <w:bCs/>
                <w:color w:val="auto"/>
                <w:sz w:val="24"/>
                <w:lang w:val="en-US" w:eastAsia="zh-CN"/>
              </w:rPr>
              <w:t>FQ-</w:t>
            </w:r>
            <w:r>
              <w:rPr>
                <w:rFonts w:hint="eastAsia" w:eastAsia="仿宋" w:cs="Times New Roman"/>
                <w:bCs/>
                <w:color w:val="auto"/>
                <w:sz w:val="24"/>
                <w:lang w:val="en-US" w:eastAsia="zh-CN"/>
              </w:rPr>
              <w:t>7</w:t>
            </w:r>
            <w:r>
              <w:rPr>
                <w:rFonts w:hint="eastAsia" w:ascii="Times New Roman" w:hAnsi="Times New Roman" w:eastAsia="仿宋" w:cs="Times New Roman"/>
                <w:bCs/>
                <w:color w:val="auto"/>
                <w:sz w:val="24"/>
                <w:lang w:val="en-US" w:eastAsia="zh-CN"/>
              </w:rPr>
              <w:t>排气筒中排放的颗粒物</w:t>
            </w:r>
            <w:r>
              <w:rPr>
                <w:rFonts w:hint="default" w:ascii="Times New Roman" w:hAnsi="Times New Roman" w:eastAsia="仿宋" w:cs="Times New Roman"/>
                <w:bCs/>
                <w:color w:val="auto"/>
                <w:sz w:val="24"/>
                <w:lang w:val="en-US" w:eastAsia="zh-CN"/>
              </w:rPr>
              <w:t>浓度</w:t>
            </w:r>
            <w:r>
              <w:rPr>
                <w:rFonts w:hint="eastAsia" w:eastAsia="仿宋" w:cs="Times New Roman"/>
                <w:bCs/>
                <w:color w:val="auto"/>
                <w:sz w:val="24"/>
                <w:lang w:val="en-US" w:eastAsia="zh-CN"/>
              </w:rPr>
              <w:t>及</w:t>
            </w:r>
            <w:r>
              <w:rPr>
                <w:rFonts w:hint="eastAsia" w:ascii="Times New Roman" w:hAnsi="Times New Roman" w:eastAsia="仿宋" w:cs="Times New Roman"/>
                <w:bCs/>
                <w:color w:val="auto"/>
                <w:sz w:val="24"/>
                <w:lang w:val="en-US" w:eastAsia="zh-CN"/>
              </w:rPr>
              <w:t>速率</w:t>
            </w:r>
            <w:r>
              <w:rPr>
                <w:rFonts w:hint="eastAsia" w:eastAsia="仿宋" w:cs="Times New Roman"/>
                <w:bCs/>
                <w:color w:val="auto"/>
                <w:sz w:val="24"/>
                <w:lang w:val="en-US" w:eastAsia="zh-CN"/>
              </w:rPr>
              <w:t>均满足</w:t>
            </w:r>
            <w:r>
              <w:rPr>
                <w:rFonts w:hint="eastAsia" w:ascii="Times New Roman" w:hAnsi="Times New Roman" w:eastAsia="仿宋" w:cs="Times New Roman"/>
                <w:bCs/>
                <w:color w:val="auto"/>
                <w:sz w:val="24"/>
                <w:lang w:val="en-US" w:eastAsia="zh-CN"/>
              </w:rPr>
              <w:t>《大气污染物综合排放标准》（DB32/4041-2021）表1相关标准限值</w:t>
            </w:r>
            <w:r>
              <w:rPr>
                <w:rFonts w:hint="default" w:ascii="Times New Roman" w:hAnsi="Times New Roman" w:eastAsia="仿宋" w:cs="Times New Roman"/>
                <w:bCs/>
                <w:color w:val="auto"/>
                <w:sz w:val="24"/>
                <w:highlight w:val="none"/>
              </w:rPr>
              <w:t>。</w:t>
            </w:r>
          </w:p>
          <w:p w14:paraId="245AF0EC">
            <w:pPr>
              <w:adjustRightInd w:val="0"/>
              <w:snapToGrid w:val="0"/>
              <w:jc w:val="center"/>
              <w:rPr>
                <w:rFonts w:ascii="Times New Roman" w:hAnsi="Times New Roman" w:eastAsia="仿宋" w:cs="Times New Roman"/>
                <w:b/>
                <w:bCs/>
                <w:sz w:val="24"/>
              </w:rPr>
            </w:pPr>
            <w:r>
              <w:rPr>
                <w:rFonts w:ascii="Times New Roman" w:hAnsi="Times New Roman" w:eastAsia="仿宋" w:cs="Times New Roman"/>
                <w:b/>
                <w:bCs/>
                <w:sz w:val="24"/>
              </w:rPr>
              <w:t>表4-1</w:t>
            </w:r>
            <w:r>
              <w:rPr>
                <w:rFonts w:hint="eastAsia" w:eastAsia="仿宋" w:cs="Times New Roman"/>
                <w:b/>
                <w:bCs/>
                <w:sz w:val="24"/>
                <w:lang w:val="en-US" w:eastAsia="zh-CN"/>
              </w:rPr>
              <w:t>1</w:t>
            </w:r>
            <w:r>
              <w:rPr>
                <w:rFonts w:ascii="Times New Roman" w:hAnsi="Times New Roman" w:eastAsia="仿宋" w:cs="Times New Roman"/>
                <w:b/>
                <w:bCs/>
                <w:sz w:val="24"/>
              </w:rPr>
              <w:t xml:space="preserve">  </w:t>
            </w:r>
            <w:r>
              <w:rPr>
                <w:rFonts w:hint="eastAsia" w:ascii="Times New Roman" w:hAnsi="Times New Roman" w:eastAsia="仿宋" w:cs="Times New Roman"/>
                <w:b/>
                <w:bCs/>
                <w:sz w:val="24"/>
              </w:rPr>
              <w:t>扩建后全厂</w:t>
            </w:r>
            <w:r>
              <w:rPr>
                <w:rFonts w:ascii="Times New Roman" w:hAnsi="Times New Roman" w:eastAsia="仿宋" w:cs="Times New Roman"/>
                <w:b/>
                <w:bCs/>
                <w:sz w:val="24"/>
              </w:rPr>
              <w:t>有组织废气排放源强表</w:t>
            </w:r>
          </w:p>
          <w:tbl>
            <w:tblPr>
              <w:tblStyle w:val="2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56"/>
              <w:gridCol w:w="1256"/>
              <w:gridCol w:w="711"/>
              <w:gridCol w:w="902"/>
              <w:gridCol w:w="633"/>
              <w:gridCol w:w="771"/>
              <w:gridCol w:w="749"/>
              <w:gridCol w:w="1211"/>
              <w:gridCol w:w="470"/>
              <w:gridCol w:w="683"/>
              <w:gridCol w:w="653"/>
              <w:gridCol w:w="698"/>
              <w:gridCol w:w="605"/>
              <w:gridCol w:w="485"/>
              <w:gridCol w:w="889"/>
              <w:gridCol w:w="575"/>
            </w:tblGrid>
            <w:tr w14:paraId="7BB72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00" w:type="pct"/>
                  <w:vMerge w:val="restart"/>
                  <w:vAlign w:val="center"/>
                </w:tcPr>
                <w:p w14:paraId="235FDE71">
                  <w:pPr>
                    <w:contextualSpacing/>
                    <w:jc w:val="center"/>
                    <w:rPr>
                      <w:rFonts w:eastAsia="仿宋"/>
                      <w:b/>
                      <w:bCs/>
                      <w:sz w:val="18"/>
                      <w:szCs w:val="18"/>
                    </w:rPr>
                  </w:pPr>
                  <w:r>
                    <w:rPr>
                      <w:rFonts w:hint="eastAsia" w:eastAsia="仿宋"/>
                      <w:b/>
                      <w:bCs/>
                      <w:sz w:val="18"/>
                      <w:szCs w:val="18"/>
                    </w:rPr>
                    <w:t>项目名称</w:t>
                  </w:r>
                </w:p>
              </w:tc>
              <w:tc>
                <w:tcPr>
                  <w:tcW w:w="500" w:type="pct"/>
                  <w:vMerge w:val="restart"/>
                  <w:vAlign w:val="center"/>
                </w:tcPr>
                <w:p w14:paraId="6D8A4F26">
                  <w:pPr>
                    <w:contextualSpacing/>
                    <w:jc w:val="center"/>
                    <w:rPr>
                      <w:rFonts w:eastAsia="仿宋"/>
                      <w:b/>
                      <w:bCs/>
                      <w:sz w:val="18"/>
                      <w:szCs w:val="18"/>
                    </w:rPr>
                  </w:pPr>
                  <w:r>
                    <w:rPr>
                      <w:rFonts w:eastAsia="仿宋"/>
                      <w:b/>
                      <w:bCs/>
                      <w:sz w:val="18"/>
                      <w:szCs w:val="18"/>
                    </w:rPr>
                    <w:t>污染源名称</w:t>
                  </w:r>
                </w:p>
              </w:tc>
              <w:tc>
                <w:tcPr>
                  <w:tcW w:w="283" w:type="pct"/>
                  <w:vMerge w:val="restart"/>
                  <w:vAlign w:val="center"/>
                </w:tcPr>
                <w:p w14:paraId="5B0E13E7">
                  <w:pPr>
                    <w:contextualSpacing/>
                    <w:jc w:val="center"/>
                    <w:rPr>
                      <w:rFonts w:eastAsia="仿宋"/>
                      <w:b/>
                      <w:bCs/>
                      <w:sz w:val="18"/>
                      <w:szCs w:val="18"/>
                    </w:rPr>
                  </w:pPr>
                  <w:r>
                    <w:rPr>
                      <w:rFonts w:eastAsia="仿宋"/>
                      <w:b/>
                      <w:bCs/>
                      <w:sz w:val="18"/>
                      <w:szCs w:val="18"/>
                    </w:rPr>
                    <w:t>废气量m</w:t>
                  </w:r>
                  <w:r>
                    <w:rPr>
                      <w:rFonts w:eastAsia="仿宋"/>
                      <w:b/>
                      <w:bCs/>
                      <w:sz w:val="18"/>
                      <w:szCs w:val="18"/>
                      <w:vertAlign w:val="superscript"/>
                    </w:rPr>
                    <w:t>3</w:t>
                  </w:r>
                  <w:r>
                    <w:rPr>
                      <w:rFonts w:eastAsia="仿宋"/>
                      <w:b/>
                      <w:bCs/>
                      <w:sz w:val="18"/>
                      <w:szCs w:val="18"/>
                    </w:rPr>
                    <w:t>/h</w:t>
                  </w:r>
                </w:p>
              </w:tc>
              <w:tc>
                <w:tcPr>
                  <w:tcW w:w="359" w:type="pct"/>
                  <w:vMerge w:val="restart"/>
                  <w:vAlign w:val="center"/>
                </w:tcPr>
                <w:p w14:paraId="589AC49A">
                  <w:pPr>
                    <w:contextualSpacing/>
                    <w:jc w:val="center"/>
                    <w:rPr>
                      <w:rFonts w:eastAsia="仿宋"/>
                      <w:b/>
                      <w:bCs/>
                      <w:sz w:val="18"/>
                      <w:szCs w:val="18"/>
                    </w:rPr>
                  </w:pPr>
                  <w:r>
                    <w:rPr>
                      <w:rFonts w:eastAsia="仿宋"/>
                      <w:b/>
                      <w:bCs/>
                      <w:sz w:val="18"/>
                      <w:szCs w:val="18"/>
                    </w:rPr>
                    <w:t>污染物名称</w:t>
                  </w:r>
                </w:p>
              </w:tc>
              <w:tc>
                <w:tcPr>
                  <w:tcW w:w="857" w:type="pct"/>
                  <w:gridSpan w:val="3"/>
                  <w:vAlign w:val="center"/>
                </w:tcPr>
                <w:p w14:paraId="573FCF51">
                  <w:pPr>
                    <w:contextualSpacing/>
                    <w:jc w:val="center"/>
                    <w:rPr>
                      <w:rFonts w:eastAsia="仿宋"/>
                      <w:b/>
                      <w:bCs/>
                      <w:sz w:val="18"/>
                      <w:szCs w:val="18"/>
                    </w:rPr>
                  </w:pPr>
                  <w:r>
                    <w:rPr>
                      <w:rFonts w:eastAsia="仿宋"/>
                      <w:b/>
                      <w:bCs/>
                      <w:sz w:val="18"/>
                      <w:szCs w:val="18"/>
                    </w:rPr>
                    <w:t>产生情况</w:t>
                  </w:r>
                </w:p>
              </w:tc>
              <w:tc>
                <w:tcPr>
                  <w:tcW w:w="482" w:type="pct"/>
                  <w:vMerge w:val="restart"/>
                  <w:vAlign w:val="center"/>
                </w:tcPr>
                <w:p w14:paraId="20B0CC77">
                  <w:pPr>
                    <w:contextualSpacing/>
                    <w:jc w:val="center"/>
                    <w:rPr>
                      <w:rFonts w:eastAsia="仿宋"/>
                      <w:b/>
                      <w:bCs/>
                      <w:sz w:val="18"/>
                      <w:szCs w:val="18"/>
                    </w:rPr>
                  </w:pPr>
                  <w:r>
                    <w:rPr>
                      <w:rFonts w:eastAsia="仿宋"/>
                      <w:b/>
                      <w:bCs/>
                      <w:sz w:val="18"/>
                      <w:szCs w:val="18"/>
                    </w:rPr>
                    <w:t>治理措施</w:t>
                  </w:r>
                </w:p>
              </w:tc>
              <w:tc>
                <w:tcPr>
                  <w:tcW w:w="187" w:type="pct"/>
                  <w:vMerge w:val="restart"/>
                  <w:vAlign w:val="center"/>
                </w:tcPr>
                <w:p w14:paraId="4D3E63DD">
                  <w:pPr>
                    <w:contextualSpacing/>
                    <w:jc w:val="center"/>
                    <w:rPr>
                      <w:rFonts w:eastAsia="仿宋"/>
                      <w:b/>
                      <w:bCs/>
                      <w:sz w:val="18"/>
                      <w:szCs w:val="18"/>
                    </w:rPr>
                  </w:pPr>
                  <w:r>
                    <w:rPr>
                      <w:rFonts w:eastAsia="仿宋"/>
                      <w:b/>
                      <w:bCs/>
                      <w:sz w:val="18"/>
                      <w:szCs w:val="18"/>
                    </w:rPr>
                    <w:t>去除率％</w:t>
                  </w:r>
                </w:p>
              </w:tc>
              <w:tc>
                <w:tcPr>
                  <w:tcW w:w="810" w:type="pct"/>
                  <w:gridSpan w:val="3"/>
                  <w:vAlign w:val="center"/>
                </w:tcPr>
                <w:p w14:paraId="3A44D8BB">
                  <w:pPr>
                    <w:contextualSpacing/>
                    <w:jc w:val="center"/>
                    <w:rPr>
                      <w:rFonts w:eastAsia="仿宋"/>
                      <w:b/>
                      <w:bCs/>
                      <w:sz w:val="18"/>
                      <w:szCs w:val="18"/>
                    </w:rPr>
                  </w:pPr>
                  <w:r>
                    <w:rPr>
                      <w:rFonts w:eastAsia="仿宋"/>
                      <w:b/>
                      <w:bCs/>
                      <w:sz w:val="18"/>
                      <w:szCs w:val="18"/>
                    </w:rPr>
                    <w:t>排放情况</w:t>
                  </w:r>
                </w:p>
              </w:tc>
              <w:tc>
                <w:tcPr>
                  <w:tcW w:w="434" w:type="pct"/>
                  <w:gridSpan w:val="2"/>
                  <w:vAlign w:val="center"/>
                </w:tcPr>
                <w:p w14:paraId="693041E8">
                  <w:pPr>
                    <w:contextualSpacing/>
                    <w:jc w:val="center"/>
                    <w:rPr>
                      <w:rFonts w:eastAsia="仿宋"/>
                      <w:b/>
                      <w:bCs/>
                      <w:sz w:val="18"/>
                      <w:szCs w:val="18"/>
                    </w:rPr>
                  </w:pPr>
                  <w:r>
                    <w:rPr>
                      <w:rFonts w:eastAsia="仿宋"/>
                      <w:b/>
                      <w:bCs/>
                      <w:sz w:val="18"/>
                      <w:szCs w:val="18"/>
                    </w:rPr>
                    <w:t>执行标准</w:t>
                  </w:r>
                </w:p>
              </w:tc>
              <w:tc>
                <w:tcPr>
                  <w:tcW w:w="354" w:type="pct"/>
                  <w:vMerge w:val="restart"/>
                  <w:vAlign w:val="center"/>
                </w:tcPr>
                <w:p w14:paraId="2919B16F">
                  <w:pPr>
                    <w:jc w:val="center"/>
                    <w:rPr>
                      <w:rFonts w:eastAsia="仿宋"/>
                      <w:b/>
                      <w:bCs/>
                      <w:sz w:val="18"/>
                      <w:szCs w:val="18"/>
                    </w:rPr>
                  </w:pPr>
                  <w:r>
                    <w:rPr>
                      <w:rFonts w:eastAsia="仿宋"/>
                      <w:b/>
                      <w:bCs/>
                      <w:sz w:val="18"/>
                      <w:szCs w:val="18"/>
                    </w:rPr>
                    <w:t>排气筒名称及编号</w:t>
                  </w:r>
                </w:p>
              </w:tc>
              <w:tc>
                <w:tcPr>
                  <w:tcW w:w="229" w:type="pct"/>
                  <w:vMerge w:val="restart"/>
                  <w:vAlign w:val="center"/>
                </w:tcPr>
                <w:p w14:paraId="0BDED54C">
                  <w:pPr>
                    <w:contextualSpacing/>
                    <w:jc w:val="center"/>
                    <w:rPr>
                      <w:rFonts w:eastAsia="仿宋"/>
                      <w:b/>
                      <w:bCs/>
                      <w:sz w:val="18"/>
                      <w:szCs w:val="18"/>
                      <w:highlight w:val="none"/>
                    </w:rPr>
                  </w:pPr>
                  <w:r>
                    <w:rPr>
                      <w:rFonts w:eastAsia="仿宋"/>
                      <w:b/>
                      <w:bCs/>
                      <w:sz w:val="18"/>
                      <w:szCs w:val="18"/>
                      <w:highlight w:val="none"/>
                    </w:rPr>
                    <w:t>排放方式</w:t>
                  </w:r>
                </w:p>
              </w:tc>
            </w:tr>
            <w:tr w14:paraId="11E33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00" w:type="pct"/>
                  <w:vMerge w:val="continue"/>
                  <w:vAlign w:val="center"/>
                </w:tcPr>
                <w:p w14:paraId="1003478D">
                  <w:pPr>
                    <w:contextualSpacing/>
                    <w:jc w:val="center"/>
                    <w:rPr>
                      <w:rFonts w:eastAsia="仿宋"/>
                      <w:b/>
                      <w:bCs/>
                      <w:sz w:val="18"/>
                      <w:szCs w:val="18"/>
                    </w:rPr>
                  </w:pPr>
                </w:p>
              </w:tc>
              <w:tc>
                <w:tcPr>
                  <w:tcW w:w="500" w:type="pct"/>
                  <w:vMerge w:val="continue"/>
                  <w:vAlign w:val="center"/>
                </w:tcPr>
                <w:p w14:paraId="6F271D41">
                  <w:pPr>
                    <w:contextualSpacing/>
                    <w:jc w:val="center"/>
                    <w:rPr>
                      <w:rFonts w:eastAsia="仿宋"/>
                      <w:b/>
                      <w:bCs/>
                      <w:sz w:val="18"/>
                      <w:szCs w:val="18"/>
                    </w:rPr>
                  </w:pPr>
                </w:p>
              </w:tc>
              <w:tc>
                <w:tcPr>
                  <w:tcW w:w="283" w:type="pct"/>
                  <w:vMerge w:val="continue"/>
                  <w:vAlign w:val="center"/>
                </w:tcPr>
                <w:p w14:paraId="15180414">
                  <w:pPr>
                    <w:contextualSpacing/>
                    <w:jc w:val="center"/>
                    <w:rPr>
                      <w:rFonts w:eastAsia="仿宋"/>
                      <w:b/>
                      <w:bCs/>
                      <w:sz w:val="18"/>
                      <w:szCs w:val="18"/>
                    </w:rPr>
                  </w:pPr>
                </w:p>
              </w:tc>
              <w:tc>
                <w:tcPr>
                  <w:tcW w:w="359" w:type="pct"/>
                  <w:vMerge w:val="continue"/>
                  <w:vAlign w:val="center"/>
                </w:tcPr>
                <w:p w14:paraId="60656B5F">
                  <w:pPr>
                    <w:contextualSpacing/>
                    <w:jc w:val="center"/>
                    <w:rPr>
                      <w:rFonts w:eastAsia="仿宋"/>
                      <w:b/>
                      <w:bCs/>
                      <w:sz w:val="18"/>
                      <w:szCs w:val="18"/>
                    </w:rPr>
                  </w:pPr>
                </w:p>
              </w:tc>
              <w:tc>
                <w:tcPr>
                  <w:tcW w:w="252" w:type="pct"/>
                  <w:tcMar>
                    <w:top w:w="0" w:type="dxa"/>
                    <w:left w:w="28" w:type="dxa"/>
                    <w:bottom w:w="0" w:type="dxa"/>
                    <w:right w:w="28" w:type="dxa"/>
                  </w:tcMar>
                  <w:vAlign w:val="center"/>
                </w:tcPr>
                <w:p w14:paraId="4FD4C610">
                  <w:pPr>
                    <w:contextualSpacing/>
                    <w:jc w:val="center"/>
                    <w:rPr>
                      <w:rFonts w:eastAsia="仿宋"/>
                      <w:b/>
                      <w:bCs/>
                      <w:sz w:val="18"/>
                      <w:szCs w:val="18"/>
                    </w:rPr>
                  </w:pPr>
                  <w:r>
                    <w:rPr>
                      <w:rFonts w:eastAsia="仿宋"/>
                      <w:b/>
                      <w:bCs/>
                      <w:sz w:val="18"/>
                      <w:szCs w:val="18"/>
                    </w:rPr>
                    <w:t>产生量t/a</w:t>
                  </w:r>
                </w:p>
              </w:tc>
              <w:tc>
                <w:tcPr>
                  <w:tcW w:w="307" w:type="pct"/>
                  <w:tcMar>
                    <w:top w:w="0" w:type="dxa"/>
                    <w:left w:w="28" w:type="dxa"/>
                    <w:bottom w:w="0" w:type="dxa"/>
                    <w:right w:w="28" w:type="dxa"/>
                  </w:tcMar>
                  <w:vAlign w:val="center"/>
                </w:tcPr>
                <w:p w14:paraId="7D015FAA">
                  <w:pPr>
                    <w:contextualSpacing/>
                    <w:jc w:val="center"/>
                    <w:rPr>
                      <w:rFonts w:eastAsia="仿宋"/>
                      <w:b/>
                      <w:bCs/>
                      <w:sz w:val="18"/>
                      <w:szCs w:val="18"/>
                    </w:rPr>
                  </w:pPr>
                  <w:r>
                    <w:rPr>
                      <w:rFonts w:eastAsia="仿宋"/>
                      <w:b/>
                      <w:bCs/>
                      <w:sz w:val="18"/>
                      <w:szCs w:val="18"/>
                    </w:rPr>
                    <w:t>浓度mg/m</w:t>
                  </w:r>
                  <w:r>
                    <w:rPr>
                      <w:rFonts w:eastAsia="仿宋"/>
                      <w:b/>
                      <w:bCs/>
                      <w:sz w:val="18"/>
                      <w:szCs w:val="18"/>
                      <w:vertAlign w:val="superscript"/>
                    </w:rPr>
                    <w:t>3</w:t>
                  </w:r>
                </w:p>
              </w:tc>
              <w:tc>
                <w:tcPr>
                  <w:tcW w:w="298" w:type="pct"/>
                  <w:vAlign w:val="center"/>
                </w:tcPr>
                <w:p w14:paraId="67898A42">
                  <w:pPr>
                    <w:contextualSpacing/>
                    <w:jc w:val="center"/>
                    <w:rPr>
                      <w:rFonts w:eastAsia="仿宋"/>
                      <w:b/>
                      <w:bCs/>
                      <w:sz w:val="18"/>
                      <w:szCs w:val="18"/>
                    </w:rPr>
                  </w:pPr>
                  <w:r>
                    <w:rPr>
                      <w:rFonts w:eastAsia="仿宋"/>
                      <w:b/>
                      <w:bCs/>
                      <w:sz w:val="18"/>
                      <w:szCs w:val="18"/>
                    </w:rPr>
                    <w:t>速率kg/h</w:t>
                  </w:r>
                </w:p>
              </w:tc>
              <w:tc>
                <w:tcPr>
                  <w:tcW w:w="482" w:type="pct"/>
                  <w:vMerge w:val="continue"/>
                  <w:vAlign w:val="center"/>
                </w:tcPr>
                <w:p w14:paraId="28D79CE6">
                  <w:pPr>
                    <w:contextualSpacing/>
                    <w:jc w:val="center"/>
                    <w:rPr>
                      <w:rFonts w:eastAsia="仿宋"/>
                      <w:b/>
                      <w:bCs/>
                      <w:sz w:val="18"/>
                      <w:szCs w:val="18"/>
                    </w:rPr>
                  </w:pPr>
                </w:p>
              </w:tc>
              <w:tc>
                <w:tcPr>
                  <w:tcW w:w="187" w:type="pct"/>
                  <w:vMerge w:val="continue"/>
                  <w:vAlign w:val="center"/>
                </w:tcPr>
                <w:p w14:paraId="1BE19B2D">
                  <w:pPr>
                    <w:contextualSpacing/>
                    <w:jc w:val="center"/>
                    <w:rPr>
                      <w:rFonts w:eastAsia="仿宋"/>
                      <w:b/>
                      <w:bCs/>
                      <w:sz w:val="18"/>
                      <w:szCs w:val="18"/>
                    </w:rPr>
                  </w:pPr>
                </w:p>
              </w:tc>
              <w:tc>
                <w:tcPr>
                  <w:tcW w:w="272" w:type="pct"/>
                  <w:vAlign w:val="center"/>
                </w:tcPr>
                <w:p w14:paraId="54525152">
                  <w:pPr>
                    <w:contextualSpacing/>
                    <w:jc w:val="center"/>
                    <w:rPr>
                      <w:rFonts w:eastAsia="仿宋"/>
                      <w:b/>
                      <w:bCs/>
                      <w:sz w:val="18"/>
                      <w:szCs w:val="18"/>
                    </w:rPr>
                  </w:pPr>
                  <w:r>
                    <w:rPr>
                      <w:rFonts w:eastAsia="仿宋"/>
                      <w:b/>
                      <w:bCs/>
                      <w:sz w:val="18"/>
                      <w:szCs w:val="18"/>
                    </w:rPr>
                    <w:t>排放量t/a</w:t>
                  </w:r>
                </w:p>
              </w:tc>
              <w:tc>
                <w:tcPr>
                  <w:tcW w:w="260" w:type="pct"/>
                  <w:vAlign w:val="center"/>
                </w:tcPr>
                <w:p w14:paraId="5828C3C8">
                  <w:pPr>
                    <w:contextualSpacing/>
                    <w:jc w:val="center"/>
                    <w:rPr>
                      <w:rFonts w:eastAsia="仿宋"/>
                      <w:b/>
                      <w:bCs/>
                      <w:sz w:val="18"/>
                      <w:szCs w:val="18"/>
                    </w:rPr>
                  </w:pPr>
                  <w:r>
                    <w:rPr>
                      <w:rFonts w:eastAsia="仿宋"/>
                      <w:b/>
                      <w:bCs/>
                      <w:sz w:val="18"/>
                      <w:szCs w:val="18"/>
                    </w:rPr>
                    <w:t>浓度mg/m</w:t>
                  </w:r>
                  <w:r>
                    <w:rPr>
                      <w:rFonts w:eastAsia="仿宋"/>
                      <w:b/>
                      <w:bCs/>
                      <w:sz w:val="18"/>
                      <w:szCs w:val="18"/>
                      <w:vertAlign w:val="superscript"/>
                    </w:rPr>
                    <w:t>3</w:t>
                  </w:r>
                </w:p>
              </w:tc>
              <w:tc>
                <w:tcPr>
                  <w:tcW w:w="278" w:type="pct"/>
                  <w:vAlign w:val="center"/>
                </w:tcPr>
                <w:p w14:paraId="469D2721">
                  <w:pPr>
                    <w:contextualSpacing/>
                    <w:jc w:val="center"/>
                    <w:rPr>
                      <w:rFonts w:eastAsia="仿宋"/>
                      <w:b/>
                      <w:bCs/>
                      <w:sz w:val="18"/>
                      <w:szCs w:val="18"/>
                    </w:rPr>
                  </w:pPr>
                  <w:r>
                    <w:rPr>
                      <w:rFonts w:eastAsia="仿宋"/>
                      <w:b/>
                      <w:bCs/>
                      <w:sz w:val="18"/>
                      <w:szCs w:val="18"/>
                    </w:rPr>
                    <w:t>速率kg/h</w:t>
                  </w:r>
                </w:p>
              </w:tc>
              <w:tc>
                <w:tcPr>
                  <w:tcW w:w="241" w:type="pct"/>
                  <w:vAlign w:val="center"/>
                </w:tcPr>
                <w:p w14:paraId="7D1CA5DD">
                  <w:pPr>
                    <w:jc w:val="center"/>
                    <w:rPr>
                      <w:rFonts w:eastAsia="仿宋"/>
                      <w:b/>
                      <w:bCs/>
                      <w:sz w:val="18"/>
                      <w:szCs w:val="18"/>
                    </w:rPr>
                  </w:pPr>
                  <w:r>
                    <w:rPr>
                      <w:rFonts w:eastAsia="仿宋"/>
                      <w:b/>
                      <w:bCs/>
                      <w:sz w:val="18"/>
                      <w:szCs w:val="18"/>
                    </w:rPr>
                    <w:t>浓度mg/m</w:t>
                  </w:r>
                  <w:r>
                    <w:rPr>
                      <w:rFonts w:eastAsia="仿宋"/>
                      <w:b/>
                      <w:bCs/>
                      <w:sz w:val="18"/>
                      <w:szCs w:val="18"/>
                      <w:vertAlign w:val="superscript"/>
                    </w:rPr>
                    <w:t>3</w:t>
                  </w:r>
                </w:p>
              </w:tc>
              <w:tc>
                <w:tcPr>
                  <w:tcW w:w="193" w:type="pct"/>
                  <w:vAlign w:val="center"/>
                </w:tcPr>
                <w:p w14:paraId="1F912A47">
                  <w:pPr>
                    <w:jc w:val="center"/>
                    <w:rPr>
                      <w:rFonts w:eastAsia="仿宋"/>
                      <w:b/>
                      <w:bCs/>
                      <w:sz w:val="18"/>
                      <w:szCs w:val="18"/>
                    </w:rPr>
                  </w:pPr>
                  <w:r>
                    <w:rPr>
                      <w:rFonts w:eastAsia="仿宋"/>
                      <w:b/>
                      <w:bCs/>
                      <w:sz w:val="18"/>
                      <w:szCs w:val="18"/>
                    </w:rPr>
                    <w:t>速率kg/h</w:t>
                  </w:r>
                </w:p>
              </w:tc>
              <w:tc>
                <w:tcPr>
                  <w:tcW w:w="354" w:type="pct"/>
                  <w:vMerge w:val="continue"/>
                  <w:vAlign w:val="center"/>
                </w:tcPr>
                <w:p w14:paraId="333A22A6">
                  <w:pPr>
                    <w:jc w:val="center"/>
                    <w:rPr>
                      <w:rFonts w:eastAsia="仿宋"/>
                      <w:b/>
                      <w:bCs/>
                      <w:sz w:val="18"/>
                      <w:szCs w:val="18"/>
                    </w:rPr>
                  </w:pPr>
                </w:p>
              </w:tc>
              <w:tc>
                <w:tcPr>
                  <w:tcW w:w="229" w:type="pct"/>
                  <w:vMerge w:val="continue"/>
                  <w:vAlign w:val="center"/>
                </w:tcPr>
                <w:p w14:paraId="3B69448B">
                  <w:pPr>
                    <w:contextualSpacing/>
                    <w:jc w:val="center"/>
                    <w:rPr>
                      <w:rFonts w:eastAsia="仿宋"/>
                      <w:b/>
                      <w:bCs/>
                      <w:sz w:val="18"/>
                      <w:szCs w:val="18"/>
                      <w:highlight w:val="none"/>
                    </w:rPr>
                  </w:pPr>
                </w:p>
              </w:tc>
            </w:tr>
            <w:tr w14:paraId="1C6FC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00" w:type="pct"/>
                  <w:vMerge w:val="restart"/>
                  <w:vAlign w:val="center"/>
                </w:tcPr>
                <w:p w14:paraId="37776E77">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扩建项目</w:t>
                  </w:r>
                </w:p>
              </w:tc>
              <w:tc>
                <w:tcPr>
                  <w:tcW w:w="500" w:type="pct"/>
                  <w:shd w:val="clear" w:color="auto" w:fill="auto"/>
                  <w:vAlign w:val="center"/>
                </w:tcPr>
                <w:p w14:paraId="61AFB8C8">
                  <w:pPr>
                    <w:jc w:val="center"/>
                    <w:rPr>
                      <w:rFonts w:hint="default" w:ascii="Times New Roman" w:hAnsi="Times New Roman" w:eastAsia="仿宋" w:cs="Times New Roman"/>
                      <w:bCs/>
                      <w:color w:val="auto"/>
                      <w:spacing w:val="-6"/>
                      <w:sz w:val="18"/>
                      <w:szCs w:val="18"/>
                      <w:lang w:val="en-US" w:eastAsia="zh-CN"/>
                    </w:rPr>
                  </w:pPr>
                  <w:r>
                    <w:rPr>
                      <w:rFonts w:hint="default" w:ascii="Times New Roman" w:hAnsi="Times New Roman" w:eastAsia="仿宋" w:cs="Times New Roman"/>
                      <w:bCs/>
                      <w:color w:val="auto"/>
                      <w:spacing w:val="-6"/>
                      <w:sz w:val="18"/>
                      <w:szCs w:val="18"/>
                      <w:lang w:val="en-US" w:eastAsia="zh-CN"/>
                    </w:rPr>
                    <w:t>注塑、上胶、烘干、固化</w:t>
                  </w:r>
                </w:p>
              </w:tc>
              <w:tc>
                <w:tcPr>
                  <w:tcW w:w="283" w:type="pct"/>
                  <w:vAlign w:val="center"/>
                </w:tcPr>
                <w:p w14:paraId="431FF51E">
                  <w:pPr>
                    <w:widowControl/>
                    <w:snapToGrid w:val="0"/>
                    <w:jc w:val="center"/>
                    <w:rPr>
                      <w:rFonts w:eastAsia="仿宋"/>
                      <w:b/>
                      <w:bCs/>
                      <w:sz w:val="18"/>
                      <w:szCs w:val="18"/>
                    </w:rPr>
                  </w:pPr>
                  <w:r>
                    <w:rPr>
                      <w:rFonts w:hint="eastAsia" w:ascii="Times New Roman" w:hAnsi="Times New Roman" w:eastAsia="仿宋" w:cs="Times New Roman"/>
                      <w:bCs/>
                      <w:color w:val="auto"/>
                      <w:sz w:val="18"/>
                      <w:szCs w:val="18"/>
                      <w:highlight w:val="none"/>
                      <w:lang w:val="en-US" w:eastAsia="zh-CN"/>
                    </w:rPr>
                    <w:t>12000</w:t>
                  </w:r>
                </w:p>
              </w:tc>
              <w:tc>
                <w:tcPr>
                  <w:tcW w:w="359" w:type="pct"/>
                  <w:shd w:val="clear" w:color="auto" w:fill="auto"/>
                  <w:vAlign w:val="center"/>
                </w:tcPr>
                <w:p w14:paraId="65B26DF0">
                  <w:pPr>
                    <w:widowControl/>
                    <w:snapToGrid w:val="0"/>
                    <w:jc w:val="center"/>
                    <w:rPr>
                      <w:rFonts w:hint="default" w:ascii="Times New Roman" w:hAnsi="Times New Roman" w:eastAsia="仿宋" w:cs="Times New Roman"/>
                      <w:bCs/>
                      <w:color w:val="auto"/>
                      <w:kern w:val="2"/>
                      <w:sz w:val="18"/>
                      <w:szCs w:val="18"/>
                      <w:highlight w:val="none"/>
                      <w:lang w:val="en-US" w:eastAsia="zh-CN" w:bidi="ar-SA"/>
                    </w:rPr>
                  </w:pPr>
                  <w:r>
                    <w:rPr>
                      <w:rFonts w:hint="default" w:ascii="Times New Roman" w:hAnsi="Times New Roman" w:eastAsia="仿宋" w:cs="Times New Roman"/>
                      <w:bCs/>
                      <w:color w:val="auto"/>
                      <w:sz w:val="18"/>
                      <w:szCs w:val="18"/>
                      <w:highlight w:val="none"/>
                      <w:lang w:val="en-US" w:eastAsia="zh-CN"/>
                    </w:rPr>
                    <w:t>非甲烷总烃</w:t>
                  </w:r>
                </w:p>
              </w:tc>
              <w:tc>
                <w:tcPr>
                  <w:tcW w:w="252" w:type="pct"/>
                  <w:shd w:val="clear" w:color="auto" w:fill="auto"/>
                  <w:tcMar>
                    <w:top w:w="0" w:type="dxa"/>
                    <w:left w:w="28" w:type="dxa"/>
                    <w:bottom w:w="0" w:type="dxa"/>
                    <w:right w:w="28" w:type="dxa"/>
                  </w:tcMar>
                  <w:vAlign w:val="center"/>
                </w:tcPr>
                <w:p w14:paraId="58B5CD25">
                  <w:pPr>
                    <w:widowControl/>
                    <w:snapToGrid w:val="0"/>
                    <w:jc w:val="center"/>
                    <w:rPr>
                      <w:rFonts w:hint="default"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0.325</w:t>
                  </w:r>
                </w:p>
              </w:tc>
              <w:tc>
                <w:tcPr>
                  <w:tcW w:w="307" w:type="pct"/>
                  <w:shd w:val="clear" w:color="auto" w:fill="auto"/>
                  <w:tcMar>
                    <w:top w:w="0" w:type="dxa"/>
                    <w:left w:w="28" w:type="dxa"/>
                    <w:bottom w:w="0" w:type="dxa"/>
                    <w:right w:w="28" w:type="dxa"/>
                  </w:tcMar>
                  <w:vAlign w:val="center"/>
                </w:tcPr>
                <w:p w14:paraId="1C33B2E4">
                  <w:pPr>
                    <w:widowControl/>
                    <w:snapToGrid w:val="0"/>
                    <w:jc w:val="center"/>
                    <w:rPr>
                      <w:rFonts w:hint="default"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3.762</w:t>
                  </w:r>
                </w:p>
              </w:tc>
              <w:tc>
                <w:tcPr>
                  <w:tcW w:w="298" w:type="pct"/>
                  <w:shd w:val="clear" w:color="auto" w:fill="auto"/>
                  <w:vAlign w:val="center"/>
                </w:tcPr>
                <w:p w14:paraId="7158803A">
                  <w:pPr>
                    <w:widowControl/>
                    <w:snapToGrid w:val="0"/>
                    <w:jc w:val="center"/>
                    <w:rPr>
                      <w:rFonts w:hint="default"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0.045</w:t>
                  </w:r>
                </w:p>
              </w:tc>
              <w:tc>
                <w:tcPr>
                  <w:tcW w:w="482" w:type="pct"/>
                  <w:shd w:val="clear" w:color="auto" w:fill="auto"/>
                  <w:vAlign w:val="center"/>
                </w:tcPr>
                <w:p w14:paraId="57FD1C2E">
                  <w:pPr>
                    <w:widowControl/>
                    <w:snapToGrid w:val="0"/>
                    <w:jc w:val="center"/>
                    <w:rPr>
                      <w:rFonts w:hint="eastAsia" w:ascii="Times New Roman" w:hAnsi="Times New Roman" w:eastAsia="仿宋" w:cs="Times New Roman"/>
                      <w:bCs/>
                      <w:color w:val="auto"/>
                      <w:sz w:val="18"/>
                      <w:szCs w:val="18"/>
                      <w:highlight w:val="none"/>
                      <w:lang w:val="en-US" w:eastAsia="zh-CN"/>
                    </w:rPr>
                  </w:pPr>
                  <w:r>
                    <w:rPr>
                      <w:rFonts w:hint="default" w:ascii="Times New Roman" w:hAnsi="Times New Roman" w:eastAsia="仿宋" w:cs="Times New Roman"/>
                      <w:bCs/>
                      <w:color w:val="auto"/>
                      <w:sz w:val="18"/>
                      <w:szCs w:val="18"/>
                      <w:highlight w:val="none"/>
                      <w:lang w:val="en-US" w:eastAsia="zh-CN"/>
                    </w:rPr>
                    <w:t>6#两级活性炭吸附装置</w:t>
                  </w:r>
                </w:p>
              </w:tc>
              <w:tc>
                <w:tcPr>
                  <w:tcW w:w="187" w:type="pct"/>
                  <w:shd w:val="clear" w:color="auto" w:fill="auto"/>
                  <w:vAlign w:val="center"/>
                </w:tcPr>
                <w:p w14:paraId="661F5BEF">
                  <w:pPr>
                    <w:widowControl/>
                    <w:snapToGrid w:val="0"/>
                    <w:jc w:val="center"/>
                    <w:rPr>
                      <w:rFonts w:hint="eastAsia"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90</w:t>
                  </w:r>
                </w:p>
              </w:tc>
              <w:tc>
                <w:tcPr>
                  <w:tcW w:w="272" w:type="pct"/>
                  <w:shd w:val="clear" w:color="auto" w:fill="auto"/>
                  <w:vAlign w:val="center"/>
                </w:tcPr>
                <w:p w14:paraId="294DE4C9">
                  <w:pPr>
                    <w:widowControl/>
                    <w:snapToGrid w:val="0"/>
                    <w:jc w:val="center"/>
                    <w:rPr>
                      <w:rFonts w:hint="eastAsia"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0.033</w:t>
                  </w:r>
                </w:p>
              </w:tc>
              <w:tc>
                <w:tcPr>
                  <w:tcW w:w="260" w:type="pct"/>
                  <w:shd w:val="clear" w:color="auto" w:fill="auto"/>
                  <w:vAlign w:val="center"/>
                </w:tcPr>
                <w:p w14:paraId="72B692E8">
                  <w:pPr>
                    <w:widowControl/>
                    <w:snapToGrid w:val="0"/>
                    <w:jc w:val="center"/>
                    <w:rPr>
                      <w:rFonts w:hint="eastAsia"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0.376</w:t>
                  </w:r>
                </w:p>
              </w:tc>
              <w:tc>
                <w:tcPr>
                  <w:tcW w:w="278" w:type="pct"/>
                  <w:shd w:val="clear" w:color="auto" w:fill="auto"/>
                  <w:vAlign w:val="center"/>
                </w:tcPr>
                <w:p w14:paraId="6C13A5A7">
                  <w:pPr>
                    <w:widowControl/>
                    <w:snapToGrid w:val="0"/>
                    <w:jc w:val="center"/>
                    <w:rPr>
                      <w:rFonts w:hint="eastAsia" w:ascii="Times New Roman" w:hAnsi="Times New Roman" w:eastAsia="仿宋" w:cs="Times New Roman"/>
                      <w:bCs/>
                      <w:color w:val="auto"/>
                      <w:sz w:val="18"/>
                      <w:szCs w:val="18"/>
                      <w:highlight w:val="none"/>
                      <w:lang w:val="en-US" w:eastAsia="zh-CN"/>
                    </w:rPr>
                  </w:pPr>
                  <w:r>
                    <w:rPr>
                      <w:rFonts w:hint="eastAsia" w:ascii="Times New Roman" w:hAnsi="Times New Roman" w:eastAsia="仿宋" w:cs="Times New Roman"/>
                      <w:bCs/>
                      <w:color w:val="auto"/>
                      <w:sz w:val="18"/>
                      <w:szCs w:val="18"/>
                      <w:highlight w:val="none"/>
                      <w:lang w:val="en-US" w:eastAsia="zh-CN"/>
                    </w:rPr>
                    <w:t>0.005</w:t>
                  </w:r>
                </w:p>
              </w:tc>
              <w:tc>
                <w:tcPr>
                  <w:tcW w:w="241" w:type="pct"/>
                  <w:shd w:val="clear" w:color="auto" w:fill="auto"/>
                  <w:vAlign w:val="center"/>
                </w:tcPr>
                <w:p w14:paraId="20EB8E09">
                  <w:pPr>
                    <w:widowControl/>
                    <w:snapToGrid w:val="0"/>
                    <w:jc w:val="center"/>
                    <w:rPr>
                      <w:rFonts w:eastAsia="仿宋"/>
                      <w:b/>
                      <w:bCs/>
                      <w:sz w:val="18"/>
                      <w:szCs w:val="18"/>
                    </w:rPr>
                  </w:pPr>
                  <w:r>
                    <w:rPr>
                      <w:rFonts w:hint="default" w:ascii="Times New Roman" w:hAnsi="Times New Roman" w:eastAsia="仿宋" w:cs="Times New Roman"/>
                      <w:bCs/>
                      <w:color w:val="auto"/>
                      <w:sz w:val="18"/>
                      <w:szCs w:val="18"/>
                      <w:highlight w:val="none"/>
                      <w:lang w:val="en-US" w:eastAsia="zh-CN"/>
                    </w:rPr>
                    <w:t>60</w:t>
                  </w:r>
                </w:p>
              </w:tc>
              <w:tc>
                <w:tcPr>
                  <w:tcW w:w="193" w:type="pct"/>
                  <w:shd w:val="clear" w:color="auto" w:fill="auto"/>
                  <w:vAlign w:val="center"/>
                </w:tcPr>
                <w:p w14:paraId="3805CB6E">
                  <w:pPr>
                    <w:widowControl/>
                    <w:snapToGrid w:val="0"/>
                    <w:jc w:val="center"/>
                    <w:rPr>
                      <w:rFonts w:eastAsia="仿宋"/>
                      <w:b/>
                      <w:bCs/>
                      <w:sz w:val="18"/>
                      <w:szCs w:val="18"/>
                    </w:rPr>
                  </w:pPr>
                  <w:r>
                    <w:rPr>
                      <w:rFonts w:hint="eastAsia" w:ascii="Times New Roman" w:hAnsi="Times New Roman" w:eastAsia="仿宋" w:cs="Times New Roman"/>
                      <w:bCs/>
                      <w:color w:val="auto"/>
                      <w:sz w:val="18"/>
                      <w:szCs w:val="18"/>
                      <w:highlight w:val="none"/>
                      <w:lang w:val="en-US" w:eastAsia="zh-CN"/>
                    </w:rPr>
                    <w:t>3</w:t>
                  </w:r>
                </w:p>
              </w:tc>
              <w:tc>
                <w:tcPr>
                  <w:tcW w:w="354" w:type="pct"/>
                  <w:shd w:val="clear" w:color="auto" w:fill="auto"/>
                  <w:vAlign w:val="center"/>
                </w:tcPr>
                <w:p w14:paraId="7FD99E70">
                  <w:pPr>
                    <w:widowControl/>
                    <w:snapToGrid w:val="0"/>
                    <w:jc w:val="center"/>
                    <w:rPr>
                      <w:rFonts w:eastAsia="仿宋"/>
                      <w:b/>
                      <w:bCs/>
                      <w:sz w:val="18"/>
                      <w:szCs w:val="18"/>
                    </w:rPr>
                  </w:pPr>
                  <w:r>
                    <w:rPr>
                      <w:rFonts w:hint="eastAsia" w:ascii="Times New Roman" w:hAnsi="Times New Roman" w:eastAsia="仿宋" w:cs="Times New Roman"/>
                      <w:bCs/>
                      <w:color w:val="auto"/>
                      <w:sz w:val="18"/>
                      <w:szCs w:val="18"/>
                      <w:highlight w:val="none"/>
                      <w:lang w:val="en-US" w:eastAsia="zh-CN"/>
                    </w:rPr>
                    <w:t>FQ-6</w:t>
                  </w:r>
                </w:p>
              </w:tc>
              <w:tc>
                <w:tcPr>
                  <w:tcW w:w="229" w:type="pct"/>
                  <w:shd w:val="clear" w:color="auto" w:fill="auto"/>
                  <w:vAlign w:val="center"/>
                </w:tcPr>
                <w:p w14:paraId="63F5F5E4">
                  <w:pPr>
                    <w:widowControl/>
                    <w:snapToGrid w:val="0"/>
                    <w:jc w:val="center"/>
                    <w:rPr>
                      <w:rFonts w:eastAsia="仿宋"/>
                      <w:b/>
                      <w:bCs/>
                      <w:sz w:val="18"/>
                      <w:szCs w:val="18"/>
                      <w:highlight w:val="none"/>
                    </w:rPr>
                  </w:pPr>
                  <w:r>
                    <w:rPr>
                      <w:rFonts w:hint="eastAsia" w:ascii="Times New Roman" w:hAnsi="Times New Roman" w:eastAsia="仿宋" w:cs="Times New Roman"/>
                      <w:bCs/>
                      <w:color w:val="auto"/>
                      <w:sz w:val="18"/>
                      <w:szCs w:val="18"/>
                      <w:highlight w:val="none"/>
                      <w:lang w:val="en-US" w:eastAsia="zh-CN"/>
                    </w:rPr>
                    <w:t>72</w:t>
                  </w:r>
                  <w:r>
                    <w:rPr>
                      <w:rFonts w:hint="default" w:ascii="Times New Roman" w:hAnsi="Times New Roman" w:eastAsia="仿宋" w:cs="Times New Roman"/>
                      <w:bCs/>
                      <w:color w:val="auto"/>
                      <w:sz w:val="18"/>
                      <w:szCs w:val="18"/>
                      <w:highlight w:val="none"/>
                      <w:lang w:val="en-US" w:eastAsia="zh-CN"/>
                    </w:rPr>
                    <w:t>00h连续</w:t>
                  </w:r>
                </w:p>
              </w:tc>
            </w:tr>
            <w:tr w14:paraId="63E1D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00" w:type="pct"/>
                  <w:vMerge w:val="continue"/>
                  <w:vAlign w:val="center"/>
                </w:tcPr>
                <w:p w14:paraId="2B15C3B0">
                  <w:pPr>
                    <w:jc w:val="center"/>
                    <w:rPr>
                      <w:rFonts w:hint="eastAsia" w:ascii="Times New Roman" w:hAnsi="Times New Roman" w:eastAsia="仿宋" w:cs="Times New Roman"/>
                      <w:bCs/>
                      <w:color w:val="auto"/>
                      <w:spacing w:val="-6"/>
                      <w:sz w:val="18"/>
                      <w:szCs w:val="18"/>
                      <w:lang w:val="en-US" w:eastAsia="zh-CN"/>
                    </w:rPr>
                  </w:pPr>
                </w:p>
              </w:tc>
              <w:tc>
                <w:tcPr>
                  <w:tcW w:w="0" w:type="auto"/>
                  <w:shd w:val="clear" w:color="auto" w:fill="auto"/>
                  <w:vAlign w:val="center"/>
                </w:tcPr>
                <w:p w14:paraId="08DF1CCA">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植绒</w:t>
                  </w:r>
                </w:p>
              </w:tc>
              <w:tc>
                <w:tcPr>
                  <w:tcW w:w="283" w:type="pct"/>
                  <w:vAlign w:val="center"/>
                </w:tcPr>
                <w:p w14:paraId="08B87154">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8000</w:t>
                  </w:r>
                </w:p>
              </w:tc>
              <w:tc>
                <w:tcPr>
                  <w:tcW w:w="359" w:type="pct"/>
                  <w:shd w:val="clear" w:color="auto" w:fill="auto"/>
                  <w:vAlign w:val="center"/>
                </w:tcPr>
                <w:p w14:paraId="1B2185E9">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颗粒物</w:t>
                  </w:r>
                </w:p>
              </w:tc>
              <w:tc>
                <w:tcPr>
                  <w:tcW w:w="252" w:type="pct"/>
                  <w:shd w:val="clear" w:color="auto" w:fill="auto"/>
                  <w:vAlign w:val="center"/>
                </w:tcPr>
                <w:p w14:paraId="0ED96F80">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0.752</w:t>
                  </w:r>
                </w:p>
              </w:tc>
              <w:tc>
                <w:tcPr>
                  <w:tcW w:w="307" w:type="pct"/>
                  <w:shd w:val="clear" w:color="auto" w:fill="auto"/>
                  <w:vAlign w:val="center"/>
                </w:tcPr>
                <w:p w14:paraId="6074ED3C">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13.056</w:t>
                  </w:r>
                </w:p>
              </w:tc>
              <w:tc>
                <w:tcPr>
                  <w:tcW w:w="298" w:type="pct"/>
                  <w:shd w:val="clear" w:color="auto" w:fill="auto"/>
                  <w:vAlign w:val="center"/>
                </w:tcPr>
                <w:p w14:paraId="6B93BAA8">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0.104</w:t>
                  </w:r>
                </w:p>
              </w:tc>
              <w:tc>
                <w:tcPr>
                  <w:tcW w:w="482" w:type="pct"/>
                  <w:shd w:val="clear" w:color="auto" w:fill="auto"/>
                  <w:vAlign w:val="center"/>
                </w:tcPr>
                <w:p w14:paraId="4175BFA1">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default" w:ascii="Times New Roman" w:hAnsi="Times New Roman" w:eastAsia="仿宋" w:cs="Times New Roman"/>
                      <w:bCs/>
                      <w:color w:val="0000FF"/>
                      <w:sz w:val="18"/>
                      <w:szCs w:val="18"/>
                      <w:highlight w:val="none"/>
                      <w:lang w:val="en-US" w:eastAsia="zh-CN"/>
                    </w:rPr>
                    <w:t>5#布袋除尘装置</w:t>
                  </w:r>
                </w:p>
              </w:tc>
              <w:tc>
                <w:tcPr>
                  <w:tcW w:w="187" w:type="pct"/>
                  <w:shd w:val="clear" w:color="auto" w:fill="auto"/>
                  <w:vAlign w:val="center"/>
                </w:tcPr>
                <w:p w14:paraId="0BE786F2">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95</w:t>
                  </w:r>
                </w:p>
              </w:tc>
              <w:tc>
                <w:tcPr>
                  <w:tcW w:w="683" w:type="dxa"/>
                  <w:shd w:val="clear" w:color="auto" w:fill="auto"/>
                  <w:vAlign w:val="center"/>
                </w:tcPr>
                <w:p w14:paraId="7D062B44">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0.038</w:t>
                  </w:r>
                </w:p>
              </w:tc>
              <w:tc>
                <w:tcPr>
                  <w:tcW w:w="653" w:type="dxa"/>
                  <w:shd w:val="clear" w:color="auto" w:fill="auto"/>
                  <w:vAlign w:val="center"/>
                </w:tcPr>
                <w:p w14:paraId="4BCA5FEB">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0.653</w:t>
                  </w:r>
                </w:p>
              </w:tc>
              <w:tc>
                <w:tcPr>
                  <w:tcW w:w="698" w:type="dxa"/>
                  <w:shd w:val="clear" w:color="auto" w:fill="auto"/>
                  <w:vAlign w:val="center"/>
                </w:tcPr>
                <w:p w14:paraId="0BB8335F">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0.005</w:t>
                  </w:r>
                </w:p>
              </w:tc>
              <w:tc>
                <w:tcPr>
                  <w:tcW w:w="605" w:type="dxa"/>
                  <w:shd w:val="clear" w:color="auto" w:fill="auto"/>
                  <w:vAlign w:val="center"/>
                </w:tcPr>
                <w:p w14:paraId="0A33FF57">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20</w:t>
                  </w:r>
                </w:p>
              </w:tc>
              <w:tc>
                <w:tcPr>
                  <w:tcW w:w="485" w:type="dxa"/>
                  <w:shd w:val="clear" w:color="auto" w:fill="auto"/>
                  <w:vAlign w:val="center"/>
                </w:tcPr>
                <w:p w14:paraId="3A02F524">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1</w:t>
                  </w:r>
                </w:p>
              </w:tc>
              <w:tc>
                <w:tcPr>
                  <w:tcW w:w="889" w:type="dxa"/>
                  <w:shd w:val="clear" w:color="auto" w:fill="auto"/>
                  <w:vAlign w:val="center"/>
                </w:tcPr>
                <w:p w14:paraId="43C01E1A">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FQ-5</w:t>
                  </w:r>
                </w:p>
              </w:tc>
              <w:tc>
                <w:tcPr>
                  <w:tcW w:w="575" w:type="dxa"/>
                  <w:shd w:val="clear" w:color="auto" w:fill="auto"/>
                  <w:vAlign w:val="center"/>
                </w:tcPr>
                <w:p w14:paraId="16751E03">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7200</w:t>
                  </w:r>
                  <w:r>
                    <w:rPr>
                      <w:rFonts w:hint="default" w:ascii="Times New Roman" w:hAnsi="Times New Roman" w:eastAsia="仿宋" w:cs="Times New Roman"/>
                      <w:bCs/>
                      <w:color w:val="0000FF"/>
                      <w:sz w:val="18"/>
                      <w:szCs w:val="18"/>
                      <w:highlight w:val="none"/>
                      <w:lang w:val="en-US" w:eastAsia="zh-CN"/>
                    </w:rPr>
                    <w:t>h</w:t>
                  </w:r>
                </w:p>
                <w:p w14:paraId="39C7770F">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default" w:ascii="Times New Roman" w:hAnsi="Times New Roman" w:eastAsia="仿宋" w:cs="Times New Roman"/>
                      <w:bCs/>
                      <w:color w:val="0000FF"/>
                      <w:sz w:val="18"/>
                      <w:szCs w:val="18"/>
                      <w:highlight w:val="none"/>
                      <w:lang w:val="en-US" w:eastAsia="zh-CN"/>
                    </w:rPr>
                    <w:t>连续</w:t>
                  </w:r>
                </w:p>
              </w:tc>
            </w:tr>
            <w:tr w14:paraId="4ECE1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00" w:type="pct"/>
                  <w:vMerge w:val="continue"/>
                  <w:vAlign w:val="center"/>
                </w:tcPr>
                <w:p w14:paraId="696B925D">
                  <w:pPr>
                    <w:jc w:val="center"/>
                    <w:rPr>
                      <w:rFonts w:hint="eastAsia" w:ascii="Times New Roman" w:hAnsi="Times New Roman" w:eastAsia="仿宋" w:cs="Times New Roman"/>
                      <w:bCs/>
                      <w:color w:val="auto"/>
                      <w:spacing w:val="-6"/>
                      <w:sz w:val="18"/>
                      <w:szCs w:val="18"/>
                      <w:lang w:val="en-US" w:eastAsia="zh-CN"/>
                    </w:rPr>
                  </w:pPr>
                </w:p>
              </w:tc>
              <w:tc>
                <w:tcPr>
                  <w:tcW w:w="0" w:type="auto"/>
                  <w:shd w:val="clear" w:color="auto" w:fill="auto"/>
                  <w:vAlign w:val="center"/>
                </w:tcPr>
                <w:p w14:paraId="1D642808">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筛毛</w:t>
                  </w:r>
                </w:p>
              </w:tc>
              <w:tc>
                <w:tcPr>
                  <w:tcW w:w="283" w:type="pct"/>
                  <w:vAlign w:val="center"/>
                </w:tcPr>
                <w:p w14:paraId="3EB776B3">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6000</w:t>
                  </w:r>
                </w:p>
              </w:tc>
              <w:tc>
                <w:tcPr>
                  <w:tcW w:w="359" w:type="pct"/>
                  <w:shd w:val="clear" w:color="auto" w:fill="auto"/>
                  <w:vAlign w:val="center"/>
                </w:tcPr>
                <w:p w14:paraId="0AD4FAFD">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颗粒物</w:t>
                  </w:r>
                </w:p>
              </w:tc>
              <w:tc>
                <w:tcPr>
                  <w:tcW w:w="252" w:type="pct"/>
                  <w:shd w:val="clear" w:color="auto" w:fill="auto"/>
                  <w:vAlign w:val="center"/>
                </w:tcPr>
                <w:p w14:paraId="63727F76">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0.04</w:t>
                  </w:r>
                </w:p>
              </w:tc>
              <w:tc>
                <w:tcPr>
                  <w:tcW w:w="307" w:type="pct"/>
                  <w:shd w:val="clear" w:color="auto" w:fill="auto"/>
                  <w:vAlign w:val="center"/>
                </w:tcPr>
                <w:p w14:paraId="23977F55">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0.926</w:t>
                  </w:r>
                </w:p>
              </w:tc>
              <w:tc>
                <w:tcPr>
                  <w:tcW w:w="298" w:type="pct"/>
                  <w:shd w:val="clear" w:color="auto" w:fill="auto"/>
                  <w:vAlign w:val="center"/>
                </w:tcPr>
                <w:p w14:paraId="5B32BA07">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0.006</w:t>
                  </w:r>
                </w:p>
              </w:tc>
              <w:tc>
                <w:tcPr>
                  <w:tcW w:w="482" w:type="pct"/>
                  <w:shd w:val="clear" w:color="auto" w:fill="auto"/>
                  <w:vAlign w:val="center"/>
                </w:tcPr>
                <w:p w14:paraId="1E8E8500">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eastAsia="仿宋" w:cs="Times New Roman"/>
                      <w:bCs/>
                      <w:color w:val="0000FF"/>
                      <w:sz w:val="18"/>
                      <w:szCs w:val="18"/>
                      <w:highlight w:val="none"/>
                      <w:lang w:val="en-US" w:eastAsia="zh-CN"/>
                    </w:rPr>
                    <w:t>7</w:t>
                  </w:r>
                  <w:r>
                    <w:rPr>
                      <w:rFonts w:hint="default" w:ascii="Times New Roman" w:hAnsi="Times New Roman" w:eastAsia="仿宋" w:cs="Times New Roman"/>
                      <w:bCs/>
                      <w:color w:val="0000FF"/>
                      <w:sz w:val="18"/>
                      <w:szCs w:val="18"/>
                      <w:highlight w:val="none"/>
                      <w:lang w:val="en-US" w:eastAsia="zh-CN"/>
                    </w:rPr>
                    <w:t>#</w:t>
                  </w:r>
                  <w:r>
                    <w:rPr>
                      <w:rFonts w:hint="eastAsia" w:ascii="Times New Roman" w:hAnsi="Times New Roman" w:eastAsia="仿宋" w:cs="Times New Roman"/>
                      <w:bCs/>
                      <w:color w:val="0000FF"/>
                      <w:sz w:val="18"/>
                      <w:szCs w:val="18"/>
                      <w:highlight w:val="none"/>
                      <w:lang w:val="en-US" w:eastAsia="zh-CN"/>
                    </w:rPr>
                    <w:t>水旋除尘器</w:t>
                  </w:r>
                </w:p>
              </w:tc>
              <w:tc>
                <w:tcPr>
                  <w:tcW w:w="187" w:type="pct"/>
                  <w:shd w:val="clear" w:color="auto" w:fill="auto"/>
                  <w:vAlign w:val="center"/>
                </w:tcPr>
                <w:p w14:paraId="0C7375AF">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80</w:t>
                  </w:r>
                </w:p>
              </w:tc>
              <w:tc>
                <w:tcPr>
                  <w:tcW w:w="683" w:type="dxa"/>
                  <w:shd w:val="clear" w:color="auto" w:fill="auto"/>
                  <w:vAlign w:val="center"/>
                </w:tcPr>
                <w:p w14:paraId="088D0919">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0.008</w:t>
                  </w:r>
                </w:p>
              </w:tc>
              <w:tc>
                <w:tcPr>
                  <w:tcW w:w="653" w:type="dxa"/>
                  <w:shd w:val="clear" w:color="auto" w:fill="auto"/>
                  <w:vAlign w:val="center"/>
                </w:tcPr>
                <w:p w14:paraId="197E1F04">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0.185</w:t>
                  </w:r>
                </w:p>
              </w:tc>
              <w:tc>
                <w:tcPr>
                  <w:tcW w:w="698" w:type="dxa"/>
                  <w:shd w:val="clear" w:color="auto" w:fill="auto"/>
                  <w:vAlign w:val="center"/>
                </w:tcPr>
                <w:p w14:paraId="7CD21934">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0.001</w:t>
                  </w:r>
                </w:p>
              </w:tc>
              <w:tc>
                <w:tcPr>
                  <w:tcW w:w="605" w:type="dxa"/>
                  <w:shd w:val="clear" w:color="auto" w:fill="auto"/>
                  <w:vAlign w:val="center"/>
                </w:tcPr>
                <w:p w14:paraId="10B14B66">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20</w:t>
                  </w:r>
                </w:p>
              </w:tc>
              <w:tc>
                <w:tcPr>
                  <w:tcW w:w="485" w:type="dxa"/>
                  <w:shd w:val="clear" w:color="auto" w:fill="auto"/>
                  <w:vAlign w:val="center"/>
                </w:tcPr>
                <w:p w14:paraId="74EEE36A">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1</w:t>
                  </w:r>
                </w:p>
              </w:tc>
              <w:tc>
                <w:tcPr>
                  <w:tcW w:w="889" w:type="dxa"/>
                  <w:shd w:val="clear" w:color="auto" w:fill="auto"/>
                  <w:vAlign w:val="center"/>
                </w:tcPr>
                <w:p w14:paraId="70CAE1A9">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FQ-7</w:t>
                  </w:r>
                </w:p>
              </w:tc>
              <w:tc>
                <w:tcPr>
                  <w:tcW w:w="575" w:type="dxa"/>
                  <w:shd w:val="clear" w:color="auto" w:fill="auto"/>
                  <w:vAlign w:val="center"/>
                </w:tcPr>
                <w:p w14:paraId="1D420EBF">
                  <w:pPr>
                    <w:widowControl/>
                    <w:snapToGrid w:val="0"/>
                    <w:jc w:val="center"/>
                    <w:rPr>
                      <w:rFonts w:hint="default" w:ascii="Times New Roman" w:hAnsi="Times New Roman" w:eastAsia="仿宋" w:cs="Times New Roman"/>
                      <w:bCs/>
                      <w:color w:val="0000FF"/>
                      <w:sz w:val="18"/>
                      <w:szCs w:val="18"/>
                      <w:highlight w:val="none"/>
                      <w:lang w:val="en-US" w:eastAsia="zh-CN"/>
                    </w:rPr>
                  </w:pPr>
                  <w:r>
                    <w:rPr>
                      <w:rFonts w:hint="eastAsia" w:ascii="Times New Roman" w:hAnsi="Times New Roman" w:eastAsia="仿宋" w:cs="Times New Roman"/>
                      <w:bCs/>
                      <w:color w:val="0000FF"/>
                      <w:sz w:val="18"/>
                      <w:szCs w:val="18"/>
                      <w:highlight w:val="none"/>
                      <w:lang w:val="en-US" w:eastAsia="zh-CN"/>
                    </w:rPr>
                    <w:t>7200</w:t>
                  </w:r>
                  <w:r>
                    <w:rPr>
                      <w:rFonts w:hint="default" w:ascii="Times New Roman" w:hAnsi="Times New Roman" w:eastAsia="仿宋" w:cs="Times New Roman"/>
                      <w:bCs/>
                      <w:color w:val="0000FF"/>
                      <w:sz w:val="18"/>
                      <w:szCs w:val="18"/>
                      <w:highlight w:val="none"/>
                      <w:lang w:val="en-US" w:eastAsia="zh-CN"/>
                    </w:rPr>
                    <w:t>h</w:t>
                  </w:r>
                </w:p>
                <w:p w14:paraId="7F266032">
                  <w:pPr>
                    <w:widowControl/>
                    <w:snapToGrid w:val="0"/>
                    <w:jc w:val="center"/>
                    <w:rPr>
                      <w:rFonts w:hint="eastAsia" w:ascii="Times New Roman" w:hAnsi="Times New Roman" w:eastAsia="仿宋" w:cs="Times New Roman"/>
                      <w:bCs/>
                      <w:color w:val="0000FF"/>
                      <w:sz w:val="18"/>
                      <w:szCs w:val="18"/>
                      <w:highlight w:val="none"/>
                      <w:lang w:val="en-US" w:eastAsia="zh-CN"/>
                    </w:rPr>
                  </w:pPr>
                  <w:r>
                    <w:rPr>
                      <w:rFonts w:hint="default" w:ascii="Times New Roman" w:hAnsi="Times New Roman" w:eastAsia="仿宋" w:cs="Times New Roman"/>
                      <w:bCs/>
                      <w:color w:val="0000FF"/>
                      <w:sz w:val="18"/>
                      <w:szCs w:val="18"/>
                      <w:highlight w:val="none"/>
                      <w:lang w:val="en-US" w:eastAsia="zh-CN"/>
                    </w:rPr>
                    <w:t>连续</w:t>
                  </w:r>
                </w:p>
              </w:tc>
            </w:tr>
            <w:tr w14:paraId="32700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45" w:hRule="atLeast"/>
                <w:jc w:val="center"/>
              </w:trPr>
              <w:tc>
                <w:tcPr>
                  <w:tcW w:w="500" w:type="pct"/>
                  <w:vMerge w:val="restart"/>
                  <w:vAlign w:val="center"/>
                </w:tcPr>
                <w:p w14:paraId="7A24B40D">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现有项目</w:t>
                  </w:r>
                </w:p>
              </w:tc>
              <w:tc>
                <w:tcPr>
                  <w:tcW w:w="0" w:type="auto"/>
                  <w:vMerge w:val="restart"/>
                  <w:shd w:val="clear" w:color="auto" w:fill="auto"/>
                  <w:vAlign w:val="center"/>
                </w:tcPr>
                <w:p w14:paraId="791D237E">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注塑、上胶、烘干、固化、装配</w:t>
                  </w:r>
                </w:p>
              </w:tc>
              <w:tc>
                <w:tcPr>
                  <w:tcW w:w="283" w:type="pct"/>
                  <w:vMerge w:val="restart"/>
                  <w:shd w:val="clear" w:color="auto" w:fill="auto"/>
                  <w:vAlign w:val="center"/>
                </w:tcPr>
                <w:p w14:paraId="55CEDC6D">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20000</w:t>
                  </w:r>
                </w:p>
              </w:tc>
              <w:tc>
                <w:tcPr>
                  <w:tcW w:w="359" w:type="pct"/>
                  <w:shd w:val="clear" w:color="auto" w:fill="auto"/>
                  <w:vAlign w:val="center"/>
                </w:tcPr>
                <w:p w14:paraId="026A694F">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二甲苯</w:t>
                  </w:r>
                </w:p>
              </w:tc>
              <w:tc>
                <w:tcPr>
                  <w:tcW w:w="252" w:type="pct"/>
                  <w:shd w:val="clear" w:color="auto" w:fill="auto"/>
                  <w:vAlign w:val="center"/>
                </w:tcPr>
                <w:p w14:paraId="2C0DCE7E">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0.24</w:t>
                  </w:r>
                </w:p>
              </w:tc>
              <w:tc>
                <w:tcPr>
                  <w:tcW w:w="307" w:type="pct"/>
                  <w:shd w:val="clear" w:color="auto" w:fill="auto"/>
                  <w:vAlign w:val="center"/>
                </w:tcPr>
                <w:p w14:paraId="6197A2D5">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1.7</w:t>
                  </w:r>
                </w:p>
              </w:tc>
              <w:tc>
                <w:tcPr>
                  <w:tcW w:w="298" w:type="pct"/>
                  <w:shd w:val="clear" w:color="auto" w:fill="auto"/>
                  <w:vAlign w:val="center"/>
                </w:tcPr>
                <w:p w14:paraId="658BB39C">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0.03</w:t>
                  </w:r>
                </w:p>
              </w:tc>
              <w:tc>
                <w:tcPr>
                  <w:tcW w:w="0" w:type="auto"/>
                  <w:vMerge w:val="restart"/>
                  <w:shd w:val="clear" w:color="auto" w:fill="auto"/>
                  <w:vAlign w:val="center"/>
                </w:tcPr>
                <w:p w14:paraId="5C1F1E1F">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1#两级活性炭吸附装置</w:t>
                  </w:r>
                </w:p>
              </w:tc>
              <w:tc>
                <w:tcPr>
                  <w:tcW w:w="0" w:type="auto"/>
                  <w:vMerge w:val="restart"/>
                  <w:shd w:val="clear" w:color="auto" w:fill="auto"/>
                  <w:vAlign w:val="center"/>
                </w:tcPr>
                <w:p w14:paraId="7EAC54A6">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90</w:t>
                  </w:r>
                </w:p>
              </w:tc>
              <w:tc>
                <w:tcPr>
                  <w:tcW w:w="272" w:type="pct"/>
                  <w:shd w:val="clear" w:color="auto" w:fill="auto"/>
                  <w:vAlign w:val="center"/>
                </w:tcPr>
                <w:p w14:paraId="3A7F118C">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0.024</w:t>
                  </w:r>
                </w:p>
              </w:tc>
              <w:tc>
                <w:tcPr>
                  <w:tcW w:w="260" w:type="pct"/>
                  <w:shd w:val="clear" w:color="auto" w:fill="auto"/>
                  <w:vAlign w:val="center"/>
                </w:tcPr>
                <w:p w14:paraId="11335E92">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0.17</w:t>
                  </w:r>
                </w:p>
              </w:tc>
              <w:tc>
                <w:tcPr>
                  <w:tcW w:w="278" w:type="pct"/>
                  <w:shd w:val="clear" w:color="auto" w:fill="auto"/>
                  <w:vAlign w:val="center"/>
                </w:tcPr>
                <w:p w14:paraId="6F601CBA">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0.003</w:t>
                  </w:r>
                </w:p>
              </w:tc>
              <w:tc>
                <w:tcPr>
                  <w:tcW w:w="241" w:type="pct"/>
                  <w:shd w:val="clear" w:color="auto" w:fill="auto"/>
                  <w:vAlign w:val="center"/>
                </w:tcPr>
                <w:p w14:paraId="454D73CF">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10</w:t>
                  </w:r>
                </w:p>
              </w:tc>
              <w:tc>
                <w:tcPr>
                  <w:tcW w:w="193" w:type="pct"/>
                  <w:shd w:val="clear" w:color="auto" w:fill="auto"/>
                  <w:vAlign w:val="center"/>
                </w:tcPr>
                <w:p w14:paraId="1EAC5E4D">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0.72</w:t>
                  </w:r>
                </w:p>
              </w:tc>
              <w:tc>
                <w:tcPr>
                  <w:tcW w:w="0" w:type="auto"/>
                  <w:vMerge w:val="restart"/>
                  <w:shd w:val="clear" w:color="auto" w:fill="auto"/>
                  <w:vAlign w:val="center"/>
                </w:tcPr>
                <w:p w14:paraId="3820951D">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FQ-1</w:t>
                  </w:r>
                </w:p>
              </w:tc>
              <w:tc>
                <w:tcPr>
                  <w:tcW w:w="0" w:type="auto"/>
                  <w:vMerge w:val="restart"/>
                  <w:shd w:val="clear" w:color="auto" w:fill="auto"/>
                  <w:vAlign w:val="center"/>
                </w:tcPr>
                <w:p w14:paraId="50A37DF9">
                  <w:pPr>
                    <w:jc w:val="center"/>
                    <w:rPr>
                      <w:rFonts w:hint="default"/>
                      <w:lang w:val="en-US" w:eastAsia="zh-CN"/>
                    </w:rPr>
                  </w:pPr>
                  <w:r>
                    <w:rPr>
                      <w:rFonts w:hint="eastAsia" w:ascii="Times New Roman" w:hAnsi="Times New Roman" w:eastAsia="仿宋" w:cs="Times New Roman"/>
                      <w:bCs/>
                      <w:color w:val="auto"/>
                      <w:sz w:val="18"/>
                      <w:szCs w:val="18"/>
                      <w:highlight w:val="none"/>
                      <w:lang w:val="en-US" w:eastAsia="zh-CN"/>
                    </w:rPr>
                    <w:t>7200</w:t>
                  </w:r>
                  <w:r>
                    <w:rPr>
                      <w:rFonts w:hint="default" w:ascii="Times New Roman" w:hAnsi="Times New Roman" w:eastAsia="仿宋" w:cs="Times New Roman"/>
                      <w:bCs/>
                      <w:color w:val="auto"/>
                      <w:sz w:val="18"/>
                      <w:szCs w:val="18"/>
                      <w:highlight w:val="none"/>
                      <w:lang w:val="en-US" w:eastAsia="zh-CN"/>
                    </w:rPr>
                    <w:t>h连续</w:t>
                  </w:r>
                </w:p>
              </w:tc>
            </w:tr>
            <w:tr w14:paraId="43DC7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45" w:hRule="atLeast"/>
                <w:jc w:val="center"/>
              </w:trPr>
              <w:tc>
                <w:tcPr>
                  <w:tcW w:w="500" w:type="pct"/>
                  <w:vMerge w:val="continue"/>
                  <w:vAlign w:val="center"/>
                </w:tcPr>
                <w:p w14:paraId="0811CE12">
                  <w:pPr>
                    <w:widowControl/>
                    <w:snapToGrid w:val="0"/>
                    <w:jc w:val="center"/>
                  </w:pPr>
                </w:p>
              </w:tc>
              <w:tc>
                <w:tcPr>
                  <w:tcW w:w="0" w:type="auto"/>
                  <w:vMerge w:val="continue"/>
                  <w:shd w:val="clear" w:color="auto" w:fill="auto"/>
                  <w:vAlign w:val="center"/>
                </w:tcPr>
                <w:p w14:paraId="7C1B649A">
                  <w:pPr>
                    <w:jc w:val="center"/>
                    <w:rPr>
                      <w:rFonts w:hint="eastAsia" w:ascii="Times New Roman" w:hAnsi="Times New Roman" w:eastAsia="仿宋" w:cs="Times New Roman"/>
                      <w:bCs/>
                      <w:color w:val="auto"/>
                      <w:spacing w:val="-6"/>
                      <w:sz w:val="18"/>
                      <w:szCs w:val="18"/>
                      <w:lang w:val="en-US" w:eastAsia="zh-CN"/>
                    </w:rPr>
                  </w:pPr>
                </w:p>
              </w:tc>
              <w:tc>
                <w:tcPr>
                  <w:tcW w:w="283" w:type="pct"/>
                  <w:vMerge w:val="continue"/>
                  <w:shd w:val="clear" w:color="auto" w:fill="auto"/>
                  <w:vAlign w:val="center"/>
                </w:tcPr>
                <w:p w14:paraId="68343220">
                  <w:pPr>
                    <w:jc w:val="center"/>
                    <w:rPr>
                      <w:rFonts w:hint="eastAsia" w:ascii="Times New Roman" w:hAnsi="Times New Roman" w:eastAsia="仿宋" w:cs="Times New Roman"/>
                      <w:bCs/>
                      <w:color w:val="auto"/>
                      <w:spacing w:val="-6"/>
                      <w:sz w:val="18"/>
                      <w:szCs w:val="18"/>
                      <w:lang w:val="en-US" w:eastAsia="zh-CN"/>
                    </w:rPr>
                  </w:pPr>
                </w:p>
              </w:tc>
              <w:tc>
                <w:tcPr>
                  <w:tcW w:w="0" w:type="auto"/>
                  <w:shd w:val="clear" w:color="auto" w:fill="auto"/>
                  <w:vAlign w:val="center"/>
                </w:tcPr>
                <w:p w14:paraId="18811019">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VOCs</w:t>
                  </w:r>
                </w:p>
              </w:tc>
              <w:tc>
                <w:tcPr>
                  <w:tcW w:w="252" w:type="pct"/>
                  <w:shd w:val="clear" w:color="auto" w:fill="auto"/>
                  <w:vAlign w:val="center"/>
                </w:tcPr>
                <w:p w14:paraId="6300BBB3">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3.72</w:t>
                  </w:r>
                </w:p>
              </w:tc>
              <w:tc>
                <w:tcPr>
                  <w:tcW w:w="307" w:type="pct"/>
                  <w:shd w:val="clear" w:color="auto" w:fill="auto"/>
                  <w:vAlign w:val="center"/>
                </w:tcPr>
                <w:p w14:paraId="77A0BA53">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25.8</w:t>
                  </w:r>
                </w:p>
              </w:tc>
              <w:tc>
                <w:tcPr>
                  <w:tcW w:w="298" w:type="pct"/>
                  <w:shd w:val="clear" w:color="auto" w:fill="auto"/>
                  <w:vAlign w:val="center"/>
                </w:tcPr>
                <w:p w14:paraId="5ED4295E">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0.5</w:t>
                  </w:r>
                </w:p>
              </w:tc>
              <w:tc>
                <w:tcPr>
                  <w:tcW w:w="0" w:type="auto"/>
                  <w:vMerge w:val="continue"/>
                  <w:shd w:val="clear" w:color="auto" w:fill="auto"/>
                  <w:vAlign w:val="center"/>
                </w:tcPr>
                <w:p w14:paraId="70EBF2C2">
                  <w:pPr>
                    <w:jc w:val="center"/>
                    <w:rPr>
                      <w:rFonts w:hint="eastAsia" w:ascii="Times New Roman" w:hAnsi="Times New Roman" w:eastAsia="仿宋" w:cs="Times New Roman"/>
                      <w:bCs/>
                      <w:color w:val="auto"/>
                      <w:spacing w:val="-6"/>
                      <w:sz w:val="18"/>
                      <w:szCs w:val="18"/>
                      <w:lang w:val="en-US" w:eastAsia="zh-CN"/>
                    </w:rPr>
                  </w:pPr>
                </w:p>
              </w:tc>
              <w:tc>
                <w:tcPr>
                  <w:tcW w:w="0" w:type="auto"/>
                  <w:vMerge w:val="continue"/>
                  <w:shd w:val="clear" w:color="auto" w:fill="auto"/>
                  <w:vAlign w:val="center"/>
                </w:tcPr>
                <w:p w14:paraId="698E4B37">
                  <w:pPr>
                    <w:jc w:val="center"/>
                    <w:rPr>
                      <w:rFonts w:hint="eastAsia" w:ascii="Times New Roman" w:hAnsi="Times New Roman" w:eastAsia="仿宋" w:cs="Times New Roman"/>
                      <w:bCs/>
                      <w:color w:val="auto"/>
                      <w:spacing w:val="-6"/>
                      <w:sz w:val="18"/>
                      <w:szCs w:val="18"/>
                      <w:lang w:val="en-US" w:eastAsia="zh-CN"/>
                    </w:rPr>
                  </w:pPr>
                </w:p>
              </w:tc>
              <w:tc>
                <w:tcPr>
                  <w:tcW w:w="272" w:type="pct"/>
                  <w:shd w:val="clear" w:color="auto" w:fill="auto"/>
                  <w:vAlign w:val="center"/>
                </w:tcPr>
                <w:p w14:paraId="62157DAA">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0.372</w:t>
                  </w:r>
                </w:p>
              </w:tc>
              <w:tc>
                <w:tcPr>
                  <w:tcW w:w="260" w:type="pct"/>
                  <w:shd w:val="clear" w:color="auto" w:fill="auto"/>
                  <w:vAlign w:val="center"/>
                </w:tcPr>
                <w:p w14:paraId="0DE2E1A8">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2.58</w:t>
                  </w:r>
                </w:p>
              </w:tc>
              <w:tc>
                <w:tcPr>
                  <w:tcW w:w="278" w:type="pct"/>
                  <w:shd w:val="clear" w:color="auto" w:fill="auto"/>
                  <w:vAlign w:val="center"/>
                </w:tcPr>
                <w:p w14:paraId="321713F2">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0.05</w:t>
                  </w:r>
                </w:p>
              </w:tc>
              <w:tc>
                <w:tcPr>
                  <w:tcW w:w="241" w:type="pct"/>
                  <w:shd w:val="clear" w:color="auto" w:fill="auto"/>
                  <w:vAlign w:val="center"/>
                </w:tcPr>
                <w:p w14:paraId="62DFFC7C">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60</w:t>
                  </w:r>
                </w:p>
              </w:tc>
              <w:tc>
                <w:tcPr>
                  <w:tcW w:w="193" w:type="pct"/>
                  <w:shd w:val="clear" w:color="auto" w:fill="auto"/>
                  <w:vAlign w:val="center"/>
                </w:tcPr>
                <w:p w14:paraId="334040AC">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3</w:t>
                  </w:r>
                </w:p>
              </w:tc>
              <w:tc>
                <w:tcPr>
                  <w:tcW w:w="0" w:type="auto"/>
                  <w:vMerge w:val="continue"/>
                  <w:shd w:val="clear" w:color="auto" w:fill="auto"/>
                  <w:vAlign w:val="center"/>
                </w:tcPr>
                <w:p w14:paraId="41A52A0E">
                  <w:pPr>
                    <w:jc w:val="center"/>
                    <w:rPr>
                      <w:rFonts w:hint="eastAsia" w:ascii="Times New Roman" w:hAnsi="Times New Roman" w:eastAsia="仿宋" w:cs="Times New Roman"/>
                      <w:bCs/>
                      <w:color w:val="auto"/>
                      <w:spacing w:val="-6"/>
                      <w:sz w:val="18"/>
                      <w:szCs w:val="18"/>
                      <w:lang w:val="en-US" w:eastAsia="zh-CN"/>
                    </w:rPr>
                  </w:pPr>
                </w:p>
              </w:tc>
              <w:tc>
                <w:tcPr>
                  <w:tcW w:w="0" w:type="auto"/>
                  <w:vMerge w:val="continue"/>
                  <w:shd w:val="clear" w:color="auto" w:fill="auto"/>
                  <w:vAlign w:val="center"/>
                </w:tcPr>
                <w:p w14:paraId="387B31E5">
                  <w:pPr>
                    <w:jc w:val="center"/>
                    <w:rPr>
                      <w:rFonts w:hint="eastAsia" w:ascii="Times New Roman" w:hAnsi="Times New Roman" w:eastAsia="仿宋" w:cs="Times New Roman"/>
                      <w:bCs/>
                      <w:color w:val="auto"/>
                      <w:spacing w:val="-6"/>
                      <w:sz w:val="18"/>
                      <w:szCs w:val="18"/>
                      <w:lang w:val="en-US" w:eastAsia="zh-CN"/>
                    </w:rPr>
                  </w:pPr>
                </w:p>
              </w:tc>
            </w:tr>
            <w:tr w14:paraId="6FFA6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00" w:type="pct"/>
                  <w:vMerge w:val="continue"/>
                  <w:vAlign w:val="center"/>
                </w:tcPr>
                <w:p w14:paraId="73A3C359">
                  <w:pPr>
                    <w:jc w:val="center"/>
                    <w:rPr>
                      <w:rFonts w:hint="eastAsia" w:ascii="Times New Roman" w:hAnsi="Times New Roman" w:eastAsia="仿宋" w:cs="Times New Roman"/>
                      <w:bCs/>
                      <w:color w:val="auto"/>
                      <w:spacing w:val="-6"/>
                      <w:sz w:val="18"/>
                      <w:szCs w:val="18"/>
                      <w:lang w:val="en-US" w:eastAsia="zh-CN"/>
                    </w:rPr>
                  </w:pPr>
                </w:p>
              </w:tc>
              <w:tc>
                <w:tcPr>
                  <w:tcW w:w="0" w:type="auto"/>
                  <w:shd w:val="clear" w:color="auto" w:fill="auto"/>
                  <w:vAlign w:val="center"/>
                </w:tcPr>
                <w:p w14:paraId="6576FD34">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植绒</w:t>
                  </w:r>
                </w:p>
              </w:tc>
              <w:tc>
                <w:tcPr>
                  <w:tcW w:w="283" w:type="pct"/>
                  <w:shd w:val="clear" w:color="auto" w:fill="auto"/>
                  <w:vAlign w:val="center"/>
                </w:tcPr>
                <w:p w14:paraId="6B049D92">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12000</w:t>
                  </w:r>
                </w:p>
              </w:tc>
              <w:tc>
                <w:tcPr>
                  <w:tcW w:w="0" w:type="auto"/>
                  <w:shd w:val="clear" w:color="auto" w:fill="auto"/>
                  <w:vAlign w:val="center"/>
                </w:tcPr>
                <w:p w14:paraId="40F2D46D">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颗粒物</w:t>
                  </w:r>
                </w:p>
              </w:tc>
              <w:tc>
                <w:tcPr>
                  <w:tcW w:w="0" w:type="auto"/>
                  <w:shd w:val="clear" w:color="auto" w:fill="auto"/>
                  <w:vAlign w:val="center"/>
                </w:tcPr>
                <w:p w14:paraId="544B75AA">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1.44</w:t>
                  </w:r>
                </w:p>
              </w:tc>
              <w:tc>
                <w:tcPr>
                  <w:tcW w:w="0" w:type="auto"/>
                  <w:shd w:val="clear" w:color="auto" w:fill="auto"/>
                  <w:vAlign w:val="center"/>
                </w:tcPr>
                <w:p w14:paraId="41354809">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16.7</w:t>
                  </w:r>
                </w:p>
              </w:tc>
              <w:tc>
                <w:tcPr>
                  <w:tcW w:w="0" w:type="auto"/>
                  <w:shd w:val="clear" w:color="auto" w:fill="auto"/>
                  <w:vAlign w:val="center"/>
                </w:tcPr>
                <w:p w14:paraId="4943EE6C">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0.2</w:t>
                  </w:r>
                </w:p>
              </w:tc>
              <w:tc>
                <w:tcPr>
                  <w:tcW w:w="0" w:type="auto"/>
                  <w:shd w:val="clear" w:color="auto" w:fill="auto"/>
                  <w:vAlign w:val="center"/>
                </w:tcPr>
                <w:p w14:paraId="3CBEF321">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2#布袋除尘器</w:t>
                  </w:r>
                </w:p>
              </w:tc>
              <w:tc>
                <w:tcPr>
                  <w:tcW w:w="0" w:type="auto"/>
                  <w:shd w:val="clear" w:color="auto" w:fill="auto"/>
                  <w:vAlign w:val="center"/>
                </w:tcPr>
                <w:p w14:paraId="71834468">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90</w:t>
                  </w:r>
                </w:p>
              </w:tc>
              <w:tc>
                <w:tcPr>
                  <w:tcW w:w="0" w:type="auto"/>
                  <w:shd w:val="clear" w:color="auto" w:fill="auto"/>
                  <w:vAlign w:val="center"/>
                </w:tcPr>
                <w:p w14:paraId="52CBA9B1">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0.144</w:t>
                  </w:r>
                </w:p>
              </w:tc>
              <w:tc>
                <w:tcPr>
                  <w:tcW w:w="0" w:type="auto"/>
                  <w:shd w:val="clear" w:color="auto" w:fill="auto"/>
                  <w:vAlign w:val="center"/>
                </w:tcPr>
                <w:p w14:paraId="1E0E1339">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1.67</w:t>
                  </w:r>
                </w:p>
              </w:tc>
              <w:tc>
                <w:tcPr>
                  <w:tcW w:w="0" w:type="auto"/>
                  <w:shd w:val="clear" w:color="auto" w:fill="auto"/>
                  <w:vAlign w:val="center"/>
                </w:tcPr>
                <w:p w14:paraId="04E08B9B">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0.02</w:t>
                  </w:r>
                </w:p>
              </w:tc>
              <w:tc>
                <w:tcPr>
                  <w:tcW w:w="241" w:type="pct"/>
                  <w:shd w:val="clear" w:color="auto" w:fill="auto"/>
                  <w:vAlign w:val="center"/>
                </w:tcPr>
                <w:p w14:paraId="78590F23">
                  <w:pPr>
                    <w:widowControl/>
                    <w:snapToGrid w:val="0"/>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z w:val="18"/>
                      <w:szCs w:val="18"/>
                      <w:highlight w:val="none"/>
                      <w:lang w:val="en-US" w:eastAsia="zh-CN"/>
                    </w:rPr>
                    <w:t>20</w:t>
                  </w:r>
                </w:p>
              </w:tc>
              <w:tc>
                <w:tcPr>
                  <w:tcW w:w="193" w:type="pct"/>
                  <w:shd w:val="clear" w:color="auto" w:fill="auto"/>
                  <w:vAlign w:val="center"/>
                </w:tcPr>
                <w:p w14:paraId="4E956E38">
                  <w:pPr>
                    <w:widowControl/>
                    <w:snapToGrid w:val="0"/>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z w:val="18"/>
                      <w:szCs w:val="18"/>
                      <w:highlight w:val="none"/>
                      <w:lang w:val="en-US" w:eastAsia="zh-CN"/>
                    </w:rPr>
                    <w:t>1</w:t>
                  </w:r>
                </w:p>
              </w:tc>
              <w:tc>
                <w:tcPr>
                  <w:tcW w:w="0" w:type="auto"/>
                  <w:shd w:val="clear" w:color="auto" w:fill="auto"/>
                  <w:vAlign w:val="center"/>
                </w:tcPr>
                <w:p w14:paraId="6E0F3018">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FQ-2</w:t>
                  </w:r>
                </w:p>
              </w:tc>
              <w:tc>
                <w:tcPr>
                  <w:tcW w:w="0" w:type="auto"/>
                  <w:shd w:val="clear" w:color="auto" w:fill="auto"/>
                  <w:vAlign w:val="center"/>
                </w:tcPr>
                <w:p w14:paraId="54BAAB2C">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z w:val="18"/>
                      <w:szCs w:val="18"/>
                      <w:highlight w:val="none"/>
                      <w:lang w:val="en-US" w:eastAsia="zh-CN"/>
                    </w:rPr>
                    <w:t>7200</w:t>
                  </w:r>
                  <w:r>
                    <w:rPr>
                      <w:rFonts w:hint="default" w:ascii="Times New Roman" w:hAnsi="Times New Roman" w:eastAsia="仿宋" w:cs="Times New Roman"/>
                      <w:bCs/>
                      <w:color w:val="auto"/>
                      <w:sz w:val="18"/>
                      <w:szCs w:val="18"/>
                      <w:highlight w:val="none"/>
                      <w:lang w:val="en-US" w:eastAsia="zh-CN"/>
                    </w:rPr>
                    <w:t>h连续</w:t>
                  </w:r>
                </w:p>
              </w:tc>
            </w:tr>
            <w:tr w14:paraId="364F1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00" w:type="pct"/>
                  <w:vMerge w:val="continue"/>
                  <w:vAlign w:val="center"/>
                </w:tcPr>
                <w:p w14:paraId="0B60099C">
                  <w:pPr>
                    <w:jc w:val="center"/>
                    <w:rPr>
                      <w:rFonts w:hint="eastAsia" w:ascii="Times New Roman" w:hAnsi="Times New Roman" w:eastAsia="仿宋" w:cs="Times New Roman"/>
                      <w:bCs/>
                      <w:color w:val="auto"/>
                      <w:spacing w:val="-6"/>
                      <w:sz w:val="18"/>
                      <w:szCs w:val="18"/>
                      <w:lang w:val="en-US" w:eastAsia="zh-CN"/>
                    </w:rPr>
                  </w:pPr>
                </w:p>
              </w:tc>
              <w:tc>
                <w:tcPr>
                  <w:tcW w:w="0" w:type="auto"/>
                  <w:shd w:val="clear" w:color="auto" w:fill="auto"/>
                  <w:vAlign w:val="center"/>
                </w:tcPr>
                <w:p w14:paraId="29848D6D">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注塑</w:t>
                  </w:r>
                </w:p>
              </w:tc>
              <w:tc>
                <w:tcPr>
                  <w:tcW w:w="283" w:type="pct"/>
                  <w:shd w:val="clear" w:color="auto" w:fill="auto"/>
                  <w:vAlign w:val="center"/>
                </w:tcPr>
                <w:p w14:paraId="54D9A398">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20000</w:t>
                  </w:r>
                </w:p>
              </w:tc>
              <w:tc>
                <w:tcPr>
                  <w:tcW w:w="0" w:type="auto"/>
                  <w:shd w:val="clear" w:color="auto" w:fill="auto"/>
                  <w:vAlign w:val="center"/>
                </w:tcPr>
                <w:p w14:paraId="6E6DC05C">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VOCs</w:t>
                  </w:r>
                </w:p>
              </w:tc>
              <w:tc>
                <w:tcPr>
                  <w:tcW w:w="0" w:type="auto"/>
                  <w:shd w:val="clear" w:color="auto" w:fill="auto"/>
                  <w:vAlign w:val="center"/>
                </w:tcPr>
                <w:p w14:paraId="1259813E">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0.29</w:t>
                  </w:r>
                </w:p>
              </w:tc>
              <w:tc>
                <w:tcPr>
                  <w:tcW w:w="0" w:type="auto"/>
                  <w:shd w:val="clear" w:color="auto" w:fill="auto"/>
                  <w:vAlign w:val="center"/>
                </w:tcPr>
                <w:p w14:paraId="5011B9E8">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2.02</w:t>
                  </w:r>
                </w:p>
              </w:tc>
              <w:tc>
                <w:tcPr>
                  <w:tcW w:w="0" w:type="auto"/>
                  <w:shd w:val="clear" w:color="auto" w:fill="auto"/>
                  <w:vAlign w:val="center"/>
                </w:tcPr>
                <w:p w14:paraId="2DAFE566">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0.04</w:t>
                  </w:r>
                </w:p>
              </w:tc>
              <w:tc>
                <w:tcPr>
                  <w:tcW w:w="0" w:type="auto"/>
                  <w:shd w:val="clear" w:color="auto" w:fill="auto"/>
                  <w:vAlign w:val="center"/>
                </w:tcPr>
                <w:p w14:paraId="6C2C1183">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3#两级活性炭吸附装置</w:t>
                  </w:r>
                </w:p>
              </w:tc>
              <w:tc>
                <w:tcPr>
                  <w:tcW w:w="0" w:type="auto"/>
                  <w:shd w:val="clear" w:color="auto" w:fill="auto"/>
                  <w:vAlign w:val="center"/>
                </w:tcPr>
                <w:p w14:paraId="7EB11535">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90</w:t>
                  </w:r>
                </w:p>
              </w:tc>
              <w:tc>
                <w:tcPr>
                  <w:tcW w:w="0" w:type="auto"/>
                  <w:shd w:val="clear" w:color="auto" w:fill="auto"/>
                  <w:vAlign w:val="center"/>
                </w:tcPr>
                <w:p w14:paraId="3D581C04">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0.029</w:t>
                  </w:r>
                </w:p>
              </w:tc>
              <w:tc>
                <w:tcPr>
                  <w:tcW w:w="0" w:type="auto"/>
                  <w:shd w:val="clear" w:color="auto" w:fill="auto"/>
                  <w:vAlign w:val="center"/>
                </w:tcPr>
                <w:p w14:paraId="70A595DE">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0.202</w:t>
                  </w:r>
                </w:p>
              </w:tc>
              <w:tc>
                <w:tcPr>
                  <w:tcW w:w="0" w:type="auto"/>
                  <w:shd w:val="clear" w:color="auto" w:fill="auto"/>
                  <w:vAlign w:val="center"/>
                </w:tcPr>
                <w:p w14:paraId="674102DF">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0.004</w:t>
                  </w:r>
                </w:p>
              </w:tc>
              <w:tc>
                <w:tcPr>
                  <w:tcW w:w="0" w:type="auto"/>
                  <w:shd w:val="clear" w:color="auto" w:fill="auto"/>
                  <w:vAlign w:val="center"/>
                </w:tcPr>
                <w:p w14:paraId="78CA33AF">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60</w:t>
                  </w:r>
                </w:p>
              </w:tc>
              <w:tc>
                <w:tcPr>
                  <w:tcW w:w="0" w:type="auto"/>
                  <w:shd w:val="clear" w:color="auto" w:fill="auto"/>
                  <w:vAlign w:val="center"/>
                </w:tcPr>
                <w:p w14:paraId="22442521">
                  <w:pPr>
                    <w:jc w:val="center"/>
                    <w:rPr>
                      <w:rFonts w:hint="eastAsia"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w:t>
                  </w:r>
                </w:p>
              </w:tc>
              <w:tc>
                <w:tcPr>
                  <w:tcW w:w="0" w:type="auto"/>
                  <w:shd w:val="clear" w:color="auto" w:fill="auto"/>
                  <w:vAlign w:val="center"/>
                </w:tcPr>
                <w:p w14:paraId="6E4D3A09">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pacing w:val="-6"/>
                      <w:sz w:val="18"/>
                      <w:szCs w:val="18"/>
                      <w:lang w:val="en-US" w:eastAsia="zh-CN"/>
                    </w:rPr>
                    <w:t>FQ-3</w:t>
                  </w:r>
                </w:p>
              </w:tc>
              <w:tc>
                <w:tcPr>
                  <w:tcW w:w="0" w:type="auto"/>
                  <w:shd w:val="clear" w:color="auto" w:fill="auto"/>
                  <w:vAlign w:val="center"/>
                </w:tcPr>
                <w:p w14:paraId="469727D0">
                  <w:pPr>
                    <w:jc w:val="center"/>
                    <w:rPr>
                      <w:rFonts w:hint="default" w:ascii="Times New Roman" w:hAnsi="Times New Roman" w:eastAsia="仿宋" w:cs="Times New Roman"/>
                      <w:bCs/>
                      <w:color w:val="auto"/>
                      <w:spacing w:val="-6"/>
                      <w:sz w:val="18"/>
                      <w:szCs w:val="18"/>
                      <w:lang w:val="en-US" w:eastAsia="zh-CN"/>
                    </w:rPr>
                  </w:pPr>
                  <w:r>
                    <w:rPr>
                      <w:rFonts w:hint="eastAsia" w:ascii="Times New Roman" w:hAnsi="Times New Roman" w:eastAsia="仿宋" w:cs="Times New Roman"/>
                      <w:bCs/>
                      <w:color w:val="auto"/>
                      <w:sz w:val="18"/>
                      <w:szCs w:val="18"/>
                      <w:highlight w:val="none"/>
                      <w:lang w:val="en-US" w:eastAsia="zh-CN"/>
                    </w:rPr>
                    <w:t>7200</w:t>
                  </w:r>
                  <w:r>
                    <w:rPr>
                      <w:rFonts w:hint="default" w:ascii="Times New Roman" w:hAnsi="Times New Roman" w:eastAsia="仿宋" w:cs="Times New Roman"/>
                      <w:bCs/>
                      <w:color w:val="auto"/>
                      <w:sz w:val="18"/>
                      <w:szCs w:val="18"/>
                      <w:highlight w:val="none"/>
                      <w:lang w:val="en-US" w:eastAsia="zh-CN"/>
                    </w:rPr>
                    <w:t>h连续</w:t>
                  </w:r>
                </w:p>
              </w:tc>
            </w:tr>
          </w:tbl>
          <w:p w14:paraId="65877B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 w:cs="Times New Roman"/>
                <w:bCs/>
                <w:color w:val="auto"/>
                <w:sz w:val="24"/>
                <w:highlight w:val="none"/>
                <w:lang w:val="en-US" w:eastAsia="zh-CN"/>
              </w:rPr>
            </w:pPr>
          </w:p>
          <w:p w14:paraId="107A82D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032601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455104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0E161D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7A1C9C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07AE068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7F4319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4B213D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7F35D5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3992D2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6504068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04A5B5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670EFB0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3AB5C4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52190B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4167BB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338A4B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62213E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6F2CEC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7A40CC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69D4B0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427066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18FD89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2118C9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550F311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775C01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5F7A6C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362B31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72E319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p w14:paraId="63B7D8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18"/>
                <w:szCs w:val="18"/>
                <w:highlight w:val="none"/>
                <w:lang w:eastAsia="zh-CN"/>
              </w:rPr>
            </w:pPr>
          </w:p>
        </w:tc>
      </w:tr>
    </w:tbl>
    <w:p w14:paraId="51AB1776">
      <w:pPr>
        <w:adjustRightInd w:val="0"/>
        <w:snapToGrid w:val="0"/>
        <w:spacing w:line="360" w:lineRule="auto"/>
        <w:rPr>
          <w:rFonts w:hint="default" w:ascii="Times New Roman" w:hAnsi="Times New Roman" w:eastAsia="仿宋" w:cs="Times New Roman"/>
          <w:b/>
          <w:color w:val="auto"/>
          <w:kern w:val="0"/>
          <w:sz w:val="28"/>
          <w:szCs w:val="28"/>
          <w:highlight w:val="none"/>
        </w:rPr>
        <w:sectPr>
          <w:pgSz w:w="16840" w:h="11907" w:orient="landscape"/>
          <w:pgMar w:top="1531" w:right="1701" w:bottom="1531" w:left="2126" w:header="851" w:footer="851" w:gutter="0"/>
          <w:pgBorders>
            <w:top w:val="none" w:sz="0" w:space="0"/>
            <w:left w:val="none" w:sz="0" w:space="0"/>
            <w:bottom w:val="none" w:sz="0" w:space="0"/>
            <w:right w:val="none" w:sz="0" w:space="0"/>
          </w:pgBorders>
          <w:lnNumType w:countBy="0" w:restart="continuous"/>
          <w:cols w:space="720" w:num="1"/>
          <w:docGrid w:linePitch="312" w:charSpace="0"/>
        </w:sectPr>
      </w:pPr>
    </w:p>
    <w:tbl>
      <w:tblPr>
        <w:tblStyle w:val="2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5"/>
        <w:gridCol w:w="8616"/>
      </w:tblGrid>
      <w:tr w14:paraId="2F515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69" w:type="dxa"/>
            <w:noWrap w:val="0"/>
            <w:tcMar>
              <w:left w:w="28" w:type="dxa"/>
              <w:right w:w="28" w:type="dxa"/>
            </w:tcMar>
            <w:vAlign w:val="center"/>
          </w:tcPr>
          <w:p w14:paraId="0F3B5CCA">
            <w:pPr>
              <w:adjustRightInd w:val="0"/>
              <w:snapToGrid w:val="0"/>
              <w:spacing w:line="360" w:lineRule="auto"/>
              <w:jc w:val="center"/>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运营期环境影响和保护措施</w:t>
            </w:r>
          </w:p>
        </w:tc>
        <w:tc>
          <w:tcPr>
            <w:tcW w:w="8512" w:type="dxa"/>
            <w:noWrap w:val="0"/>
            <w:vAlign w:val="center"/>
          </w:tcPr>
          <w:p w14:paraId="13B31090">
            <w:pPr>
              <w:adjustRightInd w:val="0"/>
              <w:snapToGrid w:val="0"/>
              <w:ind w:left="0" w:leftChars="0" w:right="0" w:rightChars="0" w:firstLine="0" w:firstLineChars="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2</w:t>
            </w:r>
            <w:r>
              <w:rPr>
                <w:rFonts w:hint="default" w:ascii="Times New Roman" w:hAnsi="Times New Roman" w:eastAsia="仿宋" w:cs="Times New Roman"/>
                <w:b/>
                <w:bCs/>
                <w:color w:val="auto"/>
                <w:sz w:val="24"/>
              </w:rPr>
              <w:t xml:space="preserve">  本项目排气筒参数</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1467"/>
              <w:gridCol w:w="1364"/>
              <w:gridCol w:w="736"/>
              <w:gridCol w:w="603"/>
              <w:gridCol w:w="736"/>
              <w:gridCol w:w="865"/>
              <w:gridCol w:w="963"/>
              <w:gridCol w:w="714"/>
            </w:tblGrid>
            <w:tr w14:paraId="63F8C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vMerge w:val="restart"/>
                  <w:noWrap w:val="0"/>
                  <w:vAlign w:val="center"/>
                </w:tcPr>
                <w:p w14:paraId="5375EC00">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排气筒</w:t>
                  </w:r>
                </w:p>
                <w:p w14:paraId="07BC4906">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名称</w:t>
                  </w:r>
                </w:p>
              </w:tc>
              <w:tc>
                <w:tcPr>
                  <w:tcW w:w="1685" w:type="pct"/>
                  <w:gridSpan w:val="2"/>
                  <w:noWrap w:val="0"/>
                  <w:vAlign w:val="center"/>
                </w:tcPr>
                <w:p w14:paraId="2DB032F6">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排气筒底部坐标</w:t>
                  </w:r>
                </w:p>
              </w:tc>
              <w:tc>
                <w:tcPr>
                  <w:tcW w:w="438" w:type="pct"/>
                  <w:vMerge w:val="restart"/>
                  <w:noWrap w:val="0"/>
                  <w:vAlign w:val="center"/>
                </w:tcPr>
                <w:p w14:paraId="1C2A1E5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排气筒底部海拔高度（m）</w:t>
                  </w:r>
                </w:p>
              </w:tc>
              <w:tc>
                <w:tcPr>
                  <w:tcW w:w="1885" w:type="pct"/>
                  <w:gridSpan w:val="4"/>
                  <w:noWrap w:val="0"/>
                  <w:vAlign w:val="center"/>
                </w:tcPr>
                <w:p w14:paraId="21AC0E44">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排气筒参数</w:t>
                  </w:r>
                </w:p>
              </w:tc>
              <w:tc>
                <w:tcPr>
                  <w:tcW w:w="425" w:type="pct"/>
                  <w:vMerge w:val="restart"/>
                  <w:noWrap w:val="0"/>
                  <w:vAlign w:val="center"/>
                </w:tcPr>
                <w:p w14:paraId="52A9A00B">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排气筒类型</w:t>
                  </w:r>
                </w:p>
              </w:tc>
            </w:tr>
            <w:tr w14:paraId="0955B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vMerge w:val="continue"/>
                  <w:noWrap w:val="0"/>
                  <w:vAlign w:val="center"/>
                </w:tcPr>
                <w:p w14:paraId="4A286E72">
                  <w:pPr>
                    <w:widowControl/>
                    <w:jc w:val="left"/>
                    <w:rPr>
                      <w:rFonts w:hint="default" w:ascii="Times New Roman" w:hAnsi="Times New Roman" w:eastAsia="仿宋" w:cs="Times New Roman"/>
                      <w:b/>
                      <w:bCs/>
                      <w:color w:val="auto"/>
                      <w:sz w:val="21"/>
                      <w:szCs w:val="21"/>
                    </w:rPr>
                  </w:pPr>
                </w:p>
              </w:tc>
              <w:tc>
                <w:tcPr>
                  <w:tcW w:w="873" w:type="pct"/>
                  <w:noWrap w:val="0"/>
                  <w:vAlign w:val="center"/>
                </w:tcPr>
                <w:p w14:paraId="30F643FA">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经度（°）</w:t>
                  </w:r>
                </w:p>
              </w:tc>
              <w:tc>
                <w:tcPr>
                  <w:tcW w:w="811" w:type="pct"/>
                  <w:noWrap w:val="0"/>
                  <w:vAlign w:val="center"/>
                </w:tcPr>
                <w:p w14:paraId="583CCFBB">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纬度（°）</w:t>
                  </w:r>
                </w:p>
              </w:tc>
              <w:tc>
                <w:tcPr>
                  <w:tcW w:w="438" w:type="pct"/>
                  <w:vMerge w:val="continue"/>
                  <w:noWrap w:val="0"/>
                  <w:vAlign w:val="center"/>
                </w:tcPr>
                <w:p w14:paraId="7A1A9DAE">
                  <w:pPr>
                    <w:widowControl/>
                    <w:jc w:val="left"/>
                    <w:rPr>
                      <w:rFonts w:hint="default" w:ascii="Times New Roman" w:hAnsi="Times New Roman" w:eastAsia="仿宋" w:cs="Times New Roman"/>
                      <w:b/>
                      <w:bCs/>
                      <w:color w:val="auto"/>
                      <w:sz w:val="21"/>
                      <w:szCs w:val="21"/>
                    </w:rPr>
                  </w:pPr>
                </w:p>
              </w:tc>
              <w:tc>
                <w:tcPr>
                  <w:tcW w:w="359" w:type="pct"/>
                  <w:noWrap w:val="0"/>
                  <w:vAlign w:val="center"/>
                </w:tcPr>
                <w:p w14:paraId="65F4615C">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高度（m）</w:t>
                  </w:r>
                </w:p>
              </w:tc>
              <w:tc>
                <w:tcPr>
                  <w:tcW w:w="438" w:type="pct"/>
                  <w:noWrap w:val="0"/>
                  <w:vAlign w:val="center"/>
                </w:tcPr>
                <w:p w14:paraId="6078E1E4">
                  <w:pPr>
                    <w:adjustRightInd w:val="0"/>
                    <w:snapToGrid w:val="0"/>
                    <w:ind w:left="-105" w:leftChars="-50" w:right="-105" w:rightChars="-5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出口内径（m）</w:t>
                  </w:r>
                </w:p>
              </w:tc>
              <w:tc>
                <w:tcPr>
                  <w:tcW w:w="515" w:type="pct"/>
                  <w:noWrap w:val="0"/>
                  <w:vAlign w:val="center"/>
                </w:tcPr>
                <w:p w14:paraId="2F2C32BB">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温度（℃）</w:t>
                  </w:r>
                </w:p>
              </w:tc>
              <w:tc>
                <w:tcPr>
                  <w:tcW w:w="571" w:type="pct"/>
                  <w:noWrap w:val="0"/>
                  <w:vAlign w:val="center"/>
                </w:tcPr>
                <w:p w14:paraId="224246F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烟气流速（m/s）</w:t>
                  </w:r>
                </w:p>
              </w:tc>
              <w:tc>
                <w:tcPr>
                  <w:tcW w:w="425" w:type="pct"/>
                  <w:vMerge w:val="continue"/>
                  <w:noWrap w:val="0"/>
                  <w:vAlign w:val="center"/>
                </w:tcPr>
                <w:p w14:paraId="7F0DDF79">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仿宋" w:cs="Times New Roman"/>
                      <w:b/>
                      <w:bCs/>
                      <w:color w:val="auto"/>
                      <w:sz w:val="21"/>
                      <w:szCs w:val="21"/>
                    </w:rPr>
                  </w:pPr>
                </w:p>
              </w:tc>
            </w:tr>
            <w:tr w14:paraId="6C70C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noWrap w:val="0"/>
                  <w:vAlign w:val="center"/>
                </w:tcPr>
                <w:p w14:paraId="260D0CED">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szCs w:val="21"/>
                      <w:highlight w:val="none"/>
                      <w:lang w:val="en-US" w:eastAsia="zh-CN" w:bidi="ar"/>
                    </w:rPr>
                    <w:t>FQ-5</w:t>
                  </w:r>
                </w:p>
              </w:tc>
              <w:tc>
                <w:tcPr>
                  <w:tcW w:w="873" w:type="pct"/>
                  <w:noWrap w:val="0"/>
                  <w:vAlign w:val="center"/>
                </w:tcPr>
                <w:p w14:paraId="16BFB0CD">
                  <w:pPr>
                    <w:adjustRightInd w:val="0"/>
                    <w:snapToGrid w:val="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rPr>
                    <w:t>119.</w:t>
                  </w:r>
                  <w:r>
                    <w:rPr>
                      <w:rFonts w:hint="default" w:ascii="Times New Roman" w:hAnsi="Times New Roman" w:eastAsia="仿宋" w:cs="Times New Roman"/>
                      <w:bCs/>
                      <w:color w:val="auto"/>
                      <w:sz w:val="21"/>
                      <w:szCs w:val="21"/>
                      <w:lang w:val="en-US" w:eastAsia="zh-CN"/>
                    </w:rPr>
                    <w:t>589347</w:t>
                  </w:r>
                </w:p>
              </w:tc>
              <w:tc>
                <w:tcPr>
                  <w:tcW w:w="811" w:type="pct"/>
                  <w:noWrap w:val="0"/>
                  <w:vAlign w:val="center"/>
                </w:tcPr>
                <w:p w14:paraId="48740782">
                  <w:pPr>
                    <w:adjustRightInd w:val="0"/>
                    <w:snapToGrid w:val="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rPr>
                    <w:t>31.</w:t>
                  </w:r>
                  <w:r>
                    <w:rPr>
                      <w:rFonts w:hint="default" w:ascii="Times New Roman" w:hAnsi="Times New Roman" w:eastAsia="仿宋" w:cs="Times New Roman"/>
                      <w:bCs/>
                      <w:color w:val="auto"/>
                      <w:sz w:val="21"/>
                      <w:szCs w:val="21"/>
                      <w:lang w:val="en-US" w:eastAsia="zh-CN"/>
                    </w:rPr>
                    <w:t>778244</w:t>
                  </w:r>
                </w:p>
              </w:tc>
              <w:tc>
                <w:tcPr>
                  <w:tcW w:w="438" w:type="pct"/>
                  <w:noWrap w:val="0"/>
                  <w:vAlign w:val="center"/>
                </w:tcPr>
                <w:p w14:paraId="301FC977">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6</w:t>
                  </w:r>
                </w:p>
              </w:tc>
              <w:tc>
                <w:tcPr>
                  <w:tcW w:w="359" w:type="pct"/>
                  <w:noWrap w:val="0"/>
                  <w:vAlign w:val="center"/>
                </w:tcPr>
                <w:p w14:paraId="44157128">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15</w:t>
                  </w:r>
                </w:p>
              </w:tc>
              <w:tc>
                <w:tcPr>
                  <w:tcW w:w="736" w:type="dxa"/>
                  <w:noWrap w:val="0"/>
                  <w:vAlign w:val="center"/>
                </w:tcPr>
                <w:p w14:paraId="2ADFFECC">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szCs w:val="21"/>
                      <w:highlight w:val="none"/>
                      <w:lang w:bidi="ar"/>
                    </w:rPr>
                    <w:t>0.</w:t>
                  </w:r>
                  <w:r>
                    <w:rPr>
                      <w:rFonts w:hint="eastAsia" w:ascii="Times New Roman" w:hAnsi="Times New Roman" w:eastAsia="仿宋" w:cs="Times New Roman"/>
                      <w:color w:val="auto"/>
                      <w:szCs w:val="21"/>
                      <w:highlight w:val="none"/>
                      <w:lang w:val="en-US" w:eastAsia="zh-CN" w:bidi="ar"/>
                    </w:rPr>
                    <w:t>4</w:t>
                  </w:r>
                  <w:r>
                    <w:rPr>
                      <w:rFonts w:hint="eastAsia" w:eastAsia="仿宋" w:cs="Times New Roman"/>
                      <w:color w:val="auto"/>
                      <w:szCs w:val="21"/>
                      <w:highlight w:val="none"/>
                      <w:lang w:val="en-US" w:eastAsia="zh-CN" w:bidi="ar"/>
                    </w:rPr>
                    <w:t>3</w:t>
                  </w:r>
                </w:p>
              </w:tc>
              <w:tc>
                <w:tcPr>
                  <w:tcW w:w="515" w:type="pct"/>
                  <w:noWrap w:val="0"/>
                  <w:vAlign w:val="center"/>
                </w:tcPr>
                <w:p w14:paraId="6DDB5EB3">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25</w:t>
                  </w:r>
                </w:p>
              </w:tc>
              <w:tc>
                <w:tcPr>
                  <w:tcW w:w="963" w:type="dxa"/>
                  <w:noWrap w:val="0"/>
                  <w:vAlign w:val="center"/>
                </w:tcPr>
                <w:p w14:paraId="52C3BF2B">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szCs w:val="21"/>
                      <w:highlight w:val="none"/>
                      <w:lang w:bidi="ar"/>
                    </w:rPr>
                    <w:t>1</w:t>
                  </w:r>
                  <w:r>
                    <w:rPr>
                      <w:rFonts w:hint="eastAsia" w:ascii="Times New Roman" w:hAnsi="Times New Roman" w:eastAsia="仿宋" w:cs="Times New Roman"/>
                      <w:color w:val="auto"/>
                      <w:szCs w:val="21"/>
                      <w:highlight w:val="none"/>
                      <w:lang w:val="en-US" w:eastAsia="zh-CN" w:bidi="ar"/>
                    </w:rPr>
                    <w:t>5.</w:t>
                  </w:r>
                  <w:r>
                    <w:rPr>
                      <w:rFonts w:hint="eastAsia" w:eastAsia="仿宋" w:cs="Times New Roman"/>
                      <w:color w:val="auto"/>
                      <w:szCs w:val="21"/>
                      <w:highlight w:val="none"/>
                      <w:lang w:val="en-US" w:eastAsia="zh-CN" w:bidi="ar"/>
                    </w:rPr>
                    <w:t>31</w:t>
                  </w:r>
                </w:p>
              </w:tc>
              <w:tc>
                <w:tcPr>
                  <w:tcW w:w="425" w:type="pct"/>
                  <w:noWrap w:val="0"/>
                  <w:vAlign w:val="center"/>
                </w:tcPr>
                <w:p w14:paraId="58E1D087">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一般排放口</w:t>
                  </w:r>
                </w:p>
              </w:tc>
            </w:tr>
            <w:tr w14:paraId="529B2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noWrap w:val="0"/>
                  <w:vAlign w:val="center"/>
                </w:tcPr>
                <w:p w14:paraId="0A8B624D">
                  <w:pPr>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Cs w:val="21"/>
                      <w:highlight w:val="none"/>
                      <w:lang w:val="en-US" w:eastAsia="zh-CN" w:bidi="ar"/>
                    </w:rPr>
                    <w:t>FQ-6</w:t>
                  </w:r>
                </w:p>
              </w:tc>
              <w:tc>
                <w:tcPr>
                  <w:tcW w:w="873" w:type="pct"/>
                  <w:noWrap w:val="0"/>
                  <w:vAlign w:val="center"/>
                </w:tcPr>
                <w:p w14:paraId="0F9FACC2">
                  <w:pPr>
                    <w:adjustRightInd w:val="0"/>
                    <w:snapToGrid w:val="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rPr>
                    <w:t>119.</w:t>
                  </w:r>
                  <w:r>
                    <w:rPr>
                      <w:rFonts w:hint="default" w:ascii="Times New Roman" w:hAnsi="Times New Roman" w:eastAsia="仿宋" w:cs="Times New Roman"/>
                      <w:bCs/>
                      <w:color w:val="auto"/>
                      <w:sz w:val="21"/>
                      <w:szCs w:val="21"/>
                      <w:lang w:val="en-US" w:eastAsia="zh-CN"/>
                    </w:rPr>
                    <w:t>589427</w:t>
                  </w:r>
                </w:p>
              </w:tc>
              <w:tc>
                <w:tcPr>
                  <w:tcW w:w="811" w:type="pct"/>
                  <w:noWrap w:val="0"/>
                  <w:vAlign w:val="center"/>
                </w:tcPr>
                <w:p w14:paraId="488FD1ED">
                  <w:pPr>
                    <w:adjustRightInd w:val="0"/>
                    <w:snapToGrid w:val="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rPr>
                    <w:t>31.7</w:t>
                  </w:r>
                  <w:r>
                    <w:rPr>
                      <w:rFonts w:hint="default" w:ascii="Times New Roman" w:hAnsi="Times New Roman" w:eastAsia="仿宋" w:cs="Times New Roman"/>
                      <w:bCs/>
                      <w:color w:val="auto"/>
                      <w:sz w:val="21"/>
                      <w:szCs w:val="21"/>
                      <w:lang w:val="en-US" w:eastAsia="zh-CN"/>
                    </w:rPr>
                    <w:t>78250</w:t>
                  </w:r>
                </w:p>
              </w:tc>
              <w:tc>
                <w:tcPr>
                  <w:tcW w:w="438" w:type="pct"/>
                  <w:noWrap w:val="0"/>
                  <w:vAlign w:val="center"/>
                </w:tcPr>
                <w:p w14:paraId="06279FA8">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6</w:t>
                  </w:r>
                </w:p>
              </w:tc>
              <w:tc>
                <w:tcPr>
                  <w:tcW w:w="359" w:type="pct"/>
                  <w:noWrap w:val="0"/>
                  <w:vAlign w:val="center"/>
                </w:tcPr>
                <w:p w14:paraId="3F8B5D2C">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15</w:t>
                  </w:r>
                </w:p>
              </w:tc>
              <w:tc>
                <w:tcPr>
                  <w:tcW w:w="736" w:type="dxa"/>
                  <w:noWrap w:val="0"/>
                  <w:vAlign w:val="center"/>
                </w:tcPr>
                <w:p w14:paraId="51D10531">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szCs w:val="21"/>
                      <w:highlight w:val="none"/>
                      <w:lang w:bidi="ar"/>
                    </w:rPr>
                    <w:t>0.</w:t>
                  </w:r>
                  <w:r>
                    <w:rPr>
                      <w:rFonts w:hint="eastAsia" w:ascii="Times New Roman" w:hAnsi="Times New Roman" w:eastAsia="仿宋" w:cs="Times New Roman"/>
                      <w:color w:val="auto"/>
                      <w:szCs w:val="21"/>
                      <w:highlight w:val="none"/>
                      <w:lang w:val="en-US" w:eastAsia="zh-CN" w:bidi="ar"/>
                    </w:rPr>
                    <w:t>5</w:t>
                  </w:r>
                  <w:r>
                    <w:rPr>
                      <w:rFonts w:hint="eastAsia" w:eastAsia="仿宋" w:cs="Times New Roman"/>
                      <w:color w:val="auto"/>
                      <w:szCs w:val="21"/>
                      <w:highlight w:val="none"/>
                      <w:lang w:val="en-US" w:eastAsia="zh-CN" w:bidi="ar"/>
                    </w:rPr>
                    <w:t>3</w:t>
                  </w:r>
                </w:p>
              </w:tc>
              <w:tc>
                <w:tcPr>
                  <w:tcW w:w="515" w:type="pct"/>
                  <w:noWrap w:val="0"/>
                  <w:vAlign w:val="center"/>
                </w:tcPr>
                <w:p w14:paraId="50B9925F">
                  <w:pPr>
                    <w:adjustRightInd w:val="0"/>
                    <w:snapToGrid w:val="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25</w:t>
                  </w:r>
                </w:p>
              </w:tc>
              <w:tc>
                <w:tcPr>
                  <w:tcW w:w="963" w:type="dxa"/>
                  <w:noWrap w:val="0"/>
                  <w:vAlign w:val="center"/>
                </w:tcPr>
                <w:p w14:paraId="68AA329D">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szCs w:val="21"/>
                      <w:highlight w:val="none"/>
                      <w:lang w:bidi="ar"/>
                    </w:rPr>
                    <w:t>1</w:t>
                  </w:r>
                  <w:r>
                    <w:rPr>
                      <w:rFonts w:hint="eastAsia" w:ascii="Times New Roman" w:hAnsi="Times New Roman" w:eastAsia="仿宋" w:cs="Times New Roman"/>
                      <w:color w:val="auto"/>
                      <w:szCs w:val="21"/>
                      <w:highlight w:val="none"/>
                      <w:lang w:val="en-US" w:eastAsia="zh-CN" w:bidi="ar"/>
                    </w:rPr>
                    <w:t>5.</w:t>
                  </w:r>
                  <w:r>
                    <w:rPr>
                      <w:rFonts w:hint="eastAsia" w:eastAsia="仿宋" w:cs="Times New Roman"/>
                      <w:color w:val="auto"/>
                      <w:szCs w:val="21"/>
                      <w:highlight w:val="none"/>
                      <w:lang w:val="en-US" w:eastAsia="zh-CN" w:bidi="ar"/>
                    </w:rPr>
                    <w:t>12</w:t>
                  </w:r>
                </w:p>
              </w:tc>
              <w:tc>
                <w:tcPr>
                  <w:tcW w:w="425" w:type="pct"/>
                  <w:noWrap w:val="0"/>
                  <w:vAlign w:val="center"/>
                </w:tcPr>
                <w:p w14:paraId="17003D2D">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一般排放口</w:t>
                  </w:r>
                </w:p>
              </w:tc>
            </w:tr>
            <w:tr w14:paraId="4B796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5" w:type="pct"/>
                  <w:shd w:val="clear" w:color="auto" w:fill="auto"/>
                  <w:noWrap w:val="0"/>
                  <w:vAlign w:val="center"/>
                </w:tcPr>
                <w:p w14:paraId="6FE1DA89">
                  <w:pPr>
                    <w:jc w:val="center"/>
                    <w:rPr>
                      <w:rFonts w:hint="default" w:ascii="Times New Roman" w:hAnsi="Times New Roman" w:eastAsia="仿宋" w:cs="Times New Roman"/>
                      <w:color w:val="0000FF"/>
                      <w:kern w:val="2"/>
                      <w:sz w:val="21"/>
                      <w:szCs w:val="21"/>
                      <w:lang w:val="en-US" w:eastAsia="zh-CN" w:bidi="ar-SA"/>
                    </w:rPr>
                  </w:pPr>
                  <w:r>
                    <w:rPr>
                      <w:rFonts w:hint="default" w:ascii="Times New Roman" w:hAnsi="Times New Roman" w:eastAsia="仿宋" w:cs="Times New Roman"/>
                      <w:color w:val="0000FF"/>
                      <w:szCs w:val="21"/>
                      <w:highlight w:val="none"/>
                      <w:lang w:val="en-US" w:eastAsia="zh-CN" w:bidi="ar"/>
                    </w:rPr>
                    <w:t>FQ-</w:t>
                  </w:r>
                  <w:r>
                    <w:rPr>
                      <w:rFonts w:hint="eastAsia" w:eastAsia="仿宋" w:cs="Times New Roman"/>
                      <w:color w:val="0000FF"/>
                      <w:szCs w:val="21"/>
                      <w:highlight w:val="none"/>
                      <w:lang w:val="en-US" w:eastAsia="zh-CN" w:bidi="ar"/>
                    </w:rPr>
                    <w:t>7</w:t>
                  </w:r>
                </w:p>
              </w:tc>
              <w:tc>
                <w:tcPr>
                  <w:tcW w:w="873" w:type="pct"/>
                  <w:shd w:val="clear" w:color="auto" w:fill="auto"/>
                  <w:noWrap w:val="0"/>
                  <w:vAlign w:val="center"/>
                </w:tcPr>
                <w:p w14:paraId="518248AD">
                  <w:pPr>
                    <w:adjustRightInd w:val="0"/>
                    <w:snapToGrid w:val="0"/>
                    <w:jc w:val="center"/>
                    <w:rPr>
                      <w:rFonts w:hint="default" w:ascii="Times New Roman" w:hAnsi="Times New Roman" w:eastAsia="仿宋" w:cs="Times New Roman"/>
                      <w:bCs/>
                      <w:color w:val="0000FF"/>
                      <w:kern w:val="2"/>
                      <w:sz w:val="21"/>
                      <w:szCs w:val="21"/>
                      <w:lang w:val="en-US" w:eastAsia="zh-CN" w:bidi="ar-SA"/>
                    </w:rPr>
                  </w:pPr>
                  <w:r>
                    <w:rPr>
                      <w:rFonts w:hint="default" w:ascii="Times New Roman" w:hAnsi="Times New Roman" w:eastAsia="仿宋" w:cs="Times New Roman"/>
                      <w:bCs/>
                      <w:color w:val="0000FF"/>
                      <w:sz w:val="21"/>
                      <w:szCs w:val="21"/>
                    </w:rPr>
                    <w:t>119.</w:t>
                  </w:r>
                  <w:r>
                    <w:rPr>
                      <w:rFonts w:hint="default" w:ascii="Times New Roman" w:hAnsi="Times New Roman" w:eastAsia="仿宋" w:cs="Times New Roman"/>
                      <w:bCs/>
                      <w:color w:val="0000FF"/>
                      <w:sz w:val="21"/>
                      <w:szCs w:val="21"/>
                      <w:lang w:val="en-US" w:eastAsia="zh-CN"/>
                    </w:rPr>
                    <w:t>589</w:t>
                  </w:r>
                  <w:r>
                    <w:rPr>
                      <w:rFonts w:hint="eastAsia" w:eastAsia="仿宋" w:cs="Times New Roman"/>
                      <w:bCs/>
                      <w:color w:val="0000FF"/>
                      <w:sz w:val="21"/>
                      <w:szCs w:val="21"/>
                      <w:lang w:val="en-US" w:eastAsia="zh-CN"/>
                    </w:rPr>
                    <w:t>371</w:t>
                  </w:r>
                </w:p>
              </w:tc>
              <w:tc>
                <w:tcPr>
                  <w:tcW w:w="811" w:type="pct"/>
                  <w:shd w:val="clear" w:color="auto" w:fill="auto"/>
                  <w:noWrap w:val="0"/>
                  <w:vAlign w:val="center"/>
                </w:tcPr>
                <w:p w14:paraId="02B85C6E">
                  <w:pPr>
                    <w:adjustRightInd w:val="0"/>
                    <w:snapToGrid w:val="0"/>
                    <w:jc w:val="center"/>
                    <w:rPr>
                      <w:rFonts w:hint="default" w:ascii="Times New Roman" w:hAnsi="Times New Roman" w:eastAsia="仿宋" w:cs="Times New Roman"/>
                      <w:bCs/>
                      <w:color w:val="0000FF"/>
                      <w:kern w:val="2"/>
                      <w:sz w:val="21"/>
                      <w:szCs w:val="21"/>
                      <w:lang w:val="en-US" w:eastAsia="zh-CN" w:bidi="ar-SA"/>
                    </w:rPr>
                  </w:pPr>
                  <w:r>
                    <w:rPr>
                      <w:rFonts w:hint="default" w:ascii="Times New Roman" w:hAnsi="Times New Roman" w:eastAsia="仿宋" w:cs="Times New Roman"/>
                      <w:bCs/>
                      <w:color w:val="0000FF"/>
                      <w:sz w:val="21"/>
                      <w:szCs w:val="21"/>
                    </w:rPr>
                    <w:t>31.7</w:t>
                  </w:r>
                  <w:r>
                    <w:rPr>
                      <w:rFonts w:hint="default" w:ascii="Times New Roman" w:hAnsi="Times New Roman" w:eastAsia="仿宋" w:cs="Times New Roman"/>
                      <w:bCs/>
                      <w:color w:val="0000FF"/>
                      <w:sz w:val="21"/>
                      <w:szCs w:val="21"/>
                      <w:lang w:val="en-US" w:eastAsia="zh-CN"/>
                    </w:rPr>
                    <w:t>78</w:t>
                  </w:r>
                  <w:r>
                    <w:rPr>
                      <w:rFonts w:hint="eastAsia" w:eastAsia="仿宋" w:cs="Times New Roman"/>
                      <w:bCs/>
                      <w:color w:val="0000FF"/>
                      <w:sz w:val="21"/>
                      <w:szCs w:val="21"/>
                      <w:lang w:val="en-US" w:eastAsia="zh-CN"/>
                    </w:rPr>
                    <w:t>192</w:t>
                  </w:r>
                </w:p>
              </w:tc>
              <w:tc>
                <w:tcPr>
                  <w:tcW w:w="438" w:type="pct"/>
                  <w:shd w:val="clear" w:color="auto" w:fill="auto"/>
                  <w:noWrap w:val="0"/>
                  <w:vAlign w:val="center"/>
                </w:tcPr>
                <w:p w14:paraId="37A1E799">
                  <w:pPr>
                    <w:adjustRightInd w:val="0"/>
                    <w:snapToGrid w:val="0"/>
                    <w:jc w:val="center"/>
                    <w:rPr>
                      <w:rFonts w:hint="default" w:ascii="Times New Roman" w:hAnsi="Times New Roman" w:eastAsia="仿宋" w:cs="Times New Roman"/>
                      <w:bCs/>
                      <w:color w:val="0000FF"/>
                      <w:kern w:val="2"/>
                      <w:sz w:val="21"/>
                      <w:szCs w:val="21"/>
                      <w:lang w:val="en-US" w:eastAsia="zh-CN" w:bidi="ar-SA"/>
                    </w:rPr>
                  </w:pPr>
                  <w:r>
                    <w:rPr>
                      <w:rFonts w:hint="default" w:ascii="Times New Roman" w:hAnsi="Times New Roman" w:eastAsia="仿宋" w:cs="Times New Roman"/>
                      <w:bCs/>
                      <w:color w:val="0000FF"/>
                      <w:sz w:val="21"/>
                      <w:szCs w:val="21"/>
                    </w:rPr>
                    <w:t>6</w:t>
                  </w:r>
                </w:p>
              </w:tc>
              <w:tc>
                <w:tcPr>
                  <w:tcW w:w="359" w:type="pct"/>
                  <w:shd w:val="clear" w:color="auto" w:fill="auto"/>
                  <w:noWrap w:val="0"/>
                  <w:vAlign w:val="center"/>
                </w:tcPr>
                <w:p w14:paraId="229642E5">
                  <w:pPr>
                    <w:adjustRightInd w:val="0"/>
                    <w:snapToGrid w:val="0"/>
                    <w:jc w:val="center"/>
                    <w:rPr>
                      <w:rFonts w:hint="default" w:ascii="Times New Roman" w:hAnsi="Times New Roman" w:eastAsia="仿宋" w:cs="Times New Roman"/>
                      <w:bCs/>
                      <w:color w:val="0000FF"/>
                      <w:kern w:val="2"/>
                      <w:sz w:val="21"/>
                      <w:szCs w:val="21"/>
                      <w:lang w:val="en-US" w:eastAsia="zh-CN" w:bidi="ar-SA"/>
                    </w:rPr>
                  </w:pPr>
                  <w:r>
                    <w:rPr>
                      <w:rFonts w:hint="default" w:ascii="Times New Roman" w:hAnsi="Times New Roman" w:eastAsia="仿宋" w:cs="Times New Roman"/>
                      <w:bCs/>
                      <w:color w:val="0000FF"/>
                      <w:sz w:val="21"/>
                      <w:szCs w:val="21"/>
                    </w:rPr>
                    <w:t>15</w:t>
                  </w:r>
                </w:p>
              </w:tc>
              <w:tc>
                <w:tcPr>
                  <w:tcW w:w="736" w:type="dxa"/>
                  <w:shd w:val="clear" w:color="auto" w:fill="auto"/>
                  <w:noWrap w:val="0"/>
                  <w:vAlign w:val="center"/>
                </w:tcPr>
                <w:p w14:paraId="5C7DC771">
                  <w:pPr>
                    <w:jc w:val="center"/>
                    <w:rPr>
                      <w:rFonts w:hint="default" w:ascii="Times New Roman" w:hAnsi="Times New Roman" w:eastAsia="仿宋" w:cs="Times New Roman"/>
                      <w:bCs/>
                      <w:color w:val="0000FF"/>
                      <w:kern w:val="2"/>
                      <w:sz w:val="21"/>
                      <w:szCs w:val="21"/>
                      <w:lang w:val="en-US" w:eastAsia="zh-CN" w:bidi="ar-SA"/>
                    </w:rPr>
                  </w:pPr>
                  <w:r>
                    <w:rPr>
                      <w:rFonts w:hint="eastAsia" w:eastAsia="仿宋" w:cs="Times New Roman"/>
                      <w:color w:val="0000FF"/>
                      <w:szCs w:val="21"/>
                      <w:highlight w:val="none"/>
                      <w:lang w:val="en-US" w:eastAsia="zh-CN" w:bidi="ar"/>
                    </w:rPr>
                    <w:t>0.37</w:t>
                  </w:r>
                </w:p>
              </w:tc>
              <w:tc>
                <w:tcPr>
                  <w:tcW w:w="515" w:type="pct"/>
                  <w:shd w:val="clear" w:color="auto" w:fill="auto"/>
                  <w:noWrap w:val="0"/>
                  <w:vAlign w:val="center"/>
                </w:tcPr>
                <w:p w14:paraId="0F0C5A63">
                  <w:pPr>
                    <w:adjustRightInd w:val="0"/>
                    <w:snapToGrid w:val="0"/>
                    <w:jc w:val="center"/>
                    <w:rPr>
                      <w:rFonts w:hint="default" w:ascii="Times New Roman" w:hAnsi="Times New Roman" w:eastAsia="仿宋" w:cs="Times New Roman"/>
                      <w:bCs/>
                      <w:color w:val="0000FF"/>
                      <w:kern w:val="2"/>
                      <w:sz w:val="21"/>
                      <w:szCs w:val="21"/>
                      <w:lang w:val="en-US" w:eastAsia="zh-CN" w:bidi="ar-SA"/>
                    </w:rPr>
                  </w:pPr>
                  <w:r>
                    <w:rPr>
                      <w:rFonts w:hint="default" w:ascii="Times New Roman" w:hAnsi="Times New Roman" w:eastAsia="仿宋" w:cs="Times New Roman"/>
                      <w:bCs/>
                      <w:color w:val="0000FF"/>
                      <w:sz w:val="21"/>
                      <w:szCs w:val="21"/>
                      <w:lang w:val="en-US" w:eastAsia="zh-CN"/>
                    </w:rPr>
                    <w:t>25</w:t>
                  </w:r>
                </w:p>
              </w:tc>
              <w:tc>
                <w:tcPr>
                  <w:tcW w:w="963" w:type="dxa"/>
                  <w:shd w:val="clear" w:color="auto" w:fill="auto"/>
                  <w:noWrap w:val="0"/>
                  <w:vAlign w:val="center"/>
                </w:tcPr>
                <w:p w14:paraId="716C4282">
                  <w:pPr>
                    <w:jc w:val="center"/>
                    <w:rPr>
                      <w:rFonts w:hint="default" w:ascii="Times New Roman" w:hAnsi="Times New Roman" w:eastAsia="仿宋" w:cs="Times New Roman"/>
                      <w:bCs/>
                      <w:color w:val="0000FF"/>
                      <w:kern w:val="2"/>
                      <w:sz w:val="21"/>
                      <w:szCs w:val="21"/>
                      <w:lang w:val="en-US" w:eastAsia="zh-CN" w:bidi="ar-SA"/>
                    </w:rPr>
                  </w:pPr>
                  <w:r>
                    <w:rPr>
                      <w:rFonts w:hint="eastAsia" w:eastAsia="仿宋" w:cs="Times New Roman"/>
                      <w:color w:val="0000FF"/>
                      <w:szCs w:val="21"/>
                      <w:highlight w:val="none"/>
                      <w:lang w:val="en-US" w:eastAsia="zh-CN" w:bidi="ar"/>
                    </w:rPr>
                    <w:t>15.51</w:t>
                  </w:r>
                </w:p>
              </w:tc>
              <w:tc>
                <w:tcPr>
                  <w:tcW w:w="425" w:type="pct"/>
                  <w:shd w:val="clear" w:color="auto" w:fill="auto"/>
                  <w:noWrap w:val="0"/>
                  <w:vAlign w:val="center"/>
                </w:tcPr>
                <w:p w14:paraId="7B24BF0B">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仿宋" w:cs="Times New Roman"/>
                      <w:bCs/>
                      <w:color w:val="0000FF"/>
                      <w:kern w:val="2"/>
                      <w:sz w:val="21"/>
                      <w:szCs w:val="21"/>
                      <w:lang w:val="en-US" w:eastAsia="zh-CN" w:bidi="ar-SA"/>
                    </w:rPr>
                  </w:pPr>
                  <w:r>
                    <w:rPr>
                      <w:rFonts w:hint="default" w:ascii="Times New Roman" w:hAnsi="Times New Roman" w:eastAsia="仿宋" w:cs="Times New Roman"/>
                      <w:bCs/>
                      <w:color w:val="0000FF"/>
                      <w:sz w:val="21"/>
                      <w:szCs w:val="21"/>
                      <w:lang w:val="en-US" w:eastAsia="zh-CN"/>
                    </w:rPr>
                    <w:t>一般排放口</w:t>
                  </w:r>
                </w:p>
              </w:tc>
            </w:tr>
          </w:tbl>
          <w:p w14:paraId="0D1BF5F3">
            <w:pPr>
              <w:adjustRightInd w:val="0"/>
              <w:snapToGrid w:val="0"/>
              <w:spacing w:before="120" w:beforeLines="50"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（2）无组织废气</w:t>
            </w:r>
          </w:p>
          <w:p w14:paraId="17551477">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本项目无组织废气</w:t>
            </w:r>
            <w:r>
              <w:rPr>
                <w:rFonts w:hint="default" w:ascii="Times New Roman" w:hAnsi="Times New Roman" w:eastAsia="仿宋" w:cs="Times New Roman"/>
                <w:bCs/>
                <w:color w:val="auto"/>
                <w:sz w:val="24"/>
                <w:lang w:val="en-US" w:eastAsia="zh-CN"/>
              </w:rPr>
              <w:t>产排</w:t>
            </w:r>
            <w:r>
              <w:rPr>
                <w:rFonts w:hint="default" w:ascii="Times New Roman" w:hAnsi="Times New Roman" w:eastAsia="仿宋" w:cs="Times New Roman"/>
                <w:bCs/>
                <w:color w:val="auto"/>
                <w:sz w:val="24"/>
              </w:rPr>
              <w:t>情况见下表：</w:t>
            </w:r>
          </w:p>
          <w:p w14:paraId="2A93ED8B">
            <w:pPr>
              <w:adjustRightInd w:val="0"/>
              <w:snapToGrid w:val="0"/>
              <w:ind w:left="0" w:leftChars="0" w:right="0" w:rightChars="0" w:firstLine="0" w:firstLineChars="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3</w:t>
            </w:r>
            <w:r>
              <w:rPr>
                <w:rFonts w:hint="default" w:ascii="Times New Roman" w:hAnsi="Times New Roman" w:eastAsia="仿宋" w:cs="Times New Roman"/>
                <w:b/>
                <w:bCs/>
                <w:color w:val="auto"/>
                <w:sz w:val="24"/>
              </w:rPr>
              <w:t xml:space="preserve">  本项目无组织废气产生及排放情况表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33"/>
              <w:gridCol w:w="743"/>
              <w:gridCol w:w="1233"/>
              <w:gridCol w:w="999"/>
              <w:gridCol w:w="1177"/>
              <w:gridCol w:w="689"/>
              <w:gridCol w:w="863"/>
              <w:gridCol w:w="853"/>
              <w:gridCol w:w="696"/>
              <w:gridCol w:w="614"/>
            </w:tblGrid>
            <w:tr w14:paraId="6561D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17" w:type="pct"/>
                  <w:noWrap w:val="0"/>
                  <w:vAlign w:val="center"/>
                </w:tcPr>
                <w:p w14:paraId="246C9A05">
                  <w:pPr>
                    <w:snapToGrid w:val="0"/>
                    <w:ind w:left="-105" w:leftChars="-50" w:right="-105" w:rightChars="-50"/>
                    <w:jc w:val="center"/>
                    <w:rPr>
                      <w:rFonts w:hint="default" w:ascii="Times New Roman" w:hAnsi="Times New Roman" w:eastAsia="仿宋" w:cs="Times New Roman"/>
                      <w:b/>
                      <w:color w:val="0000FF"/>
                      <w:spacing w:val="-11"/>
                      <w:szCs w:val="21"/>
                    </w:rPr>
                  </w:pPr>
                  <w:r>
                    <w:rPr>
                      <w:rFonts w:hint="default" w:ascii="Times New Roman" w:hAnsi="Times New Roman" w:eastAsia="仿宋" w:cs="Times New Roman"/>
                      <w:b/>
                      <w:color w:val="0000FF"/>
                      <w:spacing w:val="-11"/>
                      <w:szCs w:val="21"/>
                    </w:rPr>
                    <w:t>面源</w:t>
                  </w:r>
                </w:p>
                <w:p w14:paraId="56786FD6">
                  <w:pPr>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仿宋" w:cs="Times New Roman"/>
                      <w:b/>
                      <w:color w:val="0000FF"/>
                      <w:spacing w:val="-11"/>
                      <w:szCs w:val="21"/>
                    </w:rPr>
                  </w:pPr>
                  <w:r>
                    <w:rPr>
                      <w:rFonts w:hint="default" w:ascii="Times New Roman" w:hAnsi="Times New Roman" w:eastAsia="仿宋" w:cs="Times New Roman"/>
                      <w:b/>
                      <w:color w:val="0000FF"/>
                      <w:spacing w:val="-11"/>
                      <w:szCs w:val="21"/>
                    </w:rPr>
                    <w:t>名称</w:t>
                  </w:r>
                </w:p>
              </w:tc>
              <w:tc>
                <w:tcPr>
                  <w:tcW w:w="442" w:type="pct"/>
                  <w:noWrap w:val="0"/>
                  <w:vAlign w:val="center"/>
                </w:tcPr>
                <w:p w14:paraId="2D1006D3">
                  <w:pPr>
                    <w:snapToGrid w:val="0"/>
                    <w:jc w:val="center"/>
                    <w:rPr>
                      <w:rFonts w:hint="default" w:ascii="Times New Roman" w:hAnsi="Times New Roman" w:eastAsia="仿宋" w:cs="Times New Roman"/>
                      <w:b/>
                      <w:color w:val="0000FF"/>
                      <w:spacing w:val="-11"/>
                      <w:szCs w:val="21"/>
                    </w:rPr>
                  </w:pPr>
                  <w:r>
                    <w:rPr>
                      <w:rFonts w:hint="default" w:ascii="Times New Roman" w:hAnsi="Times New Roman" w:eastAsia="仿宋" w:cs="Times New Roman"/>
                      <w:b/>
                      <w:color w:val="0000FF"/>
                      <w:spacing w:val="-11"/>
                      <w:szCs w:val="21"/>
                    </w:rPr>
                    <w:t>污染源名称</w:t>
                  </w:r>
                </w:p>
              </w:tc>
              <w:tc>
                <w:tcPr>
                  <w:tcW w:w="733" w:type="pct"/>
                  <w:noWrap w:val="0"/>
                  <w:vAlign w:val="center"/>
                </w:tcPr>
                <w:p w14:paraId="3298AE76">
                  <w:pPr>
                    <w:snapToGrid w:val="0"/>
                    <w:jc w:val="center"/>
                    <w:rPr>
                      <w:rFonts w:hint="default" w:ascii="Times New Roman" w:hAnsi="Times New Roman" w:eastAsia="仿宋" w:cs="Times New Roman"/>
                      <w:b/>
                      <w:color w:val="0000FF"/>
                      <w:spacing w:val="-11"/>
                      <w:szCs w:val="21"/>
                    </w:rPr>
                  </w:pPr>
                  <w:r>
                    <w:rPr>
                      <w:rFonts w:hint="default" w:ascii="Times New Roman" w:hAnsi="Times New Roman" w:eastAsia="仿宋" w:cs="Times New Roman"/>
                      <w:b/>
                      <w:color w:val="0000FF"/>
                      <w:spacing w:val="-11"/>
                      <w:szCs w:val="21"/>
                    </w:rPr>
                    <w:t>污染物名称</w:t>
                  </w:r>
                </w:p>
              </w:tc>
              <w:tc>
                <w:tcPr>
                  <w:tcW w:w="594" w:type="pct"/>
                  <w:noWrap w:val="0"/>
                  <w:vAlign w:val="center"/>
                </w:tcPr>
                <w:p w14:paraId="02B9CDE1">
                  <w:pPr>
                    <w:snapToGrid w:val="0"/>
                    <w:jc w:val="center"/>
                    <w:rPr>
                      <w:rFonts w:hint="default" w:ascii="Times New Roman" w:hAnsi="Times New Roman" w:eastAsia="仿宋" w:cs="Times New Roman"/>
                      <w:b/>
                      <w:color w:val="0000FF"/>
                      <w:spacing w:val="-11"/>
                      <w:szCs w:val="21"/>
                    </w:rPr>
                  </w:pPr>
                  <w:r>
                    <w:rPr>
                      <w:rFonts w:hint="default" w:ascii="Times New Roman" w:hAnsi="Times New Roman" w:eastAsia="仿宋" w:cs="Times New Roman"/>
                      <w:b/>
                      <w:color w:val="0000FF"/>
                      <w:spacing w:val="-11"/>
                      <w:szCs w:val="21"/>
                    </w:rPr>
                    <w:t>污染物产生量t/a</w:t>
                  </w:r>
                </w:p>
              </w:tc>
              <w:tc>
                <w:tcPr>
                  <w:tcW w:w="700" w:type="pct"/>
                  <w:noWrap w:val="0"/>
                  <w:vAlign w:val="center"/>
                </w:tcPr>
                <w:p w14:paraId="6E70F861">
                  <w:pPr>
                    <w:snapToGrid w:val="0"/>
                    <w:jc w:val="center"/>
                    <w:rPr>
                      <w:rFonts w:hint="default" w:ascii="Times New Roman" w:hAnsi="Times New Roman" w:eastAsia="仿宋" w:cs="Times New Roman"/>
                      <w:b/>
                      <w:color w:val="0000FF"/>
                      <w:spacing w:val="-11"/>
                      <w:szCs w:val="21"/>
                    </w:rPr>
                  </w:pPr>
                  <w:r>
                    <w:rPr>
                      <w:rFonts w:hint="default" w:ascii="Times New Roman" w:hAnsi="Times New Roman" w:eastAsia="仿宋" w:cs="Times New Roman"/>
                      <w:b/>
                      <w:bCs/>
                      <w:color w:val="0000FF"/>
                      <w:spacing w:val="-11"/>
                      <w:szCs w:val="21"/>
                    </w:rPr>
                    <w:t>污染物产生速率kg/h</w:t>
                  </w:r>
                </w:p>
              </w:tc>
              <w:tc>
                <w:tcPr>
                  <w:tcW w:w="410" w:type="pct"/>
                  <w:noWrap w:val="0"/>
                  <w:vAlign w:val="center"/>
                </w:tcPr>
                <w:p w14:paraId="6AB5FB0E">
                  <w:pPr>
                    <w:snapToGrid w:val="0"/>
                    <w:jc w:val="center"/>
                    <w:rPr>
                      <w:rFonts w:hint="default" w:ascii="Times New Roman" w:hAnsi="Times New Roman" w:eastAsia="仿宋" w:cs="Times New Roman"/>
                      <w:b/>
                      <w:color w:val="0000FF"/>
                      <w:spacing w:val="-11"/>
                      <w:szCs w:val="21"/>
                    </w:rPr>
                  </w:pPr>
                  <w:r>
                    <w:rPr>
                      <w:rFonts w:hint="default" w:ascii="Times New Roman" w:hAnsi="Times New Roman" w:eastAsia="仿宋" w:cs="Times New Roman"/>
                      <w:b/>
                      <w:color w:val="0000FF"/>
                      <w:spacing w:val="-11"/>
                      <w:szCs w:val="21"/>
                    </w:rPr>
                    <w:t>治理</w:t>
                  </w:r>
                </w:p>
                <w:p w14:paraId="731FE01E">
                  <w:pPr>
                    <w:snapToGrid w:val="0"/>
                    <w:jc w:val="center"/>
                    <w:rPr>
                      <w:rFonts w:hint="default" w:ascii="Times New Roman" w:hAnsi="Times New Roman" w:eastAsia="仿宋" w:cs="Times New Roman"/>
                      <w:b/>
                      <w:color w:val="0000FF"/>
                      <w:spacing w:val="-11"/>
                      <w:szCs w:val="21"/>
                    </w:rPr>
                  </w:pPr>
                  <w:r>
                    <w:rPr>
                      <w:rFonts w:hint="default" w:ascii="Times New Roman" w:hAnsi="Times New Roman" w:eastAsia="仿宋" w:cs="Times New Roman"/>
                      <w:b/>
                      <w:color w:val="0000FF"/>
                      <w:spacing w:val="-11"/>
                      <w:szCs w:val="21"/>
                    </w:rPr>
                    <w:t>措施</w:t>
                  </w:r>
                </w:p>
              </w:tc>
              <w:tc>
                <w:tcPr>
                  <w:tcW w:w="513" w:type="pct"/>
                  <w:noWrap w:val="0"/>
                  <w:vAlign w:val="center"/>
                </w:tcPr>
                <w:p w14:paraId="4756E4F3">
                  <w:pPr>
                    <w:snapToGrid w:val="0"/>
                    <w:jc w:val="center"/>
                    <w:rPr>
                      <w:rFonts w:hint="default" w:ascii="Times New Roman" w:hAnsi="Times New Roman" w:eastAsia="仿宋" w:cs="Times New Roman"/>
                      <w:b/>
                      <w:color w:val="0000FF"/>
                      <w:spacing w:val="-11"/>
                      <w:szCs w:val="21"/>
                    </w:rPr>
                  </w:pPr>
                  <w:r>
                    <w:rPr>
                      <w:rFonts w:hint="default" w:ascii="Times New Roman" w:hAnsi="Times New Roman" w:eastAsia="仿宋" w:cs="Times New Roman"/>
                      <w:b/>
                      <w:color w:val="0000FF"/>
                      <w:spacing w:val="-11"/>
                      <w:szCs w:val="21"/>
                    </w:rPr>
                    <w:t>污染物排放量t/a</w:t>
                  </w:r>
                </w:p>
              </w:tc>
              <w:tc>
                <w:tcPr>
                  <w:tcW w:w="507" w:type="pct"/>
                  <w:noWrap w:val="0"/>
                  <w:vAlign w:val="center"/>
                </w:tcPr>
                <w:p w14:paraId="73FE2749">
                  <w:pPr>
                    <w:snapToGrid w:val="0"/>
                    <w:jc w:val="center"/>
                    <w:rPr>
                      <w:rFonts w:hint="default" w:ascii="Times New Roman" w:hAnsi="Times New Roman" w:eastAsia="仿宋" w:cs="Times New Roman"/>
                      <w:b/>
                      <w:color w:val="0000FF"/>
                      <w:spacing w:val="-11"/>
                      <w:szCs w:val="21"/>
                    </w:rPr>
                  </w:pPr>
                  <w:r>
                    <w:rPr>
                      <w:rFonts w:hint="default" w:ascii="Times New Roman" w:hAnsi="Times New Roman" w:eastAsia="仿宋" w:cs="Times New Roman"/>
                      <w:b/>
                      <w:color w:val="0000FF"/>
                      <w:spacing w:val="-11"/>
                      <w:szCs w:val="21"/>
                    </w:rPr>
                    <w:t>排放速率</w:t>
                  </w:r>
                  <w:r>
                    <w:rPr>
                      <w:rFonts w:hint="default" w:ascii="Times New Roman" w:hAnsi="Times New Roman" w:eastAsia="仿宋" w:cs="Times New Roman"/>
                      <w:b/>
                      <w:bCs/>
                      <w:color w:val="0000FF"/>
                      <w:spacing w:val="-11"/>
                      <w:szCs w:val="21"/>
                    </w:rPr>
                    <w:t>kg/h</w:t>
                  </w:r>
                </w:p>
              </w:tc>
              <w:tc>
                <w:tcPr>
                  <w:tcW w:w="414" w:type="pct"/>
                  <w:noWrap w:val="0"/>
                  <w:vAlign w:val="center"/>
                </w:tcPr>
                <w:p w14:paraId="6A9AA5E0">
                  <w:pPr>
                    <w:snapToGrid w:val="0"/>
                    <w:jc w:val="center"/>
                    <w:rPr>
                      <w:rFonts w:hint="default" w:ascii="Times New Roman" w:hAnsi="Times New Roman" w:eastAsia="仿宋" w:cs="Times New Roman"/>
                      <w:b/>
                      <w:color w:val="0000FF"/>
                      <w:spacing w:val="-11"/>
                      <w:szCs w:val="21"/>
                    </w:rPr>
                  </w:pPr>
                  <w:r>
                    <w:rPr>
                      <w:rFonts w:hint="default" w:ascii="Times New Roman" w:hAnsi="Times New Roman" w:eastAsia="仿宋" w:cs="Times New Roman"/>
                      <w:b/>
                      <w:color w:val="0000FF"/>
                      <w:spacing w:val="-11"/>
                      <w:szCs w:val="21"/>
                    </w:rPr>
                    <w:t>面源面积m</w:t>
                  </w:r>
                  <w:r>
                    <w:rPr>
                      <w:rFonts w:hint="default" w:ascii="Times New Roman" w:hAnsi="Times New Roman" w:eastAsia="仿宋" w:cs="Times New Roman"/>
                      <w:b/>
                      <w:color w:val="0000FF"/>
                      <w:spacing w:val="-11"/>
                      <w:szCs w:val="21"/>
                      <w:vertAlign w:val="superscript"/>
                    </w:rPr>
                    <w:t>2</w:t>
                  </w:r>
                </w:p>
              </w:tc>
              <w:tc>
                <w:tcPr>
                  <w:tcW w:w="365" w:type="pct"/>
                  <w:noWrap w:val="0"/>
                  <w:vAlign w:val="center"/>
                </w:tcPr>
                <w:p w14:paraId="04EB6CF2">
                  <w:pPr>
                    <w:snapToGrid w:val="0"/>
                    <w:jc w:val="center"/>
                    <w:rPr>
                      <w:rFonts w:hint="default" w:ascii="Times New Roman" w:hAnsi="Times New Roman" w:eastAsia="仿宋" w:cs="Times New Roman"/>
                      <w:b/>
                      <w:color w:val="0000FF"/>
                      <w:spacing w:val="-11"/>
                      <w:szCs w:val="21"/>
                    </w:rPr>
                  </w:pPr>
                  <w:r>
                    <w:rPr>
                      <w:rFonts w:hint="default" w:ascii="Times New Roman" w:hAnsi="Times New Roman" w:eastAsia="仿宋" w:cs="Times New Roman"/>
                      <w:b/>
                      <w:color w:val="0000FF"/>
                      <w:spacing w:val="-11"/>
                      <w:szCs w:val="21"/>
                    </w:rPr>
                    <w:t>面源高度m</w:t>
                  </w:r>
                </w:p>
              </w:tc>
            </w:tr>
            <w:tr w14:paraId="55FFC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trPr>
              <w:tc>
                <w:tcPr>
                  <w:tcW w:w="317" w:type="pct"/>
                  <w:vMerge w:val="restart"/>
                  <w:noWrap w:val="0"/>
                  <w:vAlign w:val="center"/>
                </w:tcPr>
                <w:p w14:paraId="2A259596">
                  <w:pPr>
                    <w:jc w:val="center"/>
                    <w:rPr>
                      <w:rFonts w:hint="default" w:ascii="Times New Roman" w:hAnsi="Times New Roman" w:eastAsia="仿宋" w:cs="Times New Roman"/>
                      <w:color w:val="0000FF"/>
                      <w:spacing w:val="-11"/>
                      <w:szCs w:val="21"/>
                      <w:lang w:val="en-US" w:eastAsia="zh-CN"/>
                    </w:rPr>
                  </w:pPr>
                  <w:r>
                    <w:rPr>
                      <w:rFonts w:hint="default" w:ascii="Times New Roman" w:hAnsi="Times New Roman" w:eastAsia="仿宋" w:cs="Times New Roman"/>
                      <w:color w:val="0000FF"/>
                      <w:spacing w:val="-11"/>
                      <w:szCs w:val="21"/>
                      <w:lang w:val="en-US" w:eastAsia="zh-CN"/>
                    </w:rPr>
                    <w:t>D6车间</w:t>
                  </w:r>
                </w:p>
              </w:tc>
              <w:tc>
                <w:tcPr>
                  <w:tcW w:w="442" w:type="pct"/>
                  <w:vMerge w:val="restart"/>
                  <w:noWrap w:val="0"/>
                  <w:vAlign w:val="center"/>
                </w:tcPr>
                <w:p w14:paraId="6044F92A">
                  <w:pPr>
                    <w:jc w:val="center"/>
                    <w:rPr>
                      <w:rFonts w:hint="default" w:ascii="Times New Roman" w:hAnsi="Times New Roman" w:eastAsia="仿宋" w:cs="Times New Roman"/>
                      <w:color w:val="0000FF"/>
                      <w:spacing w:val="-11"/>
                      <w:szCs w:val="21"/>
                    </w:rPr>
                  </w:pPr>
                  <w:r>
                    <w:rPr>
                      <w:rFonts w:hint="default" w:ascii="Times New Roman" w:hAnsi="Times New Roman" w:eastAsia="仿宋" w:cs="Times New Roman"/>
                      <w:color w:val="0000FF"/>
                      <w:spacing w:val="-11"/>
                      <w:szCs w:val="21"/>
                    </w:rPr>
                    <w:t>未</w:t>
                  </w:r>
                  <w:r>
                    <w:rPr>
                      <w:rFonts w:hint="default" w:ascii="Times New Roman" w:hAnsi="Times New Roman" w:eastAsia="仿宋" w:cs="Times New Roman"/>
                      <w:color w:val="0000FF"/>
                      <w:spacing w:val="-11"/>
                      <w:szCs w:val="21"/>
                      <w:lang w:val="en-US" w:eastAsia="zh-CN"/>
                    </w:rPr>
                    <w:t>捕集</w:t>
                  </w:r>
                  <w:r>
                    <w:rPr>
                      <w:rFonts w:hint="default" w:ascii="Times New Roman" w:hAnsi="Times New Roman" w:eastAsia="仿宋" w:cs="Times New Roman"/>
                      <w:color w:val="0000FF"/>
                      <w:spacing w:val="-11"/>
                      <w:szCs w:val="21"/>
                    </w:rPr>
                    <w:t>废气</w:t>
                  </w:r>
                </w:p>
              </w:tc>
              <w:tc>
                <w:tcPr>
                  <w:tcW w:w="733" w:type="pct"/>
                  <w:noWrap w:val="0"/>
                  <w:vAlign w:val="center"/>
                </w:tcPr>
                <w:p w14:paraId="4A898736">
                  <w:pPr>
                    <w:jc w:val="center"/>
                    <w:rPr>
                      <w:rFonts w:hint="default" w:ascii="Times New Roman" w:hAnsi="Times New Roman" w:eastAsia="仿宋" w:cs="Times New Roman"/>
                      <w:color w:val="0000FF"/>
                      <w:spacing w:val="-11"/>
                      <w:szCs w:val="21"/>
                    </w:rPr>
                  </w:pPr>
                  <w:r>
                    <w:rPr>
                      <w:rFonts w:hint="default" w:ascii="Times New Roman" w:hAnsi="Times New Roman" w:eastAsia="仿宋" w:cs="Times New Roman"/>
                      <w:bCs/>
                      <w:color w:val="0000FF"/>
                      <w:szCs w:val="21"/>
                      <w:lang w:val="en-US" w:eastAsia="zh-CN"/>
                    </w:rPr>
                    <w:t>非甲烷总烃</w:t>
                  </w:r>
                </w:p>
              </w:tc>
              <w:tc>
                <w:tcPr>
                  <w:tcW w:w="999" w:type="dxa"/>
                  <w:noWrap w:val="0"/>
                  <w:vAlign w:val="center"/>
                </w:tcPr>
                <w:p w14:paraId="7FA854F8">
                  <w:pPr>
                    <w:jc w:val="center"/>
                    <w:rPr>
                      <w:rFonts w:hint="default" w:ascii="Times New Roman" w:hAnsi="Times New Roman" w:eastAsia="仿宋" w:cs="Times New Roman"/>
                      <w:i w:val="0"/>
                      <w:iCs w:val="0"/>
                      <w:color w:val="0000FF"/>
                      <w:kern w:val="0"/>
                      <w:sz w:val="21"/>
                      <w:szCs w:val="21"/>
                      <w:u w:val="none"/>
                      <w:lang w:val="en-US" w:eastAsia="zh-CN" w:bidi="ar"/>
                    </w:rPr>
                  </w:pPr>
                  <w:r>
                    <w:rPr>
                      <w:rFonts w:hint="default" w:ascii="Times New Roman" w:hAnsi="Times New Roman" w:eastAsia="仿宋" w:cs="Times New Roman"/>
                      <w:bCs/>
                      <w:color w:val="0000FF"/>
                      <w:szCs w:val="21"/>
                      <w:lang w:val="en-US" w:eastAsia="zh-CN"/>
                    </w:rPr>
                    <w:t>0.031</w:t>
                  </w:r>
                </w:p>
              </w:tc>
              <w:tc>
                <w:tcPr>
                  <w:tcW w:w="1177" w:type="dxa"/>
                  <w:noWrap w:val="0"/>
                  <w:vAlign w:val="center"/>
                </w:tcPr>
                <w:p w14:paraId="0A1EF81E">
                  <w:pPr>
                    <w:jc w:val="center"/>
                    <w:rPr>
                      <w:rFonts w:hint="default" w:ascii="Times New Roman" w:hAnsi="Times New Roman" w:eastAsia="仿宋" w:cs="Times New Roman"/>
                      <w:color w:val="0000FF"/>
                      <w:spacing w:val="-11"/>
                      <w:szCs w:val="21"/>
                    </w:rPr>
                  </w:pPr>
                  <w:r>
                    <w:rPr>
                      <w:rFonts w:hint="default" w:ascii="Times New Roman" w:hAnsi="Times New Roman" w:eastAsia="仿宋" w:cs="Times New Roman"/>
                      <w:bCs/>
                      <w:color w:val="0000FF"/>
                      <w:szCs w:val="21"/>
                      <w:lang w:val="en-US" w:eastAsia="zh-CN"/>
                    </w:rPr>
                    <w:t>0.004</w:t>
                  </w:r>
                </w:p>
              </w:tc>
              <w:tc>
                <w:tcPr>
                  <w:tcW w:w="410" w:type="pct"/>
                  <w:noWrap w:val="0"/>
                  <w:vAlign w:val="center"/>
                </w:tcPr>
                <w:p w14:paraId="05D0C568">
                  <w:pPr>
                    <w:snapToGrid w:val="0"/>
                    <w:jc w:val="center"/>
                    <w:rPr>
                      <w:rFonts w:hint="default" w:ascii="Times New Roman" w:hAnsi="Times New Roman" w:eastAsia="仿宋" w:cs="Times New Roman"/>
                      <w:color w:val="0000FF"/>
                      <w:spacing w:val="-11"/>
                      <w:szCs w:val="21"/>
                    </w:rPr>
                  </w:pPr>
                  <w:r>
                    <w:rPr>
                      <w:rFonts w:hint="default" w:ascii="Times New Roman" w:hAnsi="Times New Roman" w:eastAsia="仿宋" w:cs="Times New Roman"/>
                      <w:color w:val="0000FF"/>
                      <w:spacing w:val="-11"/>
                      <w:szCs w:val="21"/>
                    </w:rPr>
                    <w:t>/</w:t>
                  </w:r>
                </w:p>
              </w:tc>
              <w:tc>
                <w:tcPr>
                  <w:tcW w:w="863" w:type="dxa"/>
                  <w:noWrap w:val="0"/>
                  <w:vAlign w:val="center"/>
                </w:tcPr>
                <w:p w14:paraId="5919EA15">
                  <w:pPr>
                    <w:jc w:val="center"/>
                    <w:rPr>
                      <w:rFonts w:hint="default" w:ascii="Times New Roman" w:hAnsi="Times New Roman" w:eastAsia="仿宋" w:cs="Times New Roman"/>
                      <w:color w:val="0000FF"/>
                      <w:spacing w:val="-11"/>
                      <w:szCs w:val="21"/>
                    </w:rPr>
                  </w:pPr>
                  <w:r>
                    <w:rPr>
                      <w:rFonts w:hint="default" w:ascii="Times New Roman" w:hAnsi="Times New Roman" w:eastAsia="仿宋" w:cs="Times New Roman"/>
                      <w:bCs/>
                      <w:color w:val="0000FF"/>
                      <w:szCs w:val="21"/>
                      <w:lang w:val="en-US" w:eastAsia="zh-CN"/>
                    </w:rPr>
                    <w:t>0.031</w:t>
                  </w:r>
                </w:p>
              </w:tc>
              <w:tc>
                <w:tcPr>
                  <w:tcW w:w="853" w:type="dxa"/>
                  <w:noWrap w:val="0"/>
                  <w:vAlign w:val="center"/>
                </w:tcPr>
                <w:p w14:paraId="3A149F34">
                  <w:pPr>
                    <w:jc w:val="center"/>
                    <w:rPr>
                      <w:rFonts w:hint="default" w:ascii="Times New Roman" w:hAnsi="Times New Roman" w:eastAsia="仿宋" w:cs="Times New Roman"/>
                      <w:color w:val="0000FF"/>
                      <w:spacing w:val="-11"/>
                      <w:szCs w:val="21"/>
                    </w:rPr>
                  </w:pPr>
                  <w:r>
                    <w:rPr>
                      <w:rFonts w:hint="default" w:ascii="Times New Roman" w:hAnsi="Times New Roman" w:eastAsia="仿宋" w:cs="Times New Roman"/>
                      <w:bCs/>
                      <w:color w:val="0000FF"/>
                      <w:szCs w:val="21"/>
                      <w:lang w:val="en-US" w:eastAsia="zh-CN"/>
                    </w:rPr>
                    <w:t>0.004</w:t>
                  </w:r>
                </w:p>
              </w:tc>
              <w:tc>
                <w:tcPr>
                  <w:tcW w:w="414" w:type="pct"/>
                  <w:vMerge w:val="restart"/>
                  <w:noWrap w:val="0"/>
                  <w:vAlign w:val="center"/>
                </w:tcPr>
                <w:p w14:paraId="6FE619B5">
                  <w:pPr>
                    <w:jc w:val="center"/>
                    <w:rPr>
                      <w:rFonts w:hint="default" w:ascii="Times New Roman" w:hAnsi="Times New Roman" w:eastAsia="仿宋" w:cs="Times New Roman"/>
                      <w:color w:val="0000FF"/>
                      <w:spacing w:val="-11"/>
                      <w:szCs w:val="21"/>
                      <w:lang w:val="en-US"/>
                    </w:rPr>
                  </w:pPr>
                  <w:r>
                    <w:rPr>
                      <w:rFonts w:hint="eastAsia" w:eastAsia="仿宋" w:cs="Times New Roman"/>
                      <w:color w:val="0000FF"/>
                      <w:spacing w:val="-11"/>
                      <w:sz w:val="21"/>
                      <w:szCs w:val="21"/>
                      <w:lang w:val="en-US" w:eastAsia="zh-CN"/>
                    </w:rPr>
                    <w:t>48</w:t>
                  </w:r>
                  <w:r>
                    <w:rPr>
                      <w:rFonts w:hint="default" w:ascii="Times New Roman" w:hAnsi="Times New Roman" w:eastAsia="仿宋" w:cs="Times New Roman"/>
                      <w:color w:val="0000FF"/>
                      <w:spacing w:val="-11"/>
                      <w:sz w:val="21"/>
                      <w:szCs w:val="21"/>
                      <w:lang w:val="en-US" w:eastAsia="zh-CN"/>
                    </w:rPr>
                    <w:t>0</w:t>
                  </w:r>
                </w:p>
              </w:tc>
              <w:tc>
                <w:tcPr>
                  <w:tcW w:w="365" w:type="pct"/>
                  <w:vMerge w:val="restart"/>
                  <w:noWrap w:val="0"/>
                  <w:vAlign w:val="center"/>
                </w:tcPr>
                <w:p w14:paraId="281FF77A">
                  <w:pPr>
                    <w:jc w:val="center"/>
                    <w:rPr>
                      <w:rFonts w:hint="default" w:ascii="Times New Roman" w:hAnsi="Times New Roman" w:eastAsia="仿宋" w:cs="Times New Roman"/>
                      <w:color w:val="0000FF"/>
                      <w:spacing w:val="-11"/>
                      <w:szCs w:val="21"/>
                      <w:lang w:val="en-US"/>
                    </w:rPr>
                  </w:pPr>
                  <w:r>
                    <w:rPr>
                      <w:rFonts w:hint="default" w:ascii="Times New Roman" w:hAnsi="Times New Roman" w:eastAsia="仿宋" w:cs="Times New Roman"/>
                      <w:color w:val="0000FF"/>
                      <w:spacing w:val="-11"/>
                      <w:sz w:val="21"/>
                      <w:szCs w:val="21"/>
                      <w:lang w:val="en-US" w:eastAsia="zh-CN"/>
                    </w:rPr>
                    <w:t>10</w:t>
                  </w:r>
                </w:p>
              </w:tc>
            </w:tr>
            <w:tr w14:paraId="29353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trPr>
              <w:tc>
                <w:tcPr>
                  <w:tcW w:w="317" w:type="pct"/>
                  <w:vMerge w:val="continue"/>
                  <w:noWrap w:val="0"/>
                  <w:vAlign w:val="center"/>
                </w:tcPr>
                <w:p w14:paraId="2DC19FDE">
                  <w:pPr>
                    <w:jc w:val="center"/>
                    <w:rPr>
                      <w:rFonts w:hint="default" w:ascii="Times New Roman" w:hAnsi="Times New Roman" w:eastAsia="仿宋" w:cs="Times New Roman"/>
                      <w:color w:val="0000FF"/>
                      <w:spacing w:val="-11"/>
                      <w:szCs w:val="21"/>
                      <w:lang w:val="en-US" w:eastAsia="zh-CN"/>
                    </w:rPr>
                  </w:pPr>
                </w:p>
              </w:tc>
              <w:tc>
                <w:tcPr>
                  <w:tcW w:w="442" w:type="pct"/>
                  <w:vMerge w:val="continue"/>
                  <w:noWrap w:val="0"/>
                  <w:vAlign w:val="center"/>
                </w:tcPr>
                <w:p w14:paraId="27598BA2">
                  <w:pPr>
                    <w:jc w:val="center"/>
                    <w:rPr>
                      <w:rFonts w:hint="default" w:ascii="Times New Roman" w:hAnsi="Times New Roman" w:eastAsia="仿宋" w:cs="Times New Roman"/>
                      <w:color w:val="0000FF"/>
                      <w:spacing w:val="-11"/>
                      <w:szCs w:val="21"/>
                    </w:rPr>
                  </w:pPr>
                </w:p>
              </w:tc>
              <w:tc>
                <w:tcPr>
                  <w:tcW w:w="733" w:type="pct"/>
                  <w:noWrap w:val="0"/>
                  <w:vAlign w:val="center"/>
                </w:tcPr>
                <w:p w14:paraId="3CA0513C">
                  <w:pPr>
                    <w:jc w:val="center"/>
                    <w:rPr>
                      <w:rFonts w:hint="default" w:ascii="Times New Roman" w:hAnsi="Times New Roman" w:eastAsia="仿宋" w:cs="Times New Roman"/>
                      <w:color w:val="0000FF"/>
                      <w:spacing w:val="-11"/>
                      <w:szCs w:val="21"/>
                    </w:rPr>
                  </w:pPr>
                  <w:r>
                    <w:rPr>
                      <w:rFonts w:hint="default" w:ascii="Times New Roman" w:hAnsi="Times New Roman" w:eastAsia="仿宋" w:cs="Times New Roman"/>
                      <w:bCs/>
                      <w:color w:val="0000FF"/>
                      <w:szCs w:val="21"/>
                      <w:lang w:val="en-US" w:eastAsia="zh-CN"/>
                    </w:rPr>
                    <w:t>颗粒物</w:t>
                  </w:r>
                </w:p>
              </w:tc>
              <w:tc>
                <w:tcPr>
                  <w:tcW w:w="999" w:type="dxa"/>
                  <w:noWrap w:val="0"/>
                  <w:vAlign w:val="center"/>
                </w:tcPr>
                <w:p w14:paraId="6981B547">
                  <w:pPr>
                    <w:jc w:val="center"/>
                    <w:rPr>
                      <w:rFonts w:hint="default" w:ascii="Times New Roman" w:hAnsi="Times New Roman" w:eastAsia="仿宋" w:cs="Times New Roman"/>
                      <w:i w:val="0"/>
                      <w:iCs w:val="0"/>
                      <w:color w:val="0000FF"/>
                      <w:kern w:val="0"/>
                      <w:sz w:val="21"/>
                      <w:szCs w:val="21"/>
                      <w:u w:val="none"/>
                      <w:lang w:val="en-US" w:eastAsia="zh-CN" w:bidi="ar"/>
                    </w:rPr>
                  </w:pPr>
                  <w:r>
                    <w:rPr>
                      <w:rFonts w:hint="default" w:ascii="Times New Roman" w:hAnsi="Times New Roman" w:eastAsia="仿宋" w:cs="Times New Roman"/>
                      <w:bCs/>
                      <w:color w:val="0000FF"/>
                      <w:szCs w:val="21"/>
                      <w:lang w:val="en-US" w:eastAsia="zh-CN"/>
                    </w:rPr>
                    <w:t>0.00</w:t>
                  </w:r>
                  <w:r>
                    <w:rPr>
                      <w:rFonts w:hint="eastAsia" w:eastAsia="仿宋" w:cs="Times New Roman"/>
                      <w:bCs/>
                      <w:color w:val="0000FF"/>
                      <w:szCs w:val="21"/>
                      <w:lang w:val="en-US" w:eastAsia="zh-CN"/>
                    </w:rPr>
                    <w:t>8</w:t>
                  </w:r>
                </w:p>
              </w:tc>
              <w:tc>
                <w:tcPr>
                  <w:tcW w:w="1177" w:type="dxa"/>
                  <w:noWrap w:val="0"/>
                  <w:vAlign w:val="center"/>
                </w:tcPr>
                <w:p w14:paraId="6868A6D2">
                  <w:pPr>
                    <w:jc w:val="center"/>
                    <w:rPr>
                      <w:rFonts w:hint="default" w:ascii="Times New Roman" w:hAnsi="Times New Roman" w:eastAsia="仿宋" w:cs="Times New Roman"/>
                      <w:bCs/>
                      <w:color w:val="0000FF"/>
                      <w:szCs w:val="21"/>
                      <w:lang w:val="en-US" w:eastAsia="zh-CN"/>
                    </w:rPr>
                  </w:pPr>
                  <w:r>
                    <w:rPr>
                      <w:rFonts w:hint="default" w:ascii="Times New Roman" w:hAnsi="Times New Roman" w:eastAsia="仿宋" w:cs="Times New Roman"/>
                      <w:i w:val="0"/>
                      <w:iCs w:val="0"/>
                      <w:color w:val="0000FF"/>
                      <w:kern w:val="0"/>
                      <w:sz w:val="21"/>
                      <w:szCs w:val="21"/>
                      <w:u w:val="none"/>
                      <w:lang w:val="en-US" w:eastAsia="zh-CN" w:bidi="ar"/>
                    </w:rPr>
                    <w:t>0.00</w:t>
                  </w:r>
                  <w:r>
                    <w:rPr>
                      <w:rFonts w:hint="eastAsia" w:eastAsia="仿宋" w:cs="Times New Roman"/>
                      <w:i w:val="0"/>
                      <w:iCs w:val="0"/>
                      <w:color w:val="0000FF"/>
                      <w:kern w:val="0"/>
                      <w:sz w:val="21"/>
                      <w:szCs w:val="21"/>
                      <w:u w:val="none"/>
                      <w:lang w:val="en-US" w:eastAsia="zh-CN" w:bidi="ar"/>
                    </w:rPr>
                    <w:t>1</w:t>
                  </w:r>
                </w:p>
              </w:tc>
              <w:tc>
                <w:tcPr>
                  <w:tcW w:w="410" w:type="pct"/>
                  <w:noWrap w:val="0"/>
                  <w:vAlign w:val="center"/>
                </w:tcPr>
                <w:p w14:paraId="159C30BE">
                  <w:pPr>
                    <w:snapToGrid w:val="0"/>
                    <w:jc w:val="center"/>
                    <w:rPr>
                      <w:rFonts w:hint="default" w:ascii="Times New Roman" w:hAnsi="Times New Roman" w:eastAsia="仿宋" w:cs="Times New Roman"/>
                      <w:color w:val="0000FF"/>
                      <w:spacing w:val="-11"/>
                      <w:szCs w:val="21"/>
                    </w:rPr>
                  </w:pPr>
                  <w:r>
                    <w:rPr>
                      <w:rFonts w:hint="default" w:ascii="Times New Roman" w:hAnsi="Times New Roman" w:eastAsia="仿宋" w:cs="Times New Roman"/>
                      <w:color w:val="0000FF"/>
                      <w:spacing w:val="-11"/>
                      <w:szCs w:val="21"/>
                    </w:rPr>
                    <w:t>/</w:t>
                  </w:r>
                </w:p>
              </w:tc>
              <w:tc>
                <w:tcPr>
                  <w:tcW w:w="863" w:type="dxa"/>
                  <w:noWrap w:val="0"/>
                  <w:vAlign w:val="center"/>
                </w:tcPr>
                <w:p w14:paraId="79360FA8">
                  <w:pPr>
                    <w:jc w:val="center"/>
                    <w:rPr>
                      <w:rFonts w:hint="default" w:ascii="Times New Roman" w:hAnsi="Times New Roman" w:eastAsia="仿宋" w:cs="Times New Roman"/>
                      <w:bCs/>
                      <w:color w:val="0000FF"/>
                      <w:szCs w:val="21"/>
                      <w:lang w:val="en-US" w:eastAsia="zh-CN"/>
                    </w:rPr>
                  </w:pPr>
                  <w:r>
                    <w:rPr>
                      <w:rFonts w:hint="default" w:ascii="Times New Roman" w:hAnsi="Times New Roman" w:eastAsia="仿宋" w:cs="Times New Roman"/>
                      <w:bCs/>
                      <w:color w:val="0000FF"/>
                      <w:szCs w:val="21"/>
                      <w:lang w:val="en-US" w:eastAsia="zh-CN"/>
                    </w:rPr>
                    <w:t>0.00</w:t>
                  </w:r>
                  <w:r>
                    <w:rPr>
                      <w:rFonts w:hint="eastAsia" w:eastAsia="仿宋" w:cs="Times New Roman"/>
                      <w:bCs/>
                      <w:color w:val="0000FF"/>
                      <w:szCs w:val="21"/>
                      <w:lang w:val="en-US" w:eastAsia="zh-CN"/>
                    </w:rPr>
                    <w:t>8</w:t>
                  </w:r>
                </w:p>
              </w:tc>
              <w:tc>
                <w:tcPr>
                  <w:tcW w:w="853" w:type="dxa"/>
                  <w:noWrap w:val="0"/>
                  <w:vAlign w:val="center"/>
                </w:tcPr>
                <w:p w14:paraId="76A40138">
                  <w:pPr>
                    <w:jc w:val="center"/>
                    <w:rPr>
                      <w:rFonts w:hint="default" w:ascii="Times New Roman" w:hAnsi="Times New Roman" w:eastAsia="仿宋" w:cs="Times New Roman"/>
                      <w:bCs/>
                      <w:color w:val="0000FF"/>
                      <w:szCs w:val="21"/>
                      <w:lang w:val="en-US" w:eastAsia="zh-CN"/>
                    </w:rPr>
                  </w:pPr>
                  <w:r>
                    <w:rPr>
                      <w:rFonts w:hint="default" w:ascii="Times New Roman" w:hAnsi="Times New Roman" w:eastAsia="仿宋" w:cs="Times New Roman"/>
                      <w:i w:val="0"/>
                      <w:iCs w:val="0"/>
                      <w:color w:val="0000FF"/>
                      <w:kern w:val="0"/>
                      <w:sz w:val="21"/>
                      <w:szCs w:val="21"/>
                      <w:u w:val="none"/>
                      <w:lang w:val="en-US" w:eastAsia="zh-CN" w:bidi="ar"/>
                    </w:rPr>
                    <w:t>0.00</w:t>
                  </w:r>
                  <w:r>
                    <w:rPr>
                      <w:rFonts w:hint="eastAsia" w:eastAsia="仿宋" w:cs="Times New Roman"/>
                      <w:i w:val="0"/>
                      <w:iCs w:val="0"/>
                      <w:color w:val="0000FF"/>
                      <w:kern w:val="0"/>
                      <w:sz w:val="21"/>
                      <w:szCs w:val="21"/>
                      <w:u w:val="none"/>
                      <w:lang w:val="en-US" w:eastAsia="zh-CN" w:bidi="ar"/>
                    </w:rPr>
                    <w:t>1</w:t>
                  </w:r>
                </w:p>
              </w:tc>
              <w:tc>
                <w:tcPr>
                  <w:tcW w:w="414" w:type="pct"/>
                  <w:vMerge w:val="continue"/>
                  <w:noWrap w:val="0"/>
                  <w:vAlign w:val="center"/>
                </w:tcPr>
                <w:p w14:paraId="622FD460">
                  <w:pPr>
                    <w:jc w:val="center"/>
                    <w:rPr>
                      <w:rFonts w:hint="default" w:ascii="Times New Roman" w:hAnsi="Times New Roman" w:eastAsia="仿宋" w:cs="Times New Roman"/>
                      <w:color w:val="0000FF"/>
                      <w:spacing w:val="-11"/>
                      <w:sz w:val="21"/>
                      <w:szCs w:val="21"/>
                      <w:lang w:val="en-US" w:eastAsia="zh-CN"/>
                    </w:rPr>
                  </w:pPr>
                </w:p>
              </w:tc>
              <w:tc>
                <w:tcPr>
                  <w:tcW w:w="365" w:type="pct"/>
                  <w:vMerge w:val="continue"/>
                  <w:noWrap w:val="0"/>
                  <w:vAlign w:val="center"/>
                </w:tcPr>
                <w:p w14:paraId="7FBB5083">
                  <w:pPr>
                    <w:jc w:val="center"/>
                    <w:rPr>
                      <w:rFonts w:hint="default" w:ascii="Times New Roman" w:hAnsi="Times New Roman" w:eastAsia="仿宋" w:cs="Times New Roman"/>
                      <w:color w:val="0000FF"/>
                      <w:spacing w:val="-11"/>
                      <w:sz w:val="21"/>
                      <w:szCs w:val="21"/>
                      <w:lang w:val="en-US" w:eastAsia="zh-CN"/>
                    </w:rPr>
                  </w:pPr>
                </w:p>
              </w:tc>
            </w:tr>
          </w:tbl>
          <w:p w14:paraId="43A0F1FE">
            <w:pPr>
              <w:adjustRightInd w:val="0"/>
              <w:snapToGrid w:val="0"/>
              <w:spacing w:before="120" w:beforeLines="5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4</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val="en-US" w:eastAsia="zh-CN"/>
              </w:rPr>
              <w:t>全厂</w:t>
            </w:r>
            <w:r>
              <w:rPr>
                <w:rFonts w:hint="default" w:ascii="Times New Roman" w:hAnsi="Times New Roman" w:eastAsia="仿宋" w:cs="Times New Roman"/>
                <w:b/>
                <w:bCs/>
                <w:color w:val="auto"/>
                <w:sz w:val="24"/>
              </w:rPr>
              <w:t>无组织废气产生及排放情况表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85"/>
              <w:gridCol w:w="943"/>
              <w:gridCol w:w="778"/>
              <w:gridCol w:w="999"/>
              <w:gridCol w:w="1017"/>
              <w:gridCol w:w="851"/>
              <w:gridCol w:w="861"/>
              <w:gridCol w:w="856"/>
              <w:gridCol w:w="696"/>
              <w:gridCol w:w="614"/>
            </w:tblGrid>
            <w:tr w14:paraId="5E7AE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467" w:type="pct"/>
                  <w:vAlign w:val="center"/>
                </w:tcPr>
                <w:p w14:paraId="6ED83BE9">
                  <w:pPr>
                    <w:snapToGrid w:val="0"/>
                    <w:jc w:val="center"/>
                    <w:rPr>
                      <w:rFonts w:hint="default" w:ascii="Times New Roman" w:hAnsi="Times New Roman" w:eastAsia="仿宋" w:cs="Times New Roman"/>
                      <w:b/>
                      <w:sz w:val="20"/>
                      <w:szCs w:val="21"/>
                    </w:rPr>
                  </w:pPr>
                  <w:r>
                    <w:rPr>
                      <w:rFonts w:hint="default" w:ascii="Times New Roman" w:hAnsi="Times New Roman" w:eastAsia="仿宋" w:cs="Times New Roman"/>
                      <w:b/>
                      <w:sz w:val="20"/>
                      <w:szCs w:val="21"/>
                    </w:rPr>
                    <w:t>面源名称</w:t>
                  </w:r>
                </w:p>
              </w:tc>
              <w:tc>
                <w:tcPr>
                  <w:tcW w:w="561" w:type="pct"/>
                  <w:vAlign w:val="center"/>
                </w:tcPr>
                <w:p w14:paraId="4AB6D971">
                  <w:pPr>
                    <w:snapToGrid w:val="0"/>
                    <w:jc w:val="center"/>
                    <w:rPr>
                      <w:rFonts w:hint="default" w:ascii="Times New Roman" w:hAnsi="Times New Roman" w:eastAsia="仿宋" w:cs="Times New Roman"/>
                      <w:b/>
                      <w:sz w:val="20"/>
                      <w:szCs w:val="21"/>
                    </w:rPr>
                  </w:pPr>
                  <w:r>
                    <w:rPr>
                      <w:rFonts w:hint="default" w:ascii="Times New Roman" w:hAnsi="Times New Roman" w:eastAsia="仿宋" w:cs="Times New Roman"/>
                      <w:b/>
                      <w:sz w:val="20"/>
                      <w:szCs w:val="21"/>
                    </w:rPr>
                    <w:t>污染源名称</w:t>
                  </w:r>
                </w:p>
              </w:tc>
              <w:tc>
                <w:tcPr>
                  <w:tcW w:w="463" w:type="pct"/>
                  <w:vAlign w:val="center"/>
                </w:tcPr>
                <w:p w14:paraId="7C1E4544">
                  <w:pPr>
                    <w:snapToGrid w:val="0"/>
                    <w:jc w:val="center"/>
                    <w:rPr>
                      <w:rFonts w:hint="default" w:ascii="Times New Roman" w:hAnsi="Times New Roman" w:eastAsia="仿宋" w:cs="Times New Roman"/>
                      <w:b/>
                      <w:sz w:val="20"/>
                      <w:szCs w:val="21"/>
                    </w:rPr>
                  </w:pPr>
                  <w:r>
                    <w:rPr>
                      <w:rFonts w:hint="default" w:ascii="Times New Roman" w:hAnsi="Times New Roman" w:eastAsia="仿宋" w:cs="Times New Roman"/>
                      <w:b/>
                      <w:sz w:val="20"/>
                      <w:szCs w:val="21"/>
                    </w:rPr>
                    <w:t>污染物名称</w:t>
                  </w:r>
                </w:p>
              </w:tc>
              <w:tc>
                <w:tcPr>
                  <w:tcW w:w="594" w:type="pct"/>
                  <w:vAlign w:val="center"/>
                </w:tcPr>
                <w:p w14:paraId="53575BA6">
                  <w:pPr>
                    <w:snapToGrid w:val="0"/>
                    <w:jc w:val="center"/>
                    <w:rPr>
                      <w:rFonts w:hint="default" w:ascii="Times New Roman" w:hAnsi="Times New Roman" w:eastAsia="仿宋" w:cs="Times New Roman"/>
                      <w:b/>
                      <w:sz w:val="20"/>
                      <w:szCs w:val="21"/>
                    </w:rPr>
                  </w:pPr>
                  <w:r>
                    <w:rPr>
                      <w:rFonts w:hint="default" w:ascii="Times New Roman" w:hAnsi="Times New Roman" w:eastAsia="仿宋" w:cs="Times New Roman"/>
                      <w:b/>
                      <w:sz w:val="20"/>
                      <w:szCs w:val="21"/>
                    </w:rPr>
                    <w:t>污染物产生量t/a</w:t>
                  </w:r>
                </w:p>
              </w:tc>
              <w:tc>
                <w:tcPr>
                  <w:tcW w:w="605" w:type="pct"/>
                  <w:vAlign w:val="center"/>
                </w:tcPr>
                <w:p w14:paraId="0CEC6FEC">
                  <w:pPr>
                    <w:snapToGrid w:val="0"/>
                    <w:jc w:val="center"/>
                    <w:rPr>
                      <w:rFonts w:hint="default" w:ascii="Times New Roman" w:hAnsi="Times New Roman" w:eastAsia="仿宋" w:cs="Times New Roman"/>
                      <w:b/>
                      <w:sz w:val="20"/>
                      <w:szCs w:val="21"/>
                    </w:rPr>
                  </w:pPr>
                  <w:r>
                    <w:rPr>
                      <w:rFonts w:hint="default" w:ascii="Times New Roman" w:hAnsi="Times New Roman" w:eastAsia="仿宋" w:cs="Times New Roman"/>
                      <w:b/>
                      <w:bCs/>
                      <w:sz w:val="20"/>
                      <w:szCs w:val="21"/>
                    </w:rPr>
                    <w:t>污染物产生速率kg/h</w:t>
                  </w:r>
                </w:p>
              </w:tc>
              <w:tc>
                <w:tcPr>
                  <w:tcW w:w="506" w:type="pct"/>
                  <w:vAlign w:val="center"/>
                </w:tcPr>
                <w:p w14:paraId="7FC85FA0">
                  <w:pPr>
                    <w:snapToGrid w:val="0"/>
                    <w:jc w:val="center"/>
                    <w:rPr>
                      <w:rFonts w:hint="default" w:ascii="Times New Roman" w:hAnsi="Times New Roman" w:eastAsia="仿宋" w:cs="Times New Roman"/>
                      <w:b/>
                      <w:sz w:val="20"/>
                      <w:szCs w:val="21"/>
                    </w:rPr>
                  </w:pPr>
                  <w:r>
                    <w:rPr>
                      <w:rFonts w:hint="default" w:ascii="Times New Roman" w:hAnsi="Times New Roman" w:eastAsia="仿宋" w:cs="Times New Roman"/>
                      <w:b/>
                      <w:sz w:val="20"/>
                      <w:szCs w:val="21"/>
                    </w:rPr>
                    <w:t>治理措施</w:t>
                  </w:r>
                </w:p>
              </w:tc>
              <w:tc>
                <w:tcPr>
                  <w:tcW w:w="512" w:type="pct"/>
                  <w:vAlign w:val="center"/>
                </w:tcPr>
                <w:p w14:paraId="6B0E7F05">
                  <w:pPr>
                    <w:snapToGrid w:val="0"/>
                    <w:jc w:val="center"/>
                    <w:rPr>
                      <w:rFonts w:hint="default" w:ascii="Times New Roman" w:hAnsi="Times New Roman" w:eastAsia="仿宋" w:cs="Times New Roman"/>
                      <w:b/>
                      <w:sz w:val="20"/>
                      <w:szCs w:val="21"/>
                    </w:rPr>
                  </w:pPr>
                  <w:r>
                    <w:rPr>
                      <w:rFonts w:hint="default" w:ascii="Times New Roman" w:hAnsi="Times New Roman" w:eastAsia="仿宋" w:cs="Times New Roman"/>
                      <w:b/>
                      <w:sz w:val="20"/>
                      <w:szCs w:val="21"/>
                    </w:rPr>
                    <w:t>污染物排放量t/a</w:t>
                  </w:r>
                </w:p>
              </w:tc>
              <w:tc>
                <w:tcPr>
                  <w:tcW w:w="509" w:type="pct"/>
                  <w:vAlign w:val="center"/>
                </w:tcPr>
                <w:p w14:paraId="3F5A778F">
                  <w:pPr>
                    <w:snapToGrid w:val="0"/>
                    <w:jc w:val="center"/>
                    <w:rPr>
                      <w:rFonts w:hint="default" w:ascii="Times New Roman" w:hAnsi="Times New Roman" w:eastAsia="仿宋" w:cs="Times New Roman"/>
                      <w:b/>
                      <w:sz w:val="20"/>
                      <w:szCs w:val="21"/>
                    </w:rPr>
                  </w:pPr>
                  <w:r>
                    <w:rPr>
                      <w:rFonts w:hint="default" w:ascii="Times New Roman" w:hAnsi="Times New Roman" w:eastAsia="仿宋" w:cs="Times New Roman"/>
                      <w:b/>
                      <w:sz w:val="20"/>
                      <w:szCs w:val="21"/>
                    </w:rPr>
                    <w:t>排放速率</w:t>
                  </w:r>
                  <w:r>
                    <w:rPr>
                      <w:rFonts w:hint="default" w:ascii="Times New Roman" w:hAnsi="Times New Roman" w:eastAsia="仿宋" w:cs="Times New Roman"/>
                      <w:b/>
                      <w:bCs/>
                      <w:sz w:val="20"/>
                      <w:szCs w:val="21"/>
                    </w:rPr>
                    <w:t>kg/h</w:t>
                  </w:r>
                </w:p>
              </w:tc>
              <w:tc>
                <w:tcPr>
                  <w:tcW w:w="414" w:type="pct"/>
                  <w:vAlign w:val="center"/>
                </w:tcPr>
                <w:p w14:paraId="25EAAF68">
                  <w:pPr>
                    <w:snapToGrid w:val="0"/>
                    <w:jc w:val="center"/>
                    <w:rPr>
                      <w:rFonts w:hint="default" w:ascii="Times New Roman" w:hAnsi="Times New Roman" w:eastAsia="仿宋" w:cs="Times New Roman"/>
                      <w:b/>
                      <w:sz w:val="20"/>
                      <w:szCs w:val="21"/>
                    </w:rPr>
                  </w:pPr>
                  <w:r>
                    <w:rPr>
                      <w:rFonts w:hint="default" w:ascii="Times New Roman" w:hAnsi="Times New Roman" w:eastAsia="仿宋" w:cs="Times New Roman"/>
                      <w:b/>
                      <w:sz w:val="20"/>
                      <w:szCs w:val="21"/>
                    </w:rPr>
                    <w:t>面源面积m</w:t>
                  </w:r>
                  <w:r>
                    <w:rPr>
                      <w:rFonts w:hint="default" w:ascii="Times New Roman" w:hAnsi="Times New Roman" w:eastAsia="仿宋" w:cs="Times New Roman"/>
                      <w:b/>
                      <w:sz w:val="20"/>
                      <w:szCs w:val="21"/>
                      <w:vertAlign w:val="superscript"/>
                    </w:rPr>
                    <w:t>2</w:t>
                  </w:r>
                </w:p>
              </w:tc>
              <w:tc>
                <w:tcPr>
                  <w:tcW w:w="365" w:type="pct"/>
                  <w:vAlign w:val="center"/>
                </w:tcPr>
                <w:p w14:paraId="71C5D353">
                  <w:pPr>
                    <w:snapToGrid w:val="0"/>
                    <w:jc w:val="center"/>
                    <w:rPr>
                      <w:rFonts w:hint="default" w:ascii="Times New Roman" w:hAnsi="Times New Roman" w:eastAsia="仿宋" w:cs="Times New Roman"/>
                      <w:b/>
                      <w:sz w:val="20"/>
                      <w:szCs w:val="21"/>
                    </w:rPr>
                  </w:pPr>
                  <w:r>
                    <w:rPr>
                      <w:rFonts w:hint="default" w:ascii="Times New Roman" w:hAnsi="Times New Roman" w:eastAsia="仿宋" w:cs="Times New Roman"/>
                      <w:b/>
                      <w:sz w:val="20"/>
                      <w:szCs w:val="21"/>
                    </w:rPr>
                    <w:t>面源高度m</w:t>
                  </w:r>
                </w:p>
              </w:tc>
            </w:tr>
            <w:tr w14:paraId="0E522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467" w:type="pct"/>
                  <w:vMerge w:val="restart"/>
                  <w:vAlign w:val="center"/>
                </w:tcPr>
                <w:p w14:paraId="56B3D314">
                  <w:pPr>
                    <w:jc w:val="center"/>
                    <w:rPr>
                      <w:rFonts w:hint="default" w:ascii="Times New Roman" w:hAnsi="Times New Roman" w:eastAsia="仿宋" w:cs="Times New Roman"/>
                      <w:sz w:val="20"/>
                      <w:szCs w:val="21"/>
                      <w:lang w:val="en-US" w:eastAsia="zh-CN"/>
                    </w:rPr>
                  </w:pPr>
                  <w:r>
                    <w:rPr>
                      <w:rFonts w:hint="default" w:ascii="Times New Roman" w:hAnsi="Times New Roman" w:eastAsia="仿宋" w:cs="Times New Roman"/>
                      <w:sz w:val="20"/>
                      <w:szCs w:val="21"/>
                      <w:lang w:val="en-US" w:eastAsia="zh-CN"/>
                    </w:rPr>
                    <w:t>D6车间</w:t>
                  </w:r>
                </w:p>
              </w:tc>
              <w:tc>
                <w:tcPr>
                  <w:tcW w:w="561" w:type="pct"/>
                  <w:vMerge w:val="restart"/>
                  <w:vAlign w:val="center"/>
                </w:tcPr>
                <w:p w14:paraId="434AA02D">
                  <w:pPr>
                    <w:jc w:val="center"/>
                    <w:rPr>
                      <w:rFonts w:hint="default" w:ascii="Times New Roman" w:hAnsi="Times New Roman" w:eastAsia="仿宋" w:cs="Times New Roman"/>
                      <w:sz w:val="20"/>
                      <w:szCs w:val="21"/>
                    </w:rPr>
                  </w:pPr>
                  <w:r>
                    <w:rPr>
                      <w:rFonts w:hint="default" w:ascii="Times New Roman" w:hAnsi="Times New Roman" w:eastAsia="仿宋" w:cs="Times New Roman"/>
                      <w:szCs w:val="21"/>
                    </w:rPr>
                    <w:t>未捕集的废气</w:t>
                  </w:r>
                </w:p>
              </w:tc>
              <w:tc>
                <w:tcPr>
                  <w:tcW w:w="463" w:type="pct"/>
                  <w:shd w:val="clear" w:color="auto" w:fill="auto"/>
                  <w:vAlign w:val="center"/>
                </w:tcPr>
                <w:p w14:paraId="30C83EE7">
                  <w:pPr>
                    <w:jc w:val="center"/>
                    <w:rPr>
                      <w:rFonts w:hint="default" w:ascii="Times New Roman" w:hAnsi="Times New Roman" w:eastAsia="仿宋" w:cs="Times New Roman"/>
                      <w:color w:val="auto"/>
                      <w:spacing w:val="-11"/>
                      <w:kern w:val="2"/>
                      <w:sz w:val="21"/>
                      <w:szCs w:val="21"/>
                      <w:lang w:val="en-US" w:eastAsia="zh-CN" w:bidi="ar-SA"/>
                    </w:rPr>
                  </w:pPr>
                  <w:r>
                    <w:rPr>
                      <w:rFonts w:hint="default" w:ascii="Times New Roman" w:hAnsi="Times New Roman" w:eastAsia="仿宋" w:cs="Times New Roman"/>
                      <w:bCs/>
                      <w:color w:val="auto"/>
                      <w:szCs w:val="21"/>
                      <w:lang w:val="en-US" w:eastAsia="zh-CN"/>
                    </w:rPr>
                    <w:t>非甲烷总烃</w:t>
                  </w:r>
                </w:p>
              </w:tc>
              <w:tc>
                <w:tcPr>
                  <w:tcW w:w="594" w:type="pct"/>
                  <w:shd w:val="clear" w:color="auto" w:fill="auto"/>
                  <w:vAlign w:val="center"/>
                </w:tcPr>
                <w:p w14:paraId="2DD6E3EB">
                  <w:pPr>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bCs/>
                      <w:color w:val="auto"/>
                      <w:szCs w:val="21"/>
                      <w:lang w:val="en-US" w:eastAsia="zh-CN"/>
                    </w:rPr>
                    <w:t>0.031</w:t>
                  </w:r>
                </w:p>
              </w:tc>
              <w:tc>
                <w:tcPr>
                  <w:tcW w:w="605" w:type="pct"/>
                  <w:shd w:val="clear" w:color="auto" w:fill="auto"/>
                  <w:vAlign w:val="center"/>
                </w:tcPr>
                <w:p w14:paraId="7A000AAA">
                  <w:pPr>
                    <w:jc w:val="center"/>
                    <w:rPr>
                      <w:rFonts w:hint="default" w:ascii="Times New Roman" w:hAnsi="Times New Roman" w:eastAsia="仿宋" w:cs="Times New Roman"/>
                      <w:color w:val="auto"/>
                      <w:spacing w:val="-11"/>
                      <w:kern w:val="2"/>
                      <w:sz w:val="21"/>
                      <w:szCs w:val="21"/>
                      <w:lang w:val="en-US" w:eastAsia="zh-CN" w:bidi="ar-SA"/>
                    </w:rPr>
                  </w:pPr>
                  <w:r>
                    <w:rPr>
                      <w:rFonts w:hint="default" w:ascii="Times New Roman" w:hAnsi="Times New Roman" w:eastAsia="仿宋" w:cs="Times New Roman"/>
                      <w:bCs/>
                      <w:color w:val="auto"/>
                      <w:szCs w:val="21"/>
                      <w:lang w:val="en-US" w:eastAsia="zh-CN"/>
                    </w:rPr>
                    <w:t>0.004</w:t>
                  </w:r>
                </w:p>
              </w:tc>
              <w:tc>
                <w:tcPr>
                  <w:tcW w:w="506" w:type="pct"/>
                  <w:shd w:val="clear" w:color="auto" w:fill="auto"/>
                  <w:vAlign w:val="center"/>
                </w:tcPr>
                <w:p w14:paraId="1B2DD3C4">
                  <w:pPr>
                    <w:snapToGrid w:val="0"/>
                    <w:jc w:val="center"/>
                    <w:rPr>
                      <w:rFonts w:hint="default" w:ascii="Times New Roman" w:hAnsi="Times New Roman" w:eastAsia="仿宋" w:cs="Times New Roman"/>
                      <w:color w:val="auto"/>
                      <w:spacing w:val="-11"/>
                      <w:kern w:val="2"/>
                      <w:sz w:val="21"/>
                      <w:szCs w:val="21"/>
                      <w:lang w:val="en-US" w:eastAsia="zh-CN" w:bidi="ar-SA"/>
                    </w:rPr>
                  </w:pPr>
                  <w:r>
                    <w:rPr>
                      <w:rFonts w:hint="default" w:ascii="Times New Roman" w:hAnsi="Times New Roman" w:eastAsia="仿宋" w:cs="Times New Roman"/>
                      <w:color w:val="auto"/>
                      <w:spacing w:val="-11"/>
                      <w:szCs w:val="21"/>
                    </w:rPr>
                    <w:t>/</w:t>
                  </w:r>
                </w:p>
              </w:tc>
              <w:tc>
                <w:tcPr>
                  <w:tcW w:w="512" w:type="pct"/>
                  <w:shd w:val="clear" w:color="auto" w:fill="auto"/>
                  <w:vAlign w:val="center"/>
                </w:tcPr>
                <w:p w14:paraId="2FED19DB">
                  <w:pPr>
                    <w:jc w:val="center"/>
                    <w:rPr>
                      <w:rFonts w:hint="default" w:ascii="Times New Roman" w:hAnsi="Times New Roman" w:eastAsia="仿宋" w:cs="Times New Roman"/>
                      <w:color w:val="auto"/>
                      <w:spacing w:val="-11"/>
                      <w:kern w:val="2"/>
                      <w:sz w:val="21"/>
                      <w:szCs w:val="21"/>
                      <w:lang w:val="en-US" w:eastAsia="zh-CN" w:bidi="ar-SA"/>
                    </w:rPr>
                  </w:pPr>
                  <w:r>
                    <w:rPr>
                      <w:rFonts w:hint="default" w:ascii="Times New Roman" w:hAnsi="Times New Roman" w:eastAsia="仿宋" w:cs="Times New Roman"/>
                      <w:bCs/>
                      <w:color w:val="auto"/>
                      <w:szCs w:val="21"/>
                      <w:lang w:val="en-US" w:eastAsia="zh-CN"/>
                    </w:rPr>
                    <w:t>0.031</w:t>
                  </w:r>
                </w:p>
              </w:tc>
              <w:tc>
                <w:tcPr>
                  <w:tcW w:w="509" w:type="pct"/>
                  <w:shd w:val="clear" w:color="auto" w:fill="auto"/>
                  <w:vAlign w:val="center"/>
                </w:tcPr>
                <w:p w14:paraId="33BFBC5C">
                  <w:pPr>
                    <w:jc w:val="center"/>
                    <w:rPr>
                      <w:rFonts w:hint="default" w:ascii="Times New Roman" w:hAnsi="Times New Roman" w:eastAsia="仿宋" w:cs="Times New Roman"/>
                      <w:color w:val="auto"/>
                      <w:spacing w:val="-11"/>
                      <w:kern w:val="2"/>
                      <w:sz w:val="21"/>
                      <w:szCs w:val="21"/>
                      <w:lang w:val="en-US" w:eastAsia="zh-CN" w:bidi="ar-SA"/>
                    </w:rPr>
                  </w:pPr>
                  <w:r>
                    <w:rPr>
                      <w:rFonts w:hint="default" w:ascii="Times New Roman" w:hAnsi="Times New Roman" w:eastAsia="仿宋" w:cs="Times New Roman"/>
                      <w:bCs/>
                      <w:color w:val="auto"/>
                      <w:szCs w:val="21"/>
                      <w:lang w:val="en-US" w:eastAsia="zh-CN"/>
                    </w:rPr>
                    <w:t>0.004</w:t>
                  </w:r>
                </w:p>
              </w:tc>
              <w:tc>
                <w:tcPr>
                  <w:tcW w:w="414" w:type="pct"/>
                  <w:vMerge w:val="restart"/>
                  <w:vAlign w:val="center"/>
                </w:tcPr>
                <w:p w14:paraId="60DBE990">
                  <w:pPr>
                    <w:jc w:val="center"/>
                    <w:rPr>
                      <w:rFonts w:hint="default" w:ascii="Times New Roman" w:hAnsi="Times New Roman" w:eastAsia="仿宋" w:cs="Times New Roman"/>
                      <w:sz w:val="20"/>
                      <w:szCs w:val="21"/>
                      <w:lang w:val="en-US" w:eastAsia="zh-CN"/>
                    </w:rPr>
                  </w:pPr>
                  <w:r>
                    <w:rPr>
                      <w:rFonts w:hint="eastAsia" w:eastAsia="仿宋" w:cs="Times New Roman"/>
                      <w:color w:val="auto"/>
                      <w:spacing w:val="-11"/>
                      <w:sz w:val="21"/>
                      <w:szCs w:val="21"/>
                      <w:lang w:val="en-US" w:eastAsia="zh-CN"/>
                    </w:rPr>
                    <w:t>480</w:t>
                  </w:r>
                </w:p>
              </w:tc>
              <w:tc>
                <w:tcPr>
                  <w:tcW w:w="365" w:type="pct"/>
                  <w:vMerge w:val="restart"/>
                  <w:vAlign w:val="center"/>
                </w:tcPr>
                <w:p w14:paraId="49E8BAB5">
                  <w:pPr>
                    <w:jc w:val="center"/>
                    <w:rPr>
                      <w:rFonts w:hint="default" w:ascii="Times New Roman" w:hAnsi="Times New Roman" w:eastAsia="仿宋" w:cs="Times New Roman"/>
                      <w:sz w:val="20"/>
                      <w:szCs w:val="21"/>
                    </w:rPr>
                  </w:pPr>
                  <w:r>
                    <w:rPr>
                      <w:rFonts w:hint="default" w:ascii="Times New Roman" w:hAnsi="Times New Roman" w:eastAsia="仿宋" w:cs="Times New Roman"/>
                      <w:color w:val="auto"/>
                      <w:spacing w:val="-11"/>
                      <w:sz w:val="21"/>
                      <w:szCs w:val="21"/>
                      <w:lang w:val="en-US" w:eastAsia="zh-CN"/>
                    </w:rPr>
                    <w:t>10</w:t>
                  </w:r>
                </w:p>
              </w:tc>
            </w:tr>
            <w:tr w14:paraId="00EBC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467" w:type="pct"/>
                  <w:vMerge w:val="continue"/>
                  <w:vAlign w:val="center"/>
                </w:tcPr>
                <w:p w14:paraId="40838315">
                  <w:pPr>
                    <w:jc w:val="center"/>
                    <w:rPr>
                      <w:rFonts w:hint="default" w:ascii="Times New Roman" w:hAnsi="Times New Roman" w:eastAsia="仿宋" w:cs="Times New Roman"/>
                      <w:sz w:val="20"/>
                      <w:szCs w:val="21"/>
                      <w:lang w:val="en-US" w:eastAsia="zh-CN"/>
                    </w:rPr>
                  </w:pPr>
                </w:p>
              </w:tc>
              <w:tc>
                <w:tcPr>
                  <w:tcW w:w="561" w:type="pct"/>
                  <w:vMerge w:val="continue"/>
                  <w:vAlign w:val="center"/>
                </w:tcPr>
                <w:p w14:paraId="27A596B7">
                  <w:pPr>
                    <w:jc w:val="center"/>
                    <w:rPr>
                      <w:rFonts w:hint="default" w:ascii="Times New Roman" w:hAnsi="Times New Roman" w:eastAsia="仿宋" w:cs="Times New Roman"/>
                      <w:szCs w:val="21"/>
                    </w:rPr>
                  </w:pPr>
                </w:p>
              </w:tc>
              <w:tc>
                <w:tcPr>
                  <w:tcW w:w="463" w:type="pct"/>
                  <w:shd w:val="clear" w:color="auto" w:fill="auto"/>
                  <w:vAlign w:val="center"/>
                </w:tcPr>
                <w:p w14:paraId="26118B85">
                  <w:pPr>
                    <w:jc w:val="center"/>
                    <w:rPr>
                      <w:rFonts w:hint="default" w:ascii="Times New Roman" w:hAnsi="Times New Roman" w:eastAsia="仿宋" w:cs="Times New Roman"/>
                      <w:color w:val="0000FF"/>
                      <w:spacing w:val="-11"/>
                      <w:kern w:val="2"/>
                      <w:sz w:val="21"/>
                      <w:szCs w:val="21"/>
                      <w:lang w:val="en-US" w:eastAsia="zh-CN" w:bidi="ar-SA"/>
                    </w:rPr>
                  </w:pPr>
                  <w:r>
                    <w:rPr>
                      <w:rFonts w:hint="default" w:ascii="Times New Roman" w:hAnsi="Times New Roman" w:eastAsia="仿宋" w:cs="Times New Roman"/>
                      <w:bCs/>
                      <w:color w:val="0000FF"/>
                      <w:szCs w:val="21"/>
                      <w:lang w:val="en-US" w:eastAsia="zh-CN"/>
                    </w:rPr>
                    <w:t>颗粒物</w:t>
                  </w:r>
                </w:p>
              </w:tc>
              <w:tc>
                <w:tcPr>
                  <w:tcW w:w="999" w:type="dxa"/>
                  <w:shd w:val="clear" w:color="auto" w:fill="auto"/>
                  <w:vAlign w:val="center"/>
                </w:tcPr>
                <w:p w14:paraId="42F9A45E">
                  <w:pPr>
                    <w:jc w:val="center"/>
                    <w:rPr>
                      <w:rFonts w:hint="default" w:ascii="Times New Roman" w:hAnsi="Times New Roman" w:eastAsia="仿宋" w:cs="Times New Roman"/>
                      <w:i w:val="0"/>
                      <w:iCs w:val="0"/>
                      <w:color w:val="0000FF"/>
                      <w:kern w:val="0"/>
                      <w:sz w:val="21"/>
                      <w:szCs w:val="21"/>
                      <w:u w:val="none"/>
                      <w:lang w:val="en-US" w:eastAsia="zh-CN" w:bidi="ar"/>
                    </w:rPr>
                  </w:pPr>
                  <w:r>
                    <w:rPr>
                      <w:rFonts w:hint="default" w:ascii="Times New Roman" w:hAnsi="Times New Roman" w:eastAsia="仿宋" w:cs="Times New Roman"/>
                      <w:bCs/>
                      <w:color w:val="0000FF"/>
                      <w:szCs w:val="21"/>
                      <w:lang w:val="en-US" w:eastAsia="zh-CN"/>
                    </w:rPr>
                    <w:t>0.00</w:t>
                  </w:r>
                  <w:r>
                    <w:rPr>
                      <w:rFonts w:hint="eastAsia" w:eastAsia="仿宋" w:cs="Times New Roman"/>
                      <w:bCs/>
                      <w:color w:val="0000FF"/>
                      <w:szCs w:val="21"/>
                      <w:lang w:val="en-US" w:eastAsia="zh-CN"/>
                    </w:rPr>
                    <w:t>8</w:t>
                  </w:r>
                </w:p>
              </w:tc>
              <w:tc>
                <w:tcPr>
                  <w:tcW w:w="1017" w:type="dxa"/>
                  <w:shd w:val="clear" w:color="auto" w:fill="auto"/>
                  <w:vAlign w:val="center"/>
                </w:tcPr>
                <w:p w14:paraId="47693861">
                  <w:pPr>
                    <w:jc w:val="center"/>
                    <w:rPr>
                      <w:rFonts w:hint="default" w:ascii="Times New Roman" w:hAnsi="Times New Roman" w:eastAsia="仿宋" w:cs="Times New Roman"/>
                      <w:bCs/>
                      <w:color w:val="0000FF"/>
                      <w:kern w:val="2"/>
                      <w:sz w:val="21"/>
                      <w:szCs w:val="21"/>
                      <w:lang w:val="en-US" w:eastAsia="zh-CN" w:bidi="ar-SA"/>
                    </w:rPr>
                  </w:pPr>
                  <w:r>
                    <w:rPr>
                      <w:rFonts w:hint="default" w:ascii="Times New Roman" w:hAnsi="Times New Roman" w:eastAsia="仿宋" w:cs="Times New Roman"/>
                      <w:i w:val="0"/>
                      <w:iCs w:val="0"/>
                      <w:color w:val="0000FF"/>
                      <w:kern w:val="0"/>
                      <w:sz w:val="21"/>
                      <w:szCs w:val="21"/>
                      <w:u w:val="none"/>
                      <w:lang w:val="en-US" w:eastAsia="zh-CN" w:bidi="ar"/>
                    </w:rPr>
                    <w:t>0.00</w:t>
                  </w:r>
                  <w:r>
                    <w:rPr>
                      <w:rFonts w:hint="eastAsia" w:eastAsia="仿宋" w:cs="Times New Roman"/>
                      <w:i w:val="0"/>
                      <w:iCs w:val="0"/>
                      <w:color w:val="0000FF"/>
                      <w:kern w:val="0"/>
                      <w:sz w:val="21"/>
                      <w:szCs w:val="21"/>
                      <w:u w:val="none"/>
                      <w:lang w:val="en-US" w:eastAsia="zh-CN" w:bidi="ar"/>
                    </w:rPr>
                    <w:t>1</w:t>
                  </w:r>
                </w:p>
              </w:tc>
              <w:tc>
                <w:tcPr>
                  <w:tcW w:w="851" w:type="dxa"/>
                  <w:shd w:val="clear" w:color="auto" w:fill="auto"/>
                  <w:vAlign w:val="center"/>
                </w:tcPr>
                <w:p w14:paraId="1332B861">
                  <w:pPr>
                    <w:snapToGrid w:val="0"/>
                    <w:jc w:val="center"/>
                    <w:rPr>
                      <w:rFonts w:hint="default" w:ascii="Times New Roman" w:hAnsi="Times New Roman" w:eastAsia="仿宋" w:cs="Times New Roman"/>
                      <w:color w:val="0000FF"/>
                      <w:spacing w:val="-11"/>
                      <w:kern w:val="2"/>
                      <w:sz w:val="21"/>
                      <w:szCs w:val="21"/>
                      <w:lang w:val="en-US" w:eastAsia="zh-CN" w:bidi="ar-SA"/>
                    </w:rPr>
                  </w:pPr>
                  <w:r>
                    <w:rPr>
                      <w:rFonts w:hint="default" w:ascii="Times New Roman" w:hAnsi="Times New Roman" w:eastAsia="仿宋" w:cs="Times New Roman"/>
                      <w:color w:val="0000FF"/>
                      <w:spacing w:val="-11"/>
                      <w:szCs w:val="21"/>
                    </w:rPr>
                    <w:t>/</w:t>
                  </w:r>
                </w:p>
              </w:tc>
              <w:tc>
                <w:tcPr>
                  <w:tcW w:w="861" w:type="dxa"/>
                  <w:shd w:val="clear" w:color="auto" w:fill="auto"/>
                  <w:vAlign w:val="center"/>
                </w:tcPr>
                <w:p w14:paraId="3B58BD7B">
                  <w:pPr>
                    <w:jc w:val="center"/>
                    <w:rPr>
                      <w:rFonts w:hint="default" w:ascii="Times New Roman" w:hAnsi="Times New Roman" w:eastAsia="仿宋" w:cs="Times New Roman"/>
                      <w:bCs/>
                      <w:color w:val="0000FF"/>
                      <w:kern w:val="2"/>
                      <w:sz w:val="21"/>
                      <w:szCs w:val="21"/>
                      <w:lang w:val="en-US" w:eastAsia="zh-CN" w:bidi="ar-SA"/>
                    </w:rPr>
                  </w:pPr>
                  <w:r>
                    <w:rPr>
                      <w:rFonts w:hint="default" w:ascii="Times New Roman" w:hAnsi="Times New Roman" w:eastAsia="仿宋" w:cs="Times New Roman"/>
                      <w:bCs/>
                      <w:color w:val="0000FF"/>
                      <w:szCs w:val="21"/>
                      <w:lang w:val="en-US" w:eastAsia="zh-CN"/>
                    </w:rPr>
                    <w:t>0.00</w:t>
                  </w:r>
                  <w:r>
                    <w:rPr>
                      <w:rFonts w:hint="eastAsia" w:eastAsia="仿宋" w:cs="Times New Roman"/>
                      <w:bCs/>
                      <w:color w:val="0000FF"/>
                      <w:szCs w:val="21"/>
                      <w:lang w:val="en-US" w:eastAsia="zh-CN"/>
                    </w:rPr>
                    <w:t>8</w:t>
                  </w:r>
                </w:p>
              </w:tc>
              <w:tc>
                <w:tcPr>
                  <w:tcW w:w="856" w:type="dxa"/>
                  <w:shd w:val="clear" w:color="auto" w:fill="auto"/>
                  <w:vAlign w:val="center"/>
                </w:tcPr>
                <w:p w14:paraId="208FC6FE">
                  <w:pPr>
                    <w:jc w:val="center"/>
                    <w:rPr>
                      <w:rFonts w:hint="default" w:ascii="Times New Roman" w:hAnsi="Times New Roman" w:eastAsia="仿宋" w:cs="Times New Roman"/>
                      <w:bCs/>
                      <w:color w:val="0000FF"/>
                      <w:kern w:val="2"/>
                      <w:sz w:val="21"/>
                      <w:szCs w:val="21"/>
                      <w:lang w:val="en-US" w:eastAsia="zh-CN" w:bidi="ar-SA"/>
                    </w:rPr>
                  </w:pPr>
                  <w:r>
                    <w:rPr>
                      <w:rFonts w:hint="default" w:ascii="Times New Roman" w:hAnsi="Times New Roman" w:eastAsia="仿宋" w:cs="Times New Roman"/>
                      <w:i w:val="0"/>
                      <w:iCs w:val="0"/>
                      <w:color w:val="0000FF"/>
                      <w:kern w:val="0"/>
                      <w:sz w:val="21"/>
                      <w:szCs w:val="21"/>
                      <w:u w:val="none"/>
                      <w:lang w:val="en-US" w:eastAsia="zh-CN" w:bidi="ar"/>
                    </w:rPr>
                    <w:t>0.00</w:t>
                  </w:r>
                  <w:r>
                    <w:rPr>
                      <w:rFonts w:hint="eastAsia" w:eastAsia="仿宋" w:cs="Times New Roman"/>
                      <w:i w:val="0"/>
                      <w:iCs w:val="0"/>
                      <w:color w:val="0000FF"/>
                      <w:kern w:val="0"/>
                      <w:sz w:val="21"/>
                      <w:szCs w:val="21"/>
                      <w:u w:val="none"/>
                      <w:lang w:val="en-US" w:eastAsia="zh-CN" w:bidi="ar"/>
                    </w:rPr>
                    <w:t>1</w:t>
                  </w:r>
                </w:p>
              </w:tc>
              <w:tc>
                <w:tcPr>
                  <w:tcW w:w="414" w:type="pct"/>
                  <w:vMerge w:val="continue"/>
                  <w:vAlign w:val="center"/>
                </w:tcPr>
                <w:p w14:paraId="4C12C9FB">
                  <w:pPr>
                    <w:jc w:val="center"/>
                    <w:rPr>
                      <w:rFonts w:hint="default" w:ascii="Times New Roman" w:hAnsi="Times New Roman" w:eastAsia="仿宋" w:cs="Times New Roman"/>
                      <w:szCs w:val="21"/>
                      <w:lang w:eastAsia="zh-CN"/>
                    </w:rPr>
                  </w:pPr>
                </w:p>
              </w:tc>
              <w:tc>
                <w:tcPr>
                  <w:tcW w:w="365" w:type="pct"/>
                  <w:vMerge w:val="continue"/>
                  <w:vAlign w:val="center"/>
                </w:tcPr>
                <w:p w14:paraId="1EF515F3">
                  <w:pPr>
                    <w:jc w:val="center"/>
                    <w:rPr>
                      <w:rFonts w:hint="default" w:ascii="Times New Roman" w:hAnsi="Times New Roman" w:eastAsia="仿宋" w:cs="Times New Roman"/>
                      <w:szCs w:val="21"/>
                    </w:rPr>
                  </w:pPr>
                </w:p>
              </w:tc>
            </w:tr>
            <w:tr w14:paraId="4D231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467" w:type="pct"/>
                  <w:vMerge w:val="restart"/>
                  <w:vAlign w:val="center"/>
                </w:tcPr>
                <w:p w14:paraId="3DB8548F">
                  <w:pPr>
                    <w:jc w:val="center"/>
                    <w:rPr>
                      <w:rFonts w:hint="default" w:ascii="Times New Roman" w:hAnsi="Times New Roman" w:eastAsia="仿宋" w:cs="Times New Roman"/>
                      <w:sz w:val="20"/>
                      <w:szCs w:val="21"/>
                      <w:lang w:val="en-US" w:eastAsia="zh-CN"/>
                    </w:rPr>
                  </w:pPr>
                  <w:r>
                    <w:rPr>
                      <w:rFonts w:hint="default" w:ascii="Times New Roman" w:hAnsi="Times New Roman" w:eastAsia="仿宋" w:cs="Times New Roman"/>
                      <w:sz w:val="20"/>
                      <w:szCs w:val="21"/>
                      <w:lang w:val="en-US" w:eastAsia="zh-CN"/>
                    </w:rPr>
                    <w:t>D7车间</w:t>
                  </w:r>
                </w:p>
              </w:tc>
              <w:tc>
                <w:tcPr>
                  <w:tcW w:w="561" w:type="pct"/>
                  <w:vMerge w:val="restart"/>
                  <w:vAlign w:val="center"/>
                </w:tcPr>
                <w:p w14:paraId="53C076A5">
                  <w:pPr>
                    <w:jc w:val="center"/>
                    <w:rPr>
                      <w:rFonts w:hint="default" w:ascii="Times New Roman" w:hAnsi="Times New Roman" w:eastAsia="仿宋" w:cs="Times New Roman"/>
                      <w:szCs w:val="21"/>
                    </w:rPr>
                  </w:pPr>
                  <w:r>
                    <w:rPr>
                      <w:rFonts w:hint="default" w:ascii="Times New Roman" w:hAnsi="Times New Roman" w:eastAsia="仿宋" w:cs="Times New Roman"/>
                      <w:szCs w:val="21"/>
                    </w:rPr>
                    <w:t>未捕集的废气</w:t>
                  </w:r>
                </w:p>
              </w:tc>
              <w:tc>
                <w:tcPr>
                  <w:tcW w:w="463" w:type="pct"/>
                  <w:shd w:val="clear" w:color="auto" w:fill="auto"/>
                  <w:vAlign w:val="center"/>
                </w:tcPr>
                <w:p w14:paraId="05327C7A">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颗粒物</w:t>
                  </w:r>
                </w:p>
              </w:tc>
              <w:tc>
                <w:tcPr>
                  <w:tcW w:w="594" w:type="pct"/>
                  <w:shd w:val="clear" w:color="auto" w:fill="auto"/>
                  <w:vAlign w:val="center"/>
                </w:tcPr>
                <w:p w14:paraId="179B31AC">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0.16</w:t>
                  </w:r>
                </w:p>
              </w:tc>
              <w:tc>
                <w:tcPr>
                  <w:tcW w:w="605" w:type="pct"/>
                  <w:shd w:val="clear" w:color="auto" w:fill="auto"/>
                  <w:vAlign w:val="center"/>
                </w:tcPr>
                <w:p w14:paraId="68BD2BF2">
                  <w:pPr>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0.022</w:t>
                  </w:r>
                </w:p>
              </w:tc>
              <w:tc>
                <w:tcPr>
                  <w:tcW w:w="851" w:type="dxa"/>
                  <w:shd w:val="clear" w:color="auto" w:fill="auto"/>
                  <w:vAlign w:val="center"/>
                </w:tcPr>
                <w:p w14:paraId="040ADB0D">
                  <w:pPr>
                    <w:snapToGrid w:val="0"/>
                    <w:jc w:val="center"/>
                    <w:rPr>
                      <w:rFonts w:hint="default" w:ascii="Times New Roman" w:hAnsi="Times New Roman" w:eastAsia="仿宋" w:cs="Times New Roman"/>
                      <w:szCs w:val="21"/>
                    </w:rPr>
                  </w:pPr>
                  <w:r>
                    <w:rPr>
                      <w:rFonts w:hint="default" w:ascii="Times New Roman" w:hAnsi="Times New Roman" w:eastAsia="仿宋" w:cs="Times New Roman"/>
                      <w:color w:val="auto"/>
                      <w:spacing w:val="-11"/>
                      <w:szCs w:val="21"/>
                    </w:rPr>
                    <w:t>/</w:t>
                  </w:r>
                </w:p>
              </w:tc>
              <w:tc>
                <w:tcPr>
                  <w:tcW w:w="512" w:type="pct"/>
                  <w:shd w:val="clear" w:color="auto" w:fill="auto"/>
                  <w:vAlign w:val="center"/>
                </w:tcPr>
                <w:p w14:paraId="25D8CB89">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0.16</w:t>
                  </w:r>
                </w:p>
              </w:tc>
              <w:tc>
                <w:tcPr>
                  <w:tcW w:w="509" w:type="pct"/>
                  <w:shd w:val="clear" w:color="auto" w:fill="auto"/>
                  <w:vAlign w:val="center"/>
                </w:tcPr>
                <w:p w14:paraId="47F78104">
                  <w:pPr>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0.022</w:t>
                  </w:r>
                </w:p>
              </w:tc>
              <w:tc>
                <w:tcPr>
                  <w:tcW w:w="696" w:type="dxa"/>
                  <w:vMerge w:val="restart"/>
                  <w:vAlign w:val="center"/>
                </w:tcPr>
                <w:p w14:paraId="738DAE15">
                  <w:pPr>
                    <w:jc w:val="center"/>
                    <w:rPr>
                      <w:rFonts w:hint="default" w:ascii="Times New Roman" w:hAnsi="Times New Roman" w:eastAsia="仿宋" w:cs="Times New Roman"/>
                      <w:szCs w:val="21"/>
                      <w:lang w:val="en-US" w:eastAsia="zh-CN"/>
                    </w:rPr>
                  </w:pPr>
                  <w:r>
                    <w:rPr>
                      <w:rFonts w:hint="eastAsia" w:eastAsia="仿宋" w:cs="Times New Roman"/>
                      <w:color w:val="auto"/>
                      <w:spacing w:val="-11"/>
                      <w:sz w:val="21"/>
                      <w:szCs w:val="21"/>
                      <w:lang w:val="en-US" w:eastAsia="zh-CN"/>
                    </w:rPr>
                    <w:t>480</w:t>
                  </w:r>
                </w:p>
              </w:tc>
              <w:tc>
                <w:tcPr>
                  <w:tcW w:w="614" w:type="dxa"/>
                  <w:vMerge w:val="restart"/>
                  <w:vAlign w:val="center"/>
                </w:tcPr>
                <w:p w14:paraId="61467B09">
                  <w:pPr>
                    <w:jc w:val="center"/>
                    <w:rPr>
                      <w:rFonts w:hint="default" w:ascii="Times New Roman" w:hAnsi="Times New Roman" w:eastAsia="仿宋" w:cs="Times New Roman"/>
                      <w:szCs w:val="21"/>
                    </w:rPr>
                  </w:pPr>
                  <w:r>
                    <w:rPr>
                      <w:rFonts w:hint="default" w:ascii="Times New Roman" w:hAnsi="Times New Roman" w:eastAsia="仿宋" w:cs="Times New Roman"/>
                      <w:color w:val="auto"/>
                      <w:spacing w:val="-11"/>
                      <w:sz w:val="21"/>
                      <w:szCs w:val="21"/>
                      <w:lang w:val="en-US" w:eastAsia="zh-CN"/>
                    </w:rPr>
                    <w:t>10</w:t>
                  </w:r>
                </w:p>
              </w:tc>
            </w:tr>
            <w:tr w14:paraId="6A9BB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467" w:type="pct"/>
                  <w:vMerge w:val="continue"/>
                  <w:vAlign w:val="center"/>
                </w:tcPr>
                <w:p w14:paraId="2D33799B">
                  <w:pPr>
                    <w:jc w:val="center"/>
                    <w:rPr>
                      <w:rFonts w:hint="default" w:ascii="Times New Roman" w:hAnsi="Times New Roman" w:eastAsia="仿宋" w:cs="Times New Roman"/>
                      <w:sz w:val="20"/>
                      <w:szCs w:val="21"/>
                      <w:lang w:val="en-US" w:eastAsia="zh-CN"/>
                    </w:rPr>
                  </w:pPr>
                </w:p>
              </w:tc>
              <w:tc>
                <w:tcPr>
                  <w:tcW w:w="561" w:type="pct"/>
                  <w:vMerge w:val="continue"/>
                  <w:vAlign w:val="center"/>
                </w:tcPr>
                <w:p w14:paraId="71C56F7E">
                  <w:pPr>
                    <w:jc w:val="center"/>
                    <w:rPr>
                      <w:rFonts w:hint="default" w:ascii="Times New Roman" w:hAnsi="Times New Roman" w:eastAsia="仿宋" w:cs="Times New Roman"/>
                      <w:szCs w:val="21"/>
                    </w:rPr>
                  </w:pPr>
                </w:p>
              </w:tc>
              <w:tc>
                <w:tcPr>
                  <w:tcW w:w="463" w:type="pct"/>
                  <w:shd w:val="clear" w:color="auto" w:fill="auto"/>
                  <w:vAlign w:val="center"/>
                </w:tcPr>
                <w:p w14:paraId="4BAE6561">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二甲苯</w:t>
                  </w:r>
                </w:p>
              </w:tc>
              <w:tc>
                <w:tcPr>
                  <w:tcW w:w="594" w:type="pct"/>
                  <w:shd w:val="clear" w:color="auto" w:fill="auto"/>
                  <w:vAlign w:val="center"/>
                </w:tcPr>
                <w:p w14:paraId="331C7B7E">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0.01</w:t>
                  </w:r>
                </w:p>
              </w:tc>
              <w:tc>
                <w:tcPr>
                  <w:tcW w:w="605" w:type="pct"/>
                  <w:shd w:val="clear" w:color="auto" w:fill="auto"/>
                  <w:vAlign w:val="center"/>
                </w:tcPr>
                <w:p w14:paraId="714D702C">
                  <w:pPr>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0.001</w:t>
                  </w:r>
                </w:p>
              </w:tc>
              <w:tc>
                <w:tcPr>
                  <w:tcW w:w="851" w:type="dxa"/>
                  <w:shd w:val="clear" w:color="auto" w:fill="auto"/>
                  <w:vAlign w:val="center"/>
                </w:tcPr>
                <w:p w14:paraId="1DC03EB2">
                  <w:pPr>
                    <w:snapToGrid w:val="0"/>
                    <w:jc w:val="center"/>
                    <w:rPr>
                      <w:rFonts w:hint="default" w:ascii="Times New Roman" w:hAnsi="Times New Roman" w:eastAsia="仿宋" w:cs="Times New Roman"/>
                      <w:szCs w:val="21"/>
                    </w:rPr>
                  </w:pPr>
                  <w:r>
                    <w:rPr>
                      <w:rFonts w:hint="default" w:ascii="Times New Roman" w:hAnsi="Times New Roman" w:eastAsia="仿宋" w:cs="Times New Roman"/>
                      <w:color w:val="auto"/>
                      <w:spacing w:val="-11"/>
                      <w:szCs w:val="21"/>
                    </w:rPr>
                    <w:t>/</w:t>
                  </w:r>
                </w:p>
              </w:tc>
              <w:tc>
                <w:tcPr>
                  <w:tcW w:w="512" w:type="pct"/>
                  <w:shd w:val="clear" w:color="auto" w:fill="auto"/>
                  <w:vAlign w:val="center"/>
                </w:tcPr>
                <w:p w14:paraId="198F7D9E">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0.01</w:t>
                  </w:r>
                </w:p>
              </w:tc>
              <w:tc>
                <w:tcPr>
                  <w:tcW w:w="509" w:type="pct"/>
                  <w:shd w:val="clear" w:color="auto" w:fill="auto"/>
                  <w:vAlign w:val="center"/>
                </w:tcPr>
                <w:p w14:paraId="037F6D2B">
                  <w:pPr>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0.001</w:t>
                  </w:r>
                </w:p>
              </w:tc>
              <w:tc>
                <w:tcPr>
                  <w:tcW w:w="414" w:type="pct"/>
                  <w:vMerge w:val="continue"/>
                  <w:vAlign w:val="center"/>
                </w:tcPr>
                <w:p w14:paraId="5091292A">
                  <w:pPr>
                    <w:jc w:val="center"/>
                    <w:rPr>
                      <w:rFonts w:hint="default" w:ascii="Times New Roman" w:hAnsi="Times New Roman" w:eastAsia="仿宋" w:cs="Times New Roman"/>
                      <w:szCs w:val="21"/>
                      <w:lang w:eastAsia="zh-CN"/>
                    </w:rPr>
                  </w:pPr>
                </w:p>
              </w:tc>
              <w:tc>
                <w:tcPr>
                  <w:tcW w:w="365" w:type="pct"/>
                  <w:vMerge w:val="continue"/>
                  <w:vAlign w:val="center"/>
                </w:tcPr>
                <w:p w14:paraId="69D0893A">
                  <w:pPr>
                    <w:jc w:val="center"/>
                    <w:rPr>
                      <w:rFonts w:hint="default" w:ascii="Times New Roman" w:hAnsi="Times New Roman" w:eastAsia="仿宋" w:cs="Times New Roman"/>
                      <w:szCs w:val="21"/>
                    </w:rPr>
                  </w:pPr>
                </w:p>
              </w:tc>
            </w:tr>
            <w:tr w14:paraId="2FE38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467" w:type="pct"/>
                  <w:vMerge w:val="continue"/>
                  <w:vAlign w:val="center"/>
                </w:tcPr>
                <w:p w14:paraId="54A652CD">
                  <w:pPr>
                    <w:jc w:val="center"/>
                    <w:rPr>
                      <w:rFonts w:hint="default" w:ascii="Times New Roman" w:hAnsi="Times New Roman" w:eastAsia="仿宋" w:cs="Times New Roman"/>
                      <w:sz w:val="20"/>
                      <w:szCs w:val="21"/>
                      <w:lang w:val="en-US" w:eastAsia="zh-CN"/>
                    </w:rPr>
                  </w:pPr>
                </w:p>
              </w:tc>
              <w:tc>
                <w:tcPr>
                  <w:tcW w:w="561" w:type="pct"/>
                  <w:vMerge w:val="continue"/>
                  <w:vAlign w:val="center"/>
                </w:tcPr>
                <w:p w14:paraId="7B5168D0">
                  <w:pPr>
                    <w:jc w:val="center"/>
                    <w:rPr>
                      <w:rFonts w:hint="default" w:ascii="Times New Roman" w:hAnsi="Times New Roman" w:eastAsia="仿宋" w:cs="Times New Roman"/>
                      <w:szCs w:val="21"/>
                    </w:rPr>
                  </w:pPr>
                </w:p>
              </w:tc>
              <w:tc>
                <w:tcPr>
                  <w:tcW w:w="463" w:type="pct"/>
                  <w:shd w:val="clear" w:color="auto" w:fill="auto"/>
                  <w:vAlign w:val="center"/>
                </w:tcPr>
                <w:p w14:paraId="27CD7908">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VOCs</w:t>
                  </w:r>
                </w:p>
              </w:tc>
              <w:tc>
                <w:tcPr>
                  <w:tcW w:w="594" w:type="pct"/>
                  <w:shd w:val="clear" w:color="auto" w:fill="auto"/>
                  <w:vAlign w:val="center"/>
                </w:tcPr>
                <w:p w14:paraId="1916A8C1">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0.206</w:t>
                  </w:r>
                </w:p>
              </w:tc>
              <w:tc>
                <w:tcPr>
                  <w:tcW w:w="605" w:type="pct"/>
                  <w:shd w:val="clear" w:color="auto" w:fill="auto"/>
                  <w:vAlign w:val="center"/>
                </w:tcPr>
                <w:p w14:paraId="19D3A9AE">
                  <w:pPr>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0.029</w:t>
                  </w:r>
                </w:p>
              </w:tc>
              <w:tc>
                <w:tcPr>
                  <w:tcW w:w="851" w:type="dxa"/>
                  <w:shd w:val="clear" w:color="auto" w:fill="auto"/>
                  <w:vAlign w:val="center"/>
                </w:tcPr>
                <w:p w14:paraId="59B113D9">
                  <w:pPr>
                    <w:snapToGrid w:val="0"/>
                    <w:jc w:val="center"/>
                    <w:rPr>
                      <w:rFonts w:hint="default" w:ascii="Times New Roman" w:hAnsi="Times New Roman" w:eastAsia="仿宋" w:cs="Times New Roman"/>
                      <w:szCs w:val="21"/>
                    </w:rPr>
                  </w:pPr>
                  <w:r>
                    <w:rPr>
                      <w:rFonts w:hint="default" w:ascii="Times New Roman" w:hAnsi="Times New Roman" w:eastAsia="仿宋" w:cs="Times New Roman"/>
                      <w:color w:val="auto"/>
                      <w:spacing w:val="-11"/>
                      <w:szCs w:val="21"/>
                    </w:rPr>
                    <w:t>/</w:t>
                  </w:r>
                </w:p>
              </w:tc>
              <w:tc>
                <w:tcPr>
                  <w:tcW w:w="512" w:type="pct"/>
                  <w:shd w:val="clear" w:color="auto" w:fill="auto"/>
                  <w:vAlign w:val="center"/>
                </w:tcPr>
                <w:p w14:paraId="0CAE11D8">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0.206</w:t>
                  </w:r>
                </w:p>
              </w:tc>
              <w:tc>
                <w:tcPr>
                  <w:tcW w:w="509" w:type="pct"/>
                  <w:shd w:val="clear" w:color="auto" w:fill="auto"/>
                  <w:vAlign w:val="center"/>
                </w:tcPr>
                <w:p w14:paraId="1448466E">
                  <w:pPr>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0.029</w:t>
                  </w:r>
                </w:p>
              </w:tc>
              <w:tc>
                <w:tcPr>
                  <w:tcW w:w="414" w:type="pct"/>
                  <w:vMerge w:val="continue"/>
                  <w:vAlign w:val="center"/>
                </w:tcPr>
                <w:p w14:paraId="6F485DEE">
                  <w:pPr>
                    <w:jc w:val="center"/>
                    <w:rPr>
                      <w:rFonts w:hint="default" w:ascii="Times New Roman" w:hAnsi="Times New Roman" w:eastAsia="仿宋" w:cs="Times New Roman"/>
                      <w:szCs w:val="21"/>
                      <w:lang w:eastAsia="zh-CN"/>
                    </w:rPr>
                  </w:pPr>
                </w:p>
              </w:tc>
              <w:tc>
                <w:tcPr>
                  <w:tcW w:w="365" w:type="pct"/>
                  <w:vMerge w:val="continue"/>
                  <w:vAlign w:val="center"/>
                </w:tcPr>
                <w:p w14:paraId="470DB9CD">
                  <w:pPr>
                    <w:jc w:val="center"/>
                    <w:rPr>
                      <w:rFonts w:hint="default" w:ascii="Times New Roman" w:hAnsi="Times New Roman" w:eastAsia="仿宋" w:cs="Times New Roman"/>
                      <w:szCs w:val="21"/>
                    </w:rPr>
                  </w:pPr>
                </w:p>
              </w:tc>
            </w:tr>
            <w:tr w14:paraId="40B3B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5" w:hRule="atLeast"/>
                <w:jc w:val="center"/>
              </w:trPr>
              <w:tc>
                <w:tcPr>
                  <w:tcW w:w="467" w:type="pct"/>
                  <w:vAlign w:val="center"/>
                </w:tcPr>
                <w:p w14:paraId="51257B1F">
                  <w:pPr>
                    <w:jc w:val="center"/>
                    <w:rPr>
                      <w:rFonts w:hint="default" w:ascii="Times New Roman" w:hAnsi="Times New Roman" w:eastAsia="仿宋" w:cs="Times New Roman"/>
                      <w:sz w:val="20"/>
                      <w:szCs w:val="21"/>
                      <w:lang w:val="en-US" w:eastAsia="zh-CN"/>
                    </w:rPr>
                  </w:pPr>
                  <w:r>
                    <w:rPr>
                      <w:rFonts w:hint="default" w:ascii="Times New Roman" w:hAnsi="Times New Roman" w:eastAsia="仿宋" w:cs="Times New Roman"/>
                      <w:sz w:val="20"/>
                      <w:szCs w:val="21"/>
                      <w:lang w:val="en-US" w:eastAsia="zh-CN"/>
                    </w:rPr>
                    <w:t>F16车间</w:t>
                  </w:r>
                </w:p>
              </w:tc>
              <w:tc>
                <w:tcPr>
                  <w:tcW w:w="561" w:type="pct"/>
                  <w:vAlign w:val="center"/>
                </w:tcPr>
                <w:p w14:paraId="399F0BAF">
                  <w:pPr>
                    <w:jc w:val="center"/>
                    <w:rPr>
                      <w:rFonts w:hint="default" w:ascii="Times New Roman" w:hAnsi="Times New Roman" w:eastAsia="仿宋" w:cs="Times New Roman"/>
                      <w:szCs w:val="21"/>
                    </w:rPr>
                  </w:pPr>
                  <w:r>
                    <w:rPr>
                      <w:rFonts w:hint="default" w:ascii="Times New Roman" w:hAnsi="Times New Roman" w:eastAsia="仿宋" w:cs="Times New Roman"/>
                      <w:szCs w:val="21"/>
                    </w:rPr>
                    <w:t>未捕集的废气</w:t>
                  </w:r>
                </w:p>
              </w:tc>
              <w:tc>
                <w:tcPr>
                  <w:tcW w:w="463" w:type="pct"/>
                  <w:shd w:val="clear" w:color="auto" w:fill="auto"/>
                  <w:vAlign w:val="center"/>
                </w:tcPr>
                <w:p w14:paraId="6ACBD7FC">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VOCs</w:t>
                  </w:r>
                </w:p>
              </w:tc>
              <w:tc>
                <w:tcPr>
                  <w:tcW w:w="594" w:type="pct"/>
                  <w:shd w:val="clear" w:color="auto" w:fill="auto"/>
                  <w:vAlign w:val="center"/>
                </w:tcPr>
                <w:p w14:paraId="1676EAA4">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0.157</w:t>
                  </w:r>
                </w:p>
              </w:tc>
              <w:tc>
                <w:tcPr>
                  <w:tcW w:w="605" w:type="pct"/>
                  <w:shd w:val="clear" w:color="auto" w:fill="auto"/>
                  <w:vAlign w:val="center"/>
                </w:tcPr>
                <w:p w14:paraId="56B5B999">
                  <w:pPr>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0.022</w:t>
                  </w:r>
                </w:p>
              </w:tc>
              <w:tc>
                <w:tcPr>
                  <w:tcW w:w="851" w:type="dxa"/>
                  <w:shd w:val="clear" w:color="auto" w:fill="auto"/>
                  <w:vAlign w:val="center"/>
                </w:tcPr>
                <w:p w14:paraId="589EDB24">
                  <w:pPr>
                    <w:snapToGrid w:val="0"/>
                    <w:jc w:val="center"/>
                    <w:rPr>
                      <w:rFonts w:hint="default" w:ascii="Times New Roman" w:hAnsi="Times New Roman" w:eastAsia="仿宋" w:cs="Times New Roman"/>
                      <w:szCs w:val="21"/>
                    </w:rPr>
                  </w:pPr>
                  <w:r>
                    <w:rPr>
                      <w:rFonts w:hint="default" w:ascii="Times New Roman" w:hAnsi="Times New Roman" w:eastAsia="仿宋" w:cs="Times New Roman"/>
                      <w:color w:val="auto"/>
                      <w:spacing w:val="-11"/>
                      <w:szCs w:val="21"/>
                    </w:rPr>
                    <w:t>/</w:t>
                  </w:r>
                </w:p>
              </w:tc>
              <w:tc>
                <w:tcPr>
                  <w:tcW w:w="512" w:type="pct"/>
                  <w:shd w:val="clear" w:color="auto" w:fill="auto"/>
                  <w:vAlign w:val="center"/>
                </w:tcPr>
                <w:p w14:paraId="0FD265BA">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0.157</w:t>
                  </w:r>
                </w:p>
              </w:tc>
              <w:tc>
                <w:tcPr>
                  <w:tcW w:w="509" w:type="pct"/>
                  <w:shd w:val="clear" w:color="auto" w:fill="auto"/>
                  <w:vAlign w:val="center"/>
                </w:tcPr>
                <w:p w14:paraId="344DEF23">
                  <w:pPr>
                    <w:jc w:val="center"/>
                    <w:rPr>
                      <w:rFonts w:hint="default" w:ascii="Times New Roman" w:hAnsi="Times New Roman" w:eastAsia="仿宋" w:cs="Times New Roman"/>
                      <w:i w:val="0"/>
                      <w:iCs w:val="0"/>
                      <w:color w:val="auto"/>
                      <w:kern w:val="0"/>
                      <w:sz w:val="21"/>
                      <w:szCs w:val="21"/>
                      <w:u w:val="none"/>
                      <w:lang w:val="en-US" w:eastAsia="zh-CN" w:bidi="ar"/>
                    </w:rPr>
                  </w:pPr>
                  <w:r>
                    <w:rPr>
                      <w:rFonts w:hint="default" w:ascii="Times New Roman" w:hAnsi="Times New Roman" w:eastAsia="仿宋" w:cs="Times New Roman"/>
                      <w:i w:val="0"/>
                      <w:iCs w:val="0"/>
                      <w:color w:val="auto"/>
                      <w:kern w:val="0"/>
                      <w:sz w:val="21"/>
                      <w:szCs w:val="21"/>
                      <w:u w:val="none"/>
                      <w:lang w:val="en-US" w:eastAsia="zh-CN" w:bidi="ar"/>
                    </w:rPr>
                    <w:t>0.022</w:t>
                  </w:r>
                </w:p>
              </w:tc>
              <w:tc>
                <w:tcPr>
                  <w:tcW w:w="696" w:type="dxa"/>
                  <w:vAlign w:val="center"/>
                </w:tcPr>
                <w:p w14:paraId="6AF7E4E7">
                  <w:pPr>
                    <w:jc w:val="center"/>
                    <w:rPr>
                      <w:rFonts w:hint="default" w:ascii="Times New Roman" w:hAnsi="Times New Roman" w:eastAsia="仿宋" w:cs="Times New Roman"/>
                      <w:szCs w:val="21"/>
                      <w:lang w:eastAsia="zh-CN"/>
                    </w:rPr>
                  </w:pPr>
                  <w:r>
                    <w:rPr>
                      <w:rFonts w:hint="default" w:ascii="Times New Roman" w:hAnsi="Times New Roman" w:eastAsia="仿宋" w:cs="Times New Roman"/>
                      <w:color w:val="auto"/>
                      <w:spacing w:val="-11"/>
                      <w:sz w:val="21"/>
                      <w:szCs w:val="21"/>
                      <w:lang w:val="en-US" w:eastAsia="zh-CN"/>
                    </w:rPr>
                    <w:t>1200</w:t>
                  </w:r>
                </w:p>
              </w:tc>
              <w:tc>
                <w:tcPr>
                  <w:tcW w:w="614" w:type="dxa"/>
                  <w:vAlign w:val="center"/>
                </w:tcPr>
                <w:p w14:paraId="59872B7F">
                  <w:pPr>
                    <w:jc w:val="center"/>
                    <w:rPr>
                      <w:rFonts w:hint="default" w:ascii="Times New Roman" w:hAnsi="Times New Roman" w:eastAsia="仿宋" w:cs="Times New Roman"/>
                      <w:szCs w:val="21"/>
                    </w:rPr>
                  </w:pPr>
                  <w:r>
                    <w:rPr>
                      <w:rFonts w:hint="default" w:ascii="Times New Roman" w:hAnsi="Times New Roman" w:eastAsia="仿宋" w:cs="Times New Roman"/>
                      <w:color w:val="auto"/>
                      <w:spacing w:val="-11"/>
                      <w:sz w:val="21"/>
                      <w:szCs w:val="21"/>
                      <w:lang w:val="en-US" w:eastAsia="zh-CN"/>
                    </w:rPr>
                    <w:t>10</w:t>
                  </w:r>
                </w:p>
              </w:tc>
            </w:tr>
          </w:tbl>
          <w:p w14:paraId="0E1D8972">
            <w:pPr>
              <w:adjustRightInd w:val="0"/>
              <w:snapToGrid w:val="0"/>
              <w:spacing w:before="120" w:beforeLines="5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5</w:t>
            </w:r>
            <w:r>
              <w:rPr>
                <w:rFonts w:hint="default" w:ascii="Times New Roman" w:hAnsi="Times New Roman" w:eastAsia="仿宋" w:cs="Times New Roman"/>
                <w:b/>
                <w:bCs/>
                <w:color w:val="auto"/>
                <w:sz w:val="24"/>
              </w:rPr>
              <w:t xml:space="preserve">  面源参数表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4"/>
              <w:gridCol w:w="1439"/>
              <w:gridCol w:w="1190"/>
              <w:gridCol w:w="736"/>
              <w:gridCol w:w="647"/>
              <w:gridCol w:w="646"/>
              <w:gridCol w:w="738"/>
              <w:gridCol w:w="830"/>
              <w:gridCol w:w="740"/>
              <w:gridCol w:w="810"/>
            </w:tblGrid>
            <w:tr w14:paraId="3D1A7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pct"/>
                  <w:vMerge w:val="restart"/>
                  <w:noWrap w:val="0"/>
                  <w:vAlign w:val="center"/>
                </w:tcPr>
                <w:p w14:paraId="141DF018">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名称</w:t>
                  </w:r>
                </w:p>
              </w:tc>
              <w:tc>
                <w:tcPr>
                  <w:tcW w:w="1564" w:type="pct"/>
                  <w:gridSpan w:val="2"/>
                  <w:noWrap w:val="0"/>
                  <w:vAlign w:val="center"/>
                </w:tcPr>
                <w:p w14:paraId="544B0E1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面源起点坐标</w:t>
                  </w:r>
                </w:p>
              </w:tc>
              <w:tc>
                <w:tcPr>
                  <w:tcW w:w="438" w:type="pct"/>
                  <w:vMerge w:val="restart"/>
                  <w:noWrap w:val="0"/>
                  <w:vAlign w:val="center"/>
                </w:tcPr>
                <w:p w14:paraId="2667A97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面源海拔高度（m）</w:t>
                  </w:r>
                </w:p>
              </w:tc>
              <w:tc>
                <w:tcPr>
                  <w:tcW w:w="385" w:type="pct"/>
                  <w:vMerge w:val="restart"/>
                  <w:noWrap w:val="0"/>
                  <w:vAlign w:val="center"/>
                </w:tcPr>
                <w:p w14:paraId="364D8048">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面源</w:t>
                  </w:r>
                </w:p>
                <w:p w14:paraId="3FA812AE">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长度（m）</w:t>
                  </w:r>
                </w:p>
              </w:tc>
              <w:tc>
                <w:tcPr>
                  <w:tcW w:w="384" w:type="pct"/>
                  <w:vMerge w:val="restart"/>
                  <w:noWrap w:val="0"/>
                  <w:vAlign w:val="center"/>
                </w:tcPr>
                <w:p w14:paraId="52383FBC">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面源</w:t>
                  </w:r>
                </w:p>
                <w:p w14:paraId="79FC676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宽度（m）</w:t>
                  </w:r>
                </w:p>
              </w:tc>
              <w:tc>
                <w:tcPr>
                  <w:tcW w:w="439" w:type="pct"/>
                  <w:vMerge w:val="restart"/>
                  <w:noWrap w:val="0"/>
                  <w:vAlign w:val="center"/>
                </w:tcPr>
                <w:p w14:paraId="18079EF9">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b/>
                      <w:color w:val="auto"/>
                      <w:szCs w:val="21"/>
                    </w:rPr>
                    <w:t>与正北方向夹角</w:t>
                  </w:r>
                  <w:r>
                    <w:rPr>
                      <w:rFonts w:hint="default" w:ascii="Times New Roman" w:hAnsi="Times New Roman" w:eastAsia="仿宋" w:cs="Times New Roman"/>
                      <w:b/>
                      <w:color w:val="auto"/>
                      <w:szCs w:val="21"/>
                      <w:lang w:val="en-US" w:eastAsia="zh-CN"/>
                    </w:rPr>
                    <w:t>(</w:t>
                  </w:r>
                  <w:r>
                    <w:rPr>
                      <w:rFonts w:hint="default" w:ascii="Times New Roman" w:hAnsi="Times New Roman" w:eastAsia="仿宋" w:cs="Times New Roman"/>
                      <w:b/>
                      <w:color w:val="auto"/>
                      <w:szCs w:val="21"/>
                    </w:rPr>
                    <w:t>°</w:t>
                  </w:r>
                  <w:r>
                    <w:rPr>
                      <w:rFonts w:hint="default" w:ascii="Times New Roman" w:hAnsi="Times New Roman" w:eastAsia="仿宋" w:cs="Times New Roman"/>
                      <w:b/>
                      <w:color w:val="auto"/>
                      <w:szCs w:val="21"/>
                      <w:lang w:val="en-US" w:eastAsia="zh-CN"/>
                    </w:rPr>
                    <w:t>)</w:t>
                  </w:r>
                </w:p>
              </w:tc>
              <w:tc>
                <w:tcPr>
                  <w:tcW w:w="494" w:type="pct"/>
                  <w:vMerge w:val="restart"/>
                  <w:noWrap w:val="0"/>
                  <w:vAlign w:val="center"/>
                </w:tcPr>
                <w:p w14:paraId="04523113">
                  <w:pPr>
                    <w:adjustRightInd w:val="0"/>
                    <w:snapToGrid w:val="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b/>
                      <w:color w:val="auto"/>
                      <w:szCs w:val="21"/>
                    </w:rPr>
                    <w:t>面源有效排放高度</w:t>
                  </w:r>
                  <w:r>
                    <w:rPr>
                      <w:rFonts w:hint="default" w:ascii="Times New Roman" w:hAnsi="Times New Roman" w:eastAsia="仿宋" w:cs="Times New Roman"/>
                      <w:b/>
                      <w:color w:val="auto"/>
                      <w:szCs w:val="21"/>
                      <w:lang w:val="en-US" w:eastAsia="zh-CN"/>
                    </w:rPr>
                    <w:t>(</w:t>
                  </w:r>
                  <w:r>
                    <w:rPr>
                      <w:rFonts w:hint="default" w:ascii="Times New Roman" w:hAnsi="Times New Roman" w:eastAsia="仿宋" w:cs="Times New Roman"/>
                      <w:b/>
                      <w:color w:val="auto"/>
                      <w:szCs w:val="21"/>
                    </w:rPr>
                    <w:t>m</w:t>
                  </w:r>
                  <w:r>
                    <w:rPr>
                      <w:rFonts w:hint="default" w:ascii="Times New Roman" w:hAnsi="Times New Roman" w:eastAsia="仿宋" w:cs="Times New Roman"/>
                      <w:b/>
                      <w:color w:val="auto"/>
                      <w:szCs w:val="21"/>
                      <w:lang w:val="en-US" w:eastAsia="zh-CN"/>
                    </w:rPr>
                    <w:t>)</w:t>
                  </w:r>
                </w:p>
              </w:tc>
              <w:tc>
                <w:tcPr>
                  <w:tcW w:w="440" w:type="pct"/>
                  <w:vMerge w:val="restart"/>
                  <w:noWrap w:val="0"/>
                  <w:vAlign w:val="center"/>
                </w:tcPr>
                <w:p w14:paraId="4D896C93">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年排放小时数（h）</w:t>
                  </w:r>
                </w:p>
              </w:tc>
              <w:tc>
                <w:tcPr>
                  <w:tcW w:w="482" w:type="pct"/>
                  <w:vMerge w:val="restart"/>
                  <w:noWrap w:val="0"/>
                  <w:vAlign w:val="center"/>
                </w:tcPr>
                <w:p w14:paraId="79B4C495">
                  <w:pPr>
                    <w:adjustRightInd w:val="0"/>
                    <w:snapToGrid w:val="0"/>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排放</w:t>
                  </w:r>
                </w:p>
                <w:p w14:paraId="1BE8B26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工况</w:t>
                  </w:r>
                </w:p>
              </w:tc>
            </w:tr>
            <w:tr w14:paraId="622E4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pct"/>
                  <w:vMerge w:val="continue"/>
                  <w:noWrap w:val="0"/>
                  <w:vAlign w:val="center"/>
                </w:tcPr>
                <w:p w14:paraId="4A008AF6">
                  <w:pPr>
                    <w:adjustRightInd w:val="0"/>
                    <w:snapToGrid w:val="0"/>
                    <w:jc w:val="center"/>
                    <w:rPr>
                      <w:rFonts w:hint="default" w:ascii="Times New Roman" w:hAnsi="Times New Roman" w:eastAsia="仿宋" w:cs="Times New Roman"/>
                      <w:color w:val="auto"/>
                      <w:szCs w:val="21"/>
                    </w:rPr>
                  </w:pPr>
                </w:p>
              </w:tc>
              <w:tc>
                <w:tcPr>
                  <w:tcW w:w="856" w:type="pct"/>
                  <w:noWrap w:val="0"/>
                  <w:vAlign w:val="center"/>
                </w:tcPr>
                <w:p w14:paraId="6828481B">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经度（</w:t>
                  </w:r>
                  <w:r>
                    <w:rPr>
                      <w:rFonts w:hint="default" w:ascii="Times New Roman" w:hAnsi="Times New Roman" w:eastAsia="仿宋" w:cs="Times New Roman"/>
                      <w:bCs/>
                      <w:color w:val="auto"/>
                      <w:szCs w:val="21"/>
                    </w:rPr>
                    <w:t>°</w:t>
                  </w:r>
                  <w:r>
                    <w:rPr>
                      <w:rFonts w:hint="default" w:ascii="Times New Roman" w:hAnsi="Times New Roman" w:eastAsia="仿宋" w:cs="Times New Roman"/>
                      <w:b/>
                      <w:color w:val="auto"/>
                      <w:szCs w:val="21"/>
                    </w:rPr>
                    <w:t>）</w:t>
                  </w:r>
                </w:p>
              </w:tc>
              <w:tc>
                <w:tcPr>
                  <w:tcW w:w="707" w:type="pct"/>
                  <w:noWrap w:val="0"/>
                  <w:vAlign w:val="center"/>
                </w:tcPr>
                <w:p w14:paraId="3E0F1474">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b/>
                      <w:color w:val="auto"/>
                      <w:szCs w:val="21"/>
                    </w:rPr>
                    <w:t>纬度（</w:t>
                  </w:r>
                  <w:r>
                    <w:rPr>
                      <w:rFonts w:hint="default" w:ascii="Times New Roman" w:hAnsi="Times New Roman" w:eastAsia="仿宋" w:cs="Times New Roman"/>
                      <w:bCs/>
                      <w:color w:val="auto"/>
                      <w:szCs w:val="21"/>
                    </w:rPr>
                    <w:t>°</w:t>
                  </w:r>
                  <w:r>
                    <w:rPr>
                      <w:rFonts w:hint="default" w:ascii="Times New Roman" w:hAnsi="Times New Roman" w:eastAsia="仿宋" w:cs="Times New Roman"/>
                      <w:b/>
                      <w:color w:val="auto"/>
                      <w:szCs w:val="21"/>
                    </w:rPr>
                    <w:t>）</w:t>
                  </w:r>
                </w:p>
              </w:tc>
              <w:tc>
                <w:tcPr>
                  <w:tcW w:w="438" w:type="pct"/>
                  <w:vMerge w:val="continue"/>
                  <w:noWrap w:val="0"/>
                  <w:vAlign w:val="center"/>
                </w:tcPr>
                <w:p w14:paraId="45601CE5">
                  <w:pPr>
                    <w:adjustRightInd w:val="0"/>
                    <w:snapToGrid w:val="0"/>
                    <w:jc w:val="center"/>
                    <w:rPr>
                      <w:rFonts w:hint="default" w:ascii="Times New Roman" w:hAnsi="Times New Roman" w:eastAsia="仿宋" w:cs="Times New Roman"/>
                      <w:color w:val="auto"/>
                      <w:szCs w:val="21"/>
                    </w:rPr>
                  </w:pPr>
                </w:p>
              </w:tc>
              <w:tc>
                <w:tcPr>
                  <w:tcW w:w="385" w:type="pct"/>
                  <w:vMerge w:val="continue"/>
                  <w:noWrap w:val="0"/>
                  <w:vAlign w:val="center"/>
                </w:tcPr>
                <w:p w14:paraId="162CE004">
                  <w:pPr>
                    <w:adjustRightInd w:val="0"/>
                    <w:snapToGrid w:val="0"/>
                    <w:jc w:val="center"/>
                    <w:rPr>
                      <w:rFonts w:hint="default" w:ascii="Times New Roman" w:hAnsi="Times New Roman" w:eastAsia="仿宋" w:cs="Times New Roman"/>
                      <w:color w:val="auto"/>
                      <w:szCs w:val="21"/>
                    </w:rPr>
                  </w:pPr>
                </w:p>
              </w:tc>
              <w:tc>
                <w:tcPr>
                  <w:tcW w:w="384" w:type="pct"/>
                  <w:vMerge w:val="continue"/>
                  <w:noWrap w:val="0"/>
                  <w:vAlign w:val="center"/>
                </w:tcPr>
                <w:p w14:paraId="24B2F5C9">
                  <w:pPr>
                    <w:adjustRightInd w:val="0"/>
                    <w:snapToGrid w:val="0"/>
                    <w:jc w:val="center"/>
                    <w:rPr>
                      <w:rFonts w:hint="default" w:ascii="Times New Roman" w:hAnsi="Times New Roman" w:eastAsia="仿宋" w:cs="Times New Roman"/>
                      <w:color w:val="auto"/>
                      <w:szCs w:val="21"/>
                    </w:rPr>
                  </w:pPr>
                </w:p>
              </w:tc>
              <w:tc>
                <w:tcPr>
                  <w:tcW w:w="439" w:type="pct"/>
                  <w:vMerge w:val="continue"/>
                  <w:noWrap w:val="0"/>
                  <w:vAlign w:val="center"/>
                </w:tcPr>
                <w:p w14:paraId="66E941AC">
                  <w:pPr>
                    <w:adjustRightInd w:val="0"/>
                    <w:snapToGrid w:val="0"/>
                    <w:jc w:val="center"/>
                    <w:rPr>
                      <w:rFonts w:hint="default" w:ascii="Times New Roman" w:hAnsi="Times New Roman" w:eastAsia="仿宋" w:cs="Times New Roman"/>
                      <w:color w:val="auto"/>
                      <w:szCs w:val="21"/>
                    </w:rPr>
                  </w:pPr>
                </w:p>
              </w:tc>
              <w:tc>
                <w:tcPr>
                  <w:tcW w:w="494" w:type="pct"/>
                  <w:vMerge w:val="continue"/>
                  <w:noWrap w:val="0"/>
                  <w:vAlign w:val="center"/>
                </w:tcPr>
                <w:p w14:paraId="4A7C32EE">
                  <w:pPr>
                    <w:adjustRightInd w:val="0"/>
                    <w:snapToGrid w:val="0"/>
                    <w:jc w:val="center"/>
                    <w:rPr>
                      <w:rFonts w:hint="default" w:ascii="Times New Roman" w:hAnsi="Times New Roman" w:eastAsia="仿宋" w:cs="Times New Roman"/>
                      <w:color w:val="auto"/>
                      <w:szCs w:val="21"/>
                    </w:rPr>
                  </w:pPr>
                </w:p>
              </w:tc>
              <w:tc>
                <w:tcPr>
                  <w:tcW w:w="440" w:type="pct"/>
                  <w:vMerge w:val="continue"/>
                  <w:noWrap w:val="0"/>
                  <w:vAlign w:val="center"/>
                </w:tcPr>
                <w:p w14:paraId="603143CC">
                  <w:pPr>
                    <w:adjustRightInd w:val="0"/>
                    <w:snapToGrid w:val="0"/>
                    <w:jc w:val="center"/>
                    <w:rPr>
                      <w:rFonts w:hint="default" w:ascii="Times New Roman" w:hAnsi="Times New Roman" w:eastAsia="仿宋" w:cs="Times New Roman"/>
                      <w:color w:val="auto"/>
                      <w:szCs w:val="21"/>
                    </w:rPr>
                  </w:pPr>
                </w:p>
              </w:tc>
              <w:tc>
                <w:tcPr>
                  <w:tcW w:w="482" w:type="pct"/>
                  <w:vMerge w:val="continue"/>
                  <w:noWrap w:val="0"/>
                  <w:vAlign w:val="center"/>
                </w:tcPr>
                <w:p w14:paraId="6E8B2B5C">
                  <w:pPr>
                    <w:adjustRightInd w:val="0"/>
                    <w:snapToGrid w:val="0"/>
                    <w:jc w:val="center"/>
                    <w:rPr>
                      <w:rFonts w:hint="default" w:ascii="Times New Roman" w:hAnsi="Times New Roman" w:eastAsia="仿宋" w:cs="Times New Roman"/>
                      <w:color w:val="auto"/>
                      <w:szCs w:val="21"/>
                    </w:rPr>
                  </w:pPr>
                </w:p>
              </w:tc>
            </w:tr>
            <w:tr w14:paraId="7CCCE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pct"/>
                  <w:noWrap w:val="0"/>
                  <w:vAlign w:val="center"/>
                </w:tcPr>
                <w:p w14:paraId="7BFA9C3A">
                  <w:pPr>
                    <w:jc w:val="center"/>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pacing w:val="-11"/>
                      <w:sz w:val="21"/>
                      <w:szCs w:val="21"/>
                      <w:lang w:val="en-US" w:eastAsia="zh-CN"/>
                    </w:rPr>
                    <w:t>D6车间</w:t>
                  </w:r>
                </w:p>
              </w:tc>
              <w:tc>
                <w:tcPr>
                  <w:tcW w:w="856" w:type="pct"/>
                  <w:noWrap w:val="0"/>
                  <w:vAlign w:val="center"/>
                </w:tcPr>
                <w:p w14:paraId="5635D7BD">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119.</w:t>
                  </w:r>
                  <w:r>
                    <w:rPr>
                      <w:rFonts w:hint="default" w:ascii="Times New Roman" w:hAnsi="Times New Roman" w:eastAsia="仿宋" w:cs="Times New Roman"/>
                      <w:color w:val="auto"/>
                      <w:szCs w:val="21"/>
                      <w:lang w:val="en-US" w:eastAsia="zh-CN"/>
                    </w:rPr>
                    <w:t>589426</w:t>
                  </w:r>
                </w:p>
              </w:tc>
              <w:tc>
                <w:tcPr>
                  <w:tcW w:w="707" w:type="pct"/>
                  <w:noWrap w:val="0"/>
                  <w:vAlign w:val="center"/>
                </w:tcPr>
                <w:p w14:paraId="5F0FECCD">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31.</w:t>
                  </w:r>
                  <w:r>
                    <w:rPr>
                      <w:rFonts w:hint="default" w:ascii="Times New Roman" w:hAnsi="Times New Roman" w:eastAsia="仿宋" w:cs="Times New Roman"/>
                      <w:color w:val="auto"/>
                      <w:szCs w:val="21"/>
                      <w:lang w:val="en-US" w:eastAsia="zh-CN"/>
                    </w:rPr>
                    <w:t>778259</w:t>
                  </w:r>
                </w:p>
              </w:tc>
              <w:tc>
                <w:tcPr>
                  <w:tcW w:w="438" w:type="pct"/>
                  <w:noWrap w:val="0"/>
                  <w:vAlign w:val="center"/>
                </w:tcPr>
                <w:p w14:paraId="748D311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w:t>
                  </w:r>
                </w:p>
              </w:tc>
              <w:tc>
                <w:tcPr>
                  <w:tcW w:w="385" w:type="pct"/>
                  <w:noWrap w:val="0"/>
                  <w:vAlign w:val="center"/>
                </w:tcPr>
                <w:p w14:paraId="16C3225E">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w:t>
                  </w:r>
                </w:p>
              </w:tc>
              <w:tc>
                <w:tcPr>
                  <w:tcW w:w="384" w:type="pct"/>
                  <w:noWrap w:val="0"/>
                  <w:vAlign w:val="center"/>
                </w:tcPr>
                <w:p w14:paraId="25EB7A46">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24</w:t>
                  </w:r>
                </w:p>
              </w:tc>
              <w:tc>
                <w:tcPr>
                  <w:tcW w:w="439" w:type="pct"/>
                  <w:noWrap w:val="0"/>
                  <w:vAlign w:val="center"/>
                </w:tcPr>
                <w:p w14:paraId="1C3A2617">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494" w:type="pct"/>
                  <w:noWrap w:val="0"/>
                  <w:vAlign w:val="center"/>
                </w:tcPr>
                <w:p w14:paraId="38CFDF5D">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w:t>
                  </w:r>
                </w:p>
              </w:tc>
              <w:tc>
                <w:tcPr>
                  <w:tcW w:w="440" w:type="pct"/>
                  <w:noWrap w:val="0"/>
                  <w:vAlign w:val="center"/>
                </w:tcPr>
                <w:p w14:paraId="591AB87C">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7200</w:t>
                  </w:r>
                </w:p>
              </w:tc>
              <w:tc>
                <w:tcPr>
                  <w:tcW w:w="482" w:type="pct"/>
                  <w:noWrap w:val="0"/>
                  <w:vAlign w:val="center"/>
                </w:tcPr>
                <w:p w14:paraId="45C41250">
                  <w:pPr>
                    <w:adjustRightInd w:val="0"/>
                    <w:snapToGrid w:val="0"/>
                    <w:ind w:left="-21" w:leftChars="-10" w:right="-21" w:rightChars="-1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正常、</w:t>
                  </w:r>
                </w:p>
                <w:p w14:paraId="589D0EB1">
                  <w:pPr>
                    <w:adjustRightInd w:val="0"/>
                    <w:snapToGrid w:val="0"/>
                    <w:ind w:left="-21" w:leftChars="-10" w:right="-21" w:rightChars="-1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连续</w:t>
                  </w:r>
                </w:p>
              </w:tc>
            </w:tr>
            <w:tr w14:paraId="4B30C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pct"/>
                  <w:shd w:val="clear" w:color="auto" w:fill="auto"/>
                  <w:noWrap w:val="0"/>
                  <w:vAlign w:val="center"/>
                </w:tcPr>
                <w:p w14:paraId="1A58DBCF">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D7车间</w:t>
                  </w:r>
                </w:p>
              </w:tc>
              <w:tc>
                <w:tcPr>
                  <w:tcW w:w="856" w:type="pct"/>
                  <w:shd w:val="clear" w:color="auto" w:fill="auto"/>
                  <w:noWrap w:val="0"/>
                  <w:vAlign w:val="center"/>
                </w:tcPr>
                <w:p w14:paraId="155D365E">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119.594145</w:t>
                  </w:r>
                </w:p>
              </w:tc>
              <w:tc>
                <w:tcPr>
                  <w:tcW w:w="707" w:type="pct"/>
                  <w:shd w:val="clear" w:color="auto" w:fill="auto"/>
                  <w:noWrap w:val="0"/>
                  <w:vAlign w:val="center"/>
                </w:tcPr>
                <w:p w14:paraId="6A600D42">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31.776120</w:t>
                  </w:r>
                </w:p>
              </w:tc>
              <w:tc>
                <w:tcPr>
                  <w:tcW w:w="438" w:type="pct"/>
                  <w:noWrap w:val="0"/>
                  <w:vAlign w:val="center"/>
                </w:tcPr>
                <w:p w14:paraId="0192FFD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w:t>
                  </w:r>
                </w:p>
              </w:tc>
              <w:tc>
                <w:tcPr>
                  <w:tcW w:w="647" w:type="dxa"/>
                  <w:shd w:val="clear" w:color="auto" w:fill="auto"/>
                  <w:noWrap w:val="0"/>
                  <w:vAlign w:val="center"/>
                </w:tcPr>
                <w:p w14:paraId="02309498">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20</w:t>
                  </w:r>
                </w:p>
              </w:tc>
              <w:tc>
                <w:tcPr>
                  <w:tcW w:w="646" w:type="dxa"/>
                  <w:shd w:val="clear" w:color="auto" w:fill="auto"/>
                  <w:noWrap w:val="0"/>
                  <w:vAlign w:val="center"/>
                </w:tcPr>
                <w:p w14:paraId="19DFC81C">
                  <w:pPr>
                    <w:adjustRightInd w:val="0"/>
                    <w:snapToGrid w:val="0"/>
                    <w:jc w:val="center"/>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24</w:t>
                  </w:r>
                </w:p>
              </w:tc>
              <w:tc>
                <w:tcPr>
                  <w:tcW w:w="439" w:type="pct"/>
                  <w:shd w:val="clear" w:color="auto" w:fill="auto"/>
                  <w:noWrap w:val="0"/>
                  <w:vAlign w:val="center"/>
                </w:tcPr>
                <w:p w14:paraId="2F37561F">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0</w:t>
                  </w:r>
                </w:p>
              </w:tc>
              <w:tc>
                <w:tcPr>
                  <w:tcW w:w="494" w:type="pct"/>
                  <w:shd w:val="clear" w:color="auto" w:fill="auto"/>
                  <w:noWrap w:val="0"/>
                  <w:vAlign w:val="center"/>
                </w:tcPr>
                <w:p w14:paraId="739E0956">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w:t>
                  </w:r>
                </w:p>
              </w:tc>
              <w:tc>
                <w:tcPr>
                  <w:tcW w:w="440" w:type="pct"/>
                  <w:shd w:val="clear" w:color="auto" w:fill="auto"/>
                  <w:noWrap w:val="0"/>
                  <w:vAlign w:val="center"/>
                </w:tcPr>
                <w:p w14:paraId="12D0BB1E">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7200</w:t>
                  </w:r>
                </w:p>
              </w:tc>
              <w:tc>
                <w:tcPr>
                  <w:tcW w:w="482" w:type="pct"/>
                  <w:shd w:val="clear" w:color="auto" w:fill="auto"/>
                  <w:noWrap w:val="0"/>
                  <w:vAlign w:val="center"/>
                </w:tcPr>
                <w:p w14:paraId="0C9B2C8F">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正常、</w:t>
                  </w:r>
                </w:p>
                <w:p w14:paraId="7CA703BE">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连续</w:t>
                  </w:r>
                </w:p>
              </w:tc>
            </w:tr>
            <w:tr w14:paraId="377A7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pct"/>
                  <w:shd w:val="clear" w:color="auto" w:fill="auto"/>
                  <w:noWrap w:val="0"/>
                  <w:vAlign w:val="center"/>
                </w:tcPr>
                <w:p w14:paraId="1551283E">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F16车间</w:t>
                  </w:r>
                </w:p>
              </w:tc>
              <w:tc>
                <w:tcPr>
                  <w:tcW w:w="856" w:type="pct"/>
                  <w:shd w:val="clear" w:color="auto" w:fill="auto"/>
                  <w:noWrap w:val="0"/>
                  <w:vAlign w:val="center"/>
                </w:tcPr>
                <w:p w14:paraId="0E7B3BB1">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119.597491</w:t>
                  </w:r>
                </w:p>
              </w:tc>
              <w:tc>
                <w:tcPr>
                  <w:tcW w:w="707" w:type="pct"/>
                  <w:shd w:val="clear" w:color="auto" w:fill="auto"/>
                  <w:noWrap w:val="0"/>
                  <w:vAlign w:val="center"/>
                </w:tcPr>
                <w:p w14:paraId="45CB1C1C">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31.774876</w:t>
                  </w:r>
                </w:p>
              </w:tc>
              <w:tc>
                <w:tcPr>
                  <w:tcW w:w="438" w:type="pct"/>
                  <w:noWrap w:val="0"/>
                  <w:vAlign w:val="center"/>
                </w:tcPr>
                <w:p w14:paraId="4BAFD39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w:t>
                  </w:r>
                </w:p>
              </w:tc>
              <w:tc>
                <w:tcPr>
                  <w:tcW w:w="385" w:type="pct"/>
                  <w:shd w:val="clear" w:color="auto" w:fill="auto"/>
                  <w:noWrap w:val="0"/>
                  <w:vAlign w:val="center"/>
                </w:tcPr>
                <w:p w14:paraId="7F8B875D">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40</w:t>
                  </w:r>
                </w:p>
              </w:tc>
              <w:tc>
                <w:tcPr>
                  <w:tcW w:w="384" w:type="pct"/>
                  <w:shd w:val="clear" w:color="auto" w:fill="auto"/>
                  <w:noWrap w:val="0"/>
                  <w:vAlign w:val="center"/>
                </w:tcPr>
                <w:p w14:paraId="3136CBC1">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30</w:t>
                  </w:r>
                </w:p>
              </w:tc>
              <w:tc>
                <w:tcPr>
                  <w:tcW w:w="439" w:type="pct"/>
                  <w:shd w:val="clear" w:color="auto" w:fill="auto"/>
                  <w:noWrap w:val="0"/>
                  <w:vAlign w:val="center"/>
                </w:tcPr>
                <w:p w14:paraId="402FC5D7">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0</w:t>
                  </w:r>
                </w:p>
              </w:tc>
              <w:tc>
                <w:tcPr>
                  <w:tcW w:w="494" w:type="pct"/>
                  <w:shd w:val="clear" w:color="auto" w:fill="auto"/>
                  <w:noWrap w:val="0"/>
                  <w:vAlign w:val="center"/>
                </w:tcPr>
                <w:p w14:paraId="1840DC3D">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10</w:t>
                  </w:r>
                </w:p>
              </w:tc>
              <w:tc>
                <w:tcPr>
                  <w:tcW w:w="440" w:type="pct"/>
                  <w:shd w:val="clear" w:color="auto" w:fill="auto"/>
                  <w:noWrap w:val="0"/>
                  <w:vAlign w:val="center"/>
                </w:tcPr>
                <w:p w14:paraId="7B22C558">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7200</w:t>
                  </w:r>
                </w:p>
              </w:tc>
              <w:tc>
                <w:tcPr>
                  <w:tcW w:w="482" w:type="pct"/>
                  <w:shd w:val="clear" w:color="auto" w:fill="auto"/>
                  <w:noWrap w:val="0"/>
                  <w:vAlign w:val="center"/>
                </w:tcPr>
                <w:p w14:paraId="6142BD5A">
                  <w:pPr>
                    <w:adjustRightInd w:val="0"/>
                    <w:snapToGrid w:val="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正常、</w:t>
                  </w:r>
                </w:p>
                <w:p w14:paraId="46B1D38A">
                  <w:pPr>
                    <w:adjustRightInd w:val="0"/>
                    <w:snapToGrid w:val="0"/>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连续</w:t>
                  </w:r>
                </w:p>
              </w:tc>
            </w:tr>
          </w:tbl>
          <w:p w14:paraId="1ED1824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4、非正常排放</w:t>
            </w:r>
          </w:p>
          <w:p w14:paraId="317A09A1">
            <w:pPr>
              <w:adjustRightInd w:val="0"/>
              <w:snapToGrid w:val="0"/>
              <w:spacing w:line="360" w:lineRule="auto"/>
              <w:ind w:firstLine="480" w:firstLineChars="20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根据本项目生产特点，废气异常排放主要发生在废气处理装置出现故障，废气去除效率降低，造成非正常排放，非正常工况时废气源强见下表。</w:t>
            </w:r>
          </w:p>
          <w:p w14:paraId="11465E9E">
            <w:pPr>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表4-</w:t>
            </w:r>
            <w:r>
              <w:rPr>
                <w:rFonts w:hint="default" w:ascii="Times New Roman" w:hAnsi="Times New Roman" w:eastAsia="仿宋" w:cs="Times New Roman"/>
                <w:b/>
                <w:bCs/>
                <w:color w:val="auto"/>
                <w:sz w:val="24"/>
                <w:szCs w:val="24"/>
                <w:lang w:val="en-US" w:eastAsia="zh-CN"/>
              </w:rPr>
              <w:t>1</w:t>
            </w:r>
            <w:r>
              <w:rPr>
                <w:rFonts w:hint="eastAsia" w:eastAsia="仿宋" w:cs="Times New Roman"/>
                <w:b/>
                <w:bCs/>
                <w:color w:val="auto"/>
                <w:sz w:val="24"/>
                <w:szCs w:val="24"/>
                <w:lang w:val="en-US" w:eastAsia="zh-CN"/>
              </w:rPr>
              <w:t>6</w:t>
            </w:r>
            <w:r>
              <w:rPr>
                <w:rFonts w:hint="default" w:ascii="Times New Roman" w:hAnsi="Times New Roman" w:eastAsia="仿宋" w:cs="Times New Roman"/>
                <w:b/>
                <w:bCs/>
                <w:color w:val="auto"/>
                <w:sz w:val="24"/>
                <w:szCs w:val="24"/>
              </w:rPr>
              <w:t xml:space="preserve">  本项目非正常工况下排放参数表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215"/>
              <w:gridCol w:w="1062"/>
              <w:gridCol w:w="1575"/>
              <w:gridCol w:w="1049"/>
              <w:gridCol w:w="1049"/>
              <w:gridCol w:w="1645"/>
            </w:tblGrid>
            <w:tr w14:paraId="45CC3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noWrap w:val="0"/>
                  <w:vAlign w:val="center"/>
                </w:tcPr>
                <w:p w14:paraId="6B57ED6C">
                  <w:pPr>
                    <w:pStyle w:val="25"/>
                    <w:keepNext w:val="0"/>
                    <w:keepLines w:val="0"/>
                    <w:pageBreakBefore w:val="0"/>
                    <w:widowControl w:val="0"/>
                    <w:kinsoku/>
                    <w:wordWrap/>
                    <w:overflowPunct/>
                    <w:topLinePunct w:val="0"/>
                    <w:autoSpaceDE/>
                    <w:autoSpaceDN/>
                    <w:bidi w:val="0"/>
                    <w:adjustRightInd w:val="0"/>
                    <w:snapToGrid w:val="0"/>
                    <w:spacing w:after="0" w:line="240" w:lineRule="auto"/>
                    <w:ind w:left="-105" w:leftChars="-50" w:right="-105" w:rightChars="-50"/>
                    <w:jc w:val="center"/>
                    <w:textAlignment w:val="auto"/>
                    <w:rPr>
                      <w:rFonts w:hint="default" w:ascii="Times New Roman" w:hAnsi="Times New Roman" w:eastAsia="仿宋" w:cs="Times New Roman"/>
                      <w:b/>
                      <w:bCs/>
                      <w:color w:val="auto"/>
                      <w:sz w:val="20"/>
                      <w:szCs w:val="20"/>
                      <w:lang w:val="en-US" w:eastAsia="zh-CN"/>
                    </w:rPr>
                  </w:pPr>
                  <w:r>
                    <w:rPr>
                      <w:rFonts w:hint="default" w:ascii="Times New Roman" w:hAnsi="Times New Roman" w:eastAsia="仿宋" w:cs="Times New Roman"/>
                      <w:b/>
                      <w:color w:val="auto"/>
                      <w:sz w:val="20"/>
                      <w:szCs w:val="20"/>
                      <w:lang w:val="en-US" w:eastAsia="zh-CN"/>
                    </w:rPr>
                    <w:t>非正常排放源</w:t>
                  </w:r>
                </w:p>
              </w:tc>
              <w:tc>
                <w:tcPr>
                  <w:tcW w:w="723" w:type="pct"/>
                  <w:noWrap w:val="0"/>
                  <w:vAlign w:val="center"/>
                </w:tcPr>
                <w:p w14:paraId="25C4C8EF">
                  <w:pPr>
                    <w:pStyle w:val="25"/>
                    <w:adjustRightInd w:val="0"/>
                    <w:snapToGrid w:val="0"/>
                    <w:spacing w:after="0" w:line="240" w:lineRule="auto"/>
                    <w:jc w:val="center"/>
                    <w:rPr>
                      <w:rFonts w:hint="default" w:ascii="Times New Roman" w:hAnsi="Times New Roman" w:eastAsia="仿宋" w:cs="Times New Roman"/>
                      <w:b/>
                      <w:bCs/>
                      <w:color w:val="auto"/>
                      <w:sz w:val="20"/>
                      <w:szCs w:val="20"/>
                      <w:lang w:val="en-US" w:eastAsia="zh-CN"/>
                    </w:rPr>
                  </w:pPr>
                  <w:r>
                    <w:rPr>
                      <w:rFonts w:hint="default" w:ascii="Times New Roman" w:hAnsi="Times New Roman" w:eastAsia="仿宋" w:cs="Times New Roman"/>
                      <w:b/>
                      <w:color w:val="auto"/>
                      <w:sz w:val="20"/>
                      <w:szCs w:val="20"/>
                      <w:lang w:val="en-US" w:eastAsia="zh-CN"/>
                    </w:rPr>
                    <w:t>污染物</w:t>
                  </w:r>
                </w:p>
              </w:tc>
              <w:tc>
                <w:tcPr>
                  <w:tcW w:w="632" w:type="pct"/>
                  <w:noWrap w:val="0"/>
                  <w:vAlign w:val="center"/>
                </w:tcPr>
                <w:p w14:paraId="43D12D02">
                  <w:pPr>
                    <w:pStyle w:val="25"/>
                    <w:adjustRightInd w:val="0"/>
                    <w:snapToGrid w:val="0"/>
                    <w:spacing w:after="0" w:line="240" w:lineRule="auto"/>
                    <w:ind w:left="-105" w:leftChars="-50" w:right="-105" w:rightChars="-50"/>
                    <w:jc w:val="center"/>
                    <w:rPr>
                      <w:rFonts w:hint="default" w:ascii="Times New Roman" w:hAnsi="Times New Roman" w:eastAsia="仿宋" w:cs="Times New Roman"/>
                      <w:b/>
                      <w:bCs/>
                      <w:color w:val="auto"/>
                      <w:sz w:val="20"/>
                      <w:szCs w:val="20"/>
                      <w:lang w:val="en-US" w:eastAsia="zh-CN"/>
                    </w:rPr>
                  </w:pPr>
                  <w:r>
                    <w:rPr>
                      <w:rFonts w:hint="default" w:ascii="Times New Roman" w:hAnsi="Times New Roman" w:eastAsia="仿宋" w:cs="Times New Roman"/>
                      <w:b/>
                      <w:color w:val="auto"/>
                      <w:sz w:val="20"/>
                      <w:szCs w:val="20"/>
                      <w:lang w:val="en-US" w:eastAsia="zh-CN"/>
                    </w:rPr>
                    <w:t>非正常排放速率（kg/h）</w:t>
                  </w:r>
                </w:p>
              </w:tc>
              <w:tc>
                <w:tcPr>
                  <w:tcW w:w="937" w:type="pct"/>
                  <w:tcBorders>
                    <w:bottom w:val="single" w:color="auto" w:sz="4" w:space="0"/>
                  </w:tcBorders>
                  <w:noWrap w:val="0"/>
                  <w:vAlign w:val="center"/>
                </w:tcPr>
                <w:p w14:paraId="53432782">
                  <w:pPr>
                    <w:adjustRightInd w:val="0"/>
                    <w:snapToGrid w:val="0"/>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非正常排放</w:t>
                  </w:r>
                </w:p>
                <w:p w14:paraId="5A96C739">
                  <w:pPr>
                    <w:adjustRightInd w:val="0"/>
                    <w:snapToGrid w:val="0"/>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原因</w:t>
                  </w:r>
                </w:p>
              </w:tc>
              <w:tc>
                <w:tcPr>
                  <w:tcW w:w="624" w:type="pct"/>
                  <w:noWrap w:val="0"/>
                  <w:vAlign w:val="center"/>
                </w:tcPr>
                <w:p w14:paraId="611E97E8">
                  <w:pPr>
                    <w:pStyle w:val="25"/>
                    <w:adjustRightInd w:val="0"/>
                    <w:snapToGrid w:val="0"/>
                    <w:spacing w:after="0" w:line="240" w:lineRule="auto"/>
                    <w:ind w:left="-105" w:leftChars="-50" w:right="-105" w:rightChars="-50"/>
                    <w:jc w:val="center"/>
                    <w:rPr>
                      <w:rFonts w:hint="default" w:ascii="Times New Roman" w:hAnsi="Times New Roman" w:eastAsia="仿宋" w:cs="Times New Roman"/>
                      <w:b/>
                      <w:bCs/>
                      <w:color w:val="auto"/>
                      <w:sz w:val="20"/>
                      <w:szCs w:val="20"/>
                      <w:lang w:val="en-US" w:eastAsia="zh-CN"/>
                    </w:rPr>
                  </w:pPr>
                  <w:r>
                    <w:rPr>
                      <w:rFonts w:hint="default" w:ascii="Times New Roman" w:hAnsi="Times New Roman" w:eastAsia="仿宋" w:cs="Times New Roman"/>
                      <w:b/>
                      <w:color w:val="auto"/>
                      <w:sz w:val="20"/>
                      <w:szCs w:val="20"/>
                      <w:lang w:val="en-US" w:eastAsia="zh-CN"/>
                    </w:rPr>
                    <w:t>单次持续时间（h）</w:t>
                  </w:r>
                </w:p>
              </w:tc>
              <w:tc>
                <w:tcPr>
                  <w:tcW w:w="624" w:type="pct"/>
                  <w:noWrap w:val="0"/>
                  <w:vAlign w:val="center"/>
                </w:tcPr>
                <w:p w14:paraId="3DFEB404">
                  <w:pPr>
                    <w:pStyle w:val="25"/>
                    <w:adjustRightInd w:val="0"/>
                    <w:snapToGrid w:val="0"/>
                    <w:spacing w:after="0" w:line="240" w:lineRule="auto"/>
                    <w:jc w:val="center"/>
                    <w:rPr>
                      <w:rFonts w:hint="default" w:ascii="Times New Roman" w:hAnsi="Times New Roman" w:eastAsia="仿宋" w:cs="Times New Roman"/>
                      <w:b/>
                      <w:bCs/>
                      <w:color w:val="auto"/>
                      <w:sz w:val="20"/>
                      <w:szCs w:val="20"/>
                      <w:lang w:val="en-US" w:eastAsia="zh-CN"/>
                    </w:rPr>
                  </w:pPr>
                  <w:r>
                    <w:rPr>
                      <w:rFonts w:hint="default" w:ascii="Times New Roman" w:hAnsi="Times New Roman" w:eastAsia="仿宋" w:cs="Times New Roman"/>
                      <w:b/>
                      <w:color w:val="auto"/>
                      <w:sz w:val="20"/>
                      <w:szCs w:val="20"/>
                      <w:lang w:val="en-US" w:eastAsia="zh-CN"/>
                    </w:rPr>
                    <w:t>年发生频次（次）</w:t>
                  </w:r>
                </w:p>
              </w:tc>
              <w:tc>
                <w:tcPr>
                  <w:tcW w:w="979" w:type="pct"/>
                  <w:noWrap w:val="0"/>
                  <w:vAlign w:val="center"/>
                </w:tcPr>
                <w:p w14:paraId="3F7D9C3D">
                  <w:pPr>
                    <w:pStyle w:val="25"/>
                    <w:adjustRightInd w:val="0"/>
                    <w:snapToGrid w:val="0"/>
                    <w:spacing w:after="0" w:line="240" w:lineRule="auto"/>
                    <w:jc w:val="center"/>
                    <w:rPr>
                      <w:rFonts w:hint="default" w:ascii="Times New Roman" w:hAnsi="Times New Roman" w:eastAsia="仿宋" w:cs="Times New Roman"/>
                      <w:b/>
                      <w:bCs/>
                      <w:color w:val="auto"/>
                      <w:sz w:val="20"/>
                      <w:szCs w:val="20"/>
                      <w:lang w:val="en-US" w:eastAsia="zh-CN"/>
                    </w:rPr>
                  </w:pPr>
                  <w:r>
                    <w:rPr>
                      <w:rFonts w:hint="default" w:ascii="Times New Roman" w:hAnsi="Times New Roman" w:eastAsia="仿宋" w:cs="Times New Roman"/>
                      <w:b/>
                      <w:color w:val="auto"/>
                      <w:sz w:val="20"/>
                      <w:szCs w:val="20"/>
                      <w:lang w:val="en-US" w:eastAsia="zh-CN"/>
                    </w:rPr>
                    <w:t>应对措施</w:t>
                  </w:r>
                </w:p>
              </w:tc>
            </w:tr>
            <w:tr w14:paraId="6AB38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shd w:val="clear" w:color="auto" w:fill="auto"/>
                  <w:noWrap w:val="0"/>
                  <w:vAlign w:val="center"/>
                </w:tcPr>
                <w:p w14:paraId="0772A219">
                  <w:pPr>
                    <w:jc w:val="center"/>
                    <w:rPr>
                      <w:rFonts w:hint="default" w:ascii="Times New Roman" w:hAnsi="Times New Roman" w:eastAsia="仿宋" w:cs="Times New Roman"/>
                      <w:bCs/>
                      <w:color w:val="0000FF"/>
                      <w:sz w:val="20"/>
                      <w:szCs w:val="20"/>
                      <w:lang w:val="en-US" w:eastAsia="zh-CN"/>
                    </w:rPr>
                  </w:pPr>
                  <w:r>
                    <w:rPr>
                      <w:rFonts w:hint="default" w:ascii="Times New Roman" w:hAnsi="Times New Roman" w:eastAsia="仿宋" w:cs="Times New Roman"/>
                      <w:color w:val="0000FF"/>
                      <w:szCs w:val="21"/>
                      <w:highlight w:val="none"/>
                      <w:lang w:val="en-US" w:eastAsia="zh-CN" w:bidi="ar"/>
                    </w:rPr>
                    <w:t>FQ-5</w:t>
                  </w:r>
                </w:p>
              </w:tc>
              <w:tc>
                <w:tcPr>
                  <w:tcW w:w="723" w:type="pct"/>
                  <w:noWrap w:val="0"/>
                  <w:vAlign w:val="center"/>
                </w:tcPr>
                <w:p w14:paraId="3BF2D9A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color w:val="0000FF"/>
                      <w:sz w:val="20"/>
                      <w:szCs w:val="20"/>
                      <w:lang w:val="en-US" w:eastAsia="zh-CN"/>
                    </w:rPr>
                  </w:pPr>
                  <w:r>
                    <w:rPr>
                      <w:rFonts w:hint="default" w:ascii="Times New Roman" w:hAnsi="Times New Roman" w:eastAsia="仿宋" w:cs="Times New Roman"/>
                      <w:color w:val="0000FF"/>
                      <w:sz w:val="20"/>
                      <w:szCs w:val="20"/>
                      <w:lang w:val="en-US" w:eastAsia="zh-CN"/>
                    </w:rPr>
                    <w:t>颗粒物</w:t>
                  </w:r>
                </w:p>
              </w:tc>
              <w:tc>
                <w:tcPr>
                  <w:tcW w:w="632" w:type="pct"/>
                  <w:noWrap w:val="0"/>
                  <w:vAlign w:val="center"/>
                </w:tcPr>
                <w:p w14:paraId="07C9125E">
                  <w:pPr>
                    <w:widowControl/>
                    <w:jc w:val="center"/>
                    <w:textAlignment w:val="center"/>
                    <w:rPr>
                      <w:rFonts w:hint="default" w:ascii="Times New Roman" w:hAnsi="Times New Roman" w:eastAsia="仿宋" w:cs="Times New Roman"/>
                      <w:bCs/>
                      <w:color w:val="0000FF"/>
                      <w:sz w:val="20"/>
                      <w:szCs w:val="20"/>
                      <w:lang w:val="en-US" w:eastAsia="zh-CN"/>
                    </w:rPr>
                  </w:pPr>
                  <w:r>
                    <w:rPr>
                      <w:rFonts w:hint="default" w:ascii="Times New Roman" w:hAnsi="Times New Roman" w:eastAsia="仿宋" w:cs="Times New Roman"/>
                      <w:bCs/>
                      <w:color w:val="0000FF"/>
                      <w:sz w:val="20"/>
                      <w:szCs w:val="20"/>
                      <w:lang w:val="en-US" w:eastAsia="zh-CN"/>
                    </w:rPr>
                    <w:t>0.0</w:t>
                  </w:r>
                  <w:r>
                    <w:rPr>
                      <w:rFonts w:hint="eastAsia" w:eastAsia="仿宋" w:cs="Times New Roman"/>
                      <w:bCs/>
                      <w:color w:val="0000FF"/>
                      <w:sz w:val="20"/>
                      <w:szCs w:val="20"/>
                      <w:lang w:val="en-US" w:eastAsia="zh-CN"/>
                    </w:rPr>
                    <w:t>52</w:t>
                  </w:r>
                </w:p>
              </w:tc>
              <w:tc>
                <w:tcPr>
                  <w:tcW w:w="937" w:type="pct"/>
                  <w:tcBorders>
                    <w:top w:val="single" w:color="auto" w:sz="4" w:space="0"/>
                  </w:tcBorders>
                  <w:noWrap w:val="0"/>
                  <w:vAlign w:val="center"/>
                </w:tcPr>
                <w:p w14:paraId="2CC4D4B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Cs/>
                      <w:color w:val="0000FF"/>
                      <w:sz w:val="20"/>
                      <w:szCs w:val="20"/>
                    </w:rPr>
                  </w:pPr>
                  <w:r>
                    <w:rPr>
                      <w:rFonts w:hint="default" w:ascii="Times New Roman" w:hAnsi="Times New Roman" w:eastAsia="仿宋" w:cs="Times New Roman"/>
                      <w:color w:val="0000FF"/>
                      <w:sz w:val="20"/>
                      <w:szCs w:val="20"/>
                    </w:rPr>
                    <w:t>废气处理装置出现故障，处理效率以50%计算</w:t>
                  </w:r>
                </w:p>
              </w:tc>
              <w:tc>
                <w:tcPr>
                  <w:tcW w:w="624" w:type="pct"/>
                  <w:noWrap w:val="0"/>
                  <w:vAlign w:val="center"/>
                </w:tcPr>
                <w:p w14:paraId="09D36B0A">
                  <w:pPr>
                    <w:pStyle w:val="25"/>
                    <w:adjustRightInd w:val="0"/>
                    <w:snapToGrid w:val="0"/>
                    <w:spacing w:after="0" w:line="240" w:lineRule="auto"/>
                    <w:jc w:val="center"/>
                    <w:rPr>
                      <w:rFonts w:hint="default" w:ascii="Times New Roman" w:hAnsi="Times New Roman" w:eastAsia="仿宋" w:cs="Times New Roman"/>
                      <w:b/>
                      <w:color w:val="0000FF"/>
                      <w:sz w:val="20"/>
                      <w:szCs w:val="20"/>
                      <w:lang w:val="en-US" w:eastAsia="zh-CN"/>
                    </w:rPr>
                  </w:pPr>
                  <w:r>
                    <w:rPr>
                      <w:rFonts w:hint="default" w:ascii="Times New Roman" w:hAnsi="Times New Roman" w:eastAsia="仿宋" w:cs="Times New Roman"/>
                      <w:color w:val="0000FF"/>
                      <w:sz w:val="20"/>
                      <w:szCs w:val="20"/>
                      <w:lang w:val="en-US" w:eastAsia="zh-CN"/>
                    </w:rPr>
                    <w:t>≤1</w:t>
                  </w:r>
                </w:p>
              </w:tc>
              <w:tc>
                <w:tcPr>
                  <w:tcW w:w="624" w:type="pct"/>
                  <w:noWrap w:val="0"/>
                  <w:vAlign w:val="center"/>
                </w:tcPr>
                <w:p w14:paraId="1DDD8353">
                  <w:pPr>
                    <w:pStyle w:val="25"/>
                    <w:adjustRightInd w:val="0"/>
                    <w:snapToGrid w:val="0"/>
                    <w:spacing w:after="0" w:line="240" w:lineRule="auto"/>
                    <w:jc w:val="center"/>
                    <w:rPr>
                      <w:rFonts w:hint="default" w:ascii="Times New Roman" w:hAnsi="Times New Roman" w:eastAsia="仿宋" w:cs="Times New Roman"/>
                      <w:b/>
                      <w:color w:val="0000FF"/>
                      <w:sz w:val="20"/>
                      <w:szCs w:val="20"/>
                      <w:lang w:val="en-US" w:eastAsia="zh-CN"/>
                    </w:rPr>
                  </w:pPr>
                  <w:r>
                    <w:rPr>
                      <w:rFonts w:hint="default" w:ascii="Times New Roman" w:hAnsi="Times New Roman" w:eastAsia="仿宋" w:cs="Times New Roman"/>
                      <w:color w:val="0000FF"/>
                      <w:sz w:val="20"/>
                      <w:szCs w:val="20"/>
                      <w:lang w:val="en-US" w:eastAsia="zh-CN"/>
                    </w:rPr>
                    <w:t>≤1</w:t>
                  </w:r>
                </w:p>
              </w:tc>
              <w:tc>
                <w:tcPr>
                  <w:tcW w:w="979" w:type="pct"/>
                  <w:noWrap w:val="0"/>
                  <w:vAlign w:val="center"/>
                </w:tcPr>
                <w:p w14:paraId="36B20CC4">
                  <w:pPr>
                    <w:pStyle w:val="25"/>
                    <w:adjustRightInd w:val="0"/>
                    <w:snapToGrid w:val="0"/>
                    <w:spacing w:after="0" w:line="240" w:lineRule="auto"/>
                    <w:jc w:val="center"/>
                    <w:rPr>
                      <w:rFonts w:hint="default" w:ascii="Times New Roman" w:hAnsi="Times New Roman" w:eastAsia="仿宋" w:cs="Times New Roman"/>
                      <w:b/>
                      <w:color w:val="0000FF"/>
                      <w:sz w:val="20"/>
                      <w:szCs w:val="20"/>
                      <w:lang w:val="en-US" w:eastAsia="zh-CN"/>
                    </w:rPr>
                  </w:pPr>
                  <w:r>
                    <w:rPr>
                      <w:rFonts w:hint="default" w:ascii="Times New Roman" w:hAnsi="Times New Roman" w:eastAsia="仿宋" w:cs="Times New Roman"/>
                      <w:color w:val="0000FF"/>
                      <w:sz w:val="20"/>
                      <w:szCs w:val="20"/>
                      <w:lang w:val="en-US" w:eastAsia="zh-CN"/>
                    </w:rPr>
                    <w:t>加强管理与维护、选用可靠设备、记录废气运行设施运维情况</w:t>
                  </w:r>
                </w:p>
              </w:tc>
            </w:tr>
            <w:tr w14:paraId="2B075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noWrap w:val="0"/>
                  <w:vAlign w:val="center"/>
                </w:tcPr>
                <w:p w14:paraId="732209D6">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Cs w:val="21"/>
                      <w:highlight w:val="none"/>
                      <w:lang w:val="en-US" w:eastAsia="zh-CN" w:bidi="ar"/>
                    </w:rPr>
                    <w:t>FQ-6</w:t>
                  </w:r>
                </w:p>
              </w:tc>
              <w:tc>
                <w:tcPr>
                  <w:tcW w:w="723" w:type="pct"/>
                  <w:noWrap w:val="0"/>
                  <w:vAlign w:val="center"/>
                </w:tcPr>
                <w:p w14:paraId="0A90FBC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非甲烷总烃</w:t>
                  </w:r>
                </w:p>
              </w:tc>
              <w:tc>
                <w:tcPr>
                  <w:tcW w:w="632" w:type="pct"/>
                  <w:noWrap w:val="0"/>
                  <w:vAlign w:val="center"/>
                </w:tcPr>
                <w:p w14:paraId="258DCDA5">
                  <w:pPr>
                    <w:widowControl/>
                    <w:jc w:val="center"/>
                    <w:textAlignment w:val="center"/>
                    <w:rPr>
                      <w:rFonts w:hint="default" w:ascii="Times New Roman" w:hAnsi="Times New Roman" w:eastAsia="仿宋" w:cs="Times New Roman"/>
                      <w:color w:val="auto"/>
                      <w:kern w:val="0"/>
                      <w:sz w:val="20"/>
                      <w:szCs w:val="20"/>
                      <w:lang w:val="en-US" w:eastAsia="zh-CN" w:bidi="ar"/>
                    </w:rPr>
                  </w:pPr>
                  <w:r>
                    <w:rPr>
                      <w:rFonts w:hint="default" w:ascii="Times New Roman" w:hAnsi="Times New Roman" w:eastAsia="仿宋" w:cs="Times New Roman"/>
                      <w:color w:val="auto"/>
                      <w:kern w:val="0"/>
                      <w:sz w:val="20"/>
                      <w:szCs w:val="20"/>
                      <w:lang w:val="en-US" w:eastAsia="zh-CN" w:bidi="ar"/>
                    </w:rPr>
                    <w:t>0.0</w:t>
                  </w:r>
                  <w:r>
                    <w:rPr>
                      <w:rFonts w:hint="eastAsia" w:eastAsia="仿宋" w:cs="Times New Roman"/>
                      <w:color w:val="auto"/>
                      <w:kern w:val="0"/>
                      <w:sz w:val="20"/>
                      <w:szCs w:val="20"/>
                      <w:lang w:val="en-US" w:eastAsia="zh-CN" w:bidi="ar"/>
                    </w:rPr>
                    <w:t>23</w:t>
                  </w:r>
                </w:p>
              </w:tc>
              <w:tc>
                <w:tcPr>
                  <w:tcW w:w="937" w:type="pct"/>
                  <w:tcBorders>
                    <w:top w:val="single" w:color="auto" w:sz="4" w:space="0"/>
                    <w:bottom w:val="single" w:color="auto" w:sz="4" w:space="0"/>
                  </w:tcBorders>
                  <w:noWrap w:val="0"/>
                  <w:vAlign w:val="center"/>
                </w:tcPr>
                <w:p w14:paraId="5DC333B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Cs/>
                      <w:color w:val="auto"/>
                      <w:sz w:val="20"/>
                      <w:szCs w:val="20"/>
                    </w:rPr>
                  </w:pPr>
                  <w:r>
                    <w:rPr>
                      <w:rFonts w:hint="default" w:ascii="Times New Roman" w:hAnsi="Times New Roman" w:eastAsia="仿宋" w:cs="Times New Roman"/>
                      <w:color w:val="auto"/>
                      <w:sz w:val="20"/>
                      <w:szCs w:val="20"/>
                    </w:rPr>
                    <w:t>废气处理装置出现故障，处理效率以50%计算</w:t>
                  </w:r>
                </w:p>
              </w:tc>
              <w:tc>
                <w:tcPr>
                  <w:tcW w:w="624" w:type="pct"/>
                  <w:noWrap w:val="0"/>
                  <w:vAlign w:val="center"/>
                </w:tcPr>
                <w:p w14:paraId="22325673">
                  <w:pPr>
                    <w:pStyle w:val="25"/>
                    <w:adjustRightInd w:val="0"/>
                    <w:snapToGrid w:val="0"/>
                    <w:spacing w:after="0" w:line="240" w:lineRule="auto"/>
                    <w:jc w:val="center"/>
                    <w:rPr>
                      <w:rFonts w:hint="default" w:ascii="Times New Roman" w:hAnsi="Times New Roman" w:eastAsia="仿宋" w:cs="Times New Roman"/>
                      <w:b/>
                      <w:color w:val="auto"/>
                      <w:sz w:val="20"/>
                      <w:szCs w:val="20"/>
                      <w:lang w:val="en-US" w:eastAsia="zh-CN"/>
                    </w:rPr>
                  </w:pPr>
                  <w:r>
                    <w:rPr>
                      <w:rFonts w:hint="default" w:ascii="Times New Roman" w:hAnsi="Times New Roman" w:eastAsia="仿宋" w:cs="Times New Roman"/>
                      <w:color w:val="auto"/>
                      <w:sz w:val="20"/>
                      <w:szCs w:val="20"/>
                      <w:lang w:val="en-US" w:eastAsia="zh-CN"/>
                    </w:rPr>
                    <w:t>≤1</w:t>
                  </w:r>
                </w:p>
              </w:tc>
              <w:tc>
                <w:tcPr>
                  <w:tcW w:w="624" w:type="pct"/>
                  <w:noWrap w:val="0"/>
                  <w:vAlign w:val="center"/>
                </w:tcPr>
                <w:p w14:paraId="6E772E16">
                  <w:pPr>
                    <w:pStyle w:val="25"/>
                    <w:adjustRightInd w:val="0"/>
                    <w:snapToGrid w:val="0"/>
                    <w:spacing w:after="0" w:line="240" w:lineRule="auto"/>
                    <w:jc w:val="center"/>
                    <w:rPr>
                      <w:rFonts w:hint="default" w:ascii="Times New Roman" w:hAnsi="Times New Roman" w:eastAsia="仿宋" w:cs="Times New Roman"/>
                      <w:b/>
                      <w:color w:val="auto"/>
                      <w:sz w:val="20"/>
                      <w:szCs w:val="20"/>
                      <w:lang w:val="en-US" w:eastAsia="zh-CN"/>
                    </w:rPr>
                  </w:pPr>
                  <w:r>
                    <w:rPr>
                      <w:rFonts w:hint="default" w:ascii="Times New Roman" w:hAnsi="Times New Roman" w:eastAsia="仿宋" w:cs="Times New Roman"/>
                      <w:color w:val="auto"/>
                      <w:sz w:val="20"/>
                      <w:szCs w:val="20"/>
                      <w:lang w:val="en-US" w:eastAsia="zh-CN"/>
                    </w:rPr>
                    <w:t>≤1</w:t>
                  </w:r>
                </w:p>
              </w:tc>
              <w:tc>
                <w:tcPr>
                  <w:tcW w:w="979" w:type="pct"/>
                  <w:noWrap w:val="0"/>
                  <w:vAlign w:val="center"/>
                </w:tcPr>
                <w:p w14:paraId="6B7FB496">
                  <w:pPr>
                    <w:pStyle w:val="25"/>
                    <w:adjustRightInd w:val="0"/>
                    <w:snapToGrid w:val="0"/>
                    <w:spacing w:after="0" w:line="240" w:lineRule="auto"/>
                    <w:jc w:val="center"/>
                    <w:rPr>
                      <w:rFonts w:hint="default" w:ascii="Times New Roman" w:hAnsi="Times New Roman" w:eastAsia="仿宋" w:cs="Times New Roman"/>
                      <w:color w:val="auto"/>
                      <w:sz w:val="20"/>
                      <w:szCs w:val="20"/>
                      <w:lang w:val="en-US" w:eastAsia="zh-CN"/>
                    </w:rPr>
                  </w:pPr>
                  <w:r>
                    <w:rPr>
                      <w:rFonts w:hint="default" w:ascii="Times New Roman" w:hAnsi="Times New Roman" w:eastAsia="仿宋" w:cs="Times New Roman"/>
                      <w:color w:val="auto"/>
                      <w:sz w:val="20"/>
                      <w:szCs w:val="20"/>
                      <w:lang w:val="en-US" w:eastAsia="zh-CN"/>
                    </w:rPr>
                    <w:t>加强管理与维护、选用可靠设备、记录废气运行设施运维情况</w:t>
                  </w:r>
                </w:p>
              </w:tc>
            </w:tr>
            <w:tr w14:paraId="27D30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pct"/>
                  <w:noWrap w:val="0"/>
                  <w:vAlign w:val="center"/>
                </w:tcPr>
                <w:p w14:paraId="483A4CC3">
                  <w:pPr>
                    <w:jc w:val="center"/>
                    <w:rPr>
                      <w:rFonts w:hint="default" w:ascii="Times New Roman" w:hAnsi="Times New Roman" w:eastAsia="仿宋" w:cs="Times New Roman"/>
                      <w:color w:val="0000FF"/>
                      <w:szCs w:val="21"/>
                      <w:highlight w:val="none"/>
                      <w:lang w:val="en-US" w:eastAsia="zh-CN" w:bidi="ar"/>
                    </w:rPr>
                  </w:pPr>
                  <w:r>
                    <w:rPr>
                      <w:rFonts w:hint="default" w:ascii="Times New Roman" w:hAnsi="Times New Roman" w:eastAsia="仿宋" w:cs="Times New Roman"/>
                      <w:color w:val="0000FF"/>
                      <w:szCs w:val="21"/>
                      <w:highlight w:val="none"/>
                      <w:lang w:val="en-US" w:eastAsia="zh-CN" w:bidi="ar"/>
                    </w:rPr>
                    <w:t>FQ-</w:t>
                  </w:r>
                  <w:r>
                    <w:rPr>
                      <w:rFonts w:hint="eastAsia" w:eastAsia="仿宋" w:cs="Times New Roman"/>
                      <w:color w:val="0000FF"/>
                      <w:szCs w:val="21"/>
                      <w:highlight w:val="none"/>
                      <w:lang w:val="en-US" w:eastAsia="zh-CN" w:bidi="ar"/>
                    </w:rPr>
                    <w:t>7</w:t>
                  </w:r>
                </w:p>
              </w:tc>
              <w:tc>
                <w:tcPr>
                  <w:tcW w:w="723" w:type="pct"/>
                  <w:shd w:val="clear" w:color="auto" w:fill="auto"/>
                  <w:noWrap w:val="0"/>
                  <w:vAlign w:val="center"/>
                </w:tcPr>
                <w:p w14:paraId="677C0CCF">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color w:val="0000FF"/>
                      <w:kern w:val="2"/>
                      <w:sz w:val="20"/>
                      <w:szCs w:val="20"/>
                      <w:lang w:val="en-US" w:eastAsia="zh-CN" w:bidi="ar-SA"/>
                    </w:rPr>
                  </w:pPr>
                  <w:r>
                    <w:rPr>
                      <w:rFonts w:hint="default" w:ascii="Times New Roman" w:hAnsi="Times New Roman" w:eastAsia="仿宋" w:cs="Times New Roman"/>
                      <w:color w:val="0000FF"/>
                      <w:sz w:val="20"/>
                      <w:szCs w:val="20"/>
                      <w:lang w:val="en-US" w:eastAsia="zh-CN"/>
                    </w:rPr>
                    <w:t>颗粒物</w:t>
                  </w:r>
                </w:p>
              </w:tc>
              <w:tc>
                <w:tcPr>
                  <w:tcW w:w="632" w:type="pct"/>
                  <w:shd w:val="clear" w:color="auto" w:fill="auto"/>
                  <w:noWrap w:val="0"/>
                  <w:vAlign w:val="center"/>
                </w:tcPr>
                <w:p w14:paraId="4594F2E6">
                  <w:pPr>
                    <w:widowControl/>
                    <w:jc w:val="center"/>
                    <w:textAlignment w:val="center"/>
                    <w:rPr>
                      <w:rFonts w:hint="default" w:ascii="Times New Roman" w:hAnsi="Times New Roman" w:eastAsia="仿宋" w:cs="Times New Roman"/>
                      <w:bCs/>
                      <w:color w:val="0000FF"/>
                      <w:kern w:val="2"/>
                      <w:sz w:val="20"/>
                      <w:szCs w:val="20"/>
                      <w:lang w:val="en-US" w:eastAsia="zh-CN" w:bidi="ar-SA"/>
                    </w:rPr>
                  </w:pPr>
                  <w:r>
                    <w:rPr>
                      <w:rFonts w:hint="default" w:ascii="Times New Roman" w:hAnsi="Times New Roman" w:eastAsia="仿宋" w:cs="Times New Roman"/>
                      <w:bCs/>
                      <w:color w:val="0000FF"/>
                      <w:sz w:val="20"/>
                      <w:szCs w:val="20"/>
                      <w:lang w:val="en-US" w:eastAsia="zh-CN"/>
                    </w:rPr>
                    <w:t>0.0</w:t>
                  </w:r>
                  <w:r>
                    <w:rPr>
                      <w:rFonts w:hint="eastAsia" w:eastAsia="仿宋" w:cs="Times New Roman"/>
                      <w:bCs/>
                      <w:color w:val="0000FF"/>
                      <w:sz w:val="20"/>
                      <w:szCs w:val="20"/>
                      <w:lang w:val="en-US" w:eastAsia="zh-CN"/>
                    </w:rPr>
                    <w:t>03</w:t>
                  </w:r>
                </w:p>
              </w:tc>
              <w:tc>
                <w:tcPr>
                  <w:tcW w:w="937" w:type="pct"/>
                  <w:tcBorders>
                    <w:top w:val="single" w:color="auto" w:sz="4" w:space="0"/>
                  </w:tcBorders>
                  <w:shd w:val="clear" w:color="auto" w:fill="auto"/>
                  <w:noWrap w:val="0"/>
                  <w:vAlign w:val="center"/>
                </w:tcPr>
                <w:p w14:paraId="762F1FF0">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Cs/>
                      <w:color w:val="0000FF"/>
                      <w:kern w:val="2"/>
                      <w:sz w:val="20"/>
                      <w:szCs w:val="20"/>
                      <w:lang w:val="en-US" w:eastAsia="zh-CN" w:bidi="ar-SA"/>
                    </w:rPr>
                  </w:pPr>
                  <w:r>
                    <w:rPr>
                      <w:rFonts w:hint="default" w:ascii="Times New Roman" w:hAnsi="Times New Roman" w:eastAsia="仿宋" w:cs="Times New Roman"/>
                      <w:color w:val="0000FF"/>
                      <w:sz w:val="20"/>
                      <w:szCs w:val="20"/>
                    </w:rPr>
                    <w:t>废气处理装置出现故障，处理效率以50%计算</w:t>
                  </w:r>
                </w:p>
              </w:tc>
              <w:tc>
                <w:tcPr>
                  <w:tcW w:w="624" w:type="pct"/>
                  <w:shd w:val="clear" w:color="auto" w:fill="auto"/>
                  <w:noWrap w:val="0"/>
                  <w:vAlign w:val="center"/>
                </w:tcPr>
                <w:p w14:paraId="3D14C28F">
                  <w:pPr>
                    <w:pStyle w:val="25"/>
                    <w:adjustRightInd w:val="0"/>
                    <w:snapToGrid w:val="0"/>
                    <w:spacing w:after="0" w:line="240" w:lineRule="auto"/>
                    <w:jc w:val="center"/>
                    <w:rPr>
                      <w:rFonts w:hint="default" w:ascii="Times New Roman" w:hAnsi="Times New Roman" w:eastAsia="仿宋" w:cs="Times New Roman"/>
                      <w:b/>
                      <w:color w:val="0000FF"/>
                      <w:kern w:val="2"/>
                      <w:sz w:val="20"/>
                      <w:szCs w:val="20"/>
                      <w:lang w:val="en-US" w:eastAsia="zh-CN" w:bidi="ar-SA"/>
                    </w:rPr>
                  </w:pPr>
                  <w:r>
                    <w:rPr>
                      <w:rFonts w:hint="default" w:ascii="Times New Roman" w:hAnsi="Times New Roman" w:eastAsia="仿宋" w:cs="Times New Roman"/>
                      <w:color w:val="0000FF"/>
                      <w:sz w:val="20"/>
                      <w:szCs w:val="20"/>
                      <w:lang w:val="en-US" w:eastAsia="zh-CN"/>
                    </w:rPr>
                    <w:t>≤1</w:t>
                  </w:r>
                </w:p>
              </w:tc>
              <w:tc>
                <w:tcPr>
                  <w:tcW w:w="624" w:type="pct"/>
                  <w:shd w:val="clear" w:color="auto" w:fill="auto"/>
                  <w:noWrap w:val="0"/>
                  <w:vAlign w:val="center"/>
                </w:tcPr>
                <w:p w14:paraId="5B08282E">
                  <w:pPr>
                    <w:pStyle w:val="25"/>
                    <w:adjustRightInd w:val="0"/>
                    <w:snapToGrid w:val="0"/>
                    <w:spacing w:after="0" w:line="240" w:lineRule="auto"/>
                    <w:jc w:val="center"/>
                    <w:rPr>
                      <w:rFonts w:hint="default" w:ascii="Times New Roman" w:hAnsi="Times New Roman" w:eastAsia="仿宋" w:cs="Times New Roman"/>
                      <w:b/>
                      <w:color w:val="0000FF"/>
                      <w:kern w:val="2"/>
                      <w:sz w:val="20"/>
                      <w:szCs w:val="20"/>
                      <w:lang w:val="en-US" w:eastAsia="zh-CN" w:bidi="ar-SA"/>
                    </w:rPr>
                  </w:pPr>
                  <w:r>
                    <w:rPr>
                      <w:rFonts w:hint="default" w:ascii="Times New Roman" w:hAnsi="Times New Roman" w:eastAsia="仿宋" w:cs="Times New Roman"/>
                      <w:color w:val="0000FF"/>
                      <w:sz w:val="20"/>
                      <w:szCs w:val="20"/>
                      <w:lang w:val="en-US" w:eastAsia="zh-CN"/>
                    </w:rPr>
                    <w:t>≤1</w:t>
                  </w:r>
                </w:p>
              </w:tc>
              <w:tc>
                <w:tcPr>
                  <w:tcW w:w="979" w:type="pct"/>
                  <w:shd w:val="clear" w:color="auto" w:fill="auto"/>
                  <w:noWrap w:val="0"/>
                  <w:vAlign w:val="center"/>
                </w:tcPr>
                <w:p w14:paraId="6E1802E9">
                  <w:pPr>
                    <w:pStyle w:val="25"/>
                    <w:adjustRightInd w:val="0"/>
                    <w:snapToGrid w:val="0"/>
                    <w:spacing w:after="0" w:line="240" w:lineRule="auto"/>
                    <w:jc w:val="center"/>
                    <w:rPr>
                      <w:rFonts w:hint="default" w:ascii="Times New Roman" w:hAnsi="Times New Roman" w:eastAsia="仿宋" w:cs="Times New Roman"/>
                      <w:b/>
                      <w:color w:val="0000FF"/>
                      <w:kern w:val="2"/>
                      <w:sz w:val="20"/>
                      <w:szCs w:val="20"/>
                      <w:lang w:val="en-US" w:eastAsia="zh-CN" w:bidi="ar-SA"/>
                    </w:rPr>
                  </w:pPr>
                  <w:r>
                    <w:rPr>
                      <w:rFonts w:hint="default" w:ascii="Times New Roman" w:hAnsi="Times New Roman" w:eastAsia="仿宋" w:cs="Times New Roman"/>
                      <w:color w:val="0000FF"/>
                      <w:sz w:val="20"/>
                      <w:szCs w:val="20"/>
                      <w:lang w:val="en-US" w:eastAsia="zh-CN"/>
                    </w:rPr>
                    <w:t>加强管理与维护、选用可靠设备、记录废气运行设施运维情况</w:t>
                  </w:r>
                </w:p>
              </w:tc>
            </w:tr>
          </w:tbl>
          <w:p w14:paraId="09D728D5">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color w:val="auto"/>
                <w:sz w:val="24"/>
              </w:rPr>
              <w:t>对于废气处理系统，一般情况下是开工时先运行废气处理</w:t>
            </w:r>
            <w:r>
              <w:rPr>
                <w:rFonts w:hint="default" w:ascii="Times New Roman" w:hAnsi="Times New Roman" w:eastAsia="仿宋" w:cs="Times New Roman"/>
                <w:color w:val="auto"/>
                <w:sz w:val="24"/>
                <w:lang w:val="en-US" w:eastAsia="zh-CN"/>
              </w:rPr>
              <w:t>设施</w:t>
            </w:r>
            <w:r>
              <w:rPr>
                <w:rFonts w:hint="default" w:ascii="Times New Roman" w:hAnsi="Times New Roman" w:eastAsia="仿宋" w:cs="Times New Roman"/>
                <w:color w:val="auto"/>
                <w:sz w:val="24"/>
              </w:rPr>
              <w:t>，停工时废气处理</w:t>
            </w:r>
            <w:r>
              <w:rPr>
                <w:rFonts w:hint="default" w:ascii="Times New Roman" w:hAnsi="Times New Roman" w:eastAsia="仿宋" w:cs="Times New Roman"/>
                <w:color w:val="auto"/>
                <w:sz w:val="24"/>
                <w:lang w:val="en-US" w:eastAsia="zh-CN"/>
              </w:rPr>
              <w:t>设施</w:t>
            </w:r>
            <w:r>
              <w:rPr>
                <w:rFonts w:hint="default" w:ascii="Times New Roman" w:hAnsi="Times New Roman" w:eastAsia="仿宋" w:cs="Times New Roman"/>
                <w:color w:val="auto"/>
                <w:sz w:val="24"/>
              </w:rPr>
              <w:t>最后停运，因此，在开工时一般情况下不存在工艺尾气事故排放。对于上述极端情况，一方面要设立自控系统，保证出现事故情况下，立即启动备用系统，如果突然断电，要立即关掉设备废气排放阀门，尽量减少废气直接排入大气环境。</w:t>
            </w:r>
          </w:p>
          <w:p w14:paraId="5B974179">
            <w:pPr>
              <w:numPr>
                <w:ilvl w:val="0"/>
                <w:numId w:val="10"/>
              </w:num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监测计划</w:t>
            </w:r>
          </w:p>
          <w:p w14:paraId="0D3496B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参考《排污单位自行监测技术指南 橡胶和塑料制品》（HJ1207-2021），本项目废气监测计划见下表。</w:t>
            </w:r>
          </w:p>
          <w:p w14:paraId="279DD83C">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表4-1</w:t>
            </w:r>
            <w:r>
              <w:rPr>
                <w:rFonts w:hint="eastAsia" w:eastAsia="仿宋" w:cs="Times New Roman"/>
                <w:b/>
                <w:bCs/>
                <w:color w:val="auto"/>
                <w:sz w:val="24"/>
                <w:highlight w:val="none"/>
                <w:lang w:val="en-US" w:eastAsia="zh-CN"/>
              </w:rPr>
              <w:t>7</w:t>
            </w:r>
            <w:r>
              <w:rPr>
                <w:rFonts w:hint="default" w:ascii="Times New Roman" w:hAnsi="Times New Roman" w:eastAsia="仿宋" w:cs="Times New Roman"/>
                <w:b/>
                <w:bCs/>
                <w:color w:val="auto"/>
                <w:sz w:val="24"/>
                <w:highlight w:val="none"/>
              </w:rPr>
              <w:t xml:space="preserve">  建设项目运营期废气监测计划表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80"/>
              <w:gridCol w:w="578"/>
              <w:gridCol w:w="1565"/>
              <w:gridCol w:w="1617"/>
              <w:gridCol w:w="936"/>
              <w:gridCol w:w="1747"/>
              <w:gridCol w:w="854"/>
              <w:gridCol w:w="523"/>
            </w:tblGrid>
            <w:tr w14:paraId="499FB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45" w:type="pct"/>
                  <w:noWrap w:val="0"/>
                  <w:vAlign w:val="center"/>
                </w:tcPr>
                <w:p w14:paraId="5D178BB8">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时段</w:t>
                  </w:r>
                </w:p>
              </w:tc>
              <w:tc>
                <w:tcPr>
                  <w:tcW w:w="344" w:type="pct"/>
                  <w:noWrap w:val="0"/>
                  <w:vAlign w:val="center"/>
                </w:tcPr>
                <w:p w14:paraId="76847033">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类别</w:t>
                  </w:r>
                </w:p>
              </w:tc>
              <w:tc>
                <w:tcPr>
                  <w:tcW w:w="931" w:type="pct"/>
                  <w:noWrap w:val="0"/>
                  <w:vAlign w:val="center"/>
                </w:tcPr>
                <w:p w14:paraId="41065228">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监测位置</w:t>
                  </w:r>
                </w:p>
              </w:tc>
              <w:tc>
                <w:tcPr>
                  <w:tcW w:w="962" w:type="pct"/>
                  <w:noWrap w:val="0"/>
                  <w:vAlign w:val="center"/>
                </w:tcPr>
                <w:p w14:paraId="2BC8256D">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监测项目</w:t>
                  </w:r>
                </w:p>
              </w:tc>
              <w:tc>
                <w:tcPr>
                  <w:tcW w:w="557" w:type="pct"/>
                  <w:noWrap w:val="0"/>
                  <w:vAlign w:val="center"/>
                </w:tcPr>
                <w:p w14:paraId="557AAE04">
                  <w:pPr>
                    <w:ind w:left="-105" w:leftChars="-50" w:right="-105" w:rightChars="-5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监测频率</w:t>
                  </w:r>
                </w:p>
              </w:tc>
              <w:tc>
                <w:tcPr>
                  <w:tcW w:w="1039" w:type="pct"/>
                  <w:noWrap w:val="0"/>
                  <w:vAlign w:val="center"/>
                </w:tcPr>
                <w:p w14:paraId="1425D9A2">
                  <w:pPr>
                    <w:spacing w:line="24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执行标准</w:t>
                  </w:r>
                </w:p>
              </w:tc>
              <w:tc>
                <w:tcPr>
                  <w:tcW w:w="508" w:type="pct"/>
                  <w:noWrap w:val="0"/>
                  <w:vAlign w:val="center"/>
                </w:tcPr>
                <w:p w14:paraId="79E1638B">
                  <w:pPr>
                    <w:spacing w:line="24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w:t>
                  </w:r>
                </w:p>
                <w:p w14:paraId="6CA06CE9">
                  <w:pPr>
                    <w:spacing w:line="24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方法</w:t>
                  </w:r>
                </w:p>
              </w:tc>
              <w:tc>
                <w:tcPr>
                  <w:tcW w:w="311" w:type="pct"/>
                  <w:noWrap w:val="0"/>
                  <w:vAlign w:val="center"/>
                </w:tcPr>
                <w:p w14:paraId="2194BACB">
                  <w:pPr>
                    <w:spacing w:line="24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备注</w:t>
                  </w:r>
                </w:p>
              </w:tc>
            </w:tr>
            <w:tr w14:paraId="1F080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345" w:type="pct"/>
                  <w:vMerge w:val="restart"/>
                  <w:noWrap w:val="0"/>
                  <w:vAlign w:val="center"/>
                </w:tcPr>
                <w:p w14:paraId="29186A28">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营运期</w:t>
                  </w:r>
                </w:p>
              </w:tc>
              <w:tc>
                <w:tcPr>
                  <w:tcW w:w="344" w:type="pct"/>
                  <w:vMerge w:val="restart"/>
                  <w:noWrap w:val="0"/>
                  <w:vAlign w:val="center"/>
                </w:tcPr>
                <w:p w14:paraId="26FA87CA">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废气</w:t>
                  </w:r>
                </w:p>
              </w:tc>
              <w:tc>
                <w:tcPr>
                  <w:tcW w:w="931" w:type="pct"/>
                  <w:noWrap w:val="0"/>
                  <w:vAlign w:val="center"/>
                </w:tcPr>
                <w:p w14:paraId="52222ED0">
                  <w:pPr>
                    <w:jc w:val="center"/>
                    <w:rPr>
                      <w:rFonts w:hint="default" w:ascii="Times New Roman" w:hAnsi="Times New Roman" w:eastAsia="仿宋" w:cs="Times New Roman"/>
                      <w:color w:val="auto"/>
                      <w:szCs w:val="21"/>
                      <w:highlight w:val="none"/>
                      <w:lang w:val="en-US"/>
                    </w:rPr>
                  </w:pPr>
                  <w:r>
                    <w:rPr>
                      <w:rFonts w:hint="default" w:ascii="Times New Roman" w:hAnsi="Times New Roman" w:eastAsia="仿宋" w:cs="Times New Roman"/>
                      <w:color w:val="auto"/>
                      <w:szCs w:val="21"/>
                      <w:highlight w:val="none"/>
                      <w:lang w:val="en-US" w:eastAsia="zh-CN" w:bidi="ar"/>
                    </w:rPr>
                    <w:t>FQ-5排气筒</w:t>
                  </w:r>
                </w:p>
              </w:tc>
              <w:tc>
                <w:tcPr>
                  <w:tcW w:w="962" w:type="pct"/>
                  <w:noWrap w:val="0"/>
                  <w:vAlign w:val="center"/>
                </w:tcPr>
                <w:p w14:paraId="5124FF39">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颗粒物</w:t>
                  </w:r>
                </w:p>
              </w:tc>
              <w:tc>
                <w:tcPr>
                  <w:tcW w:w="557" w:type="pct"/>
                  <w:noWrap w:val="0"/>
                  <w:vAlign w:val="center"/>
                </w:tcPr>
                <w:p w14:paraId="462F12E5">
                  <w:pPr>
                    <w:spacing w:line="240" w:lineRule="exact"/>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1次/年</w:t>
                  </w:r>
                </w:p>
              </w:tc>
              <w:tc>
                <w:tcPr>
                  <w:tcW w:w="1039" w:type="pct"/>
                  <w:vMerge w:val="restart"/>
                  <w:noWrap w:val="0"/>
                  <w:vAlign w:val="center"/>
                </w:tcPr>
                <w:p w14:paraId="16209B1D">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rPr>
                    <w:t>《大气污染物综合排放标准》（DB32/4041-2021）</w:t>
                  </w:r>
                </w:p>
              </w:tc>
              <w:tc>
                <w:tcPr>
                  <w:tcW w:w="508" w:type="pct"/>
                  <w:vMerge w:val="restart"/>
                  <w:noWrap w:val="0"/>
                  <w:vAlign w:val="center"/>
                </w:tcPr>
                <w:p w14:paraId="746C3BC7">
                  <w:pPr>
                    <w:spacing w:line="24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采用国家规定最新监测方法与标准</w:t>
                  </w:r>
                </w:p>
              </w:tc>
              <w:tc>
                <w:tcPr>
                  <w:tcW w:w="311" w:type="pct"/>
                  <w:vMerge w:val="restart"/>
                  <w:noWrap w:val="0"/>
                  <w:vAlign w:val="center"/>
                </w:tcPr>
                <w:p w14:paraId="0F07B897">
                  <w:pPr>
                    <w:spacing w:line="240" w:lineRule="exac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委托环境检测单位实施检测</w:t>
                  </w:r>
                </w:p>
              </w:tc>
            </w:tr>
            <w:tr w14:paraId="74E862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345" w:type="pct"/>
                  <w:vMerge w:val="continue"/>
                  <w:noWrap w:val="0"/>
                  <w:vAlign w:val="center"/>
                </w:tcPr>
                <w:p w14:paraId="082A75F4">
                  <w:pPr>
                    <w:jc w:val="center"/>
                    <w:rPr>
                      <w:rFonts w:hint="default" w:ascii="Times New Roman" w:hAnsi="Times New Roman" w:eastAsia="仿宋" w:cs="Times New Roman"/>
                      <w:bCs/>
                      <w:color w:val="auto"/>
                      <w:szCs w:val="21"/>
                      <w:highlight w:val="none"/>
                    </w:rPr>
                  </w:pPr>
                </w:p>
              </w:tc>
              <w:tc>
                <w:tcPr>
                  <w:tcW w:w="344" w:type="pct"/>
                  <w:vMerge w:val="continue"/>
                  <w:noWrap w:val="0"/>
                  <w:vAlign w:val="center"/>
                </w:tcPr>
                <w:p w14:paraId="38F39E59">
                  <w:pPr>
                    <w:jc w:val="center"/>
                    <w:rPr>
                      <w:rFonts w:hint="default" w:ascii="Times New Roman" w:hAnsi="Times New Roman" w:eastAsia="仿宋" w:cs="Times New Roman"/>
                      <w:color w:val="auto"/>
                      <w:szCs w:val="21"/>
                      <w:highlight w:val="none"/>
                    </w:rPr>
                  </w:pPr>
                </w:p>
              </w:tc>
              <w:tc>
                <w:tcPr>
                  <w:tcW w:w="931" w:type="pct"/>
                  <w:noWrap w:val="0"/>
                  <w:vAlign w:val="center"/>
                </w:tcPr>
                <w:p w14:paraId="7E7BB68F">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bidi="ar"/>
                    </w:rPr>
                    <w:t>FQ-6排气筒</w:t>
                  </w:r>
                </w:p>
              </w:tc>
              <w:tc>
                <w:tcPr>
                  <w:tcW w:w="962" w:type="pct"/>
                  <w:noWrap w:val="0"/>
                  <w:vAlign w:val="center"/>
                </w:tcPr>
                <w:p w14:paraId="6270C9FB">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非甲烷总烃</w:t>
                  </w:r>
                </w:p>
              </w:tc>
              <w:tc>
                <w:tcPr>
                  <w:tcW w:w="557" w:type="pct"/>
                  <w:noWrap w:val="0"/>
                  <w:vAlign w:val="center"/>
                </w:tcPr>
                <w:p w14:paraId="57B69027">
                  <w:pPr>
                    <w:spacing w:line="240" w:lineRule="exact"/>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1次/</w:t>
                  </w:r>
                  <w:r>
                    <w:rPr>
                      <w:rFonts w:hint="eastAsia" w:eastAsia="仿宋" w:cs="Times New Roman"/>
                      <w:color w:val="auto"/>
                      <w:szCs w:val="21"/>
                      <w:highlight w:val="none"/>
                      <w:lang w:val="en-US" w:eastAsia="zh-CN"/>
                    </w:rPr>
                    <w:t>半</w:t>
                  </w:r>
                  <w:r>
                    <w:rPr>
                      <w:rFonts w:hint="default" w:ascii="Times New Roman" w:hAnsi="Times New Roman" w:eastAsia="仿宋" w:cs="Times New Roman"/>
                      <w:color w:val="auto"/>
                      <w:szCs w:val="21"/>
                      <w:highlight w:val="none"/>
                    </w:rPr>
                    <w:t>年</w:t>
                  </w:r>
                </w:p>
              </w:tc>
              <w:tc>
                <w:tcPr>
                  <w:tcW w:w="1039" w:type="pct"/>
                  <w:vMerge w:val="continue"/>
                  <w:noWrap w:val="0"/>
                  <w:vAlign w:val="center"/>
                </w:tcPr>
                <w:p w14:paraId="1019BFCF">
                  <w:pPr>
                    <w:jc w:val="center"/>
                    <w:rPr>
                      <w:rFonts w:hint="default" w:ascii="Times New Roman" w:hAnsi="Times New Roman" w:eastAsia="仿宋" w:cs="Times New Roman"/>
                      <w:color w:val="auto"/>
                      <w:szCs w:val="21"/>
                      <w:highlight w:val="none"/>
                    </w:rPr>
                  </w:pPr>
                </w:p>
              </w:tc>
              <w:tc>
                <w:tcPr>
                  <w:tcW w:w="508" w:type="pct"/>
                  <w:vMerge w:val="continue"/>
                  <w:noWrap w:val="0"/>
                  <w:vAlign w:val="center"/>
                </w:tcPr>
                <w:p w14:paraId="3A9722D7">
                  <w:pPr>
                    <w:spacing w:line="240" w:lineRule="exact"/>
                    <w:jc w:val="center"/>
                    <w:rPr>
                      <w:rFonts w:hint="default" w:ascii="Times New Roman" w:hAnsi="Times New Roman" w:eastAsia="仿宋" w:cs="Times New Roman"/>
                      <w:color w:val="auto"/>
                      <w:szCs w:val="21"/>
                      <w:highlight w:val="none"/>
                    </w:rPr>
                  </w:pPr>
                </w:p>
              </w:tc>
              <w:tc>
                <w:tcPr>
                  <w:tcW w:w="311" w:type="pct"/>
                  <w:vMerge w:val="continue"/>
                  <w:noWrap w:val="0"/>
                  <w:vAlign w:val="center"/>
                </w:tcPr>
                <w:p w14:paraId="7906B6E0">
                  <w:pPr>
                    <w:spacing w:line="240" w:lineRule="exact"/>
                    <w:jc w:val="center"/>
                    <w:rPr>
                      <w:rFonts w:hint="default" w:ascii="Times New Roman" w:hAnsi="Times New Roman" w:eastAsia="仿宋" w:cs="Times New Roman"/>
                      <w:color w:val="auto"/>
                      <w:szCs w:val="21"/>
                      <w:highlight w:val="none"/>
                    </w:rPr>
                  </w:pPr>
                </w:p>
              </w:tc>
            </w:tr>
            <w:tr w14:paraId="2CA08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345" w:type="pct"/>
                  <w:vMerge w:val="continue"/>
                  <w:noWrap w:val="0"/>
                  <w:vAlign w:val="center"/>
                </w:tcPr>
                <w:p w14:paraId="57B8A078">
                  <w:pPr>
                    <w:jc w:val="center"/>
                    <w:rPr>
                      <w:rFonts w:hint="default" w:ascii="Times New Roman" w:hAnsi="Times New Roman" w:eastAsia="仿宋" w:cs="Times New Roman"/>
                      <w:bCs/>
                      <w:color w:val="auto"/>
                      <w:szCs w:val="21"/>
                      <w:highlight w:val="none"/>
                    </w:rPr>
                  </w:pPr>
                </w:p>
              </w:tc>
              <w:tc>
                <w:tcPr>
                  <w:tcW w:w="344" w:type="pct"/>
                  <w:vMerge w:val="continue"/>
                  <w:noWrap w:val="0"/>
                  <w:vAlign w:val="center"/>
                </w:tcPr>
                <w:p w14:paraId="15FE7D31">
                  <w:pPr>
                    <w:jc w:val="center"/>
                    <w:rPr>
                      <w:rFonts w:hint="default" w:ascii="Times New Roman" w:hAnsi="Times New Roman" w:eastAsia="仿宋" w:cs="Times New Roman"/>
                      <w:color w:val="auto"/>
                      <w:szCs w:val="21"/>
                      <w:highlight w:val="none"/>
                    </w:rPr>
                  </w:pPr>
                </w:p>
              </w:tc>
              <w:tc>
                <w:tcPr>
                  <w:tcW w:w="931" w:type="pct"/>
                  <w:shd w:val="clear" w:color="auto" w:fill="auto"/>
                  <w:noWrap w:val="0"/>
                  <w:vAlign w:val="center"/>
                </w:tcPr>
                <w:p w14:paraId="30805185">
                  <w:pPr>
                    <w:jc w:val="center"/>
                    <w:rPr>
                      <w:rFonts w:hint="default" w:ascii="Times New Roman" w:hAnsi="Times New Roman" w:eastAsia="仿宋" w:cs="Times New Roman"/>
                      <w:color w:val="0000FF"/>
                      <w:kern w:val="2"/>
                      <w:sz w:val="21"/>
                      <w:szCs w:val="21"/>
                      <w:highlight w:val="none"/>
                      <w:lang w:val="en-US" w:eastAsia="zh-CN" w:bidi="ar-SA"/>
                    </w:rPr>
                  </w:pPr>
                  <w:r>
                    <w:rPr>
                      <w:rFonts w:hint="default" w:ascii="Times New Roman" w:hAnsi="Times New Roman" w:eastAsia="仿宋" w:cs="Times New Roman"/>
                      <w:color w:val="0000FF"/>
                      <w:szCs w:val="21"/>
                      <w:highlight w:val="none"/>
                      <w:lang w:val="en-US" w:eastAsia="zh-CN" w:bidi="ar"/>
                    </w:rPr>
                    <w:t>FQ-</w:t>
                  </w:r>
                  <w:r>
                    <w:rPr>
                      <w:rFonts w:hint="eastAsia" w:eastAsia="仿宋" w:cs="Times New Roman"/>
                      <w:color w:val="0000FF"/>
                      <w:szCs w:val="21"/>
                      <w:highlight w:val="none"/>
                      <w:lang w:val="en-US" w:eastAsia="zh-CN" w:bidi="ar"/>
                    </w:rPr>
                    <w:t>7</w:t>
                  </w:r>
                  <w:r>
                    <w:rPr>
                      <w:rFonts w:hint="default" w:ascii="Times New Roman" w:hAnsi="Times New Roman" w:eastAsia="仿宋" w:cs="Times New Roman"/>
                      <w:color w:val="0000FF"/>
                      <w:szCs w:val="21"/>
                      <w:highlight w:val="none"/>
                      <w:lang w:val="en-US" w:eastAsia="zh-CN" w:bidi="ar"/>
                    </w:rPr>
                    <w:t>排气筒</w:t>
                  </w:r>
                </w:p>
              </w:tc>
              <w:tc>
                <w:tcPr>
                  <w:tcW w:w="1617" w:type="dxa"/>
                  <w:shd w:val="clear" w:color="auto" w:fill="auto"/>
                  <w:noWrap w:val="0"/>
                  <w:vAlign w:val="center"/>
                </w:tcPr>
                <w:p w14:paraId="42A4C873">
                  <w:pPr>
                    <w:jc w:val="center"/>
                    <w:rPr>
                      <w:rFonts w:hint="default" w:ascii="Times New Roman" w:hAnsi="Times New Roman" w:eastAsia="仿宋" w:cs="Times New Roman"/>
                      <w:color w:val="0000FF"/>
                      <w:kern w:val="2"/>
                      <w:sz w:val="21"/>
                      <w:szCs w:val="21"/>
                      <w:highlight w:val="none"/>
                      <w:lang w:val="en-US" w:eastAsia="zh-CN" w:bidi="ar-SA"/>
                    </w:rPr>
                  </w:pPr>
                  <w:r>
                    <w:rPr>
                      <w:rFonts w:hint="default" w:ascii="Times New Roman" w:hAnsi="Times New Roman" w:eastAsia="仿宋" w:cs="Times New Roman"/>
                      <w:color w:val="0000FF"/>
                      <w:szCs w:val="21"/>
                      <w:highlight w:val="none"/>
                    </w:rPr>
                    <w:t>颗粒物</w:t>
                  </w:r>
                </w:p>
              </w:tc>
              <w:tc>
                <w:tcPr>
                  <w:tcW w:w="936" w:type="dxa"/>
                  <w:shd w:val="clear" w:color="auto" w:fill="auto"/>
                  <w:noWrap w:val="0"/>
                  <w:vAlign w:val="center"/>
                </w:tcPr>
                <w:p w14:paraId="05C9ED07">
                  <w:pPr>
                    <w:spacing w:line="240" w:lineRule="exact"/>
                    <w:ind w:left="-105" w:leftChars="-50" w:right="-105" w:rightChars="-50"/>
                    <w:jc w:val="center"/>
                    <w:rPr>
                      <w:rFonts w:hint="default" w:ascii="Times New Roman" w:hAnsi="Times New Roman" w:eastAsia="仿宋" w:cs="Times New Roman"/>
                      <w:color w:val="0000FF"/>
                      <w:kern w:val="2"/>
                      <w:sz w:val="21"/>
                      <w:szCs w:val="21"/>
                      <w:highlight w:val="none"/>
                      <w:lang w:val="en-US" w:eastAsia="zh-CN" w:bidi="ar-SA"/>
                    </w:rPr>
                  </w:pPr>
                  <w:r>
                    <w:rPr>
                      <w:rFonts w:hint="default" w:ascii="Times New Roman" w:hAnsi="Times New Roman" w:eastAsia="仿宋" w:cs="Times New Roman"/>
                      <w:color w:val="0000FF"/>
                      <w:szCs w:val="21"/>
                      <w:highlight w:val="none"/>
                    </w:rPr>
                    <w:t>1次/年</w:t>
                  </w:r>
                </w:p>
              </w:tc>
              <w:tc>
                <w:tcPr>
                  <w:tcW w:w="1039" w:type="pct"/>
                  <w:vMerge w:val="continue"/>
                  <w:noWrap w:val="0"/>
                  <w:vAlign w:val="center"/>
                </w:tcPr>
                <w:p w14:paraId="7B9182D5">
                  <w:pPr>
                    <w:jc w:val="center"/>
                    <w:rPr>
                      <w:rFonts w:hint="default" w:ascii="Times New Roman" w:hAnsi="Times New Roman" w:eastAsia="仿宋" w:cs="Times New Roman"/>
                      <w:color w:val="auto"/>
                      <w:szCs w:val="21"/>
                      <w:highlight w:val="none"/>
                    </w:rPr>
                  </w:pPr>
                </w:p>
              </w:tc>
              <w:tc>
                <w:tcPr>
                  <w:tcW w:w="508" w:type="pct"/>
                  <w:vMerge w:val="continue"/>
                  <w:noWrap w:val="0"/>
                  <w:vAlign w:val="center"/>
                </w:tcPr>
                <w:p w14:paraId="63EC5C6D">
                  <w:pPr>
                    <w:spacing w:line="240" w:lineRule="exact"/>
                    <w:jc w:val="center"/>
                    <w:rPr>
                      <w:rFonts w:hint="default" w:ascii="Times New Roman" w:hAnsi="Times New Roman" w:eastAsia="仿宋" w:cs="Times New Roman"/>
                      <w:color w:val="auto"/>
                      <w:szCs w:val="21"/>
                      <w:highlight w:val="none"/>
                    </w:rPr>
                  </w:pPr>
                </w:p>
              </w:tc>
              <w:tc>
                <w:tcPr>
                  <w:tcW w:w="311" w:type="pct"/>
                  <w:vMerge w:val="continue"/>
                  <w:noWrap w:val="0"/>
                  <w:vAlign w:val="center"/>
                </w:tcPr>
                <w:p w14:paraId="7BC99C20">
                  <w:pPr>
                    <w:spacing w:line="240" w:lineRule="exact"/>
                    <w:jc w:val="center"/>
                    <w:rPr>
                      <w:rFonts w:hint="default" w:ascii="Times New Roman" w:hAnsi="Times New Roman" w:eastAsia="仿宋" w:cs="Times New Roman"/>
                      <w:color w:val="auto"/>
                      <w:szCs w:val="21"/>
                      <w:highlight w:val="none"/>
                    </w:rPr>
                  </w:pPr>
                </w:p>
              </w:tc>
            </w:tr>
            <w:tr w14:paraId="3E156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345" w:type="pct"/>
                  <w:vMerge w:val="continue"/>
                  <w:noWrap w:val="0"/>
                  <w:vAlign w:val="center"/>
                </w:tcPr>
                <w:p w14:paraId="1D6109F8">
                  <w:pPr>
                    <w:jc w:val="center"/>
                    <w:rPr>
                      <w:rFonts w:hint="default" w:ascii="Times New Roman" w:hAnsi="Times New Roman" w:eastAsia="仿宋" w:cs="Times New Roman"/>
                      <w:bCs/>
                      <w:color w:val="auto"/>
                      <w:szCs w:val="21"/>
                      <w:highlight w:val="none"/>
                    </w:rPr>
                  </w:pPr>
                </w:p>
              </w:tc>
              <w:tc>
                <w:tcPr>
                  <w:tcW w:w="344" w:type="pct"/>
                  <w:vMerge w:val="continue"/>
                  <w:noWrap w:val="0"/>
                  <w:vAlign w:val="center"/>
                </w:tcPr>
                <w:p w14:paraId="3B8033E5">
                  <w:pPr>
                    <w:jc w:val="center"/>
                    <w:rPr>
                      <w:rFonts w:hint="default" w:ascii="Times New Roman" w:hAnsi="Times New Roman" w:eastAsia="仿宋" w:cs="Times New Roman"/>
                      <w:color w:val="auto"/>
                      <w:szCs w:val="21"/>
                      <w:highlight w:val="none"/>
                    </w:rPr>
                  </w:pPr>
                </w:p>
              </w:tc>
              <w:tc>
                <w:tcPr>
                  <w:tcW w:w="931" w:type="pct"/>
                  <w:noWrap w:val="0"/>
                  <w:vAlign w:val="center"/>
                </w:tcPr>
                <w:p w14:paraId="199F7B33">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pacing w:val="-17"/>
                      <w:sz w:val="21"/>
                      <w:szCs w:val="21"/>
                      <w:highlight w:val="none"/>
                    </w:rPr>
                    <w:t>边界外10m范围内上风向1个点，下风向3个点</w:t>
                  </w:r>
                </w:p>
              </w:tc>
              <w:tc>
                <w:tcPr>
                  <w:tcW w:w="962" w:type="pct"/>
                  <w:noWrap w:val="0"/>
                  <w:vAlign w:val="center"/>
                </w:tcPr>
                <w:p w14:paraId="1C68CE0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仿宋" w:cs="Times New Roman"/>
                      <w:color w:val="auto"/>
                      <w:szCs w:val="21"/>
                      <w:highlight w:val="none"/>
                    </w:rPr>
                    <w:t>非甲烷总烃</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颗粒物</w:t>
                  </w:r>
                </w:p>
              </w:tc>
              <w:tc>
                <w:tcPr>
                  <w:tcW w:w="557" w:type="pct"/>
                  <w:noWrap w:val="0"/>
                  <w:vAlign w:val="center"/>
                </w:tcPr>
                <w:p w14:paraId="32C49E21">
                  <w:pPr>
                    <w:spacing w:line="240" w:lineRule="exact"/>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1次/年</w:t>
                  </w:r>
                </w:p>
              </w:tc>
              <w:tc>
                <w:tcPr>
                  <w:tcW w:w="1039" w:type="pct"/>
                  <w:vMerge w:val="continue"/>
                  <w:noWrap w:val="0"/>
                  <w:vAlign w:val="center"/>
                </w:tcPr>
                <w:p w14:paraId="68E0D2D4">
                  <w:pPr>
                    <w:jc w:val="center"/>
                    <w:rPr>
                      <w:rFonts w:hint="default" w:ascii="Times New Roman" w:hAnsi="Times New Roman" w:eastAsia="仿宋" w:cs="Times New Roman"/>
                      <w:color w:val="auto"/>
                      <w:szCs w:val="21"/>
                      <w:highlight w:val="none"/>
                    </w:rPr>
                  </w:pPr>
                </w:p>
              </w:tc>
              <w:tc>
                <w:tcPr>
                  <w:tcW w:w="508" w:type="pct"/>
                  <w:vMerge w:val="continue"/>
                  <w:noWrap w:val="0"/>
                  <w:vAlign w:val="center"/>
                </w:tcPr>
                <w:p w14:paraId="7AB731C5">
                  <w:pPr>
                    <w:spacing w:line="240" w:lineRule="exact"/>
                    <w:jc w:val="center"/>
                    <w:rPr>
                      <w:rFonts w:hint="default" w:ascii="Times New Roman" w:hAnsi="Times New Roman" w:eastAsia="仿宋" w:cs="Times New Roman"/>
                      <w:bCs/>
                      <w:color w:val="auto"/>
                      <w:szCs w:val="21"/>
                      <w:highlight w:val="none"/>
                    </w:rPr>
                  </w:pPr>
                </w:p>
              </w:tc>
              <w:tc>
                <w:tcPr>
                  <w:tcW w:w="311" w:type="pct"/>
                  <w:vMerge w:val="continue"/>
                  <w:noWrap w:val="0"/>
                  <w:vAlign w:val="center"/>
                </w:tcPr>
                <w:p w14:paraId="7F10B991">
                  <w:pPr>
                    <w:spacing w:line="240" w:lineRule="exact"/>
                    <w:jc w:val="center"/>
                    <w:rPr>
                      <w:rFonts w:hint="default" w:ascii="Times New Roman" w:hAnsi="Times New Roman" w:eastAsia="仿宋" w:cs="Times New Roman"/>
                      <w:bCs/>
                      <w:color w:val="auto"/>
                      <w:szCs w:val="21"/>
                      <w:highlight w:val="none"/>
                    </w:rPr>
                  </w:pPr>
                </w:p>
              </w:tc>
            </w:tr>
            <w:tr w14:paraId="50D90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345" w:type="pct"/>
                  <w:vMerge w:val="continue"/>
                  <w:noWrap w:val="0"/>
                  <w:vAlign w:val="center"/>
                </w:tcPr>
                <w:p w14:paraId="4CF5FCCA">
                  <w:pPr>
                    <w:jc w:val="center"/>
                    <w:rPr>
                      <w:rFonts w:hint="default" w:ascii="Times New Roman" w:hAnsi="Times New Roman" w:eastAsia="仿宋" w:cs="Times New Roman"/>
                      <w:bCs/>
                      <w:color w:val="auto"/>
                      <w:szCs w:val="21"/>
                      <w:highlight w:val="none"/>
                    </w:rPr>
                  </w:pPr>
                </w:p>
              </w:tc>
              <w:tc>
                <w:tcPr>
                  <w:tcW w:w="344" w:type="pct"/>
                  <w:vMerge w:val="continue"/>
                  <w:noWrap w:val="0"/>
                  <w:vAlign w:val="center"/>
                </w:tcPr>
                <w:p w14:paraId="233406DC">
                  <w:pPr>
                    <w:jc w:val="center"/>
                    <w:rPr>
                      <w:rFonts w:hint="default" w:ascii="Times New Roman" w:hAnsi="Times New Roman" w:eastAsia="仿宋" w:cs="Times New Roman"/>
                      <w:color w:val="auto"/>
                      <w:szCs w:val="21"/>
                      <w:highlight w:val="none"/>
                    </w:rPr>
                  </w:pPr>
                </w:p>
              </w:tc>
              <w:tc>
                <w:tcPr>
                  <w:tcW w:w="931" w:type="pct"/>
                  <w:noWrap w:val="0"/>
                  <w:vAlign w:val="center"/>
                </w:tcPr>
                <w:p w14:paraId="23AAFD7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在</w:t>
                  </w:r>
                  <w:r>
                    <w:rPr>
                      <w:rFonts w:hint="default" w:ascii="Times New Roman" w:hAnsi="Times New Roman" w:eastAsia="仿宋" w:cs="Times New Roman"/>
                      <w:color w:val="auto"/>
                      <w:szCs w:val="21"/>
                      <w:highlight w:val="none"/>
                      <w:lang w:val="en-US" w:eastAsia="zh-CN"/>
                    </w:rPr>
                    <w:t>生产</w:t>
                  </w:r>
                  <w:r>
                    <w:rPr>
                      <w:rFonts w:hint="default" w:ascii="Times New Roman" w:hAnsi="Times New Roman" w:eastAsia="仿宋" w:cs="Times New Roman"/>
                      <w:color w:val="auto"/>
                      <w:szCs w:val="21"/>
                      <w:highlight w:val="none"/>
                    </w:rPr>
                    <w:t>车间门窗或通风口等排放口外1m设置1个监控点</w:t>
                  </w:r>
                </w:p>
              </w:tc>
              <w:tc>
                <w:tcPr>
                  <w:tcW w:w="962" w:type="pct"/>
                  <w:noWrap w:val="0"/>
                  <w:vAlign w:val="center"/>
                </w:tcPr>
                <w:p w14:paraId="343AF5CA">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非甲烷总烃</w:t>
                  </w:r>
                </w:p>
              </w:tc>
              <w:tc>
                <w:tcPr>
                  <w:tcW w:w="557" w:type="pct"/>
                  <w:noWrap w:val="0"/>
                  <w:vAlign w:val="center"/>
                </w:tcPr>
                <w:p w14:paraId="7C4B3A38">
                  <w:pPr>
                    <w:spacing w:line="240" w:lineRule="exact"/>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1次/年</w:t>
                  </w:r>
                </w:p>
              </w:tc>
              <w:tc>
                <w:tcPr>
                  <w:tcW w:w="1039" w:type="pct"/>
                  <w:noWrap w:val="0"/>
                  <w:vAlign w:val="center"/>
                </w:tcPr>
                <w:p w14:paraId="07C69BAE">
                  <w:pPr>
                    <w:pStyle w:val="12"/>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rPr>
                    <w:t>《</w:t>
                  </w:r>
                  <w:r>
                    <w:rPr>
                      <w:rFonts w:hint="default" w:ascii="Times New Roman" w:hAnsi="Times New Roman" w:eastAsia="仿宋" w:cs="Times New Roman"/>
                      <w:bCs/>
                      <w:color w:val="auto"/>
                      <w:kern w:val="2"/>
                      <w:sz w:val="21"/>
                      <w:szCs w:val="21"/>
                      <w:highlight w:val="none"/>
                      <w:lang w:val="en-US" w:eastAsia="zh-CN" w:bidi="ar-SA"/>
                    </w:rPr>
                    <w:t>大气污染物综合排放标准》（DB32/4041-2021）及《挥发性有机物无组织排放控制标准》（GB 37822-2019）</w:t>
                  </w:r>
                </w:p>
              </w:tc>
              <w:tc>
                <w:tcPr>
                  <w:tcW w:w="508" w:type="pct"/>
                  <w:vMerge w:val="continue"/>
                  <w:noWrap w:val="0"/>
                  <w:vAlign w:val="center"/>
                </w:tcPr>
                <w:p w14:paraId="3AC3B1F6">
                  <w:pPr>
                    <w:spacing w:line="240" w:lineRule="exact"/>
                    <w:jc w:val="center"/>
                    <w:rPr>
                      <w:rFonts w:hint="default" w:ascii="Times New Roman" w:hAnsi="Times New Roman" w:eastAsia="仿宋" w:cs="Times New Roman"/>
                      <w:bCs/>
                      <w:color w:val="auto"/>
                      <w:szCs w:val="21"/>
                      <w:highlight w:val="none"/>
                    </w:rPr>
                  </w:pPr>
                </w:p>
              </w:tc>
              <w:tc>
                <w:tcPr>
                  <w:tcW w:w="311" w:type="pct"/>
                  <w:vMerge w:val="continue"/>
                  <w:noWrap w:val="0"/>
                  <w:vAlign w:val="center"/>
                </w:tcPr>
                <w:p w14:paraId="5C01DBF3">
                  <w:pPr>
                    <w:spacing w:line="240" w:lineRule="exact"/>
                    <w:jc w:val="center"/>
                    <w:rPr>
                      <w:rFonts w:hint="default" w:ascii="Times New Roman" w:hAnsi="Times New Roman" w:eastAsia="仿宋" w:cs="Times New Roman"/>
                      <w:bCs/>
                      <w:color w:val="auto"/>
                      <w:szCs w:val="21"/>
                      <w:highlight w:val="none"/>
                    </w:rPr>
                  </w:pPr>
                </w:p>
              </w:tc>
            </w:tr>
          </w:tbl>
          <w:p w14:paraId="38ED34B7">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6</w:t>
            </w:r>
            <w:r>
              <w:rPr>
                <w:rFonts w:hint="default" w:ascii="Times New Roman" w:hAnsi="Times New Roman" w:eastAsia="仿宋" w:cs="Times New Roman"/>
                <w:bCs/>
                <w:color w:val="auto"/>
                <w:sz w:val="24"/>
                <w:highlight w:val="none"/>
              </w:rPr>
              <w:t>、卫生防护距离</w:t>
            </w:r>
          </w:p>
          <w:p w14:paraId="2E2D2006">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根据《大气有害物质无组织排放卫生防护距离推导技术导则》（GB/T39499-2020），各类工业企业卫生防护距离按下式计算：</w:t>
            </w:r>
          </w:p>
          <w:p w14:paraId="3FBCAA43">
            <w:pPr>
              <w:spacing w:line="360" w:lineRule="auto"/>
              <w:ind w:left="0" w:leftChars="0" w:right="0" w:rightChars="0" w:firstLine="0" w:firstLineChars="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position w:val="-30"/>
                <w:sz w:val="24"/>
              </w:rPr>
              <w:object>
                <v:shape id="_x0000_i1025" o:spt="75" type="#_x0000_t75" style="height:35.3pt;width:139.95pt;" o:ole="t" filled="f" o:preferrelative="t" stroked="f" coordsize="21600,21600">
                  <v:path/>
                  <v:fill on="f" focussize="0,0"/>
                  <v:stroke on="f"/>
                  <v:imagedata r:id="rId23" o:title=""/>
                  <o:lock v:ext="edit" aspectratio="t"/>
                  <w10:wrap type="none"/>
                  <w10:anchorlock/>
                </v:shape>
                <o:OLEObject Type="Embed" ProgID="Equation.DSMT4" ShapeID="_x0000_i1025" DrawAspect="Content" ObjectID="_1468075725" r:id="rId22">
                  <o:LockedField>false</o:LockedField>
                </o:OLEObject>
              </w:object>
            </w:r>
          </w:p>
          <w:p w14:paraId="43773D57">
            <w:pPr>
              <w:adjustRightInd w:val="0"/>
              <w:snapToGrid w:val="0"/>
              <w:spacing w:line="360" w:lineRule="auto"/>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式中：C</w:t>
            </w:r>
            <w:r>
              <w:rPr>
                <w:rFonts w:hint="default" w:ascii="Times New Roman" w:hAnsi="Times New Roman" w:eastAsia="仿宋" w:cs="Times New Roman"/>
                <w:bCs/>
                <w:color w:val="auto"/>
                <w:sz w:val="24"/>
                <w:vertAlign w:val="subscript"/>
              </w:rPr>
              <w:t>m</w:t>
            </w:r>
            <w:r>
              <w:rPr>
                <w:rFonts w:hint="default" w:ascii="Times New Roman" w:hAnsi="Times New Roman" w:eastAsia="仿宋" w:cs="Times New Roman"/>
                <w:bCs/>
                <w:color w:val="auto"/>
                <w:sz w:val="24"/>
              </w:rPr>
              <w:t>——标准浓度限值（mg/m</w:t>
            </w:r>
            <w:r>
              <w:rPr>
                <w:rFonts w:hint="default" w:ascii="Times New Roman" w:hAnsi="Times New Roman" w:eastAsia="仿宋" w:cs="Times New Roman"/>
                <w:bCs/>
                <w:color w:val="auto"/>
                <w:sz w:val="24"/>
                <w:vertAlign w:val="superscript"/>
              </w:rPr>
              <w:t>3</w:t>
            </w:r>
            <w:r>
              <w:rPr>
                <w:rFonts w:hint="default" w:ascii="Times New Roman" w:hAnsi="Times New Roman" w:eastAsia="仿宋" w:cs="Times New Roman"/>
                <w:bCs/>
                <w:color w:val="auto"/>
                <w:sz w:val="24"/>
              </w:rPr>
              <w:t>）；</w:t>
            </w:r>
          </w:p>
          <w:p w14:paraId="7C3E0439">
            <w:pPr>
              <w:adjustRightInd w:val="0"/>
              <w:snapToGrid w:val="0"/>
              <w:spacing w:line="360" w:lineRule="auto"/>
              <w:ind w:firstLine="1200" w:firstLineChars="5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Qc——大气污染物可以达到的控制水平（kg/h）；</w:t>
            </w:r>
          </w:p>
          <w:p w14:paraId="32E00CE3">
            <w:pPr>
              <w:adjustRightInd w:val="0"/>
              <w:snapToGrid w:val="0"/>
              <w:spacing w:line="360" w:lineRule="auto"/>
              <w:ind w:firstLine="1200" w:firstLineChars="5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A、B、C、D——卫生防护距离计算系数；</w:t>
            </w:r>
          </w:p>
          <w:p w14:paraId="4F70EDC6">
            <w:pPr>
              <w:adjustRightInd w:val="0"/>
              <w:snapToGrid w:val="0"/>
              <w:spacing w:line="360" w:lineRule="auto"/>
              <w:ind w:firstLine="1200" w:firstLineChars="5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r——排放源所在生产单元的等效半径（m）；</w:t>
            </w:r>
          </w:p>
          <w:p w14:paraId="546CC151">
            <w:pPr>
              <w:adjustRightInd w:val="0"/>
              <w:snapToGrid w:val="0"/>
              <w:spacing w:line="360" w:lineRule="auto"/>
              <w:ind w:firstLine="1200" w:firstLineChars="5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L——卫生防护距离（m）。</w:t>
            </w:r>
          </w:p>
          <w:p w14:paraId="192E0442">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按照无组织废气源强参数表，根据《大气有害物质无组织排放卫生防护距离推导技术导则》（GB/T39499-2020）的有关规定计算卫生防护距离，各参数取值见</w:t>
            </w:r>
            <w:r>
              <w:rPr>
                <w:rFonts w:hint="default" w:ascii="Times New Roman" w:hAnsi="Times New Roman" w:eastAsia="仿宋" w:cs="Times New Roman"/>
                <w:bCs/>
                <w:color w:val="auto"/>
                <w:sz w:val="24"/>
                <w:lang w:val="en-US" w:eastAsia="zh-CN"/>
              </w:rPr>
              <w:t>下表</w:t>
            </w:r>
            <w:r>
              <w:rPr>
                <w:rFonts w:hint="default" w:ascii="Times New Roman" w:hAnsi="Times New Roman" w:eastAsia="仿宋" w:cs="Times New Roman"/>
                <w:bCs/>
                <w:color w:val="auto"/>
                <w:sz w:val="24"/>
              </w:rPr>
              <w:t>。</w:t>
            </w:r>
          </w:p>
          <w:p w14:paraId="0BC95BDA">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w:t>
            </w:r>
            <w:r>
              <w:rPr>
                <w:rFonts w:hint="default" w:ascii="Times New Roman" w:hAnsi="Times New Roman" w:eastAsia="仿宋" w:cs="Times New Roman"/>
                <w:b/>
                <w:bCs/>
                <w:color w:val="auto"/>
                <w:sz w:val="24"/>
                <w:lang w:val="en-US" w:eastAsia="zh-CN"/>
              </w:rPr>
              <w:t>1</w:t>
            </w:r>
            <w:r>
              <w:rPr>
                <w:rFonts w:hint="eastAsia" w:eastAsia="仿宋" w:cs="Times New Roman"/>
                <w:b/>
                <w:bCs/>
                <w:color w:val="auto"/>
                <w:sz w:val="24"/>
                <w:lang w:val="en-US" w:eastAsia="zh-CN"/>
              </w:rPr>
              <w:t>8</w:t>
            </w:r>
            <w:r>
              <w:rPr>
                <w:rFonts w:hint="default" w:ascii="Times New Roman" w:hAnsi="Times New Roman" w:eastAsia="仿宋" w:cs="Times New Roman"/>
                <w:b/>
                <w:bCs/>
                <w:color w:val="auto"/>
                <w:sz w:val="24"/>
              </w:rPr>
              <w:t xml:space="preserve">  卫生防护距离计算系数</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68"/>
              <w:gridCol w:w="1304"/>
              <w:gridCol w:w="635"/>
              <w:gridCol w:w="635"/>
              <w:gridCol w:w="638"/>
              <w:gridCol w:w="635"/>
              <w:gridCol w:w="635"/>
              <w:gridCol w:w="638"/>
              <w:gridCol w:w="635"/>
              <w:gridCol w:w="635"/>
              <w:gridCol w:w="642"/>
            </w:tblGrid>
            <w:tr w14:paraId="177487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restart"/>
                  <w:tcBorders>
                    <w:top w:val="single" w:color="auto" w:sz="12" w:space="0"/>
                    <w:left w:val="nil"/>
                    <w:bottom w:val="single" w:color="auto" w:sz="2" w:space="0"/>
                    <w:right w:val="single" w:color="auto" w:sz="2" w:space="0"/>
                  </w:tcBorders>
                  <w:noWrap w:val="0"/>
                  <w:vAlign w:val="center"/>
                </w:tcPr>
                <w:p w14:paraId="1ADD9791">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计算系数</w:t>
                  </w:r>
                </w:p>
              </w:tc>
              <w:tc>
                <w:tcPr>
                  <w:tcW w:w="776" w:type="pct"/>
                  <w:vMerge w:val="restart"/>
                  <w:tcBorders>
                    <w:top w:val="single" w:color="auto" w:sz="12" w:space="0"/>
                    <w:left w:val="single" w:color="auto" w:sz="2" w:space="0"/>
                    <w:bottom w:val="single" w:color="auto" w:sz="2" w:space="0"/>
                    <w:right w:val="single" w:color="auto" w:sz="2" w:space="0"/>
                  </w:tcBorders>
                  <w:noWrap w:val="0"/>
                  <w:vAlign w:val="center"/>
                </w:tcPr>
                <w:p w14:paraId="2153F847">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5年平均风速，m/s</w:t>
                  </w:r>
                </w:p>
              </w:tc>
              <w:tc>
                <w:tcPr>
                  <w:tcW w:w="3408" w:type="pct"/>
                  <w:gridSpan w:val="9"/>
                  <w:tcBorders>
                    <w:top w:val="single" w:color="auto" w:sz="12" w:space="0"/>
                    <w:left w:val="single" w:color="auto" w:sz="2" w:space="0"/>
                    <w:bottom w:val="single" w:color="auto" w:sz="2" w:space="0"/>
                    <w:right w:val="nil"/>
                  </w:tcBorders>
                  <w:noWrap w:val="0"/>
                  <w:vAlign w:val="center"/>
                </w:tcPr>
                <w:p w14:paraId="69C39199">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卫生防护距离L（m）</w:t>
                  </w:r>
                </w:p>
              </w:tc>
            </w:tr>
            <w:tr w14:paraId="027E93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continue"/>
                  <w:tcBorders>
                    <w:top w:val="single" w:color="auto" w:sz="12" w:space="0"/>
                    <w:left w:val="nil"/>
                    <w:bottom w:val="single" w:color="auto" w:sz="2" w:space="0"/>
                    <w:right w:val="single" w:color="auto" w:sz="2" w:space="0"/>
                  </w:tcBorders>
                  <w:noWrap w:val="0"/>
                  <w:vAlign w:val="center"/>
                </w:tcPr>
                <w:p w14:paraId="641077AE">
                  <w:pPr>
                    <w:rPr>
                      <w:rFonts w:hint="default" w:ascii="Times New Roman" w:hAnsi="Times New Roman" w:eastAsia="仿宋" w:cs="Times New Roman"/>
                      <w:b/>
                      <w:bCs/>
                      <w:color w:val="auto"/>
                      <w:szCs w:val="21"/>
                    </w:rPr>
                  </w:pPr>
                </w:p>
              </w:tc>
              <w:tc>
                <w:tcPr>
                  <w:tcW w:w="776" w:type="pct"/>
                  <w:vMerge w:val="continue"/>
                  <w:tcBorders>
                    <w:top w:val="single" w:color="auto" w:sz="12" w:space="0"/>
                    <w:left w:val="single" w:color="auto" w:sz="2" w:space="0"/>
                    <w:bottom w:val="single" w:color="auto" w:sz="2" w:space="0"/>
                    <w:right w:val="single" w:color="auto" w:sz="2" w:space="0"/>
                  </w:tcBorders>
                  <w:noWrap w:val="0"/>
                  <w:vAlign w:val="center"/>
                </w:tcPr>
                <w:p w14:paraId="05C8C96E">
                  <w:pPr>
                    <w:rPr>
                      <w:rFonts w:hint="default" w:ascii="Times New Roman" w:hAnsi="Times New Roman" w:eastAsia="仿宋" w:cs="Times New Roman"/>
                      <w:b/>
                      <w:bCs/>
                      <w:color w:val="auto"/>
                      <w:szCs w:val="21"/>
                    </w:rPr>
                  </w:pP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6B566DA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L≤1000</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186F0FC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1000＜L≤2000</w:t>
                  </w:r>
                </w:p>
              </w:tc>
              <w:tc>
                <w:tcPr>
                  <w:tcW w:w="1136" w:type="pct"/>
                  <w:gridSpan w:val="3"/>
                  <w:tcBorders>
                    <w:top w:val="single" w:color="auto" w:sz="2" w:space="0"/>
                    <w:left w:val="single" w:color="auto" w:sz="2" w:space="0"/>
                    <w:bottom w:val="single" w:color="auto" w:sz="2" w:space="0"/>
                    <w:right w:val="nil"/>
                  </w:tcBorders>
                  <w:noWrap w:val="0"/>
                  <w:vAlign w:val="center"/>
                </w:tcPr>
                <w:p w14:paraId="1866C6E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L＞2000</w:t>
                  </w:r>
                </w:p>
              </w:tc>
            </w:tr>
            <w:tr w14:paraId="3CD385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continue"/>
                  <w:tcBorders>
                    <w:top w:val="single" w:color="auto" w:sz="12" w:space="0"/>
                    <w:left w:val="nil"/>
                    <w:bottom w:val="single" w:color="auto" w:sz="2" w:space="0"/>
                    <w:right w:val="single" w:color="auto" w:sz="2" w:space="0"/>
                  </w:tcBorders>
                  <w:noWrap w:val="0"/>
                  <w:vAlign w:val="center"/>
                </w:tcPr>
                <w:p w14:paraId="76466CC1">
                  <w:pPr>
                    <w:rPr>
                      <w:rFonts w:hint="default" w:ascii="Times New Roman" w:hAnsi="Times New Roman" w:eastAsia="仿宋" w:cs="Times New Roman"/>
                      <w:b/>
                      <w:bCs/>
                      <w:color w:val="auto"/>
                      <w:szCs w:val="21"/>
                    </w:rPr>
                  </w:pPr>
                </w:p>
              </w:tc>
              <w:tc>
                <w:tcPr>
                  <w:tcW w:w="776" w:type="pct"/>
                  <w:vMerge w:val="continue"/>
                  <w:tcBorders>
                    <w:top w:val="single" w:color="auto" w:sz="12" w:space="0"/>
                    <w:left w:val="single" w:color="auto" w:sz="2" w:space="0"/>
                    <w:bottom w:val="single" w:color="auto" w:sz="2" w:space="0"/>
                    <w:right w:val="single" w:color="auto" w:sz="2" w:space="0"/>
                  </w:tcBorders>
                  <w:noWrap w:val="0"/>
                  <w:vAlign w:val="center"/>
                </w:tcPr>
                <w:p w14:paraId="49D589C0">
                  <w:pPr>
                    <w:rPr>
                      <w:rFonts w:hint="default" w:ascii="Times New Roman" w:hAnsi="Times New Roman" w:eastAsia="仿宋" w:cs="Times New Roman"/>
                      <w:b/>
                      <w:bCs/>
                      <w:color w:val="auto"/>
                      <w:szCs w:val="21"/>
                    </w:rPr>
                  </w:pPr>
                </w:p>
              </w:tc>
              <w:tc>
                <w:tcPr>
                  <w:tcW w:w="3408" w:type="pct"/>
                  <w:gridSpan w:val="9"/>
                  <w:tcBorders>
                    <w:top w:val="single" w:color="auto" w:sz="2" w:space="0"/>
                    <w:left w:val="single" w:color="auto" w:sz="2" w:space="0"/>
                    <w:bottom w:val="single" w:color="auto" w:sz="2" w:space="0"/>
                    <w:right w:val="nil"/>
                  </w:tcBorders>
                  <w:noWrap w:val="0"/>
                  <w:vAlign w:val="center"/>
                </w:tcPr>
                <w:p w14:paraId="0B29225E">
                  <w:pPr>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rPr>
                    <w:t>工业大气污染源构成类别</w:t>
                  </w:r>
                </w:p>
              </w:tc>
            </w:tr>
            <w:tr w14:paraId="6732DE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continue"/>
                  <w:tcBorders>
                    <w:top w:val="single" w:color="auto" w:sz="12" w:space="0"/>
                    <w:left w:val="nil"/>
                    <w:bottom w:val="single" w:color="auto" w:sz="2" w:space="0"/>
                    <w:right w:val="single" w:color="auto" w:sz="2" w:space="0"/>
                  </w:tcBorders>
                  <w:noWrap w:val="0"/>
                  <w:vAlign w:val="center"/>
                </w:tcPr>
                <w:p w14:paraId="6B09F15C">
                  <w:pPr>
                    <w:rPr>
                      <w:rFonts w:hint="default" w:ascii="Times New Roman" w:hAnsi="Times New Roman" w:eastAsia="仿宋" w:cs="Times New Roman"/>
                      <w:b/>
                      <w:bCs/>
                      <w:color w:val="auto"/>
                      <w:szCs w:val="21"/>
                    </w:rPr>
                  </w:pPr>
                </w:p>
              </w:tc>
              <w:tc>
                <w:tcPr>
                  <w:tcW w:w="776" w:type="pct"/>
                  <w:vMerge w:val="continue"/>
                  <w:tcBorders>
                    <w:top w:val="single" w:color="auto" w:sz="12" w:space="0"/>
                    <w:left w:val="single" w:color="auto" w:sz="2" w:space="0"/>
                    <w:bottom w:val="single" w:color="auto" w:sz="2" w:space="0"/>
                    <w:right w:val="single" w:color="auto" w:sz="2" w:space="0"/>
                  </w:tcBorders>
                  <w:noWrap w:val="0"/>
                  <w:vAlign w:val="center"/>
                </w:tcPr>
                <w:p w14:paraId="529FFFB3">
                  <w:pPr>
                    <w:rPr>
                      <w:rFonts w:hint="default" w:ascii="Times New Roman" w:hAnsi="Times New Roman" w:eastAsia="仿宋" w:cs="Times New Roman"/>
                      <w:b/>
                      <w:bCs/>
                      <w:color w:val="auto"/>
                      <w:szCs w:val="21"/>
                    </w:rPr>
                  </w:pPr>
                </w:p>
              </w:tc>
              <w:tc>
                <w:tcPr>
                  <w:tcW w:w="378" w:type="pct"/>
                  <w:tcBorders>
                    <w:top w:val="single" w:color="auto" w:sz="2" w:space="0"/>
                    <w:left w:val="single" w:color="auto" w:sz="2" w:space="0"/>
                    <w:bottom w:val="single" w:color="auto" w:sz="2" w:space="0"/>
                    <w:right w:val="single" w:color="auto" w:sz="2" w:space="0"/>
                  </w:tcBorders>
                  <w:noWrap w:val="0"/>
                  <w:vAlign w:val="center"/>
                </w:tcPr>
                <w:p w14:paraId="3AF5C32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Ⅰ</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0BD93BC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Ⅱ</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6989C97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Ⅲ</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2C78700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Ⅰ</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0173719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Ⅱ</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3A9C8C3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Ⅲ</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6EC19F9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Ⅰ</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029116E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Ⅱ</w:t>
                  </w:r>
                </w:p>
              </w:tc>
              <w:tc>
                <w:tcPr>
                  <w:tcW w:w="378" w:type="pct"/>
                  <w:tcBorders>
                    <w:top w:val="single" w:color="auto" w:sz="2" w:space="0"/>
                    <w:left w:val="single" w:color="auto" w:sz="2" w:space="0"/>
                    <w:bottom w:val="single" w:color="auto" w:sz="2" w:space="0"/>
                    <w:right w:val="nil"/>
                  </w:tcBorders>
                  <w:noWrap w:val="0"/>
                  <w:vAlign w:val="center"/>
                </w:tcPr>
                <w:p w14:paraId="0133753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Ⅲ</w:t>
                  </w:r>
                </w:p>
              </w:tc>
            </w:tr>
            <w:tr w14:paraId="1EE0B9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0A0C619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A</w:t>
                  </w:r>
                </w:p>
              </w:tc>
              <w:tc>
                <w:tcPr>
                  <w:tcW w:w="776" w:type="pct"/>
                  <w:tcBorders>
                    <w:top w:val="single" w:color="auto" w:sz="2" w:space="0"/>
                    <w:left w:val="single" w:color="auto" w:sz="2" w:space="0"/>
                    <w:bottom w:val="single" w:color="auto" w:sz="2" w:space="0"/>
                    <w:right w:val="single" w:color="auto" w:sz="2" w:space="0"/>
                  </w:tcBorders>
                  <w:noWrap w:val="0"/>
                  <w:vAlign w:val="center"/>
                </w:tcPr>
                <w:p w14:paraId="6DCF19E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76D9B36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400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35F86A8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400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0D70BA8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400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492B7B6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400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37522F3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400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2A0412B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400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2ACA9CD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80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329C4A6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80</w:t>
                  </w:r>
                </w:p>
              </w:tc>
              <w:tc>
                <w:tcPr>
                  <w:tcW w:w="378" w:type="pct"/>
                  <w:tcBorders>
                    <w:top w:val="single" w:color="auto" w:sz="2" w:space="0"/>
                    <w:left w:val="single" w:color="auto" w:sz="2" w:space="0"/>
                    <w:bottom w:val="single" w:color="auto" w:sz="2" w:space="0"/>
                    <w:right w:val="nil"/>
                  </w:tcBorders>
                  <w:noWrap w:val="0"/>
                  <w:vAlign w:val="center"/>
                </w:tcPr>
                <w:p w14:paraId="72817B8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80</w:t>
                  </w:r>
                </w:p>
              </w:tc>
            </w:tr>
            <w:tr w14:paraId="4A264F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continue"/>
                  <w:tcBorders>
                    <w:top w:val="single" w:color="auto" w:sz="2" w:space="0"/>
                    <w:left w:val="nil"/>
                    <w:bottom w:val="single" w:color="auto" w:sz="2" w:space="0"/>
                    <w:right w:val="single" w:color="auto" w:sz="2" w:space="0"/>
                  </w:tcBorders>
                  <w:shd w:val="clear" w:color="auto" w:fill="auto"/>
                  <w:noWrap w:val="0"/>
                  <w:vAlign w:val="center"/>
                </w:tcPr>
                <w:p w14:paraId="432D9954">
                  <w:pPr>
                    <w:rPr>
                      <w:rFonts w:hint="default" w:ascii="Times New Roman" w:hAnsi="Times New Roman" w:eastAsia="仿宋" w:cs="Times New Roman"/>
                      <w:color w:val="auto"/>
                      <w:szCs w:val="21"/>
                    </w:rPr>
                  </w:pPr>
                </w:p>
              </w:tc>
              <w:tc>
                <w:tcPr>
                  <w:tcW w:w="776"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5F3F876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2-4</w:t>
                  </w:r>
                </w:p>
              </w:tc>
              <w:tc>
                <w:tcPr>
                  <w:tcW w:w="378"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582210E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noWrap w:val="0"/>
                  <w:vAlign w:val="center"/>
                </w:tcPr>
                <w:p w14:paraId="166DFE7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470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64DBF2B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350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44F976E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700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20A3FA5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470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3D9F74C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350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6909E8B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380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01AF153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250</w:t>
                  </w:r>
                </w:p>
              </w:tc>
              <w:tc>
                <w:tcPr>
                  <w:tcW w:w="378" w:type="pct"/>
                  <w:tcBorders>
                    <w:top w:val="single" w:color="auto" w:sz="2" w:space="0"/>
                    <w:left w:val="single" w:color="auto" w:sz="2" w:space="0"/>
                    <w:bottom w:val="single" w:color="auto" w:sz="2" w:space="0"/>
                    <w:right w:val="nil"/>
                  </w:tcBorders>
                  <w:noWrap w:val="0"/>
                  <w:vAlign w:val="center"/>
                </w:tcPr>
                <w:p w14:paraId="02985B5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190</w:t>
                  </w:r>
                </w:p>
              </w:tc>
            </w:tr>
            <w:tr w14:paraId="670BDB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continue"/>
                  <w:tcBorders>
                    <w:top w:val="single" w:color="auto" w:sz="2" w:space="0"/>
                    <w:left w:val="nil"/>
                    <w:bottom w:val="single" w:color="auto" w:sz="2" w:space="0"/>
                    <w:right w:val="single" w:color="auto" w:sz="2" w:space="0"/>
                  </w:tcBorders>
                  <w:noWrap w:val="0"/>
                  <w:vAlign w:val="center"/>
                </w:tcPr>
                <w:p w14:paraId="6B03D2B2">
                  <w:pPr>
                    <w:rPr>
                      <w:rFonts w:hint="default" w:ascii="Times New Roman" w:hAnsi="Times New Roman" w:eastAsia="仿宋" w:cs="Times New Roman"/>
                      <w:color w:val="auto"/>
                      <w:szCs w:val="21"/>
                    </w:rPr>
                  </w:pPr>
                </w:p>
              </w:tc>
              <w:tc>
                <w:tcPr>
                  <w:tcW w:w="776" w:type="pct"/>
                  <w:tcBorders>
                    <w:top w:val="single" w:color="auto" w:sz="2" w:space="0"/>
                    <w:left w:val="single" w:color="auto" w:sz="2" w:space="0"/>
                    <w:bottom w:val="single" w:color="auto" w:sz="2" w:space="0"/>
                    <w:right w:val="single" w:color="auto" w:sz="2" w:space="0"/>
                  </w:tcBorders>
                  <w:noWrap w:val="0"/>
                  <w:vAlign w:val="center"/>
                </w:tcPr>
                <w:p w14:paraId="17C008E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＞4</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58DB29C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530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2DF1ACF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350</w:t>
                  </w:r>
                </w:p>
              </w:tc>
              <w:tc>
                <w:tcPr>
                  <w:tcW w:w="379" w:type="pct"/>
                  <w:tcBorders>
                    <w:top w:val="single" w:color="auto" w:sz="2" w:space="0"/>
                    <w:left w:val="single" w:color="auto" w:sz="2" w:space="0"/>
                    <w:bottom w:val="single" w:color="auto" w:sz="2" w:space="0"/>
                    <w:right w:val="single" w:color="auto" w:sz="2" w:space="0"/>
                  </w:tcBorders>
                  <w:noWrap w:val="0"/>
                  <w:vAlign w:val="center"/>
                </w:tcPr>
                <w:p w14:paraId="6A20156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260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7160862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530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6F4A68F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350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21AD916C">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260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71C9DEC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290</w:t>
                  </w:r>
                </w:p>
              </w:tc>
              <w:tc>
                <w:tcPr>
                  <w:tcW w:w="378" w:type="pct"/>
                  <w:tcBorders>
                    <w:top w:val="single" w:color="auto" w:sz="2" w:space="0"/>
                    <w:left w:val="single" w:color="auto" w:sz="2" w:space="0"/>
                    <w:bottom w:val="single" w:color="auto" w:sz="2" w:space="0"/>
                    <w:right w:val="single" w:color="auto" w:sz="2" w:space="0"/>
                  </w:tcBorders>
                  <w:noWrap w:val="0"/>
                  <w:vAlign w:val="center"/>
                </w:tcPr>
                <w:p w14:paraId="30DE132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190</w:t>
                  </w:r>
                </w:p>
              </w:tc>
              <w:tc>
                <w:tcPr>
                  <w:tcW w:w="378" w:type="pct"/>
                  <w:tcBorders>
                    <w:top w:val="single" w:color="auto" w:sz="2" w:space="0"/>
                    <w:left w:val="single" w:color="auto" w:sz="2" w:space="0"/>
                    <w:bottom w:val="single" w:color="auto" w:sz="2" w:space="0"/>
                    <w:right w:val="nil"/>
                  </w:tcBorders>
                  <w:noWrap w:val="0"/>
                  <w:vAlign w:val="center"/>
                </w:tcPr>
                <w:p w14:paraId="1F69E06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140</w:t>
                  </w:r>
                </w:p>
              </w:tc>
            </w:tr>
            <w:tr w14:paraId="5A171B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6EC0DD2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B</w:t>
                  </w:r>
                </w:p>
              </w:tc>
              <w:tc>
                <w:tcPr>
                  <w:tcW w:w="776" w:type="pct"/>
                  <w:tcBorders>
                    <w:top w:val="single" w:color="auto" w:sz="2" w:space="0"/>
                    <w:left w:val="single" w:color="auto" w:sz="2" w:space="0"/>
                    <w:bottom w:val="single" w:color="auto" w:sz="2" w:space="0"/>
                    <w:right w:val="single" w:color="auto" w:sz="2" w:space="0"/>
                  </w:tcBorders>
                  <w:noWrap w:val="0"/>
                  <w:vAlign w:val="center"/>
                </w:tcPr>
                <w:p w14:paraId="645FC9F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4C30DDD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0.01</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7FC43B5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0.015</w:t>
                  </w:r>
                </w:p>
              </w:tc>
              <w:tc>
                <w:tcPr>
                  <w:tcW w:w="1136" w:type="pct"/>
                  <w:gridSpan w:val="3"/>
                  <w:tcBorders>
                    <w:top w:val="single" w:color="auto" w:sz="2" w:space="0"/>
                    <w:left w:val="single" w:color="auto" w:sz="2" w:space="0"/>
                    <w:bottom w:val="single" w:color="auto" w:sz="2" w:space="0"/>
                    <w:right w:val="nil"/>
                  </w:tcBorders>
                  <w:noWrap w:val="0"/>
                  <w:vAlign w:val="center"/>
                </w:tcPr>
                <w:p w14:paraId="240E15A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0.015</w:t>
                  </w:r>
                </w:p>
              </w:tc>
            </w:tr>
            <w:tr w14:paraId="19B578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continue"/>
                  <w:tcBorders>
                    <w:top w:val="single" w:color="auto" w:sz="2" w:space="0"/>
                    <w:left w:val="nil"/>
                    <w:bottom w:val="single" w:color="auto" w:sz="2" w:space="0"/>
                    <w:right w:val="single" w:color="auto" w:sz="2" w:space="0"/>
                  </w:tcBorders>
                  <w:shd w:val="clear" w:color="auto" w:fill="auto"/>
                  <w:noWrap w:val="0"/>
                  <w:vAlign w:val="center"/>
                </w:tcPr>
                <w:p w14:paraId="20CA8E15">
                  <w:pPr>
                    <w:rPr>
                      <w:rFonts w:hint="default" w:ascii="Times New Roman" w:hAnsi="Times New Roman" w:eastAsia="仿宋" w:cs="Times New Roman"/>
                      <w:color w:val="auto"/>
                      <w:szCs w:val="21"/>
                    </w:rPr>
                  </w:pPr>
                </w:p>
              </w:tc>
              <w:tc>
                <w:tcPr>
                  <w:tcW w:w="776"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56DA9E5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noWrap w:val="0"/>
                  <w:vAlign w:val="center"/>
                </w:tcPr>
                <w:p w14:paraId="706424F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0.021</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18F6996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0.036</w:t>
                  </w:r>
                </w:p>
              </w:tc>
              <w:tc>
                <w:tcPr>
                  <w:tcW w:w="1136" w:type="pct"/>
                  <w:gridSpan w:val="3"/>
                  <w:tcBorders>
                    <w:top w:val="single" w:color="auto" w:sz="2" w:space="0"/>
                    <w:left w:val="single" w:color="auto" w:sz="2" w:space="0"/>
                    <w:bottom w:val="single" w:color="auto" w:sz="2" w:space="0"/>
                    <w:right w:val="nil"/>
                  </w:tcBorders>
                  <w:noWrap w:val="0"/>
                  <w:vAlign w:val="center"/>
                </w:tcPr>
                <w:p w14:paraId="145BE99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0.036</w:t>
                  </w:r>
                </w:p>
              </w:tc>
            </w:tr>
            <w:tr w14:paraId="6117C5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5BB40CC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C</w:t>
                  </w:r>
                </w:p>
              </w:tc>
              <w:tc>
                <w:tcPr>
                  <w:tcW w:w="776" w:type="pct"/>
                  <w:tcBorders>
                    <w:top w:val="single" w:color="auto" w:sz="2" w:space="0"/>
                    <w:left w:val="single" w:color="auto" w:sz="2" w:space="0"/>
                    <w:bottom w:val="single" w:color="auto" w:sz="2" w:space="0"/>
                    <w:right w:val="single" w:color="auto" w:sz="2" w:space="0"/>
                  </w:tcBorders>
                  <w:noWrap w:val="0"/>
                  <w:vAlign w:val="center"/>
                </w:tcPr>
                <w:p w14:paraId="488953B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2D86BEA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1.85</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77CE686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1.79</w:t>
                  </w:r>
                </w:p>
              </w:tc>
              <w:tc>
                <w:tcPr>
                  <w:tcW w:w="1136" w:type="pct"/>
                  <w:gridSpan w:val="3"/>
                  <w:tcBorders>
                    <w:top w:val="single" w:color="auto" w:sz="2" w:space="0"/>
                    <w:left w:val="single" w:color="auto" w:sz="2" w:space="0"/>
                    <w:bottom w:val="single" w:color="auto" w:sz="2" w:space="0"/>
                    <w:right w:val="nil"/>
                  </w:tcBorders>
                  <w:noWrap w:val="0"/>
                  <w:vAlign w:val="center"/>
                </w:tcPr>
                <w:p w14:paraId="57CD352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1.79</w:t>
                  </w:r>
                </w:p>
              </w:tc>
            </w:tr>
            <w:tr w14:paraId="42FA75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continue"/>
                  <w:tcBorders>
                    <w:top w:val="single" w:color="auto" w:sz="2" w:space="0"/>
                    <w:left w:val="nil"/>
                    <w:bottom w:val="single" w:color="auto" w:sz="2" w:space="0"/>
                    <w:right w:val="single" w:color="auto" w:sz="2" w:space="0"/>
                  </w:tcBorders>
                  <w:shd w:val="clear" w:color="auto" w:fill="auto"/>
                  <w:noWrap w:val="0"/>
                  <w:vAlign w:val="center"/>
                </w:tcPr>
                <w:p w14:paraId="6F8F95E4">
                  <w:pPr>
                    <w:rPr>
                      <w:rFonts w:hint="default" w:ascii="Times New Roman" w:hAnsi="Times New Roman" w:eastAsia="仿宋" w:cs="Times New Roman"/>
                      <w:color w:val="auto"/>
                      <w:szCs w:val="21"/>
                    </w:rPr>
                  </w:pPr>
                </w:p>
              </w:tc>
              <w:tc>
                <w:tcPr>
                  <w:tcW w:w="776"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7278701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noWrap w:val="0"/>
                  <w:vAlign w:val="center"/>
                </w:tcPr>
                <w:p w14:paraId="59C90CAA">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1.85</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2591220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1.77</w:t>
                  </w:r>
                </w:p>
              </w:tc>
              <w:tc>
                <w:tcPr>
                  <w:tcW w:w="1136" w:type="pct"/>
                  <w:gridSpan w:val="3"/>
                  <w:tcBorders>
                    <w:top w:val="single" w:color="auto" w:sz="2" w:space="0"/>
                    <w:left w:val="single" w:color="auto" w:sz="2" w:space="0"/>
                    <w:bottom w:val="single" w:color="auto" w:sz="2" w:space="0"/>
                    <w:right w:val="nil"/>
                  </w:tcBorders>
                  <w:noWrap w:val="0"/>
                  <w:vAlign w:val="center"/>
                </w:tcPr>
                <w:p w14:paraId="25F6F93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1.77</w:t>
                  </w:r>
                </w:p>
              </w:tc>
            </w:tr>
            <w:tr w14:paraId="42F58B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restart"/>
                  <w:tcBorders>
                    <w:top w:val="single" w:color="auto" w:sz="2" w:space="0"/>
                    <w:left w:val="nil"/>
                    <w:bottom w:val="single" w:color="auto" w:sz="2" w:space="0"/>
                    <w:right w:val="single" w:color="auto" w:sz="2" w:space="0"/>
                  </w:tcBorders>
                  <w:noWrap w:val="0"/>
                  <w:vAlign w:val="center"/>
                </w:tcPr>
                <w:p w14:paraId="6E03A05B">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D</w:t>
                  </w:r>
                </w:p>
              </w:tc>
              <w:tc>
                <w:tcPr>
                  <w:tcW w:w="776" w:type="pct"/>
                  <w:tcBorders>
                    <w:top w:val="single" w:color="auto" w:sz="2" w:space="0"/>
                    <w:left w:val="single" w:color="auto" w:sz="2" w:space="0"/>
                    <w:bottom w:val="single" w:color="auto" w:sz="2" w:space="0"/>
                    <w:right w:val="single" w:color="auto" w:sz="2" w:space="0"/>
                  </w:tcBorders>
                  <w:noWrap w:val="0"/>
                  <w:vAlign w:val="center"/>
                </w:tcPr>
                <w:p w14:paraId="33937382">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2D842D70">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0.78</w:t>
                  </w:r>
                </w:p>
              </w:tc>
              <w:tc>
                <w:tcPr>
                  <w:tcW w:w="1136" w:type="pct"/>
                  <w:gridSpan w:val="3"/>
                  <w:tcBorders>
                    <w:top w:val="single" w:color="auto" w:sz="2" w:space="0"/>
                    <w:left w:val="single" w:color="auto" w:sz="2" w:space="0"/>
                    <w:bottom w:val="single" w:color="auto" w:sz="2" w:space="0"/>
                    <w:right w:val="single" w:color="auto" w:sz="2" w:space="0"/>
                  </w:tcBorders>
                  <w:noWrap w:val="0"/>
                  <w:vAlign w:val="center"/>
                </w:tcPr>
                <w:p w14:paraId="3DBB9D1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0.78</w:t>
                  </w:r>
                </w:p>
              </w:tc>
              <w:tc>
                <w:tcPr>
                  <w:tcW w:w="1136" w:type="pct"/>
                  <w:gridSpan w:val="3"/>
                  <w:tcBorders>
                    <w:top w:val="single" w:color="auto" w:sz="2" w:space="0"/>
                    <w:left w:val="single" w:color="auto" w:sz="2" w:space="0"/>
                    <w:bottom w:val="single" w:color="auto" w:sz="2" w:space="0"/>
                    <w:right w:val="nil"/>
                  </w:tcBorders>
                  <w:noWrap w:val="0"/>
                  <w:vAlign w:val="center"/>
                </w:tcPr>
                <w:p w14:paraId="6A8ACE6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0.57</w:t>
                  </w:r>
                </w:p>
              </w:tc>
            </w:tr>
            <w:tr w14:paraId="5ACC9D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814" w:type="pct"/>
                  <w:vMerge w:val="continue"/>
                  <w:tcBorders>
                    <w:top w:val="single" w:color="auto" w:sz="2" w:space="0"/>
                    <w:left w:val="nil"/>
                    <w:bottom w:val="single" w:color="auto" w:sz="12" w:space="0"/>
                    <w:right w:val="single" w:color="auto" w:sz="2" w:space="0"/>
                  </w:tcBorders>
                  <w:shd w:val="clear" w:color="auto" w:fill="auto"/>
                  <w:noWrap w:val="0"/>
                  <w:vAlign w:val="center"/>
                </w:tcPr>
                <w:p w14:paraId="4E4B27BA">
                  <w:pPr>
                    <w:rPr>
                      <w:rFonts w:hint="default" w:ascii="Times New Roman" w:hAnsi="Times New Roman" w:eastAsia="仿宋" w:cs="Times New Roman"/>
                      <w:color w:val="auto"/>
                      <w:szCs w:val="21"/>
                    </w:rPr>
                  </w:pPr>
                </w:p>
              </w:tc>
              <w:tc>
                <w:tcPr>
                  <w:tcW w:w="776" w:type="pct"/>
                  <w:tcBorders>
                    <w:top w:val="single" w:color="auto" w:sz="2" w:space="0"/>
                    <w:left w:val="single" w:color="auto" w:sz="2" w:space="0"/>
                    <w:bottom w:val="single" w:color="auto" w:sz="12" w:space="0"/>
                    <w:right w:val="single" w:color="auto" w:sz="2" w:space="0"/>
                  </w:tcBorders>
                  <w:shd w:val="clear" w:color="auto" w:fill="auto"/>
                  <w:noWrap w:val="0"/>
                  <w:vAlign w:val="center"/>
                </w:tcPr>
                <w:p w14:paraId="38747C89">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＞2</w:t>
                  </w:r>
                </w:p>
              </w:tc>
              <w:tc>
                <w:tcPr>
                  <w:tcW w:w="1136" w:type="pct"/>
                  <w:gridSpan w:val="3"/>
                  <w:tcBorders>
                    <w:top w:val="single" w:color="auto" w:sz="2" w:space="0"/>
                    <w:left w:val="single" w:color="auto" w:sz="2" w:space="0"/>
                    <w:bottom w:val="single" w:color="auto" w:sz="12" w:space="0"/>
                    <w:right w:val="single" w:color="auto" w:sz="2" w:space="0"/>
                  </w:tcBorders>
                  <w:shd w:val="clear" w:color="auto" w:fill="B3B3B3"/>
                  <w:noWrap w:val="0"/>
                  <w:vAlign w:val="center"/>
                </w:tcPr>
                <w:p w14:paraId="7F9DD66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0.84</w:t>
                  </w:r>
                </w:p>
              </w:tc>
              <w:tc>
                <w:tcPr>
                  <w:tcW w:w="1136" w:type="pct"/>
                  <w:gridSpan w:val="3"/>
                  <w:tcBorders>
                    <w:top w:val="single" w:color="auto" w:sz="2" w:space="0"/>
                    <w:left w:val="single" w:color="auto" w:sz="2" w:space="0"/>
                    <w:bottom w:val="single" w:color="auto" w:sz="12" w:space="0"/>
                    <w:right w:val="single" w:color="auto" w:sz="2" w:space="0"/>
                  </w:tcBorders>
                  <w:noWrap w:val="0"/>
                  <w:vAlign w:val="center"/>
                </w:tcPr>
                <w:p w14:paraId="1AA93D2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0.84</w:t>
                  </w:r>
                </w:p>
              </w:tc>
              <w:tc>
                <w:tcPr>
                  <w:tcW w:w="1136" w:type="pct"/>
                  <w:gridSpan w:val="3"/>
                  <w:tcBorders>
                    <w:top w:val="single" w:color="auto" w:sz="2" w:space="0"/>
                    <w:left w:val="single" w:color="auto" w:sz="2" w:space="0"/>
                    <w:bottom w:val="single" w:color="auto" w:sz="12" w:space="0"/>
                    <w:right w:val="nil"/>
                  </w:tcBorders>
                  <w:noWrap w:val="0"/>
                  <w:vAlign w:val="center"/>
                </w:tcPr>
                <w:p w14:paraId="590276C4">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rPr>
                    <w:t>0.76</w:t>
                  </w:r>
                </w:p>
              </w:tc>
            </w:tr>
          </w:tbl>
          <w:p w14:paraId="581ABA70">
            <w:pPr>
              <w:spacing w:before="120" w:beforeLines="50" w:line="360" w:lineRule="auto"/>
              <w:ind w:firstLine="480" w:firstLineChars="200"/>
              <w:rPr>
                <w:rFonts w:hint="default" w:ascii="Times New Roman" w:hAnsi="Times New Roman" w:eastAsia="仿宋" w:cs="Times New Roman"/>
                <w:b/>
                <w:bCs/>
                <w:color w:val="auto"/>
                <w:sz w:val="24"/>
              </w:rPr>
            </w:pPr>
            <w:r>
              <w:rPr>
                <w:rFonts w:hint="default" w:ascii="Times New Roman" w:hAnsi="Times New Roman" w:eastAsia="仿宋" w:cs="Times New Roman"/>
                <w:color w:val="auto"/>
                <w:sz w:val="24"/>
              </w:rPr>
              <w:t>经计算，</w:t>
            </w:r>
            <w:r>
              <w:rPr>
                <w:rFonts w:hint="default" w:ascii="Times New Roman" w:hAnsi="Times New Roman" w:eastAsia="仿宋" w:cs="Times New Roman"/>
                <w:color w:val="auto"/>
                <w:sz w:val="24"/>
                <w:lang w:val="en-US" w:eastAsia="zh-CN"/>
              </w:rPr>
              <w:t>本项目</w:t>
            </w:r>
            <w:r>
              <w:rPr>
                <w:rFonts w:hint="default" w:ascii="Times New Roman" w:hAnsi="Times New Roman" w:eastAsia="仿宋" w:cs="Times New Roman"/>
                <w:color w:val="auto"/>
                <w:sz w:val="24"/>
              </w:rPr>
              <w:t>卫生防护距离计算结果见</w:t>
            </w:r>
            <w:r>
              <w:rPr>
                <w:rFonts w:hint="default" w:ascii="Times New Roman" w:hAnsi="Times New Roman" w:eastAsia="仿宋" w:cs="Times New Roman"/>
                <w:color w:val="auto"/>
                <w:sz w:val="24"/>
                <w:lang w:val="en-US" w:eastAsia="zh-CN"/>
              </w:rPr>
              <w:t>下表</w:t>
            </w:r>
            <w:r>
              <w:rPr>
                <w:rFonts w:hint="default" w:ascii="Times New Roman" w:hAnsi="Times New Roman" w:eastAsia="仿宋" w:cs="Times New Roman"/>
                <w:color w:val="auto"/>
                <w:sz w:val="24"/>
              </w:rPr>
              <w:t>。</w:t>
            </w:r>
          </w:p>
          <w:p w14:paraId="24F38A07">
            <w:pPr>
              <w:adjustRightInd w:val="0"/>
              <w:snapToGrid w:val="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表4-1</w:t>
            </w:r>
            <w:r>
              <w:rPr>
                <w:rFonts w:hint="eastAsia" w:eastAsia="仿宋" w:cs="Times New Roman"/>
                <w:b/>
                <w:bCs/>
                <w:color w:val="auto"/>
                <w:sz w:val="24"/>
                <w:lang w:val="en-US" w:eastAsia="zh-CN"/>
              </w:rPr>
              <w:t>9</w:t>
            </w:r>
            <w:r>
              <w:rPr>
                <w:rFonts w:hint="default" w:ascii="Times New Roman" w:hAnsi="Times New Roman" w:eastAsia="仿宋" w:cs="Times New Roman"/>
                <w:b/>
                <w:bCs/>
                <w:color w:val="auto"/>
                <w:sz w:val="24"/>
              </w:rPr>
              <w:t xml:space="preserve">  </w:t>
            </w:r>
            <w:r>
              <w:rPr>
                <w:rFonts w:hint="default" w:ascii="Times New Roman" w:hAnsi="Times New Roman" w:eastAsia="仿宋" w:cs="Times New Roman"/>
                <w:b/>
                <w:bCs/>
                <w:color w:val="auto"/>
                <w:sz w:val="24"/>
                <w:lang w:val="en-US" w:eastAsia="zh-CN"/>
              </w:rPr>
              <w:t>本项目</w:t>
            </w:r>
            <w:r>
              <w:rPr>
                <w:rFonts w:hint="default" w:ascii="Times New Roman" w:hAnsi="Times New Roman" w:eastAsia="仿宋" w:cs="Times New Roman"/>
                <w:b/>
                <w:bCs/>
                <w:color w:val="auto"/>
                <w:sz w:val="24"/>
              </w:rPr>
              <w:t>卫生防护距离计算结果表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28" w:type="dxa"/>
                <w:bottom w:w="0" w:type="dxa"/>
                <w:right w:w="28" w:type="dxa"/>
              </w:tblCellMar>
            </w:tblPr>
            <w:tblGrid>
              <w:gridCol w:w="670"/>
              <w:gridCol w:w="973"/>
              <w:gridCol w:w="1005"/>
              <w:gridCol w:w="925"/>
              <w:gridCol w:w="801"/>
              <w:gridCol w:w="445"/>
              <w:gridCol w:w="751"/>
              <w:gridCol w:w="602"/>
              <w:gridCol w:w="617"/>
              <w:gridCol w:w="809"/>
              <w:gridCol w:w="802"/>
            </w:tblGrid>
            <w:tr w14:paraId="238A2F7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trPr>
              <w:tc>
                <w:tcPr>
                  <w:tcW w:w="399" w:type="pct"/>
                  <w:vMerge w:val="restart"/>
                  <w:noWrap w:val="0"/>
                  <w:vAlign w:val="center"/>
                </w:tcPr>
                <w:p w14:paraId="4706C58B">
                  <w:pPr>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面源</w:t>
                  </w:r>
                </w:p>
                <w:p w14:paraId="4457D1E7">
                  <w:pPr>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名称</w:t>
                  </w:r>
                </w:p>
              </w:tc>
              <w:tc>
                <w:tcPr>
                  <w:tcW w:w="579" w:type="pct"/>
                  <w:vMerge w:val="restart"/>
                  <w:noWrap w:val="0"/>
                  <w:vAlign w:val="center"/>
                </w:tcPr>
                <w:p w14:paraId="2D24C034">
                  <w:pPr>
                    <w:ind w:left="-105" w:leftChars="-50" w:right="-105" w:rightChars="-50"/>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污染物</w:t>
                  </w:r>
                </w:p>
              </w:tc>
              <w:tc>
                <w:tcPr>
                  <w:tcW w:w="598" w:type="pct"/>
                  <w:vMerge w:val="restart"/>
                  <w:noWrap w:val="0"/>
                  <w:vAlign w:val="center"/>
                </w:tcPr>
                <w:p w14:paraId="7001BD33">
                  <w:pPr>
                    <w:ind w:left="-105" w:leftChars="-50" w:right="-105" w:rightChars="-50"/>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产生</w:t>
                  </w:r>
                  <w:r>
                    <w:rPr>
                      <w:rFonts w:hint="default" w:ascii="Times New Roman" w:hAnsi="Times New Roman" w:eastAsia="仿宋" w:cs="Times New Roman"/>
                      <w:b/>
                      <w:bCs/>
                      <w:color w:val="auto"/>
                      <w:sz w:val="20"/>
                      <w:szCs w:val="20"/>
                      <w:lang w:val="en-US" w:eastAsia="zh-CN"/>
                    </w:rPr>
                    <w:t>速率</w:t>
                  </w:r>
                  <w:r>
                    <w:rPr>
                      <w:rFonts w:hint="default" w:ascii="Times New Roman" w:hAnsi="Times New Roman" w:eastAsia="仿宋" w:cs="Times New Roman"/>
                      <w:b/>
                      <w:bCs/>
                      <w:color w:val="auto"/>
                      <w:sz w:val="20"/>
                      <w:szCs w:val="20"/>
                    </w:rPr>
                    <w:t>(kg/h)</w:t>
                  </w:r>
                </w:p>
              </w:tc>
              <w:tc>
                <w:tcPr>
                  <w:tcW w:w="550" w:type="pct"/>
                  <w:vMerge w:val="restart"/>
                  <w:noWrap w:val="0"/>
                  <w:vAlign w:val="center"/>
                </w:tcPr>
                <w:p w14:paraId="6E701BF4">
                  <w:pPr>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面源面积（m</w:t>
                  </w:r>
                  <w:r>
                    <w:rPr>
                      <w:rFonts w:hint="default" w:ascii="Times New Roman" w:hAnsi="Times New Roman" w:eastAsia="仿宋" w:cs="Times New Roman"/>
                      <w:b/>
                      <w:bCs/>
                      <w:color w:val="auto"/>
                      <w:sz w:val="20"/>
                      <w:szCs w:val="20"/>
                      <w:vertAlign w:val="superscript"/>
                    </w:rPr>
                    <w:t>2</w:t>
                  </w:r>
                  <w:r>
                    <w:rPr>
                      <w:rFonts w:hint="default" w:ascii="Times New Roman" w:hAnsi="Times New Roman" w:eastAsia="仿宋" w:cs="Times New Roman"/>
                      <w:b/>
                      <w:bCs/>
                      <w:color w:val="auto"/>
                      <w:sz w:val="20"/>
                      <w:szCs w:val="20"/>
                    </w:rPr>
                    <w:t>）</w:t>
                  </w:r>
                </w:p>
              </w:tc>
              <w:tc>
                <w:tcPr>
                  <w:tcW w:w="1913" w:type="pct"/>
                  <w:gridSpan w:val="5"/>
                  <w:noWrap w:val="0"/>
                  <w:vAlign w:val="center"/>
                </w:tcPr>
                <w:p w14:paraId="3EBA36F2">
                  <w:pPr>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计算参数</w:t>
                  </w:r>
                </w:p>
              </w:tc>
              <w:tc>
                <w:tcPr>
                  <w:tcW w:w="958" w:type="pct"/>
                  <w:gridSpan w:val="2"/>
                  <w:noWrap w:val="0"/>
                  <w:vAlign w:val="center"/>
                </w:tcPr>
                <w:p w14:paraId="513F8715">
                  <w:pPr>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卫生防护距离</w:t>
                  </w:r>
                </w:p>
              </w:tc>
            </w:tr>
            <w:tr w14:paraId="1E709B9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trPr>
              <w:tc>
                <w:tcPr>
                  <w:tcW w:w="399" w:type="pct"/>
                  <w:vMerge w:val="continue"/>
                  <w:noWrap w:val="0"/>
                  <w:vAlign w:val="center"/>
                </w:tcPr>
                <w:p w14:paraId="3875C17B">
                  <w:pPr>
                    <w:jc w:val="center"/>
                    <w:rPr>
                      <w:rFonts w:hint="default" w:ascii="Times New Roman" w:hAnsi="Times New Roman" w:eastAsia="仿宋" w:cs="Times New Roman"/>
                      <w:b/>
                      <w:bCs/>
                      <w:color w:val="auto"/>
                      <w:sz w:val="20"/>
                      <w:szCs w:val="20"/>
                    </w:rPr>
                  </w:pPr>
                </w:p>
              </w:tc>
              <w:tc>
                <w:tcPr>
                  <w:tcW w:w="579" w:type="pct"/>
                  <w:vMerge w:val="continue"/>
                  <w:noWrap w:val="0"/>
                  <w:vAlign w:val="center"/>
                </w:tcPr>
                <w:p w14:paraId="7AC9E99A">
                  <w:pPr>
                    <w:jc w:val="center"/>
                    <w:rPr>
                      <w:rFonts w:hint="default" w:ascii="Times New Roman" w:hAnsi="Times New Roman" w:eastAsia="仿宋" w:cs="Times New Roman"/>
                      <w:b/>
                      <w:bCs/>
                      <w:color w:val="auto"/>
                      <w:sz w:val="20"/>
                      <w:szCs w:val="20"/>
                    </w:rPr>
                  </w:pPr>
                </w:p>
              </w:tc>
              <w:tc>
                <w:tcPr>
                  <w:tcW w:w="598" w:type="pct"/>
                  <w:vMerge w:val="continue"/>
                  <w:noWrap w:val="0"/>
                  <w:vAlign w:val="center"/>
                </w:tcPr>
                <w:p w14:paraId="200BC007">
                  <w:pPr>
                    <w:jc w:val="center"/>
                    <w:rPr>
                      <w:rFonts w:hint="default" w:ascii="Times New Roman" w:hAnsi="Times New Roman" w:eastAsia="仿宋" w:cs="Times New Roman"/>
                      <w:b/>
                      <w:bCs/>
                      <w:color w:val="auto"/>
                      <w:sz w:val="20"/>
                      <w:szCs w:val="20"/>
                    </w:rPr>
                  </w:pPr>
                </w:p>
              </w:tc>
              <w:tc>
                <w:tcPr>
                  <w:tcW w:w="550" w:type="pct"/>
                  <w:vMerge w:val="continue"/>
                  <w:noWrap w:val="0"/>
                  <w:vAlign w:val="center"/>
                </w:tcPr>
                <w:p w14:paraId="551DF1B2">
                  <w:pPr>
                    <w:jc w:val="center"/>
                    <w:rPr>
                      <w:rFonts w:hint="default" w:ascii="Times New Roman" w:hAnsi="Times New Roman" w:eastAsia="仿宋" w:cs="Times New Roman"/>
                      <w:b/>
                      <w:bCs/>
                      <w:color w:val="auto"/>
                      <w:sz w:val="20"/>
                      <w:szCs w:val="20"/>
                    </w:rPr>
                  </w:pPr>
                </w:p>
              </w:tc>
              <w:tc>
                <w:tcPr>
                  <w:tcW w:w="476" w:type="pct"/>
                  <w:noWrap w:val="0"/>
                  <w:vAlign w:val="center"/>
                </w:tcPr>
                <w:p w14:paraId="59A8BB8A">
                  <w:pPr>
                    <w:keepNext w:val="0"/>
                    <w:keepLines w:val="0"/>
                    <w:pageBreakBefore w:val="0"/>
                    <w:widowControl w:val="0"/>
                    <w:kinsoku/>
                    <w:wordWrap/>
                    <w:overflowPunct/>
                    <w:topLinePunct w:val="0"/>
                    <w:autoSpaceDE/>
                    <w:autoSpaceDN/>
                    <w:bidi w:val="0"/>
                    <w:adjustRightInd w:val="0"/>
                    <w:snapToGrid w:val="0"/>
                    <w:spacing w:line="240" w:lineRule="exact"/>
                    <w:ind w:left="-105" w:leftChars="-50" w:right="-105" w:rightChars="-50"/>
                    <w:jc w:val="center"/>
                    <w:textAlignment w:val="auto"/>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Cm（mg/m</w:t>
                  </w:r>
                  <w:r>
                    <w:rPr>
                      <w:rFonts w:hint="default" w:ascii="Times New Roman" w:hAnsi="Times New Roman" w:eastAsia="仿宋" w:cs="Times New Roman"/>
                      <w:b/>
                      <w:bCs/>
                      <w:color w:val="auto"/>
                      <w:sz w:val="20"/>
                      <w:szCs w:val="20"/>
                      <w:vertAlign w:val="superscript"/>
                    </w:rPr>
                    <w:t>3</w:t>
                  </w:r>
                  <w:r>
                    <w:rPr>
                      <w:rFonts w:hint="default" w:ascii="Times New Roman" w:hAnsi="Times New Roman" w:eastAsia="仿宋" w:cs="Times New Roman"/>
                      <w:b/>
                      <w:bCs/>
                      <w:color w:val="auto"/>
                      <w:sz w:val="20"/>
                      <w:szCs w:val="20"/>
                    </w:rPr>
                    <w:t>）</w:t>
                  </w:r>
                </w:p>
              </w:tc>
              <w:tc>
                <w:tcPr>
                  <w:tcW w:w="265" w:type="pct"/>
                  <w:noWrap w:val="0"/>
                  <w:vAlign w:val="center"/>
                </w:tcPr>
                <w:p w14:paraId="4272B230">
                  <w:pPr>
                    <w:adjustRightInd w:val="0"/>
                    <w:snapToGrid w:val="0"/>
                    <w:spacing w:line="240" w:lineRule="exact"/>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A</w:t>
                  </w:r>
                </w:p>
              </w:tc>
              <w:tc>
                <w:tcPr>
                  <w:tcW w:w="447" w:type="pct"/>
                  <w:noWrap w:val="0"/>
                  <w:vAlign w:val="center"/>
                </w:tcPr>
                <w:p w14:paraId="5564D021">
                  <w:pPr>
                    <w:adjustRightInd w:val="0"/>
                    <w:snapToGrid w:val="0"/>
                    <w:spacing w:line="240" w:lineRule="exact"/>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B</w:t>
                  </w:r>
                </w:p>
              </w:tc>
              <w:tc>
                <w:tcPr>
                  <w:tcW w:w="358" w:type="pct"/>
                  <w:noWrap w:val="0"/>
                  <w:vAlign w:val="center"/>
                </w:tcPr>
                <w:p w14:paraId="5FA3FE82">
                  <w:pPr>
                    <w:adjustRightInd w:val="0"/>
                    <w:snapToGrid w:val="0"/>
                    <w:spacing w:line="240" w:lineRule="exact"/>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C</w:t>
                  </w:r>
                </w:p>
              </w:tc>
              <w:tc>
                <w:tcPr>
                  <w:tcW w:w="365" w:type="pct"/>
                  <w:noWrap w:val="0"/>
                  <w:vAlign w:val="center"/>
                </w:tcPr>
                <w:p w14:paraId="4B2E36DB">
                  <w:pPr>
                    <w:adjustRightInd w:val="0"/>
                    <w:snapToGrid w:val="0"/>
                    <w:spacing w:line="240" w:lineRule="exact"/>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D</w:t>
                  </w:r>
                </w:p>
              </w:tc>
              <w:tc>
                <w:tcPr>
                  <w:tcW w:w="481" w:type="pct"/>
                  <w:noWrap w:val="0"/>
                  <w:vAlign w:val="center"/>
                </w:tcPr>
                <w:p w14:paraId="40440F76">
                  <w:pPr>
                    <w:adjustRightInd w:val="0"/>
                    <w:snapToGrid w:val="0"/>
                    <w:spacing w:line="240" w:lineRule="exact"/>
                    <w:jc w:val="center"/>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L</w:t>
                  </w:r>
                  <w:r>
                    <w:rPr>
                      <w:rFonts w:hint="default" w:ascii="Times New Roman" w:hAnsi="Times New Roman" w:eastAsia="仿宋" w:cs="Times New Roman"/>
                      <w:b/>
                      <w:bCs/>
                      <w:color w:val="auto"/>
                      <w:sz w:val="20"/>
                      <w:szCs w:val="20"/>
                      <w:vertAlign w:val="subscript"/>
                    </w:rPr>
                    <w:t>计</w:t>
                  </w:r>
                  <w:r>
                    <w:rPr>
                      <w:rFonts w:hint="default" w:ascii="Times New Roman" w:hAnsi="Times New Roman" w:eastAsia="仿宋" w:cs="Times New Roman"/>
                      <w:b/>
                      <w:bCs/>
                      <w:color w:val="auto"/>
                      <w:sz w:val="20"/>
                      <w:szCs w:val="20"/>
                    </w:rPr>
                    <w:t>（m）</w:t>
                  </w:r>
                </w:p>
              </w:tc>
              <w:tc>
                <w:tcPr>
                  <w:tcW w:w="476" w:type="pct"/>
                  <w:noWrap w:val="0"/>
                  <w:vAlign w:val="center"/>
                </w:tcPr>
                <w:p w14:paraId="75DCBF39">
                  <w:pPr>
                    <w:keepNext w:val="0"/>
                    <w:keepLines w:val="0"/>
                    <w:pageBreakBefore w:val="0"/>
                    <w:widowControl w:val="0"/>
                    <w:kinsoku/>
                    <w:wordWrap/>
                    <w:overflowPunct/>
                    <w:topLinePunct w:val="0"/>
                    <w:autoSpaceDE/>
                    <w:autoSpaceDN/>
                    <w:bidi w:val="0"/>
                    <w:adjustRightInd w:val="0"/>
                    <w:snapToGrid w:val="0"/>
                    <w:spacing w:line="240" w:lineRule="exact"/>
                    <w:ind w:left="-105" w:leftChars="-50" w:right="-105" w:rightChars="-50"/>
                    <w:jc w:val="center"/>
                    <w:textAlignment w:val="auto"/>
                    <w:rPr>
                      <w:rFonts w:hint="default" w:ascii="Times New Roman" w:hAnsi="Times New Roman" w:eastAsia="仿宋" w:cs="Times New Roman"/>
                      <w:b/>
                      <w:bCs/>
                      <w:color w:val="auto"/>
                      <w:sz w:val="20"/>
                      <w:szCs w:val="20"/>
                    </w:rPr>
                  </w:pPr>
                  <w:r>
                    <w:rPr>
                      <w:rFonts w:hint="default" w:ascii="Times New Roman" w:hAnsi="Times New Roman" w:eastAsia="仿宋" w:cs="Times New Roman"/>
                      <w:b/>
                      <w:bCs/>
                      <w:color w:val="auto"/>
                      <w:sz w:val="20"/>
                      <w:szCs w:val="20"/>
                    </w:rPr>
                    <w:t>L</w:t>
                  </w:r>
                  <w:r>
                    <w:rPr>
                      <w:rFonts w:hint="default" w:ascii="Times New Roman" w:hAnsi="Times New Roman" w:eastAsia="仿宋" w:cs="Times New Roman"/>
                      <w:b/>
                      <w:bCs/>
                      <w:color w:val="auto"/>
                      <w:sz w:val="20"/>
                      <w:szCs w:val="20"/>
                      <w:vertAlign w:val="subscript"/>
                    </w:rPr>
                    <w:t>卫</w:t>
                  </w:r>
                  <w:r>
                    <w:rPr>
                      <w:rFonts w:hint="default" w:ascii="Times New Roman" w:hAnsi="Times New Roman" w:eastAsia="仿宋" w:cs="Times New Roman"/>
                      <w:b/>
                      <w:bCs/>
                      <w:color w:val="auto"/>
                      <w:sz w:val="20"/>
                      <w:szCs w:val="20"/>
                    </w:rPr>
                    <w:t>（m）</w:t>
                  </w:r>
                </w:p>
              </w:tc>
            </w:tr>
            <w:tr w14:paraId="22895A35">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trPr>
              <w:tc>
                <w:tcPr>
                  <w:tcW w:w="399" w:type="pct"/>
                  <w:vMerge w:val="restart"/>
                  <w:noWrap w:val="0"/>
                  <w:vAlign w:val="center"/>
                </w:tcPr>
                <w:p w14:paraId="381C1699">
                  <w:pPr>
                    <w:ind w:left="-105" w:leftChars="-50" w:right="-105" w:rightChars="-50"/>
                    <w:jc w:val="center"/>
                    <w:rPr>
                      <w:rFonts w:hint="default" w:ascii="Times New Roman" w:hAnsi="Times New Roman" w:eastAsia="仿宋" w:cs="Times New Roman"/>
                      <w:color w:val="auto"/>
                      <w:sz w:val="20"/>
                      <w:szCs w:val="20"/>
                      <w:lang w:val="en-US" w:eastAsia="zh-CN"/>
                    </w:rPr>
                  </w:pPr>
                  <w:r>
                    <w:rPr>
                      <w:rFonts w:hint="default" w:ascii="Times New Roman" w:hAnsi="Times New Roman" w:eastAsia="仿宋" w:cs="Times New Roman"/>
                      <w:color w:val="auto"/>
                      <w:sz w:val="20"/>
                      <w:szCs w:val="20"/>
                      <w:lang w:val="en-US" w:eastAsia="zh-CN"/>
                    </w:rPr>
                    <w:t>D6车间</w:t>
                  </w:r>
                </w:p>
              </w:tc>
              <w:tc>
                <w:tcPr>
                  <w:tcW w:w="579" w:type="pct"/>
                  <w:noWrap w:val="0"/>
                  <w:vAlign w:val="center"/>
                </w:tcPr>
                <w:p w14:paraId="35F37892">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bCs/>
                      <w:color w:val="auto"/>
                      <w:szCs w:val="21"/>
                      <w:lang w:val="en-US" w:eastAsia="zh-CN"/>
                    </w:rPr>
                    <w:t>非甲烷总烃</w:t>
                  </w:r>
                </w:p>
              </w:tc>
              <w:tc>
                <w:tcPr>
                  <w:tcW w:w="1005" w:type="dxa"/>
                  <w:noWrap w:val="0"/>
                  <w:vAlign w:val="center"/>
                </w:tcPr>
                <w:p w14:paraId="18F512BC">
                  <w:pPr>
                    <w:jc w:val="center"/>
                    <w:rPr>
                      <w:rFonts w:hint="default" w:ascii="Times New Roman" w:hAnsi="Times New Roman" w:eastAsia="仿宋" w:cs="Times New Roman"/>
                      <w:color w:val="0000FF"/>
                      <w:sz w:val="20"/>
                      <w:szCs w:val="20"/>
                    </w:rPr>
                  </w:pPr>
                  <w:r>
                    <w:rPr>
                      <w:rFonts w:hint="default" w:ascii="Times New Roman" w:hAnsi="Times New Roman" w:eastAsia="仿宋" w:cs="Times New Roman"/>
                      <w:bCs/>
                      <w:color w:val="0000FF"/>
                      <w:szCs w:val="21"/>
                      <w:lang w:val="en-US" w:eastAsia="zh-CN"/>
                    </w:rPr>
                    <w:t>0.004</w:t>
                  </w:r>
                </w:p>
              </w:tc>
              <w:tc>
                <w:tcPr>
                  <w:tcW w:w="550" w:type="pct"/>
                  <w:vMerge w:val="restart"/>
                  <w:noWrap w:val="0"/>
                  <w:vAlign w:val="center"/>
                </w:tcPr>
                <w:p w14:paraId="60BCBA9F">
                  <w:pPr>
                    <w:jc w:val="center"/>
                    <w:rPr>
                      <w:rFonts w:hint="default" w:ascii="Times New Roman" w:hAnsi="Times New Roman" w:eastAsia="仿宋" w:cs="Times New Roman"/>
                      <w:color w:val="auto"/>
                      <w:sz w:val="20"/>
                      <w:szCs w:val="20"/>
                      <w:lang w:val="en-US" w:eastAsia="zh-CN"/>
                    </w:rPr>
                  </w:pPr>
                  <w:r>
                    <w:rPr>
                      <w:rFonts w:hint="eastAsia" w:eastAsia="仿宋" w:cs="Times New Roman"/>
                      <w:color w:val="auto"/>
                      <w:sz w:val="20"/>
                      <w:szCs w:val="20"/>
                      <w:lang w:val="en-US" w:eastAsia="zh-CN"/>
                    </w:rPr>
                    <w:t>480</w:t>
                  </w:r>
                </w:p>
              </w:tc>
              <w:tc>
                <w:tcPr>
                  <w:tcW w:w="476" w:type="pct"/>
                  <w:noWrap w:val="0"/>
                  <w:vAlign w:val="center"/>
                </w:tcPr>
                <w:p w14:paraId="4FB1835A">
                  <w:pPr>
                    <w:adjustRightInd w:val="0"/>
                    <w:snapToGrid w:val="0"/>
                    <w:jc w:val="center"/>
                    <w:rPr>
                      <w:rFonts w:hint="default" w:ascii="Times New Roman" w:hAnsi="Times New Roman" w:eastAsia="仿宋" w:cs="Times New Roman"/>
                      <w:color w:val="auto"/>
                      <w:sz w:val="20"/>
                      <w:szCs w:val="20"/>
                      <w:lang w:val="en-US" w:eastAsia="zh-CN"/>
                    </w:rPr>
                  </w:pPr>
                  <w:r>
                    <w:rPr>
                      <w:rFonts w:hint="default" w:ascii="Times New Roman" w:hAnsi="Times New Roman" w:eastAsia="仿宋" w:cs="Times New Roman"/>
                      <w:color w:val="auto"/>
                      <w:sz w:val="20"/>
                      <w:szCs w:val="20"/>
                      <w:lang w:val="en-US" w:eastAsia="zh-CN"/>
                    </w:rPr>
                    <w:t>2.0</w:t>
                  </w:r>
                </w:p>
              </w:tc>
              <w:tc>
                <w:tcPr>
                  <w:tcW w:w="265" w:type="pct"/>
                  <w:noWrap w:val="0"/>
                  <w:vAlign w:val="center"/>
                </w:tcPr>
                <w:p w14:paraId="21D40B4A">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470</w:t>
                  </w:r>
                </w:p>
              </w:tc>
              <w:tc>
                <w:tcPr>
                  <w:tcW w:w="447" w:type="pct"/>
                  <w:noWrap w:val="0"/>
                  <w:vAlign w:val="center"/>
                </w:tcPr>
                <w:p w14:paraId="54710DE5">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0.021</w:t>
                  </w:r>
                </w:p>
              </w:tc>
              <w:tc>
                <w:tcPr>
                  <w:tcW w:w="358" w:type="pct"/>
                  <w:noWrap w:val="0"/>
                  <w:vAlign w:val="center"/>
                </w:tcPr>
                <w:p w14:paraId="4D05630B">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1.85</w:t>
                  </w:r>
                </w:p>
              </w:tc>
              <w:tc>
                <w:tcPr>
                  <w:tcW w:w="365" w:type="pct"/>
                  <w:noWrap w:val="0"/>
                  <w:vAlign w:val="center"/>
                </w:tcPr>
                <w:p w14:paraId="620B0E9F">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0.84</w:t>
                  </w:r>
                </w:p>
              </w:tc>
              <w:tc>
                <w:tcPr>
                  <w:tcW w:w="481" w:type="pct"/>
                  <w:noWrap w:val="0"/>
                  <w:vAlign w:val="center"/>
                </w:tcPr>
                <w:p w14:paraId="3C2C550B">
                  <w:pPr>
                    <w:jc w:val="center"/>
                    <w:rPr>
                      <w:rFonts w:hint="default" w:ascii="Times New Roman" w:hAnsi="Times New Roman" w:eastAsia="仿宋" w:cs="Times New Roman"/>
                      <w:color w:val="auto"/>
                      <w:sz w:val="20"/>
                      <w:szCs w:val="20"/>
                      <w:lang w:val="en-US" w:eastAsia="zh-CN"/>
                    </w:rPr>
                  </w:pPr>
                  <w:r>
                    <w:rPr>
                      <w:rFonts w:hint="default" w:ascii="Times New Roman" w:hAnsi="Times New Roman" w:eastAsia="仿宋" w:cs="Times New Roman"/>
                      <w:color w:val="auto"/>
                      <w:sz w:val="20"/>
                      <w:szCs w:val="20"/>
                      <w:lang w:val="en-US" w:eastAsia="zh-CN"/>
                    </w:rPr>
                    <w:t>0.062</w:t>
                  </w:r>
                </w:p>
              </w:tc>
              <w:tc>
                <w:tcPr>
                  <w:tcW w:w="476" w:type="pct"/>
                  <w:noWrap w:val="0"/>
                  <w:vAlign w:val="center"/>
                </w:tcPr>
                <w:p w14:paraId="2E346D6B">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50</w:t>
                  </w:r>
                </w:p>
              </w:tc>
            </w:tr>
            <w:tr w14:paraId="4846C865">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trPr>
              <w:tc>
                <w:tcPr>
                  <w:tcW w:w="399" w:type="pct"/>
                  <w:vMerge w:val="continue"/>
                  <w:noWrap w:val="0"/>
                  <w:vAlign w:val="center"/>
                </w:tcPr>
                <w:p w14:paraId="59F5FB1F">
                  <w:pPr>
                    <w:ind w:left="-105" w:leftChars="-50" w:right="-105" w:rightChars="-50"/>
                    <w:jc w:val="center"/>
                    <w:rPr>
                      <w:rFonts w:hint="default" w:ascii="Times New Roman" w:hAnsi="Times New Roman" w:eastAsia="仿宋" w:cs="Times New Roman"/>
                      <w:color w:val="auto"/>
                      <w:sz w:val="20"/>
                      <w:szCs w:val="20"/>
                    </w:rPr>
                  </w:pPr>
                </w:p>
              </w:tc>
              <w:tc>
                <w:tcPr>
                  <w:tcW w:w="579" w:type="pct"/>
                  <w:noWrap w:val="0"/>
                  <w:vAlign w:val="center"/>
                </w:tcPr>
                <w:p w14:paraId="0DDFA592">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bCs/>
                      <w:color w:val="auto"/>
                      <w:szCs w:val="21"/>
                      <w:lang w:val="en-US" w:eastAsia="zh-CN"/>
                    </w:rPr>
                    <w:t>颗粒物</w:t>
                  </w:r>
                </w:p>
              </w:tc>
              <w:tc>
                <w:tcPr>
                  <w:tcW w:w="1005" w:type="dxa"/>
                  <w:noWrap w:val="0"/>
                  <w:vAlign w:val="center"/>
                </w:tcPr>
                <w:p w14:paraId="445848FD">
                  <w:pPr>
                    <w:jc w:val="center"/>
                    <w:rPr>
                      <w:rFonts w:hint="default" w:ascii="Times New Roman" w:hAnsi="Times New Roman" w:eastAsia="仿宋" w:cs="Times New Roman"/>
                      <w:color w:val="0000FF"/>
                      <w:sz w:val="20"/>
                      <w:szCs w:val="20"/>
                    </w:rPr>
                  </w:pPr>
                  <w:r>
                    <w:rPr>
                      <w:rFonts w:hint="default" w:ascii="Times New Roman" w:hAnsi="Times New Roman" w:eastAsia="仿宋" w:cs="Times New Roman"/>
                      <w:i w:val="0"/>
                      <w:iCs w:val="0"/>
                      <w:color w:val="0000FF"/>
                      <w:kern w:val="0"/>
                      <w:sz w:val="21"/>
                      <w:szCs w:val="21"/>
                      <w:u w:val="none"/>
                      <w:lang w:val="en-US" w:eastAsia="zh-CN" w:bidi="ar"/>
                    </w:rPr>
                    <w:t>0.00</w:t>
                  </w:r>
                  <w:r>
                    <w:rPr>
                      <w:rFonts w:hint="eastAsia" w:eastAsia="仿宋" w:cs="Times New Roman"/>
                      <w:i w:val="0"/>
                      <w:iCs w:val="0"/>
                      <w:color w:val="0000FF"/>
                      <w:kern w:val="0"/>
                      <w:sz w:val="21"/>
                      <w:szCs w:val="21"/>
                      <w:u w:val="none"/>
                      <w:lang w:val="en-US" w:eastAsia="zh-CN" w:bidi="ar"/>
                    </w:rPr>
                    <w:t>1</w:t>
                  </w:r>
                </w:p>
              </w:tc>
              <w:tc>
                <w:tcPr>
                  <w:tcW w:w="550" w:type="pct"/>
                  <w:vMerge w:val="continue"/>
                  <w:noWrap w:val="0"/>
                  <w:vAlign w:val="center"/>
                </w:tcPr>
                <w:p w14:paraId="5DF964EC">
                  <w:pPr>
                    <w:jc w:val="center"/>
                    <w:rPr>
                      <w:rFonts w:hint="default" w:ascii="Times New Roman" w:hAnsi="Times New Roman" w:eastAsia="仿宋" w:cs="Times New Roman"/>
                      <w:color w:val="auto"/>
                      <w:sz w:val="20"/>
                      <w:szCs w:val="20"/>
                    </w:rPr>
                  </w:pPr>
                </w:p>
              </w:tc>
              <w:tc>
                <w:tcPr>
                  <w:tcW w:w="476" w:type="pct"/>
                  <w:noWrap w:val="0"/>
                  <w:vAlign w:val="center"/>
                </w:tcPr>
                <w:p w14:paraId="3D5721B9">
                  <w:pPr>
                    <w:adjustRightInd w:val="0"/>
                    <w:snapToGrid w:val="0"/>
                    <w:jc w:val="center"/>
                    <w:rPr>
                      <w:rFonts w:hint="default" w:ascii="Times New Roman" w:hAnsi="Times New Roman" w:eastAsia="仿宋" w:cs="Times New Roman"/>
                      <w:color w:val="auto"/>
                      <w:sz w:val="20"/>
                      <w:szCs w:val="20"/>
                      <w:lang w:val="en-US" w:eastAsia="zh-CN"/>
                    </w:rPr>
                  </w:pPr>
                  <w:r>
                    <w:rPr>
                      <w:rFonts w:hint="default" w:ascii="Times New Roman" w:hAnsi="Times New Roman" w:eastAsia="仿宋" w:cs="Times New Roman"/>
                      <w:color w:val="auto"/>
                      <w:sz w:val="20"/>
                      <w:szCs w:val="20"/>
                      <w:lang w:val="en-US" w:eastAsia="zh-CN"/>
                    </w:rPr>
                    <w:t>0.12</w:t>
                  </w:r>
                </w:p>
              </w:tc>
              <w:tc>
                <w:tcPr>
                  <w:tcW w:w="265" w:type="pct"/>
                  <w:noWrap w:val="0"/>
                  <w:vAlign w:val="center"/>
                </w:tcPr>
                <w:p w14:paraId="1BD26F7B">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470</w:t>
                  </w:r>
                </w:p>
              </w:tc>
              <w:tc>
                <w:tcPr>
                  <w:tcW w:w="447" w:type="pct"/>
                  <w:noWrap w:val="0"/>
                  <w:vAlign w:val="center"/>
                </w:tcPr>
                <w:p w14:paraId="2331B914">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0.021</w:t>
                  </w:r>
                </w:p>
              </w:tc>
              <w:tc>
                <w:tcPr>
                  <w:tcW w:w="358" w:type="pct"/>
                  <w:noWrap w:val="0"/>
                  <w:vAlign w:val="center"/>
                </w:tcPr>
                <w:p w14:paraId="5E29A623">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1.85</w:t>
                  </w:r>
                </w:p>
              </w:tc>
              <w:tc>
                <w:tcPr>
                  <w:tcW w:w="365" w:type="pct"/>
                  <w:noWrap w:val="0"/>
                  <w:vAlign w:val="center"/>
                </w:tcPr>
                <w:p w14:paraId="70841C8F">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0.84</w:t>
                  </w:r>
                </w:p>
              </w:tc>
              <w:tc>
                <w:tcPr>
                  <w:tcW w:w="481" w:type="pct"/>
                  <w:noWrap w:val="0"/>
                  <w:vAlign w:val="center"/>
                </w:tcPr>
                <w:p w14:paraId="17EA88C7">
                  <w:pPr>
                    <w:jc w:val="center"/>
                    <w:rPr>
                      <w:rFonts w:hint="default" w:ascii="Times New Roman" w:hAnsi="Times New Roman" w:eastAsia="仿宋" w:cs="Times New Roman"/>
                      <w:color w:val="auto"/>
                      <w:sz w:val="20"/>
                      <w:szCs w:val="20"/>
                      <w:lang w:val="en-US" w:eastAsia="zh-CN"/>
                    </w:rPr>
                  </w:pPr>
                  <w:r>
                    <w:rPr>
                      <w:rFonts w:hint="default" w:ascii="Times New Roman" w:hAnsi="Times New Roman" w:eastAsia="仿宋" w:cs="Times New Roman"/>
                      <w:color w:val="auto"/>
                      <w:sz w:val="20"/>
                      <w:szCs w:val="20"/>
                      <w:lang w:val="en-US" w:eastAsia="zh-CN"/>
                    </w:rPr>
                    <w:t>0.</w:t>
                  </w:r>
                  <w:r>
                    <w:rPr>
                      <w:rFonts w:hint="eastAsia" w:eastAsia="仿宋" w:cs="Times New Roman"/>
                      <w:color w:val="auto"/>
                      <w:sz w:val="20"/>
                      <w:szCs w:val="20"/>
                      <w:lang w:val="en-US" w:eastAsia="zh-CN"/>
                    </w:rPr>
                    <w:t>337</w:t>
                  </w:r>
                </w:p>
              </w:tc>
              <w:tc>
                <w:tcPr>
                  <w:tcW w:w="476" w:type="pct"/>
                  <w:noWrap w:val="0"/>
                  <w:vAlign w:val="center"/>
                </w:tcPr>
                <w:p w14:paraId="71E91C09">
                  <w:pPr>
                    <w:jc w:val="center"/>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50</w:t>
                  </w:r>
                </w:p>
              </w:tc>
            </w:tr>
          </w:tbl>
          <w:p w14:paraId="3F31BD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 w:cs="Times New Roman"/>
                <w:bCs/>
                <w:color w:val="auto"/>
                <w:sz w:val="10"/>
                <w:szCs w:val="10"/>
                <w:lang w:val="en-US" w:eastAsia="zh-CN"/>
              </w:rPr>
            </w:pPr>
          </w:p>
          <w:p w14:paraId="0981C8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从上表可见，本项目无组织排放的</w:t>
            </w:r>
            <w:r>
              <w:rPr>
                <w:rFonts w:hint="default" w:ascii="Times New Roman" w:hAnsi="Times New Roman" w:eastAsia="仿宋" w:cs="Times New Roman"/>
                <w:bCs/>
                <w:color w:val="auto"/>
                <w:sz w:val="24"/>
                <w:lang w:val="en-US" w:eastAsia="zh-CN"/>
              </w:rPr>
              <w:t>非甲烷总烃、颗粒物</w:t>
            </w:r>
            <w:r>
              <w:rPr>
                <w:rFonts w:hint="default" w:ascii="Times New Roman" w:hAnsi="Times New Roman" w:eastAsia="仿宋" w:cs="Times New Roman"/>
                <w:bCs/>
                <w:color w:val="auto"/>
                <w:sz w:val="24"/>
              </w:rPr>
              <w:t>卫生防护距离均为50米。</w:t>
            </w:r>
          </w:p>
          <w:p w14:paraId="066F5B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根据《大气有害物质无组织排放卫生防护距离推导技术导则》（GB/T 39499－2020）中“6.2 当企业某生产单元的无组织排放存在多种特征大气有害物质时，如果分别推导出的卫生防护距离初值在同一级别时，则该企业的卫生防护距离最终值应提高一级；卫生防护距离初值不在同一级别的，以卫生防护距离终值较大者为准”</w:t>
            </w:r>
            <w:r>
              <w:rPr>
                <w:rFonts w:hint="default" w:ascii="Times New Roman" w:hAnsi="Times New Roman" w:eastAsia="仿宋" w:cs="Times New Roman"/>
                <w:bCs/>
                <w:color w:val="auto"/>
                <w:sz w:val="24"/>
                <w:lang w:eastAsia="zh-CN"/>
              </w:rPr>
              <w:t>。计算确定本项目卫生防护距离</w:t>
            </w:r>
            <w:r>
              <w:rPr>
                <w:rFonts w:hint="default" w:ascii="Times New Roman" w:hAnsi="Times New Roman" w:eastAsia="仿宋" w:cs="Times New Roman"/>
                <w:bCs/>
                <w:color w:val="auto"/>
                <w:sz w:val="24"/>
                <w:lang w:val="en-US" w:eastAsia="zh-CN"/>
              </w:rPr>
              <w:t>是</w:t>
            </w:r>
            <w:r>
              <w:rPr>
                <w:rFonts w:hint="default" w:ascii="Times New Roman" w:hAnsi="Times New Roman" w:eastAsia="仿宋" w:cs="Times New Roman"/>
                <w:bCs/>
                <w:color w:val="auto"/>
                <w:sz w:val="24"/>
                <w:lang w:eastAsia="zh-CN"/>
              </w:rPr>
              <w:t>以</w:t>
            </w:r>
            <w:r>
              <w:rPr>
                <w:rFonts w:hint="default" w:ascii="Times New Roman" w:hAnsi="Times New Roman" w:eastAsia="仿宋" w:cs="Times New Roman"/>
                <w:bCs/>
                <w:color w:val="auto"/>
                <w:sz w:val="24"/>
                <w:lang w:val="en-US" w:eastAsia="zh-CN"/>
              </w:rPr>
              <w:t>D6车间</w:t>
            </w:r>
            <w:r>
              <w:rPr>
                <w:rFonts w:hint="default" w:ascii="Times New Roman" w:hAnsi="Times New Roman" w:eastAsia="仿宋" w:cs="Times New Roman"/>
                <w:bCs/>
                <w:color w:val="auto"/>
                <w:sz w:val="24"/>
                <w:lang w:eastAsia="zh-CN"/>
              </w:rPr>
              <w:t>为边界外扩</w:t>
            </w:r>
            <w:r>
              <w:rPr>
                <w:rFonts w:hint="default" w:ascii="Times New Roman" w:hAnsi="Times New Roman" w:eastAsia="仿宋" w:cs="Times New Roman"/>
                <w:bCs/>
                <w:color w:val="auto"/>
                <w:sz w:val="24"/>
                <w:lang w:val="en-US" w:eastAsia="zh-CN"/>
              </w:rPr>
              <w:t>100</w:t>
            </w:r>
            <w:r>
              <w:rPr>
                <w:rFonts w:hint="default" w:ascii="Times New Roman" w:hAnsi="Times New Roman" w:eastAsia="仿宋" w:cs="Times New Roman"/>
                <w:bCs/>
                <w:color w:val="auto"/>
                <w:sz w:val="24"/>
                <w:lang w:eastAsia="zh-CN"/>
              </w:rPr>
              <w:t>米范围设置卫生防护距离，同时根据现有项目环评批复，现有</w:t>
            </w:r>
            <w:r>
              <w:rPr>
                <w:rFonts w:hint="default" w:ascii="Times New Roman" w:hAnsi="Times New Roman" w:eastAsia="仿宋" w:cs="Times New Roman"/>
                <w:bCs/>
                <w:color w:val="auto"/>
                <w:sz w:val="24"/>
                <w:lang w:val="en-US" w:eastAsia="zh-CN"/>
              </w:rPr>
              <w:t>项目</w:t>
            </w:r>
            <w:r>
              <w:rPr>
                <w:rFonts w:hint="default" w:ascii="Times New Roman" w:hAnsi="Times New Roman" w:eastAsia="仿宋" w:cs="Times New Roman"/>
                <w:bCs/>
                <w:color w:val="auto"/>
                <w:sz w:val="24"/>
                <w:lang w:eastAsia="zh-CN"/>
              </w:rPr>
              <w:t>卫生防护距离是以D7车间边界外扩100米</w:t>
            </w:r>
            <w:r>
              <w:rPr>
                <w:rFonts w:hint="eastAsia" w:eastAsia="仿宋" w:cs="Times New Roman"/>
                <w:bCs/>
                <w:color w:val="auto"/>
                <w:sz w:val="24"/>
                <w:lang w:val="en-US" w:eastAsia="zh-CN"/>
              </w:rPr>
              <w:t>范围</w:t>
            </w:r>
            <w:r>
              <w:rPr>
                <w:rFonts w:hint="eastAsia" w:eastAsia="仿宋" w:cs="Times New Roman"/>
                <w:bCs/>
                <w:color w:val="auto"/>
                <w:sz w:val="24"/>
                <w:lang w:eastAsia="zh-CN"/>
              </w:rPr>
              <w:t>，</w:t>
            </w:r>
            <w:r>
              <w:rPr>
                <w:rFonts w:hint="default" w:ascii="Times New Roman" w:hAnsi="Times New Roman" w:eastAsia="仿宋" w:cs="Times New Roman"/>
                <w:bCs/>
                <w:color w:val="auto"/>
                <w:sz w:val="24"/>
                <w:lang w:eastAsia="zh-CN"/>
              </w:rPr>
              <w:t>F16车间边界外扩50米形成的范围，</w:t>
            </w:r>
            <w:r>
              <w:rPr>
                <w:rFonts w:hint="eastAsia" w:eastAsia="仿宋" w:cs="Times New Roman"/>
                <w:bCs/>
                <w:color w:val="auto"/>
                <w:sz w:val="24"/>
                <w:lang w:val="en-US" w:eastAsia="zh-CN"/>
              </w:rPr>
              <w:t>由于F16车间距离D6、D7车间较远，</w:t>
            </w:r>
            <w:r>
              <w:rPr>
                <w:rFonts w:hint="default" w:ascii="Times New Roman" w:hAnsi="Times New Roman" w:eastAsia="仿宋" w:cs="Times New Roman"/>
                <w:bCs/>
                <w:color w:val="auto"/>
                <w:sz w:val="24"/>
                <w:lang w:eastAsia="zh-CN"/>
              </w:rPr>
              <w:t>故全厂卫生防护距离</w:t>
            </w:r>
            <w:r>
              <w:rPr>
                <w:rFonts w:hint="eastAsia" w:eastAsia="仿宋" w:cs="Times New Roman"/>
                <w:bCs/>
                <w:color w:val="auto"/>
                <w:sz w:val="24"/>
                <w:lang w:val="en-US" w:eastAsia="zh-CN"/>
              </w:rPr>
              <w:t>是</w:t>
            </w:r>
            <w:r>
              <w:rPr>
                <w:rFonts w:hint="default" w:ascii="Times New Roman" w:hAnsi="Times New Roman" w:eastAsia="仿宋" w:cs="Times New Roman"/>
                <w:sz w:val="24"/>
                <w:lang w:val="en-US" w:eastAsia="zh-CN"/>
              </w:rPr>
              <w:t>的</w:t>
            </w:r>
            <w:r>
              <w:rPr>
                <w:rFonts w:hint="default" w:ascii="Times New Roman" w:hAnsi="Times New Roman" w:eastAsia="仿宋" w:cs="Times New Roman"/>
                <w:sz w:val="24"/>
              </w:rPr>
              <w:t>范围（具体范围见图2）</w:t>
            </w:r>
            <w:r>
              <w:rPr>
                <w:rFonts w:hint="default" w:ascii="Times New Roman" w:hAnsi="Times New Roman" w:eastAsia="仿宋" w:cs="Times New Roman"/>
                <w:bCs/>
                <w:color w:val="auto"/>
                <w:sz w:val="24"/>
              </w:rPr>
              <w:t>。</w:t>
            </w:r>
          </w:p>
          <w:p w14:paraId="56E4CB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Cs/>
                <w:color w:val="auto"/>
                <w:sz w:val="24"/>
                <w:highlight w:val="none"/>
              </w:rPr>
              <w:t>该范围内目前为本项目、常州金博通众创园、江苏东宝印染有限公司</w:t>
            </w:r>
            <w:r>
              <w:rPr>
                <w:rFonts w:hint="default" w:ascii="Times New Roman" w:hAnsi="Times New Roman" w:eastAsia="仿宋" w:cs="Times New Roman"/>
                <w:bCs/>
                <w:color w:val="auto"/>
                <w:sz w:val="24"/>
                <w:highlight w:val="none"/>
                <w:lang w:eastAsia="zh-CN"/>
              </w:rPr>
              <w:t>、常州市和润环保科技有限公司、江苏晶久微电子材料有限公司、小拓荡河</w:t>
            </w:r>
            <w:r>
              <w:rPr>
                <w:rFonts w:hint="default" w:ascii="Times New Roman" w:hAnsi="Times New Roman" w:eastAsia="仿宋" w:cs="Times New Roman"/>
                <w:bCs/>
                <w:color w:val="auto"/>
                <w:sz w:val="24"/>
                <w:highlight w:val="none"/>
              </w:rPr>
              <w:t>，无居民、学校等环境敏感保护目标，可满足卫生防护距离设置要求，将来在该卫生防护距离范围也不得新建居民、学校、医院等属于环境保护目标的项目。</w:t>
            </w:r>
          </w:p>
          <w:p w14:paraId="4F00CA7A">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7</w:t>
            </w:r>
            <w:r>
              <w:rPr>
                <w:rFonts w:hint="default" w:ascii="Times New Roman" w:hAnsi="Times New Roman" w:eastAsia="仿宋" w:cs="Times New Roman"/>
                <w:bCs/>
                <w:color w:val="auto"/>
                <w:sz w:val="24"/>
                <w:highlight w:val="none"/>
              </w:rPr>
              <w:t xml:space="preserve">、大气环境影响评价结论 </w:t>
            </w:r>
          </w:p>
          <w:p w14:paraId="25AFE463">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项目位于环境质量非达标区，超标因子为PM</w:t>
            </w:r>
            <w:r>
              <w:rPr>
                <w:rFonts w:hint="default" w:ascii="Times New Roman" w:hAnsi="Times New Roman" w:eastAsia="仿宋" w:cs="Times New Roman"/>
                <w:bCs/>
                <w:color w:val="auto"/>
                <w:sz w:val="24"/>
                <w:highlight w:val="none"/>
                <w:vertAlign w:val="subscript"/>
              </w:rPr>
              <w:t>2.5</w:t>
            </w:r>
            <w:r>
              <w:rPr>
                <w:rFonts w:hint="default" w:ascii="Times New Roman" w:hAnsi="Times New Roman" w:eastAsia="仿宋" w:cs="Times New Roman"/>
                <w:bCs/>
                <w:color w:val="auto"/>
                <w:sz w:val="24"/>
                <w:highlight w:val="none"/>
              </w:rPr>
              <w:t>和O</w:t>
            </w:r>
            <w:r>
              <w:rPr>
                <w:rFonts w:hint="default" w:ascii="Times New Roman" w:hAnsi="Times New Roman" w:eastAsia="仿宋" w:cs="Times New Roman"/>
                <w:bCs/>
                <w:color w:val="auto"/>
                <w:sz w:val="24"/>
                <w:highlight w:val="none"/>
                <w:vertAlign w:val="subscript"/>
              </w:rPr>
              <w:t>3</w:t>
            </w:r>
            <w:r>
              <w:rPr>
                <w:rFonts w:hint="default" w:ascii="Times New Roman" w:hAnsi="Times New Roman" w:eastAsia="仿宋" w:cs="Times New Roman"/>
                <w:bCs/>
                <w:color w:val="auto"/>
                <w:sz w:val="24"/>
                <w:highlight w:val="none"/>
              </w:rPr>
              <w:t>。企业卫生防护距离范围内不涉及居民、学校等环境敏感保护目标。本项目排放的大气污染因子主要为非甲烷总烃、</w:t>
            </w:r>
            <w:r>
              <w:rPr>
                <w:rFonts w:hint="default" w:ascii="Times New Roman" w:hAnsi="Times New Roman" w:eastAsia="仿宋" w:cs="Times New Roman"/>
                <w:bCs/>
                <w:color w:val="auto"/>
                <w:sz w:val="24"/>
                <w:highlight w:val="none"/>
                <w:lang w:val="en-US" w:eastAsia="zh-CN"/>
              </w:rPr>
              <w:t>颗粒物</w:t>
            </w:r>
            <w:r>
              <w:rPr>
                <w:rFonts w:hint="default" w:ascii="Times New Roman" w:hAnsi="Times New Roman" w:eastAsia="仿宋" w:cs="Times New Roman"/>
                <w:bCs/>
                <w:color w:val="auto"/>
                <w:sz w:val="24"/>
                <w:highlight w:val="none"/>
              </w:rPr>
              <w:t>，经采取有效的污染防治措施收集治理后排放，排放强度较低，对大气环境影响较小，周边大气环境可基本维持现状，但仍应加强污染控制管理，减少非正常排放情况的发生。</w:t>
            </w:r>
          </w:p>
          <w:p w14:paraId="717D9FB7">
            <w:pPr>
              <w:numPr>
                <w:ilvl w:val="0"/>
                <w:numId w:val="11"/>
              </w:numPr>
              <w:adjustRightInd w:val="0"/>
              <w:snapToGrid w:val="0"/>
              <w:spacing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废水</w:t>
            </w:r>
          </w:p>
          <w:p w14:paraId="7AA25162">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1、源强核算</w:t>
            </w:r>
          </w:p>
          <w:p w14:paraId="4D10DFE5">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冷却</w:t>
            </w:r>
            <w:r>
              <w:rPr>
                <w:rFonts w:hint="eastAsia" w:eastAsia="仿宋" w:cs="Times New Roman"/>
                <w:bCs/>
                <w:color w:val="auto"/>
                <w:sz w:val="24"/>
                <w:highlight w:val="none"/>
                <w:lang w:val="en-US" w:eastAsia="zh-CN"/>
              </w:rPr>
              <w:t>塔</w:t>
            </w:r>
            <w:r>
              <w:rPr>
                <w:rFonts w:hint="default" w:ascii="Times New Roman" w:hAnsi="Times New Roman" w:eastAsia="仿宋" w:cs="Times New Roman"/>
                <w:bCs/>
                <w:color w:val="auto"/>
                <w:sz w:val="24"/>
                <w:highlight w:val="none"/>
                <w:lang w:val="en-US" w:eastAsia="zh-CN"/>
              </w:rPr>
              <w:t>依托现有项目，</w:t>
            </w:r>
            <w:r>
              <w:rPr>
                <w:rFonts w:hint="eastAsia" w:eastAsia="仿宋" w:cs="Times New Roman"/>
                <w:bCs/>
                <w:color w:val="auto"/>
                <w:sz w:val="24"/>
                <w:highlight w:val="none"/>
                <w:lang w:val="en-US" w:eastAsia="zh-CN"/>
              </w:rPr>
              <w:t>冷却水</w:t>
            </w:r>
            <w:r>
              <w:rPr>
                <w:rFonts w:hint="default" w:ascii="Times New Roman" w:hAnsi="Times New Roman" w:eastAsia="仿宋" w:cs="Times New Roman"/>
                <w:bCs/>
                <w:color w:val="auto"/>
                <w:sz w:val="24"/>
                <w:highlight w:val="none"/>
                <w:lang w:val="en-US" w:eastAsia="zh-CN"/>
              </w:rPr>
              <w:t>循环使用定期补充不外排，仅有生活污水排放。</w:t>
            </w:r>
          </w:p>
          <w:p w14:paraId="0E2172C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本</w:t>
            </w:r>
            <w:r>
              <w:rPr>
                <w:rFonts w:hint="default" w:ascii="Times New Roman" w:hAnsi="Times New Roman" w:eastAsia="仿宋" w:cs="Times New Roman"/>
                <w:bCs/>
                <w:color w:val="auto"/>
                <w:sz w:val="24"/>
                <w:highlight w:val="none"/>
              </w:rPr>
              <w:t>项目</w:t>
            </w:r>
            <w:r>
              <w:rPr>
                <w:rFonts w:hint="default" w:ascii="Times New Roman" w:hAnsi="Times New Roman" w:eastAsia="仿宋" w:cs="Times New Roman"/>
                <w:bCs/>
                <w:color w:val="auto"/>
                <w:sz w:val="24"/>
                <w:highlight w:val="none"/>
                <w:lang w:val="en-US" w:eastAsia="zh-CN"/>
              </w:rPr>
              <w:t>新增</w:t>
            </w:r>
            <w:r>
              <w:rPr>
                <w:rFonts w:hint="default" w:ascii="Times New Roman" w:hAnsi="Times New Roman" w:eastAsia="仿宋" w:cs="Times New Roman"/>
                <w:bCs/>
                <w:color w:val="auto"/>
                <w:sz w:val="24"/>
                <w:highlight w:val="none"/>
              </w:rPr>
              <w:t>职工</w:t>
            </w:r>
            <w:r>
              <w:rPr>
                <w:rFonts w:hint="default" w:ascii="Times New Roman" w:hAnsi="Times New Roman" w:eastAsia="仿宋" w:cs="Times New Roman"/>
                <w:bCs/>
                <w:color w:val="auto"/>
                <w:sz w:val="24"/>
                <w:highlight w:val="none"/>
                <w:lang w:val="en-US" w:eastAsia="zh-CN"/>
              </w:rPr>
              <w:t>8</w:t>
            </w:r>
            <w:r>
              <w:rPr>
                <w:rFonts w:hint="default" w:ascii="Times New Roman" w:hAnsi="Times New Roman" w:eastAsia="仿宋" w:cs="Times New Roman"/>
                <w:bCs/>
                <w:color w:val="auto"/>
                <w:sz w:val="24"/>
                <w:highlight w:val="none"/>
              </w:rPr>
              <w:t>人，人均生活用水量以150L/d计，产污系数取0.9，年工作</w:t>
            </w:r>
            <w:r>
              <w:rPr>
                <w:rFonts w:hint="default" w:ascii="Times New Roman" w:hAnsi="Times New Roman" w:eastAsia="仿宋" w:cs="Times New Roman"/>
                <w:bCs/>
                <w:color w:val="auto"/>
                <w:sz w:val="24"/>
                <w:highlight w:val="none"/>
                <w:lang w:val="en-US" w:eastAsia="zh-CN"/>
              </w:rPr>
              <w:t>300</w:t>
            </w:r>
            <w:r>
              <w:rPr>
                <w:rFonts w:hint="default" w:ascii="Times New Roman" w:hAnsi="Times New Roman" w:eastAsia="仿宋" w:cs="Times New Roman"/>
                <w:bCs/>
                <w:color w:val="auto"/>
                <w:sz w:val="24"/>
                <w:highlight w:val="none"/>
              </w:rPr>
              <w:t>天，则生活用水量为</w:t>
            </w:r>
            <w:r>
              <w:rPr>
                <w:rFonts w:hint="default" w:ascii="Times New Roman" w:hAnsi="Times New Roman" w:eastAsia="仿宋" w:cs="Times New Roman"/>
                <w:bCs/>
                <w:color w:val="auto"/>
                <w:sz w:val="24"/>
                <w:highlight w:val="none"/>
                <w:lang w:val="en-US" w:eastAsia="zh-CN"/>
              </w:rPr>
              <w:t>360</w:t>
            </w:r>
            <w:r>
              <w:rPr>
                <w:rFonts w:hint="default" w:ascii="Times New Roman" w:hAnsi="Times New Roman" w:eastAsia="仿宋" w:cs="Times New Roman"/>
                <w:bCs/>
                <w:color w:val="auto"/>
                <w:sz w:val="24"/>
                <w:highlight w:val="none"/>
              </w:rPr>
              <w:t>t/a，生活污水产生量为</w:t>
            </w:r>
            <w:r>
              <w:rPr>
                <w:rFonts w:hint="default" w:ascii="Times New Roman" w:hAnsi="Times New Roman" w:eastAsia="仿宋" w:cs="Times New Roman"/>
                <w:bCs/>
                <w:color w:val="auto"/>
                <w:sz w:val="24"/>
                <w:highlight w:val="none"/>
                <w:lang w:val="en-US" w:eastAsia="zh-CN"/>
              </w:rPr>
              <w:t>324</w:t>
            </w:r>
            <w:r>
              <w:rPr>
                <w:rFonts w:hint="default" w:ascii="Times New Roman" w:hAnsi="Times New Roman" w:eastAsia="仿宋" w:cs="Times New Roman"/>
                <w:bCs/>
                <w:color w:val="auto"/>
                <w:sz w:val="24"/>
                <w:highlight w:val="none"/>
              </w:rPr>
              <w:t>t/a，污水中主要污染物为pH：7～9、COD：400mg/L、SS：250mg/L、氨氮：25mg/L、总磷：5mg/L、总氮：35mg/L。建设项目水污染物产生情况见下表。</w:t>
            </w:r>
          </w:p>
          <w:p w14:paraId="03404D2F">
            <w:pPr>
              <w:adjustRightInd w:val="0"/>
              <w:snapToGrid w:val="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eastAsia" w:eastAsia="仿宋" w:cs="Times New Roman"/>
                <w:b/>
                <w:color w:val="auto"/>
                <w:sz w:val="24"/>
                <w:highlight w:val="none"/>
                <w:lang w:val="en-US" w:eastAsia="zh-CN"/>
              </w:rPr>
              <w:t>20</w:t>
            </w:r>
            <w:r>
              <w:rPr>
                <w:rFonts w:hint="default" w:ascii="Times New Roman" w:hAnsi="Times New Roman" w:eastAsia="仿宋" w:cs="Times New Roman"/>
                <w:b/>
                <w:color w:val="auto"/>
                <w:sz w:val="24"/>
                <w:highlight w:val="none"/>
              </w:rPr>
              <w:t xml:space="preserve">  本项目水污染物产生情况表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42"/>
              <w:gridCol w:w="1422"/>
              <w:gridCol w:w="1460"/>
              <w:gridCol w:w="2274"/>
              <w:gridCol w:w="1902"/>
            </w:tblGrid>
            <w:tr w14:paraId="0C847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pct"/>
                  <w:noWrap w:val="0"/>
                  <w:vAlign w:val="center"/>
                </w:tcPr>
                <w:p w14:paraId="4198D9D6">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废水名称</w:t>
                  </w:r>
                </w:p>
              </w:tc>
              <w:tc>
                <w:tcPr>
                  <w:tcW w:w="846" w:type="pct"/>
                  <w:noWrap w:val="0"/>
                  <w:vAlign w:val="center"/>
                </w:tcPr>
                <w:p w14:paraId="068324EE">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废水量（t</w:t>
                  </w:r>
                  <w:r>
                    <w:rPr>
                      <w:rFonts w:hint="default" w:ascii="Times New Roman" w:hAnsi="Times New Roman" w:eastAsia="仿宋" w:cs="Times New Roman"/>
                      <w:b/>
                      <w:color w:val="auto"/>
                      <w:szCs w:val="21"/>
                      <w:highlight w:val="none"/>
                    </w:rPr>
                    <w:t>/a</w:t>
                  </w:r>
                  <w:r>
                    <w:rPr>
                      <w:rFonts w:hint="default" w:ascii="Times New Roman" w:hAnsi="Times New Roman" w:eastAsia="仿宋" w:cs="Times New Roman"/>
                      <w:b/>
                      <w:bCs/>
                      <w:color w:val="auto"/>
                      <w:szCs w:val="21"/>
                      <w:highlight w:val="none"/>
                    </w:rPr>
                    <w:t>)</w:t>
                  </w:r>
                </w:p>
              </w:tc>
              <w:tc>
                <w:tcPr>
                  <w:tcW w:w="869" w:type="pct"/>
                  <w:noWrap w:val="0"/>
                  <w:vAlign w:val="center"/>
                </w:tcPr>
                <w:p w14:paraId="132B68F4">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污染物名称</w:t>
                  </w:r>
                </w:p>
              </w:tc>
              <w:tc>
                <w:tcPr>
                  <w:tcW w:w="1353" w:type="pct"/>
                  <w:noWrap w:val="0"/>
                  <w:vAlign w:val="center"/>
                </w:tcPr>
                <w:p w14:paraId="373AD17A">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污染物产生浓度（mg/L)</w:t>
                  </w:r>
                </w:p>
              </w:tc>
              <w:tc>
                <w:tcPr>
                  <w:tcW w:w="1131" w:type="pct"/>
                  <w:noWrap w:val="0"/>
                  <w:vAlign w:val="center"/>
                </w:tcPr>
                <w:p w14:paraId="43D95795">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污染物产生量（</w:t>
                  </w:r>
                  <w:r>
                    <w:rPr>
                      <w:rFonts w:hint="default" w:ascii="Times New Roman" w:hAnsi="Times New Roman" w:eastAsia="仿宋" w:cs="Times New Roman"/>
                      <w:b/>
                      <w:color w:val="auto"/>
                      <w:szCs w:val="21"/>
                      <w:highlight w:val="none"/>
                    </w:rPr>
                    <w:t>t/a</w:t>
                  </w:r>
                  <w:r>
                    <w:rPr>
                      <w:rFonts w:hint="default" w:ascii="Times New Roman" w:hAnsi="Times New Roman" w:eastAsia="仿宋" w:cs="Times New Roman"/>
                      <w:b/>
                      <w:bCs/>
                      <w:color w:val="auto"/>
                      <w:szCs w:val="21"/>
                      <w:highlight w:val="none"/>
                    </w:rPr>
                    <w:t>)</w:t>
                  </w:r>
                </w:p>
              </w:tc>
            </w:tr>
            <w:tr w14:paraId="16451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pct"/>
                  <w:vMerge w:val="restart"/>
                  <w:noWrap w:val="0"/>
                  <w:vAlign w:val="center"/>
                </w:tcPr>
                <w:p w14:paraId="07CE7F7C">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生活污水</w:t>
                  </w:r>
                </w:p>
              </w:tc>
              <w:tc>
                <w:tcPr>
                  <w:tcW w:w="846" w:type="pct"/>
                  <w:vMerge w:val="restart"/>
                  <w:noWrap w:val="0"/>
                  <w:vAlign w:val="center"/>
                </w:tcPr>
                <w:p w14:paraId="63EF410A">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324</w:t>
                  </w:r>
                </w:p>
              </w:tc>
              <w:tc>
                <w:tcPr>
                  <w:tcW w:w="869" w:type="pct"/>
                  <w:noWrap w:val="0"/>
                  <w:vAlign w:val="center"/>
                </w:tcPr>
                <w:p w14:paraId="721E2504">
                  <w:pPr>
                    <w:jc w:val="center"/>
                    <w:rPr>
                      <w:rFonts w:hint="default" w:ascii="Times New Roman" w:hAnsi="Times New Roman" w:eastAsia="仿宋" w:cs="Times New Roman"/>
                      <w:b/>
                      <w:bCs/>
                      <w:color w:val="auto"/>
                      <w:szCs w:val="21"/>
                      <w:highlight w:val="none"/>
                      <w:lang w:eastAsia="zh-CN"/>
                    </w:rPr>
                  </w:pPr>
                  <w:r>
                    <w:rPr>
                      <w:rFonts w:hint="default" w:ascii="Times New Roman" w:hAnsi="Times New Roman" w:eastAsia="仿宋" w:cs="Times New Roman"/>
                      <w:color w:val="auto"/>
                      <w:szCs w:val="21"/>
                      <w:highlight w:val="none"/>
                    </w:rPr>
                    <w:t>pH</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无量纲</w:t>
                  </w:r>
                  <w:r>
                    <w:rPr>
                      <w:rFonts w:hint="default" w:ascii="Times New Roman" w:hAnsi="Times New Roman" w:eastAsia="仿宋" w:cs="Times New Roman"/>
                      <w:color w:val="auto"/>
                      <w:szCs w:val="21"/>
                      <w:highlight w:val="none"/>
                      <w:lang w:eastAsia="zh-CN"/>
                    </w:rPr>
                    <w:t>）</w:t>
                  </w:r>
                </w:p>
              </w:tc>
              <w:tc>
                <w:tcPr>
                  <w:tcW w:w="2485" w:type="pct"/>
                  <w:gridSpan w:val="2"/>
                  <w:noWrap w:val="0"/>
                  <w:vAlign w:val="center"/>
                </w:tcPr>
                <w:p w14:paraId="295D11B2">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color w:val="auto"/>
                      <w:szCs w:val="21"/>
                      <w:highlight w:val="none"/>
                    </w:rPr>
                    <w:t>7.0～9.0</w:t>
                  </w:r>
                </w:p>
              </w:tc>
            </w:tr>
            <w:tr w14:paraId="77CD9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pct"/>
                  <w:vMerge w:val="continue"/>
                  <w:noWrap w:val="0"/>
                  <w:vAlign w:val="center"/>
                </w:tcPr>
                <w:p w14:paraId="0958FC04">
                  <w:pPr>
                    <w:widowControl/>
                    <w:jc w:val="left"/>
                    <w:rPr>
                      <w:rFonts w:hint="default" w:ascii="Times New Roman" w:hAnsi="Times New Roman" w:eastAsia="仿宋" w:cs="Times New Roman"/>
                      <w:color w:val="auto"/>
                      <w:szCs w:val="21"/>
                      <w:highlight w:val="none"/>
                    </w:rPr>
                  </w:pPr>
                </w:p>
              </w:tc>
              <w:tc>
                <w:tcPr>
                  <w:tcW w:w="846" w:type="pct"/>
                  <w:vMerge w:val="continue"/>
                  <w:noWrap w:val="0"/>
                  <w:vAlign w:val="center"/>
                </w:tcPr>
                <w:p w14:paraId="4BC3A421">
                  <w:pPr>
                    <w:widowControl/>
                    <w:jc w:val="left"/>
                    <w:rPr>
                      <w:rFonts w:hint="default" w:ascii="Times New Roman" w:hAnsi="Times New Roman" w:eastAsia="仿宋" w:cs="Times New Roman"/>
                      <w:color w:val="auto"/>
                      <w:szCs w:val="21"/>
                      <w:highlight w:val="none"/>
                    </w:rPr>
                  </w:pPr>
                </w:p>
              </w:tc>
              <w:tc>
                <w:tcPr>
                  <w:tcW w:w="869" w:type="pct"/>
                  <w:noWrap w:val="0"/>
                  <w:vAlign w:val="center"/>
                </w:tcPr>
                <w:p w14:paraId="6196D76C">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rPr>
                    <w:t>COD</w:t>
                  </w:r>
                </w:p>
              </w:tc>
              <w:tc>
                <w:tcPr>
                  <w:tcW w:w="1353" w:type="pct"/>
                  <w:noWrap w:val="0"/>
                  <w:vAlign w:val="center"/>
                </w:tcPr>
                <w:p w14:paraId="1F07E4B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400</w:t>
                  </w:r>
                </w:p>
              </w:tc>
              <w:tc>
                <w:tcPr>
                  <w:tcW w:w="1899" w:type="dxa"/>
                  <w:noWrap w:val="0"/>
                  <w:vAlign w:val="center"/>
                </w:tcPr>
                <w:p w14:paraId="1B721FEB">
                  <w:pPr>
                    <w:jc w:val="center"/>
                    <w:rPr>
                      <w:rFonts w:hint="default" w:ascii="Times New Roman" w:hAnsi="Times New Roman" w:eastAsia="仿宋" w:cs="Times New Roman"/>
                      <w:color w:val="auto"/>
                      <w:szCs w:val="21"/>
                      <w:highlight w:val="none"/>
                      <w:lang w:eastAsia="zh-CN"/>
                    </w:rPr>
                  </w:pPr>
                  <w:r>
                    <w:rPr>
                      <w:rFonts w:hint="default" w:ascii="Times New Roman" w:hAnsi="Times New Roman" w:eastAsia="仿宋" w:cs="Times New Roman"/>
                      <w:color w:val="auto"/>
                      <w:szCs w:val="21"/>
                      <w:highlight w:val="none"/>
                      <w:lang w:val="en-US" w:eastAsia="zh-CN"/>
                    </w:rPr>
                    <w:t>0.130</w:t>
                  </w:r>
                </w:p>
              </w:tc>
            </w:tr>
            <w:tr w14:paraId="73BB2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pct"/>
                  <w:vMerge w:val="continue"/>
                  <w:noWrap w:val="0"/>
                  <w:vAlign w:val="center"/>
                </w:tcPr>
                <w:p w14:paraId="10E632EE">
                  <w:pPr>
                    <w:widowControl/>
                    <w:jc w:val="left"/>
                    <w:rPr>
                      <w:rFonts w:hint="default" w:ascii="Times New Roman" w:hAnsi="Times New Roman" w:eastAsia="仿宋" w:cs="Times New Roman"/>
                      <w:color w:val="auto"/>
                      <w:szCs w:val="21"/>
                      <w:highlight w:val="none"/>
                    </w:rPr>
                  </w:pPr>
                </w:p>
              </w:tc>
              <w:tc>
                <w:tcPr>
                  <w:tcW w:w="846" w:type="pct"/>
                  <w:vMerge w:val="continue"/>
                  <w:noWrap w:val="0"/>
                  <w:vAlign w:val="center"/>
                </w:tcPr>
                <w:p w14:paraId="368BA62D">
                  <w:pPr>
                    <w:widowControl/>
                    <w:jc w:val="left"/>
                    <w:rPr>
                      <w:rFonts w:hint="default" w:ascii="Times New Roman" w:hAnsi="Times New Roman" w:eastAsia="仿宋" w:cs="Times New Roman"/>
                      <w:color w:val="auto"/>
                      <w:szCs w:val="21"/>
                      <w:highlight w:val="none"/>
                    </w:rPr>
                  </w:pPr>
                </w:p>
              </w:tc>
              <w:tc>
                <w:tcPr>
                  <w:tcW w:w="869" w:type="pct"/>
                  <w:noWrap w:val="0"/>
                  <w:vAlign w:val="center"/>
                </w:tcPr>
                <w:p w14:paraId="1633681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rPr>
                    <w:t>SS</w:t>
                  </w:r>
                </w:p>
              </w:tc>
              <w:tc>
                <w:tcPr>
                  <w:tcW w:w="1353" w:type="pct"/>
                  <w:noWrap w:val="0"/>
                  <w:vAlign w:val="center"/>
                </w:tcPr>
                <w:p w14:paraId="673337F4">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250</w:t>
                  </w:r>
                </w:p>
              </w:tc>
              <w:tc>
                <w:tcPr>
                  <w:tcW w:w="1899" w:type="dxa"/>
                  <w:noWrap w:val="0"/>
                  <w:vAlign w:val="center"/>
                </w:tcPr>
                <w:p w14:paraId="4D3F10F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0.081</w:t>
                  </w:r>
                </w:p>
              </w:tc>
            </w:tr>
            <w:tr w14:paraId="4C845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pct"/>
                  <w:vMerge w:val="continue"/>
                  <w:noWrap w:val="0"/>
                  <w:vAlign w:val="center"/>
                </w:tcPr>
                <w:p w14:paraId="03D9F9EA">
                  <w:pPr>
                    <w:widowControl/>
                    <w:jc w:val="left"/>
                    <w:rPr>
                      <w:rFonts w:hint="default" w:ascii="Times New Roman" w:hAnsi="Times New Roman" w:eastAsia="仿宋" w:cs="Times New Roman"/>
                      <w:color w:val="auto"/>
                      <w:szCs w:val="21"/>
                      <w:highlight w:val="none"/>
                    </w:rPr>
                  </w:pPr>
                </w:p>
              </w:tc>
              <w:tc>
                <w:tcPr>
                  <w:tcW w:w="846" w:type="pct"/>
                  <w:vMerge w:val="continue"/>
                  <w:noWrap w:val="0"/>
                  <w:vAlign w:val="center"/>
                </w:tcPr>
                <w:p w14:paraId="048FDB6F">
                  <w:pPr>
                    <w:widowControl/>
                    <w:jc w:val="left"/>
                    <w:rPr>
                      <w:rFonts w:hint="default" w:ascii="Times New Roman" w:hAnsi="Times New Roman" w:eastAsia="仿宋" w:cs="Times New Roman"/>
                      <w:color w:val="auto"/>
                      <w:szCs w:val="21"/>
                      <w:highlight w:val="none"/>
                    </w:rPr>
                  </w:pPr>
                </w:p>
              </w:tc>
              <w:tc>
                <w:tcPr>
                  <w:tcW w:w="869" w:type="pct"/>
                  <w:noWrap w:val="0"/>
                  <w:vAlign w:val="center"/>
                </w:tcPr>
                <w:p w14:paraId="7BC27F2F">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rPr>
                    <w:t>氨氮</w:t>
                  </w:r>
                </w:p>
              </w:tc>
              <w:tc>
                <w:tcPr>
                  <w:tcW w:w="1353" w:type="pct"/>
                  <w:noWrap w:val="0"/>
                  <w:vAlign w:val="center"/>
                </w:tcPr>
                <w:p w14:paraId="2B6130F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25</w:t>
                  </w:r>
                </w:p>
              </w:tc>
              <w:tc>
                <w:tcPr>
                  <w:tcW w:w="1899" w:type="dxa"/>
                  <w:noWrap w:val="0"/>
                  <w:vAlign w:val="center"/>
                </w:tcPr>
                <w:p w14:paraId="7E94E737">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0.008</w:t>
                  </w:r>
                </w:p>
              </w:tc>
            </w:tr>
            <w:tr w14:paraId="3B98B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pct"/>
                  <w:vMerge w:val="continue"/>
                  <w:noWrap w:val="0"/>
                  <w:vAlign w:val="center"/>
                </w:tcPr>
                <w:p w14:paraId="1EA96654">
                  <w:pPr>
                    <w:widowControl/>
                    <w:jc w:val="left"/>
                    <w:rPr>
                      <w:rFonts w:hint="default" w:ascii="Times New Roman" w:hAnsi="Times New Roman" w:eastAsia="仿宋" w:cs="Times New Roman"/>
                      <w:color w:val="auto"/>
                      <w:szCs w:val="21"/>
                      <w:highlight w:val="none"/>
                    </w:rPr>
                  </w:pPr>
                </w:p>
              </w:tc>
              <w:tc>
                <w:tcPr>
                  <w:tcW w:w="846" w:type="pct"/>
                  <w:vMerge w:val="continue"/>
                  <w:noWrap w:val="0"/>
                  <w:vAlign w:val="center"/>
                </w:tcPr>
                <w:p w14:paraId="562383C3">
                  <w:pPr>
                    <w:widowControl/>
                    <w:jc w:val="left"/>
                    <w:rPr>
                      <w:rFonts w:hint="default" w:ascii="Times New Roman" w:hAnsi="Times New Roman" w:eastAsia="仿宋" w:cs="Times New Roman"/>
                      <w:color w:val="auto"/>
                      <w:szCs w:val="21"/>
                      <w:highlight w:val="none"/>
                    </w:rPr>
                  </w:pPr>
                </w:p>
              </w:tc>
              <w:tc>
                <w:tcPr>
                  <w:tcW w:w="869" w:type="pct"/>
                  <w:noWrap w:val="0"/>
                  <w:vAlign w:val="center"/>
                </w:tcPr>
                <w:p w14:paraId="25BA1BD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rPr>
                    <w:t>总磷</w:t>
                  </w:r>
                </w:p>
              </w:tc>
              <w:tc>
                <w:tcPr>
                  <w:tcW w:w="1353" w:type="pct"/>
                  <w:noWrap w:val="0"/>
                  <w:vAlign w:val="center"/>
                </w:tcPr>
                <w:p w14:paraId="1B37049A">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w:t>
                  </w:r>
                </w:p>
              </w:tc>
              <w:tc>
                <w:tcPr>
                  <w:tcW w:w="1899" w:type="dxa"/>
                  <w:noWrap w:val="0"/>
                  <w:vAlign w:val="center"/>
                </w:tcPr>
                <w:p w14:paraId="6C817A7B">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0.001</w:t>
                  </w:r>
                </w:p>
              </w:tc>
            </w:tr>
            <w:tr w14:paraId="613D5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9" w:type="pct"/>
                  <w:vMerge w:val="continue"/>
                  <w:noWrap w:val="0"/>
                  <w:vAlign w:val="center"/>
                </w:tcPr>
                <w:p w14:paraId="3F3DD485">
                  <w:pPr>
                    <w:widowControl/>
                    <w:jc w:val="left"/>
                    <w:rPr>
                      <w:rFonts w:hint="default" w:ascii="Times New Roman" w:hAnsi="Times New Roman" w:eastAsia="仿宋" w:cs="Times New Roman"/>
                      <w:color w:val="auto"/>
                      <w:szCs w:val="21"/>
                      <w:highlight w:val="none"/>
                    </w:rPr>
                  </w:pPr>
                </w:p>
              </w:tc>
              <w:tc>
                <w:tcPr>
                  <w:tcW w:w="846" w:type="pct"/>
                  <w:vMerge w:val="continue"/>
                  <w:noWrap w:val="0"/>
                  <w:vAlign w:val="center"/>
                </w:tcPr>
                <w:p w14:paraId="6E45F30B">
                  <w:pPr>
                    <w:widowControl/>
                    <w:jc w:val="left"/>
                    <w:rPr>
                      <w:rFonts w:hint="default" w:ascii="Times New Roman" w:hAnsi="Times New Roman" w:eastAsia="仿宋" w:cs="Times New Roman"/>
                      <w:color w:val="auto"/>
                      <w:szCs w:val="21"/>
                      <w:highlight w:val="none"/>
                    </w:rPr>
                  </w:pPr>
                </w:p>
              </w:tc>
              <w:tc>
                <w:tcPr>
                  <w:tcW w:w="869" w:type="pct"/>
                  <w:noWrap w:val="0"/>
                  <w:vAlign w:val="center"/>
                </w:tcPr>
                <w:p w14:paraId="388FD14A">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总氮</w:t>
                  </w:r>
                </w:p>
              </w:tc>
              <w:tc>
                <w:tcPr>
                  <w:tcW w:w="1353" w:type="pct"/>
                  <w:noWrap w:val="0"/>
                  <w:vAlign w:val="center"/>
                </w:tcPr>
                <w:p w14:paraId="166B5258">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35</w:t>
                  </w:r>
                </w:p>
              </w:tc>
              <w:tc>
                <w:tcPr>
                  <w:tcW w:w="1899" w:type="dxa"/>
                  <w:noWrap w:val="0"/>
                  <w:vAlign w:val="center"/>
                </w:tcPr>
                <w:p w14:paraId="7D9E20FA">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0.011</w:t>
                  </w:r>
                </w:p>
              </w:tc>
            </w:tr>
          </w:tbl>
          <w:p w14:paraId="70AF6CC7">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2、废水污染防治措施</w:t>
            </w:r>
          </w:p>
          <w:p w14:paraId="7BAEED62">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（1）排水体制</w:t>
            </w:r>
          </w:p>
          <w:p w14:paraId="5B6197FF">
            <w:pPr>
              <w:widowControl/>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厂区排水实施“雨污分流”，雨水</w:t>
            </w:r>
            <w:r>
              <w:rPr>
                <w:rFonts w:hint="default" w:ascii="Times New Roman" w:hAnsi="Times New Roman" w:eastAsia="仿宋" w:cs="Times New Roman"/>
                <w:color w:val="auto"/>
                <w:sz w:val="24"/>
                <w:highlight w:val="none"/>
                <w:lang w:eastAsia="zh-CN"/>
              </w:rPr>
              <w:t>依托</w:t>
            </w:r>
            <w:r>
              <w:rPr>
                <w:rFonts w:hint="default" w:ascii="Times New Roman" w:hAnsi="Times New Roman" w:eastAsia="仿宋" w:cs="Times New Roman"/>
                <w:color w:val="auto"/>
                <w:sz w:val="24"/>
                <w:highlight w:val="none"/>
                <w:lang w:val="en-US" w:eastAsia="zh-CN"/>
              </w:rPr>
              <w:t>园区</w:t>
            </w:r>
            <w:r>
              <w:rPr>
                <w:rFonts w:hint="default" w:ascii="Times New Roman" w:hAnsi="Times New Roman" w:eastAsia="仿宋" w:cs="Times New Roman"/>
                <w:color w:val="auto"/>
                <w:sz w:val="24"/>
                <w:highlight w:val="none"/>
              </w:rPr>
              <w:t>雨水管网收集后，排入当地市政雨水管网，最终汇入附近河流。本项目职工生活污水接管排入常州金坛区第二污水处理有限公司集中处理</w:t>
            </w:r>
          </w:p>
          <w:p w14:paraId="54434829">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2</w:t>
            </w:r>
            <w:r>
              <w:rPr>
                <w:rFonts w:hint="default" w:ascii="Times New Roman" w:hAnsi="Times New Roman" w:eastAsia="仿宋" w:cs="Times New Roman"/>
                <w:bCs/>
                <w:color w:val="auto"/>
                <w:sz w:val="24"/>
                <w:highlight w:val="none"/>
              </w:rPr>
              <w:t>）生活污水接管可行性分析</w:t>
            </w:r>
          </w:p>
          <w:p w14:paraId="58A2BCC7">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①管网建设情况</w:t>
            </w:r>
          </w:p>
          <w:p w14:paraId="56222641">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常州金坛区第二污水处理有限公司的服务范围为金城镇东环二路以东市区范围区域，包括金坛区经济开发区控制性详细规划中的主要建设区域（东至省道203，南至站前路，西至金湖路和丹金溧漕河，北至开发区行政界线）和河东居住区部分范围，总面积约为70.9km</w:t>
            </w:r>
            <w:r>
              <w:rPr>
                <w:rFonts w:hint="default" w:ascii="Times New Roman" w:hAnsi="Times New Roman" w:eastAsia="仿宋" w:cs="Times New Roman"/>
                <w:color w:val="auto"/>
                <w:sz w:val="24"/>
                <w:highlight w:val="none"/>
                <w:vertAlign w:val="superscript"/>
              </w:rPr>
              <w:t>2</w:t>
            </w:r>
            <w:r>
              <w:rPr>
                <w:rFonts w:hint="default" w:ascii="Times New Roman" w:hAnsi="Times New Roman" w:eastAsia="仿宋" w:cs="Times New Roman"/>
                <w:color w:val="auto"/>
                <w:sz w:val="24"/>
                <w:highlight w:val="none"/>
              </w:rPr>
              <w:t>。本项目位于</w:t>
            </w:r>
            <w:r>
              <w:rPr>
                <w:rFonts w:hint="default" w:ascii="Times New Roman" w:hAnsi="Times New Roman" w:eastAsia="仿宋" w:cs="Times New Roman"/>
                <w:color w:val="auto"/>
                <w:sz w:val="24"/>
                <w:highlight w:val="none"/>
                <w:lang w:eastAsia="zh-CN"/>
              </w:rPr>
              <w:t>江苏省金坛经济开发区盐港东路39号8幢6号</w:t>
            </w:r>
            <w:r>
              <w:rPr>
                <w:rFonts w:hint="default" w:ascii="Times New Roman" w:hAnsi="Times New Roman" w:eastAsia="仿宋" w:cs="Times New Roman"/>
                <w:color w:val="auto"/>
                <w:sz w:val="24"/>
                <w:highlight w:val="none"/>
              </w:rPr>
              <w:t>，根据区域规划，本项目在常州金坛区第二污水处理有限公司接收范围之内</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color w:val="auto"/>
                <w:sz w:val="24"/>
                <w:highlight w:val="none"/>
                <w:lang w:val="en-US" w:eastAsia="zh-CN"/>
              </w:rPr>
              <w:t>且区域污水管网已铺设到位</w:t>
            </w:r>
            <w:r>
              <w:rPr>
                <w:rFonts w:hint="default" w:ascii="Times New Roman" w:hAnsi="Times New Roman" w:eastAsia="仿宋" w:cs="Times New Roman"/>
                <w:color w:val="auto"/>
                <w:sz w:val="24"/>
                <w:highlight w:val="none"/>
              </w:rPr>
              <w:t>。</w:t>
            </w:r>
          </w:p>
          <w:p w14:paraId="7B1E2BFE">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②污水处理厂简介</w:t>
            </w:r>
          </w:p>
          <w:p w14:paraId="7A1CA562">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常州金坛区第二污水处理有限公司位于金坛经济开发区内，华城东路与新常金公路交汇处以北100m。2013年年平均处理水量约为3.1万m</w:t>
            </w:r>
            <w:r>
              <w:rPr>
                <w:rFonts w:hint="default" w:ascii="Times New Roman" w:hAnsi="Times New Roman" w:eastAsia="仿宋" w:cs="Times New Roman"/>
                <w:color w:val="auto"/>
                <w:sz w:val="24"/>
                <w:highlight w:val="none"/>
                <w:vertAlign w:val="superscript"/>
              </w:rPr>
              <w:t>3</w:t>
            </w:r>
            <w:r>
              <w:rPr>
                <w:rFonts w:hint="default" w:ascii="Times New Roman" w:hAnsi="Times New Roman" w:eastAsia="仿宋" w:cs="Times New Roman"/>
                <w:color w:val="auto"/>
                <w:sz w:val="24"/>
                <w:highlight w:val="none"/>
              </w:rPr>
              <w:t>/d（处理负荷为77.5%），接管工业废水约1.57万t/d，接管生活污水约1.53万t/d，二污厂现状工业废水与生活污水之比约为1:1。2014年4月8日《金坛市城市污水处理有限公司金坛市第二污水处理厂扩建工程项目环境影响报告书》通过金坛市环境保护局审批，规划扩建工程规模为2.0万m</w:t>
            </w:r>
            <w:r>
              <w:rPr>
                <w:rFonts w:hint="default" w:ascii="Times New Roman" w:hAnsi="Times New Roman" w:eastAsia="仿宋" w:cs="Times New Roman"/>
                <w:color w:val="auto"/>
                <w:sz w:val="24"/>
                <w:highlight w:val="none"/>
                <w:vertAlign w:val="superscript"/>
              </w:rPr>
              <w:t>3</w:t>
            </w:r>
            <w:r>
              <w:rPr>
                <w:rFonts w:hint="default" w:ascii="Times New Roman" w:hAnsi="Times New Roman" w:eastAsia="仿宋" w:cs="Times New Roman"/>
                <w:color w:val="auto"/>
                <w:sz w:val="24"/>
                <w:highlight w:val="none"/>
              </w:rPr>
              <w:t>/d，远期规划规模达16万m</w:t>
            </w:r>
            <w:r>
              <w:rPr>
                <w:rFonts w:hint="default" w:ascii="Times New Roman" w:hAnsi="Times New Roman" w:eastAsia="仿宋" w:cs="Times New Roman"/>
                <w:color w:val="auto"/>
                <w:sz w:val="24"/>
                <w:highlight w:val="none"/>
                <w:vertAlign w:val="superscript"/>
              </w:rPr>
              <w:t>3</w:t>
            </w:r>
            <w:r>
              <w:rPr>
                <w:rFonts w:hint="default" w:ascii="Times New Roman" w:hAnsi="Times New Roman" w:eastAsia="仿宋" w:cs="Times New Roman"/>
                <w:color w:val="auto"/>
                <w:sz w:val="24"/>
                <w:highlight w:val="none"/>
              </w:rPr>
              <w:t>/d，该项目已于2017年1月3日通过常州市金坛区环境保护局验收，并正式投入运营。</w:t>
            </w:r>
          </w:p>
          <w:p w14:paraId="415B9857">
            <w:pPr>
              <w:tabs>
                <w:tab w:val="left" w:pos="1728"/>
              </w:tabs>
              <w:adjustRightInd w:val="0"/>
              <w:snapToGrid w:val="0"/>
              <w:spacing w:line="360" w:lineRule="auto"/>
              <w:ind w:firstLine="480" w:firstLineChars="200"/>
              <w:rPr>
                <w:rFonts w:hint="default" w:ascii="Times New Roman" w:hAnsi="Times New Roman" w:eastAsia="仿宋" w:cs="Times New Roman"/>
                <w:color w:val="0000FF"/>
                <w:sz w:val="24"/>
                <w:highlight w:val="none"/>
              </w:rPr>
            </w:pPr>
            <w:r>
              <w:rPr>
                <w:rFonts w:hint="default" w:ascii="Times New Roman" w:hAnsi="Times New Roman" w:eastAsia="仿宋" w:cs="Times New Roman"/>
                <w:color w:val="0000FF"/>
                <w:sz w:val="24"/>
                <w:highlight w:val="none"/>
              </w:rPr>
              <w:t>目前，常州金坛区第二污水处理有限公司总处理规模达6万m</w:t>
            </w:r>
            <w:r>
              <w:rPr>
                <w:rFonts w:hint="default" w:ascii="Times New Roman" w:hAnsi="Times New Roman" w:eastAsia="仿宋" w:cs="Times New Roman"/>
                <w:color w:val="0000FF"/>
                <w:sz w:val="24"/>
                <w:highlight w:val="none"/>
                <w:vertAlign w:val="superscript"/>
              </w:rPr>
              <w:t>3</w:t>
            </w:r>
            <w:r>
              <w:rPr>
                <w:rFonts w:hint="default" w:ascii="Times New Roman" w:hAnsi="Times New Roman" w:eastAsia="仿宋" w:cs="Times New Roman"/>
                <w:color w:val="0000FF"/>
                <w:sz w:val="24"/>
                <w:highlight w:val="none"/>
              </w:rPr>
              <w:t>/d，尾水达到</w:t>
            </w:r>
            <w:r>
              <w:rPr>
                <w:rFonts w:hint="default" w:ascii="Times New Roman" w:hAnsi="Times New Roman" w:eastAsia="仿宋" w:cs="Times New Roman"/>
                <w:bCs/>
                <w:color w:val="0000FF"/>
                <w:sz w:val="24"/>
                <w:highlight w:val="none"/>
              </w:rPr>
              <w:t>《城镇污水处理厂污染物排放标准》（DB32/4440-2022）表1中C标准</w:t>
            </w:r>
            <w:r>
              <w:rPr>
                <w:rFonts w:hint="default" w:ascii="Times New Roman" w:hAnsi="Times New Roman" w:eastAsia="仿宋" w:cs="Times New Roman"/>
                <w:color w:val="0000FF"/>
                <w:sz w:val="24"/>
                <w:highlight w:val="none"/>
              </w:rPr>
              <w:t>后排入尧塘河。出水达到再生水水质标准后，考虑污水再生利用，确定回用水量占污水厂总处理水量的33%。回用的中水作为金坛经济开发区工业企业冲洗系统补充水、间接冷却水，开发区内企业及市政道路的绿化灌溉用水、道路浇洒用水等。随着工业园内的企业的引入和发展，若园内企业的用水需求增多，可增加再生水的利用量。常州金坛区第二污水处理有限公司处理工艺流程图见下图。</w:t>
            </w:r>
          </w:p>
          <w:p w14:paraId="5B0C2DDB">
            <w:pPr>
              <w:spacing w:before="120" w:beforeLines="5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drawing>
                <wp:inline distT="0" distB="0" distL="114300" distR="114300">
                  <wp:extent cx="5323840" cy="1831975"/>
                  <wp:effectExtent l="0" t="0" r="10160" b="15875"/>
                  <wp:docPr id="1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6"/>
                          <pic:cNvPicPr>
                            <a:picLocks noChangeAspect="1"/>
                          </pic:cNvPicPr>
                        </pic:nvPicPr>
                        <pic:blipFill>
                          <a:blip r:embed="rId24"/>
                          <a:stretch>
                            <a:fillRect/>
                          </a:stretch>
                        </pic:blipFill>
                        <pic:spPr>
                          <a:xfrm>
                            <a:off x="0" y="0"/>
                            <a:ext cx="5323840" cy="1831975"/>
                          </a:xfrm>
                          <a:prstGeom prst="rect">
                            <a:avLst/>
                          </a:prstGeom>
                          <a:noFill/>
                          <a:ln>
                            <a:noFill/>
                          </a:ln>
                        </pic:spPr>
                      </pic:pic>
                    </a:graphicData>
                  </a:graphic>
                </wp:inline>
              </w:drawing>
            </w:r>
          </w:p>
          <w:p w14:paraId="1AF89FA0">
            <w:pPr>
              <w:adjustRightInd w:val="0"/>
              <w:snapToGrid w:val="0"/>
              <w:spacing w:before="120" w:beforeLines="50" w:line="360" w:lineRule="auto"/>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图4-</w:t>
            </w:r>
            <w:r>
              <w:rPr>
                <w:rFonts w:hint="eastAsia" w:eastAsia="仿宋" w:cs="Times New Roman"/>
                <w:b/>
                <w:bCs/>
                <w:color w:val="auto"/>
                <w:sz w:val="24"/>
                <w:highlight w:val="none"/>
                <w:lang w:val="en-US" w:eastAsia="zh-CN"/>
              </w:rPr>
              <w:t>3</w:t>
            </w:r>
            <w:r>
              <w:rPr>
                <w:rFonts w:hint="default" w:ascii="Times New Roman" w:hAnsi="Times New Roman" w:eastAsia="仿宋" w:cs="Times New Roman"/>
                <w:b/>
                <w:bCs/>
                <w:color w:val="auto"/>
                <w:sz w:val="24"/>
                <w:highlight w:val="none"/>
              </w:rPr>
              <w:t xml:space="preserve">  常州金坛区第二污水处理有限公司处理工艺流程图</w:t>
            </w:r>
          </w:p>
          <w:p w14:paraId="467197BC">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③接管可行性分析</w:t>
            </w:r>
          </w:p>
          <w:p w14:paraId="7B4963E3">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1）接管水质可行性分析</w:t>
            </w:r>
          </w:p>
          <w:p w14:paraId="6D825418">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本项目生活污水接管水质为pH 7～9、COD 400mg/L、SS 250mg/L、氨氮 25mg/L、总磷 3mg/L、总氮 35mg/L，</w:t>
            </w:r>
            <w:r>
              <w:rPr>
                <w:rFonts w:hint="default" w:ascii="Times New Roman" w:hAnsi="Times New Roman" w:eastAsia="仿宋" w:cs="Times New Roman"/>
                <w:color w:val="auto"/>
                <w:sz w:val="24"/>
                <w:highlight w:val="none"/>
                <w:lang w:val="en-US" w:eastAsia="zh-CN"/>
              </w:rPr>
              <w:t>本项目建成后全厂生活污水接管水质为</w:t>
            </w:r>
            <w:r>
              <w:rPr>
                <w:rFonts w:hint="default" w:ascii="Times New Roman" w:hAnsi="Times New Roman" w:eastAsia="仿宋" w:cs="Times New Roman"/>
                <w:color w:val="auto"/>
                <w:sz w:val="24"/>
                <w:highlight w:val="none"/>
              </w:rPr>
              <w:t>pH 7～9、COD 400mg/L、SS 2</w:t>
            </w:r>
            <w:r>
              <w:rPr>
                <w:rFonts w:hint="default" w:ascii="Times New Roman" w:hAnsi="Times New Roman" w:eastAsia="仿宋" w:cs="Times New Roman"/>
                <w:color w:val="auto"/>
                <w:sz w:val="24"/>
                <w:highlight w:val="none"/>
                <w:lang w:val="en-US" w:eastAsia="zh-CN"/>
              </w:rPr>
              <w:t>11.538</w:t>
            </w:r>
            <w:r>
              <w:rPr>
                <w:rFonts w:hint="default" w:ascii="Times New Roman" w:hAnsi="Times New Roman" w:eastAsia="仿宋" w:cs="Times New Roman"/>
                <w:color w:val="auto"/>
                <w:sz w:val="24"/>
                <w:highlight w:val="none"/>
              </w:rPr>
              <w:t>mg/L、氨氮 2</w:t>
            </w:r>
            <w:r>
              <w:rPr>
                <w:rFonts w:hint="default" w:ascii="Times New Roman" w:hAnsi="Times New Roman" w:eastAsia="仿宋" w:cs="Times New Roman"/>
                <w:color w:val="auto"/>
                <w:sz w:val="24"/>
                <w:highlight w:val="none"/>
                <w:lang w:val="en-US" w:eastAsia="zh-CN"/>
              </w:rPr>
              <w:t>8.561</w:t>
            </w:r>
            <w:r>
              <w:rPr>
                <w:rFonts w:hint="default" w:ascii="Times New Roman" w:hAnsi="Times New Roman" w:eastAsia="仿宋" w:cs="Times New Roman"/>
                <w:color w:val="auto"/>
                <w:sz w:val="24"/>
                <w:highlight w:val="none"/>
              </w:rPr>
              <w:t xml:space="preserve">mg/L、总磷 </w:t>
            </w:r>
            <w:r>
              <w:rPr>
                <w:rFonts w:hint="default" w:ascii="Times New Roman" w:hAnsi="Times New Roman" w:eastAsia="仿宋" w:cs="Times New Roman"/>
                <w:color w:val="auto"/>
                <w:sz w:val="24"/>
                <w:highlight w:val="none"/>
                <w:lang w:val="en-US" w:eastAsia="zh-CN"/>
              </w:rPr>
              <w:t>2.829</w:t>
            </w:r>
            <w:r>
              <w:rPr>
                <w:rFonts w:hint="default" w:ascii="Times New Roman" w:hAnsi="Times New Roman" w:eastAsia="仿宋" w:cs="Times New Roman"/>
                <w:color w:val="auto"/>
                <w:sz w:val="24"/>
                <w:highlight w:val="none"/>
              </w:rPr>
              <w:t xml:space="preserve">mg/L、总氮 </w:t>
            </w:r>
            <w:r>
              <w:rPr>
                <w:rFonts w:hint="default" w:ascii="Times New Roman" w:hAnsi="Times New Roman" w:eastAsia="仿宋" w:cs="Times New Roman"/>
                <w:color w:val="auto"/>
                <w:sz w:val="24"/>
                <w:highlight w:val="none"/>
                <w:lang w:val="en-US" w:eastAsia="zh-CN"/>
              </w:rPr>
              <w:t>46.538</w:t>
            </w:r>
            <w:r>
              <w:rPr>
                <w:rFonts w:hint="default" w:ascii="Times New Roman" w:hAnsi="Times New Roman" w:eastAsia="仿宋" w:cs="Times New Roman"/>
                <w:color w:val="auto"/>
                <w:sz w:val="24"/>
                <w:highlight w:val="none"/>
              </w:rPr>
              <w:t>mg/L能够达到污水处理厂接管控制标准，即：pH 6～9、COD≤500mg/L、SS≤250mg/L、氨氮≤35mg/L、总磷≤3mg/L、总氮≤50mg/L。本项目</w:t>
            </w:r>
            <w:r>
              <w:rPr>
                <w:rFonts w:hint="default" w:ascii="Times New Roman" w:hAnsi="Times New Roman" w:eastAsia="仿宋" w:cs="Times New Roman"/>
                <w:color w:val="auto"/>
                <w:sz w:val="24"/>
                <w:highlight w:val="none"/>
                <w:lang w:val="en-US" w:eastAsia="zh-CN"/>
              </w:rPr>
              <w:t>仅涉及生活污水排放，</w:t>
            </w:r>
            <w:r>
              <w:rPr>
                <w:rFonts w:hint="default" w:ascii="Times New Roman" w:hAnsi="Times New Roman" w:eastAsia="仿宋" w:cs="Times New Roman"/>
                <w:color w:val="auto"/>
                <w:sz w:val="24"/>
                <w:highlight w:val="none"/>
              </w:rPr>
              <w:t>接管废水排放浓度低，水质简单，不会对污水处理厂产生冲击负荷，不影响污水处理厂出水水质，经济上比较合理，有利于污染物的集中控制，因此，本项目废水从水质分析，废水接管是可行的。</w:t>
            </w:r>
          </w:p>
          <w:p w14:paraId="7AE8B9AE">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2）接管容量可行性分析</w:t>
            </w:r>
          </w:p>
          <w:p w14:paraId="2BDBF059">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常州金坛区第二污水处理有限公司目前实际处理量约5.8万吨/日，还有余量0.2万吨/日。本项目废水排放总量约为</w:t>
            </w:r>
            <w:r>
              <w:rPr>
                <w:rFonts w:hint="default" w:ascii="Times New Roman" w:hAnsi="Times New Roman" w:eastAsia="仿宋" w:cs="Times New Roman"/>
                <w:color w:val="auto"/>
                <w:sz w:val="24"/>
                <w:highlight w:val="none"/>
                <w:lang w:val="en-US" w:eastAsia="zh-CN"/>
              </w:rPr>
              <w:t>324</w:t>
            </w:r>
            <w:r>
              <w:rPr>
                <w:rFonts w:hint="default" w:ascii="Times New Roman" w:hAnsi="Times New Roman" w:eastAsia="仿宋" w:cs="Times New Roman"/>
                <w:color w:val="auto"/>
                <w:sz w:val="24"/>
                <w:highlight w:val="none"/>
              </w:rPr>
              <w:t>t/a（</w:t>
            </w:r>
            <w:r>
              <w:rPr>
                <w:rFonts w:hint="default" w:ascii="Times New Roman" w:hAnsi="Times New Roman" w:eastAsia="仿宋" w:cs="Times New Roman"/>
                <w:color w:val="auto"/>
                <w:sz w:val="24"/>
                <w:highlight w:val="none"/>
                <w:lang w:val="en-US" w:eastAsia="zh-CN"/>
              </w:rPr>
              <w:t>1.08</w:t>
            </w:r>
            <w:r>
              <w:rPr>
                <w:rFonts w:hint="default" w:ascii="Times New Roman" w:hAnsi="Times New Roman" w:eastAsia="仿宋" w:cs="Times New Roman"/>
                <w:color w:val="auto"/>
                <w:sz w:val="24"/>
                <w:highlight w:val="none"/>
              </w:rPr>
              <w:t>t/d），占日处理余量的比例极小，常州金坛区第二污水处理有限公司完全有能力接纳本项目污水。</w:t>
            </w:r>
          </w:p>
          <w:p w14:paraId="2807CF49">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综上所述，本项目从水质、水量、管网配套情况等方面综合考虑，项目废水接管至常州金坛区第二污水处理有限公司集中处理可行。</w:t>
            </w:r>
          </w:p>
          <w:p w14:paraId="72B33739">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3、废水排放情况</w:t>
            </w:r>
          </w:p>
          <w:p w14:paraId="0C1F2431">
            <w:pPr>
              <w:ind w:firstLine="480" w:firstLineChars="200"/>
              <w:jc w:val="left"/>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本项目废水排放情况见下表4-</w:t>
            </w:r>
            <w:r>
              <w:rPr>
                <w:rFonts w:hint="default" w:ascii="Times New Roman" w:hAnsi="Times New Roman" w:eastAsia="仿宋" w:cs="Times New Roman"/>
                <w:color w:val="auto"/>
                <w:sz w:val="24"/>
                <w:highlight w:val="none"/>
                <w:lang w:val="en-US" w:eastAsia="zh-CN"/>
              </w:rPr>
              <w:t>2</w:t>
            </w:r>
            <w:r>
              <w:rPr>
                <w:rFonts w:hint="eastAsia" w:eastAsia="仿宋" w:cs="Times New Roman"/>
                <w:color w:val="auto"/>
                <w:sz w:val="24"/>
                <w:highlight w:val="none"/>
                <w:lang w:val="en-US" w:eastAsia="zh-CN"/>
              </w:rPr>
              <w:t>1</w:t>
            </w:r>
            <w:r>
              <w:rPr>
                <w:rFonts w:hint="default" w:ascii="Times New Roman" w:hAnsi="Times New Roman" w:eastAsia="仿宋" w:cs="Times New Roman"/>
                <w:color w:val="auto"/>
                <w:sz w:val="24"/>
                <w:highlight w:val="none"/>
              </w:rPr>
              <w:t>。</w:t>
            </w:r>
          </w:p>
          <w:p w14:paraId="3676A72C">
            <w:pPr>
              <w:adjustRightInd w:val="0"/>
              <w:snapToGrid w:val="0"/>
              <w:spacing w:before="120" w:beforeLines="5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default" w:ascii="Times New Roman" w:hAnsi="Times New Roman" w:eastAsia="仿宋" w:cs="Times New Roman"/>
                <w:b/>
                <w:color w:val="auto"/>
                <w:sz w:val="24"/>
                <w:highlight w:val="none"/>
                <w:lang w:val="en-US" w:eastAsia="zh-CN"/>
              </w:rPr>
              <w:t>2</w:t>
            </w:r>
            <w:r>
              <w:rPr>
                <w:rFonts w:hint="eastAsia" w:eastAsia="仿宋" w:cs="Times New Roman"/>
                <w:b/>
                <w:color w:val="auto"/>
                <w:sz w:val="24"/>
                <w:highlight w:val="none"/>
                <w:lang w:val="en-US" w:eastAsia="zh-CN"/>
              </w:rPr>
              <w:t>1</w:t>
            </w:r>
            <w:r>
              <w:rPr>
                <w:rFonts w:hint="default" w:ascii="Times New Roman" w:hAnsi="Times New Roman" w:eastAsia="仿宋" w:cs="Times New Roman"/>
                <w:b/>
                <w:color w:val="auto"/>
                <w:sz w:val="24"/>
                <w:highlight w:val="none"/>
              </w:rPr>
              <w:t xml:space="preserve">  本项目水污染物产生及排放情况表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67"/>
              <w:gridCol w:w="894"/>
              <w:gridCol w:w="970"/>
              <w:gridCol w:w="906"/>
              <w:gridCol w:w="1012"/>
              <w:gridCol w:w="649"/>
              <w:gridCol w:w="967"/>
              <w:gridCol w:w="967"/>
              <w:gridCol w:w="968"/>
            </w:tblGrid>
            <w:tr w14:paraId="50F5A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5" w:type="pct"/>
                  <w:noWrap w:val="0"/>
                  <w:vAlign w:val="center"/>
                </w:tcPr>
                <w:p w14:paraId="4720B8EB">
                  <w:pPr>
                    <w:pStyle w:val="16"/>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废水名称</w:t>
                  </w:r>
                </w:p>
              </w:tc>
              <w:tc>
                <w:tcPr>
                  <w:tcW w:w="532" w:type="pct"/>
                  <w:noWrap w:val="0"/>
                  <w:vAlign w:val="center"/>
                </w:tcPr>
                <w:p w14:paraId="7D2EF075">
                  <w:pPr>
                    <w:pStyle w:val="16"/>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废水量（t/a）</w:t>
                  </w:r>
                </w:p>
              </w:tc>
              <w:tc>
                <w:tcPr>
                  <w:tcW w:w="577" w:type="pct"/>
                  <w:noWrap w:val="0"/>
                  <w:vAlign w:val="center"/>
                </w:tcPr>
                <w:p w14:paraId="53F82A7D">
                  <w:pPr>
                    <w:pStyle w:val="16"/>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污染物</w:t>
                  </w:r>
                </w:p>
                <w:p w14:paraId="0C8AD544">
                  <w:pPr>
                    <w:pStyle w:val="16"/>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名称</w:t>
                  </w:r>
                </w:p>
              </w:tc>
              <w:tc>
                <w:tcPr>
                  <w:tcW w:w="539" w:type="pct"/>
                  <w:noWrap w:val="0"/>
                  <w:vAlign w:val="center"/>
                </w:tcPr>
                <w:p w14:paraId="6821D509">
                  <w:pPr>
                    <w:pStyle w:val="16"/>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产生浓度（mg/L）</w:t>
                  </w:r>
                </w:p>
              </w:tc>
              <w:tc>
                <w:tcPr>
                  <w:tcW w:w="602" w:type="pct"/>
                  <w:noWrap w:val="0"/>
                  <w:vAlign w:val="center"/>
                </w:tcPr>
                <w:p w14:paraId="5D76FDFA">
                  <w:pPr>
                    <w:pStyle w:val="16"/>
                    <w:adjustRightInd w:val="0"/>
                    <w:snapToGrid w:val="0"/>
                    <w:ind w:firstLine="114" w:firstLineChars="54"/>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产生量（t/a）</w:t>
                  </w:r>
                </w:p>
              </w:tc>
              <w:tc>
                <w:tcPr>
                  <w:tcW w:w="386" w:type="pct"/>
                  <w:noWrap w:val="0"/>
                  <w:vAlign w:val="center"/>
                </w:tcPr>
                <w:p w14:paraId="63886075">
                  <w:pPr>
                    <w:pStyle w:val="16"/>
                    <w:adjustRightInd w:val="0"/>
                    <w:snapToGrid w:val="0"/>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lang w:eastAsia="zh-CN"/>
                    </w:rPr>
                    <w:t>治理</w:t>
                  </w:r>
                </w:p>
                <w:p w14:paraId="653AF7C2">
                  <w:pPr>
                    <w:pStyle w:val="16"/>
                    <w:adjustRightInd w:val="0"/>
                    <w:snapToGrid w:val="0"/>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lang w:eastAsia="zh-CN"/>
                    </w:rPr>
                    <w:t>措施</w:t>
                  </w:r>
                </w:p>
              </w:tc>
              <w:tc>
                <w:tcPr>
                  <w:tcW w:w="575" w:type="pct"/>
                  <w:noWrap w:val="0"/>
                  <w:vAlign w:val="center"/>
                </w:tcPr>
                <w:p w14:paraId="400848D3">
                  <w:pPr>
                    <w:pStyle w:val="16"/>
                    <w:adjustRightInd w:val="0"/>
                    <w:snapToGrid w:val="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排放浓度（mg/L）</w:t>
                  </w:r>
                </w:p>
              </w:tc>
              <w:tc>
                <w:tcPr>
                  <w:tcW w:w="575" w:type="pct"/>
                  <w:noWrap w:val="0"/>
                  <w:vAlign w:val="center"/>
                </w:tcPr>
                <w:p w14:paraId="7A8F9A26">
                  <w:pPr>
                    <w:pStyle w:val="16"/>
                    <w:adjustRightInd w:val="0"/>
                    <w:snapToGrid w:val="0"/>
                    <w:ind w:left="0" w:leftChars="0" w:right="0" w:rightChars="0"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排放量（t/a）</w:t>
                  </w:r>
                </w:p>
              </w:tc>
              <w:tc>
                <w:tcPr>
                  <w:tcW w:w="576" w:type="pct"/>
                  <w:noWrap w:val="0"/>
                  <w:vAlign w:val="center"/>
                </w:tcPr>
                <w:p w14:paraId="0836B8FB">
                  <w:pPr>
                    <w:pStyle w:val="16"/>
                    <w:adjustRightInd w:val="0"/>
                    <w:snapToGrid w:val="0"/>
                    <w:ind w:firstLine="114" w:firstLineChars="54"/>
                    <w:jc w:val="center"/>
                    <w:rPr>
                      <w:rFonts w:hint="default" w:ascii="Times New Roman" w:hAnsi="Times New Roman" w:eastAsia="仿宋" w:cs="Times New Roman"/>
                      <w:b/>
                      <w:color w:val="auto"/>
                      <w:sz w:val="21"/>
                      <w:szCs w:val="21"/>
                      <w:highlight w:val="none"/>
                      <w:lang w:eastAsia="zh-CN"/>
                    </w:rPr>
                  </w:pPr>
                  <w:r>
                    <w:rPr>
                      <w:rFonts w:hint="default" w:ascii="Times New Roman" w:hAnsi="Times New Roman" w:eastAsia="仿宋" w:cs="Times New Roman"/>
                      <w:b/>
                      <w:color w:val="auto"/>
                      <w:sz w:val="21"/>
                      <w:szCs w:val="21"/>
                      <w:highlight w:val="none"/>
                    </w:rPr>
                    <w:t>排放</w:t>
                  </w:r>
                </w:p>
                <w:p w14:paraId="47964807">
                  <w:pPr>
                    <w:pStyle w:val="16"/>
                    <w:adjustRightInd w:val="0"/>
                    <w:snapToGrid w:val="0"/>
                    <w:ind w:firstLine="114" w:firstLineChars="54"/>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去向</w:t>
                  </w:r>
                </w:p>
              </w:tc>
            </w:tr>
            <w:tr w14:paraId="22377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5" w:type="pct"/>
                  <w:vMerge w:val="restart"/>
                  <w:noWrap w:val="0"/>
                  <w:vAlign w:val="center"/>
                </w:tcPr>
                <w:p w14:paraId="08A794BE">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生活污水</w:t>
                  </w:r>
                </w:p>
              </w:tc>
              <w:tc>
                <w:tcPr>
                  <w:tcW w:w="532" w:type="pct"/>
                  <w:vMerge w:val="restart"/>
                  <w:noWrap w:val="0"/>
                  <w:vAlign w:val="center"/>
                </w:tcPr>
                <w:p w14:paraId="1E12C3CE">
                  <w:pPr>
                    <w:pStyle w:val="16"/>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324</w:t>
                  </w:r>
                </w:p>
              </w:tc>
              <w:tc>
                <w:tcPr>
                  <w:tcW w:w="577" w:type="pct"/>
                  <w:noWrap w:val="0"/>
                  <w:vAlign w:val="center"/>
                </w:tcPr>
                <w:p w14:paraId="28FD5EE7">
                  <w:pPr>
                    <w:pStyle w:val="1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pH</w:t>
                  </w:r>
                </w:p>
                <w:p w14:paraId="21079CC4">
                  <w:pPr>
                    <w:pStyle w:val="1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eastAsia="zh-CN"/>
                    </w:rPr>
                    <w:t>（</w:t>
                  </w:r>
                  <w:r>
                    <w:rPr>
                      <w:rFonts w:hint="default" w:ascii="Times New Roman" w:hAnsi="Times New Roman" w:eastAsia="仿宋" w:cs="Times New Roman"/>
                      <w:bCs/>
                      <w:color w:val="auto"/>
                      <w:sz w:val="21"/>
                      <w:szCs w:val="21"/>
                      <w:highlight w:val="none"/>
                      <w:lang w:val="en-US" w:eastAsia="zh-CN"/>
                    </w:rPr>
                    <w:t>无量纲</w:t>
                  </w:r>
                  <w:r>
                    <w:rPr>
                      <w:rFonts w:hint="default" w:ascii="Times New Roman" w:hAnsi="Times New Roman" w:eastAsia="仿宋" w:cs="Times New Roman"/>
                      <w:bCs/>
                      <w:color w:val="auto"/>
                      <w:sz w:val="21"/>
                      <w:szCs w:val="21"/>
                      <w:highlight w:val="none"/>
                      <w:lang w:eastAsia="zh-CN"/>
                    </w:rPr>
                    <w:t>）</w:t>
                  </w:r>
                </w:p>
              </w:tc>
              <w:tc>
                <w:tcPr>
                  <w:tcW w:w="539" w:type="pct"/>
                  <w:noWrap w:val="0"/>
                  <w:vAlign w:val="center"/>
                </w:tcPr>
                <w:p w14:paraId="21DA2440">
                  <w:pPr>
                    <w:pStyle w:val="1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color w:val="auto"/>
                      <w:szCs w:val="21"/>
                      <w:highlight w:val="none"/>
                    </w:rPr>
                    <w:t>7.0～9.0</w:t>
                  </w:r>
                </w:p>
              </w:tc>
              <w:tc>
                <w:tcPr>
                  <w:tcW w:w="602" w:type="pct"/>
                  <w:noWrap w:val="0"/>
                  <w:vAlign w:val="center"/>
                </w:tcPr>
                <w:p w14:paraId="732AC79F">
                  <w:pPr>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386" w:type="pct"/>
                  <w:vMerge w:val="restart"/>
                  <w:noWrap w:val="0"/>
                  <w:vAlign w:val="center"/>
                </w:tcPr>
                <w:p w14:paraId="76423D5D">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化粪池（依托）</w:t>
                  </w:r>
                </w:p>
              </w:tc>
              <w:tc>
                <w:tcPr>
                  <w:tcW w:w="575" w:type="pct"/>
                  <w:noWrap w:val="0"/>
                  <w:vAlign w:val="center"/>
                </w:tcPr>
                <w:p w14:paraId="226756D5">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color w:val="auto"/>
                      <w:szCs w:val="21"/>
                      <w:highlight w:val="none"/>
                    </w:rPr>
                    <w:t>7.0～9.0</w:t>
                  </w:r>
                </w:p>
              </w:tc>
              <w:tc>
                <w:tcPr>
                  <w:tcW w:w="575" w:type="pct"/>
                  <w:noWrap w:val="0"/>
                  <w:vAlign w:val="center"/>
                </w:tcPr>
                <w:p w14:paraId="70311DA3">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w:t>
                  </w:r>
                </w:p>
              </w:tc>
              <w:tc>
                <w:tcPr>
                  <w:tcW w:w="576" w:type="pct"/>
                  <w:vMerge w:val="restart"/>
                  <w:noWrap w:val="0"/>
                  <w:vAlign w:val="center"/>
                </w:tcPr>
                <w:p w14:paraId="4F2068AB">
                  <w:pPr>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接管排放至常州金坛区第二污水处理有限公司集中处理</w:t>
                  </w:r>
                </w:p>
              </w:tc>
            </w:tr>
            <w:tr w14:paraId="3547F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5" w:type="pct"/>
                  <w:vMerge w:val="continue"/>
                  <w:noWrap w:val="0"/>
                  <w:vAlign w:val="center"/>
                </w:tcPr>
                <w:p w14:paraId="6CDC5148">
                  <w:pPr>
                    <w:pStyle w:val="16"/>
                    <w:adjustRightInd w:val="0"/>
                    <w:snapToGrid w:val="0"/>
                    <w:jc w:val="center"/>
                    <w:rPr>
                      <w:rFonts w:hint="default" w:ascii="Times New Roman" w:hAnsi="Times New Roman" w:eastAsia="仿宋" w:cs="Times New Roman"/>
                      <w:bCs/>
                      <w:color w:val="auto"/>
                      <w:sz w:val="21"/>
                      <w:szCs w:val="21"/>
                      <w:highlight w:val="none"/>
                    </w:rPr>
                  </w:pPr>
                </w:p>
              </w:tc>
              <w:tc>
                <w:tcPr>
                  <w:tcW w:w="532" w:type="pct"/>
                  <w:vMerge w:val="continue"/>
                  <w:noWrap w:val="0"/>
                  <w:vAlign w:val="center"/>
                </w:tcPr>
                <w:p w14:paraId="67149B5A">
                  <w:pPr>
                    <w:pStyle w:val="16"/>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Cs/>
                      <w:color w:val="auto"/>
                      <w:sz w:val="21"/>
                      <w:szCs w:val="21"/>
                      <w:highlight w:val="none"/>
                    </w:rPr>
                  </w:pPr>
                </w:p>
              </w:tc>
              <w:tc>
                <w:tcPr>
                  <w:tcW w:w="577" w:type="pct"/>
                  <w:noWrap w:val="0"/>
                  <w:vAlign w:val="center"/>
                </w:tcPr>
                <w:p w14:paraId="5C3B73E2">
                  <w:pPr>
                    <w:pStyle w:val="1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COD</w:t>
                  </w:r>
                </w:p>
              </w:tc>
              <w:tc>
                <w:tcPr>
                  <w:tcW w:w="539" w:type="pct"/>
                  <w:shd w:val="clear" w:color="auto" w:fill="auto"/>
                  <w:noWrap w:val="0"/>
                  <w:vAlign w:val="center"/>
                </w:tcPr>
                <w:p w14:paraId="096DC497">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400</w:t>
                  </w:r>
                </w:p>
              </w:tc>
              <w:tc>
                <w:tcPr>
                  <w:tcW w:w="602" w:type="pct"/>
                  <w:shd w:val="clear" w:color="auto" w:fill="auto"/>
                  <w:noWrap w:val="0"/>
                  <w:vAlign w:val="center"/>
                </w:tcPr>
                <w:p w14:paraId="2C15CCD6">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0.130</w:t>
                  </w:r>
                </w:p>
              </w:tc>
              <w:tc>
                <w:tcPr>
                  <w:tcW w:w="386" w:type="pct"/>
                  <w:vMerge w:val="continue"/>
                  <w:noWrap w:val="0"/>
                  <w:vAlign w:val="center"/>
                </w:tcPr>
                <w:p w14:paraId="362DFD86">
                  <w:pPr>
                    <w:jc w:val="center"/>
                    <w:rPr>
                      <w:rFonts w:hint="default" w:ascii="Times New Roman" w:hAnsi="Times New Roman" w:eastAsia="仿宋" w:cs="Times New Roman"/>
                      <w:bCs/>
                      <w:color w:val="auto"/>
                      <w:sz w:val="21"/>
                      <w:szCs w:val="21"/>
                      <w:highlight w:val="none"/>
                    </w:rPr>
                  </w:pPr>
                </w:p>
              </w:tc>
              <w:tc>
                <w:tcPr>
                  <w:tcW w:w="575" w:type="pct"/>
                  <w:shd w:val="clear" w:color="auto" w:fill="auto"/>
                  <w:noWrap w:val="0"/>
                  <w:vAlign w:val="center"/>
                </w:tcPr>
                <w:p w14:paraId="2BEC0E9A">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400</w:t>
                  </w:r>
                </w:p>
              </w:tc>
              <w:tc>
                <w:tcPr>
                  <w:tcW w:w="575" w:type="pct"/>
                  <w:shd w:val="clear" w:color="auto" w:fill="auto"/>
                  <w:noWrap w:val="0"/>
                  <w:vAlign w:val="center"/>
                </w:tcPr>
                <w:p w14:paraId="5E9E45C2">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0.130</w:t>
                  </w:r>
                </w:p>
              </w:tc>
              <w:tc>
                <w:tcPr>
                  <w:tcW w:w="576" w:type="pct"/>
                  <w:vMerge w:val="continue"/>
                  <w:noWrap w:val="0"/>
                  <w:vAlign w:val="center"/>
                </w:tcPr>
                <w:p w14:paraId="26DA8E85">
                  <w:pPr>
                    <w:jc w:val="center"/>
                    <w:rPr>
                      <w:rFonts w:hint="default" w:ascii="Times New Roman" w:hAnsi="Times New Roman" w:eastAsia="仿宋" w:cs="Times New Roman"/>
                      <w:bCs/>
                      <w:color w:val="auto"/>
                      <w:sz w:val="21"/>
                      <w:szCs w:val="21"/>
                      <w:highlight w:val="none"/>
                    </w:rPr>
                  </w:pPr>
                </w:p>
              </w:tc>
            </w:tr>
            <w:tr w14:paraId="35228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5" w:type="pct"/>
                  <w:vMerge w:val="continue"/>
                  <w:noWrap w:val="0"/>
                  <w:vAlign w:val="center"/>
                </w:tcPr>
                <w:p w14:paraId="2AFE6EB5">
                  <w:pPr>
                    <w:pStyle w:val="16"/>
                    <w:adjustRightInd w:val="0"/>
                    <w:snapToGrid w:val="0"/>
                    <w:jc w:val="center"/>
                    <w:rPr>
                      <w:rFonts w:hint="default" w:ascii="Times New Roman" w:hAnsi="Times New Roman" w:eastAsia="仿宋" w:cs="Times New Roman"/>
                      <w:bCs/>
                      <w:color w:val="auto"/>
                      <w:sz w:val="21"/>
                      <w:szCs w:val="21"/>
                      <w:highlight w:val="none"/>
                    </w:rPr>
                  </w:pPr>
                </w:p>
              </w:tc>
              <w:tc>
                <w:tcPr>
                  <w:tcW w:w="532" w:type="pct"/>
                  <w:vMerge w:val="continue"/>
                  <w:noWrap w:val="0"/>
                  <w:vAlign w:val="center"/>
                </w:tcPr>
                <w:p w14:paraId="1D4C4D97">
                  <w:pPr>
                    <w:pStyle w:val="16"/>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Cs/>
                      <w:color w:val="auto"/>
                      <w:sz w:val="21"/>
                      <w:szCs w:val="21"/>
                      <w:highlight w:val="none"/>
                    </w:rPr>
                  </w:pPr>
                </w:p>
              </w:tc>
              <w:tc>
                <w:tcPr>
                  <w:tcW w:w="577" w:type="pct"/>
                  <w:noWrap w:val="0"/>
                  <w:vAlign w:val="center"/>
                </w:tcPr>
                <w:p w14:paraId="7A5D2DBA">
                  <w:pPr>
                    <w:pStyle w:val="1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SS</w:t>
                  </w:r>
                </w:p>
              </w:tc>
              <w:tc>
                <w:tcPr>
                  <w:tcW w:w="539" w:type="pct"/>
                  <w:shd w:val="clear" w:color="auto" w:fill="auto"/>
                  <w:noWrap w:val="0"/>
                  <w:vAlign w:val="center"/>
                </w:tcPr>
                <w:p w14:paraId="09A03C93">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250</w:t>
                  </w:r>
                </w:p>
              </w:tc>
              <w:tc>
                <w:tcPr>
                  <w:tcW w:w="602" w:type="pct"/>
                  <w:shd w:val="clear" w:color="auto" w:fill="auto"/>
                  <w:noWrap w:val="0"/>
                  <w:vAlign w:val="center"/>
                </w:tcPr>
                <w:p w14:paraId="2457B3FD">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0.081</w:t>
                  </w:r>
                </w:p>
              </w:tc>
              <w:tc>
                <w:tcPr>
                  <w:tcW w:w="386" w:type="pct"/>
                  <w:vMerge w:val="continue"/>
                  <w:noWrap w:val="0"/>
                  <w:vAlign w:val="center"/>
                </w:tcPr>
                <w:p w14:paraId="068761F3">
                  <w:pPr>
                    <w:jc w:val="center"/>
                    <w:rPr>
                      <w:rFonts w:hint="default" w:ascii="Times New Roman" w:hAnsi="Times New Roman" w:eastAsia="仿宋" w:cs="Times New Roman"/>
                      <w:bCs/>
                      <w:color w:val="auto"/>
                      <w:sz w:val="21"/>
                      <w:szCs w:val="21"/>
                      <w:highlight w:val="none"/>
                    </w:rPr>
                  </w:pPr>
                </w:p>
              </w:tc>
              <w:tc>
                <w:tcPr>
                  <w:tcW w:w="575" w:type="pct"/>
                  <w:shd w:val="clear" w:color="auto" w:fill="auto"/>
                  <w:noWrap w:val="0"/>
                  <w:vAlign w:val="center"/>
                </w:tcPr>
                <w:p w14:paraId="762177D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250</w:t>
                  </w:r>
                </w:p>
              </w:tc>
              <w:tc>
                <w:tcPr>
                  <w:tcW w:w="575" w:type="pct"/>
                  <w:shd w:val="clear" w:color="auto" w:fill="auto"/>
                  <w:noWrap w:val="0"/>
                  <w:vAlign w:val="center"/>
                </w:tcPr>
                <w:p w14:paraId="6C654044">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0.081</w:t>
                  </w:r>
                </w:p>
              </w:tc>
              <w:tc>
                <w:tcPr>
                  <w:tcW w:w="576" w:type="pct"/>
                  <w:vMerge w:val="continue"/>
                  <w:noWrap w:val="0"/>
                  <w:vAlign w:val="center"/>
                </w:tcPr>
                <w:p w14:paraId="6EDB4805">
                  <w:pPr>
                    <w:jc w:val="center"/>
                    <w:rPr>
                      <w:rFonts w:hint="default" w:ascii="Times New Roman" w:hAnsi="Times New Roman" w:eastAsia="仿宋" w:cs="Times New Roman"/>
                      <w:bCs/>
                      <w:color w:val="auto"/>
                      <w:sz w:val="21"/>
                      <w:szCs w:val="21"/>
                      <w:highlight w:val="none"/>
                    </w:rPr>
                  </w:pPr>
                </w:p>
              </w:tc>
            </w:tr>
            <w:tr w14:paraId="502CB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5" w:type="pct"/>
                  <w:vMerge w:val="continue"/>
                  <w:noWrap w:val="0"/>
                  <w:vAlign w:val="center"/>
                </w:tcPr>
                <w:p w14:paraId="442A025F">
                  <w:pPr>
                    <w:pStyle w:val="16"/>
                    <w:adjustRightInd w:val="0"/>
                    <w:snapToGrid w:val="0"/>
                    <w:jc w:val="center"/>
                    <w:rPr>
                      <w:rFonts w:hint="default" w:ascii="Times New Roman" w:hAnsi="Times New Roman" w:eastAsia="仿宋" w:cs="Times New Roman"/>
                      <w:bCs/>
                      <w:color w:val="auto"/>
                      <w:sz w:val="21"/>
                      <w:szCs w:val="21"/>
                      <w:highlight w:val="none"/>
                    </w:rPr>
                  </w:pPr>
                </w:p>
              </w:tc>
              <w:tc>
                <w:tcPr>
                  <w:tcW w:w="532" w:type="pct"/>
                  <w:vMerge w:val="continue"/>
                  <w:noWrap w:val="0"/>
                  <w:vAlign w:val="center"/>
                </w:tcPr>
                <w:p w14:paraId="1FEB2ADF">
                  <w:pPr>
                    <w:pStyle w:val="16"/>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Cs/>
                      <w:color w:val="auto"/>
                      <w:sz w:val="21"/>
                      <w:szCs w:val="21"/>
                      <w:highlight w:val="none"/>
                    </w:rPr>
                  </w:pPr>
                </w:p>
              </w:tc>
              <w:tc>
                <w:tcPr>
                  <w:tcW w:w="577" w:type="pct"/>
                  <w:noWrap w:val="0"/>
                  <w:vAlign w:val="center"/>
                </w:tcPr>
                <w:p w14:paraId="164E215A">
                  <w:pPr>
                    <w:pStyle w:val="1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氨氮</w:t>
                  </w:r>
                </w:p>
              </w:tc>
              <w:tc>
                <w:tcPr>
                  <w:tcW w:w="539" w:type="pct"/>
                  <w:shd w:val="clear" w:color="auto" w:fill="auto"/>
                  <w:noWrap w:val="0"/>
                  <w:vAlign w:val="center"/>
                </w:tcPr>
                <w:p w14:paraId="326F61F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25</w:t>
                  </w:r>
                </w:p>
              </w:tc>
              <w:tc>
                <w:tcPr>
                  <w:tcW w:w="602" w:type="pct"/>
                  <w:shd w:val="clear" w:color="auto" w:fill="auto"/>
                  <w:noWrap w:val="0"/>
                  <w:vAlign w:val="center"/>
                </w:tcPr>
                <w:p w14:paraId="73AA2406">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0.008</w:t>
                  </w:r>
                </w:p>
              </w:tc>
              <w:tc>
                <w:tcPr>
                  <w:tcW w:w="386" w:type="pct"/>
                  <w:vMerge w:val="continue"/>
                  <w:noWrap w:val="0"/>
                  <w:vAlign w:val="center"/>
                </w:tcPr>
                <w:p w14:paraId="3AB81C76">
                  <w:pPr>
                    <w:jc w:val="center"/>
                    <w:rPr>
                      <w:rFonts w:hint="default" w:ascii="Times New Roman" w:hAnsi="Times New Roman" w:eastAsia="仿宋" w:cs="Times New Roman"/>
                      <w:bCs/>
                      <w:color w:val="auto"/>
                      <w:sz w:val="21"/>
                      <w:szCs w:val="21"/>
                      <w:highlight w:val="none"/>
                    </w:rPr>
                  </w:pPr>
                </w:p>
              </w:tc>
              <w:tc>
                <w:tcPr>
                  <w:tcW w:w="575" w:type="pct"/>
                  <w:shd w:val="clear" w:color="auto" w:fill="auto"/>
                  <w:noWrap w:val="0"/>
                  <w:vAlign w:val="center"/>
                </w:tcPr>
                <w:p w14:paraId="7C36890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25</w:t>
                  </w:r>
                </w:p>
              </w:tc>
              <w:tc>
                <w:tcPr>
                  <w:tcW w:w="575" w:type="pct"/>
                  <w:shd w:val="clear" w:color="auto" w:fill="auto"/>
                  <w:noWrap w:val="0"/>
                  <w:vAlign w:val="center"/>
                </w:tcPr>
                <w:p w14:paraId="51EB2C8E">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0.008</w:t>
                  </w:r>
                </w:p>
              </w:tc>
              <w:tc>
                <w:tcPr>
                  <w:tcW w:w="576" w:type="pct"/>
                  <w:vMerge w:val="continue"/>
                  <w:noWrap w:val="0"/>
                  <w:vAlign w:val="center"/>
                </w:tcPr>
                <w:p w14:paraId="7F4C66BE">
                  <w:pPr>
                    <w:jc w:val="center"/>
                    <w:rPr>
                      <w:rFonts w:hint="default" w:ascii="Times New Roman" w:hAnsi="Times New Roman" w:eastAsia="仿宋" w:cs="Times New Roman"/>
                      <w:bCs/>
                      <w:color w:val="auto"/>
                      <w:sz w:val="21"/>
                      <w:szCs w:val="21"/>
                      <w:highlight w:val="none"/>
                    </w:rPr>
                  </w:pPr>
                </w:p>
              </w:tc>
            </w:tr>
            <w:tr w14:paraId="6139D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5" w:type="pct"/>
                  <w:vMerge w:val="continue"/>
                  <w:noWrap w:val="0"/>
                  <w:vAlign w:val="center"/>
                </w:tcPr>
                <w:p w14:paraId="01CF037A">
                  <w:pPr>
                    <w:pStyle w:val="16"/>
                    <w:adjustRightInd w:val="0"/>
                    <w:snapToGrid w:val="0"/>
                    <w:jc w:val="center"/>
                    <w:rPr>
                      <w:rFonts w:hint="default" w:ascii="Times New Roman" w:hAnsi="Times New Roman" w:eastAsia="仿宋" w:cs="Times New Roman"/>
                      <w:bCs/>
                      <w:color w:val="auto"/>
                      <w:sz w:val="21"/>
                      <w:szCs w:val="21"/>
                      <w:highlight w:val="none"/>
                    </w:rPr>
                  </w:pPr>
                </w:p>
              </w:tc>
              <w:tc>
                <w:tcPr>
                  <w:tcW w:w="532" w:type="pct"/>
                  <w:vMerge w:val="continue"/>
                  <w:noWrap w:val="0"/>
                  <w:vAlign w:val="center"/>
                </w:tcPr>
                <w:p w14:paraId="5FD286C1">
                  <w:pPr>
                    <w:pStyle w:val="16"/>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Cs/>
                      <w:color w:val="auto"/>
                      <w:sz w:val="21"/>
                      <w:szCs w:val="21"/>
                      <w:highlight w:val="none"/>
                    </w:rPr>
                  </w:pPr>
                </w:p>
              </w:tc>
              <w:tc>
                <w:tcPr>
                  <w:tcW w:w="577" w:type="pct"/>
                  <w:noWrap w:val="0"/>
                  <w:vAlign w:val="center"/>
                </w:tcPr>
                <w:p w14:paraId="705869E2">
                  <w:pPr>
                    <w:pStyle w:val="1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总磷</w:t>
                  </w:r>
                </w:p>
              </w:tc>
              <w:tc>
                <w:tcPr>
                  <w:tcW w:w="539" w:type="pct"/>
                  <w:shd w:val="clear" w:color="auto" w:fill="auto"/>
                  <w:noWrap w:val="0"/>
                  <w:vAlign w:val="center"/>
                </w:tcPr>
                <w:p w14:paraId="25C46FB5">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3</w:t>
                  </w:r>
                </w:p>
              </w:tc>
              <w:tc>
                <w:tcPr>
                  <w:tcW w:w="602" w:type="pct"/>
                  <w:shd w:val="clear" w:color="auto" w:fill="auto"/>
                  <w:noWrap w:val="0"/>
                  <w:vAlign w:val="center"/>
                </w:tcPr>
                <w:p w14:paraId="5D2FF71D">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0.001</w:t>
                  </w:r>
                </w:p>
              </w:tc>
              <w:tc>
                <w:tcPr>
                  <w:tcW w:w="386" w:type="pct"/>
                  <w:vMerge w:val="continue"/>
                  <w:noWrap w:val="0"/>
                  <w:vAlign w:val="center"/>
                </w:tcPr>
                <w:p w14:paraId="71B01931">
                  <w:pPr>
                    <w:jc w:val="center"/>
                    <w:rPr>
                      <w:rFonts w:hint="default" w:ascii="Times New Roman" w:hAnsi="Times New Roman" w:eastAsia="仿宋" w:cs="Times New Roman"/>
                      <w:bCs/>
                      <w:color w:val="auto"/>
                      <w:sz w:val="21"/>
                      <w:szCs w:val="21"/>
                      <w:highlight w:val="none"/>
                    </w:rPr>
                  </w:pPr>
                </w:p>
              </w:tc>
              <w:tc>
                <w:tcPr>
                  <w:tcW w:w="575" w:type="pct"/>
                  <w:shd w:val="clear" w:color="auto" w:fill="auto"/>
                  <w:noWrap w:val="0"/>
                  <w:vAlign w:val="center"/>
                </w:tcPr>
                <w:p w14:paraId="53CD80F1">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3</w:t>
                  </w:r>
                </w:p>
              </w:tc>
              <w:tc>
                <w:tcPr>
                  <w:tcW w:w="575" w:type="pct"/>
                  <w:shd w:val="clear" w:color="auto" w:fill="auto"/>
                  <w:noWrap w:val="0"/>
                  <w:vAlign w:val="center"/>
                </w:tcPr>
                <w:p w14:paraId="2CE11E27">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0.001</w:t>
                  </w:r>
                </w:p>
              </w:tc>
              <w:tc>
                <w:tcPr>
                  <w:tcW w:w="576" w:type="pct"/>
                  <w:vMerge w:val="continue"/>
                  <w:noWrap w:val="0"/>
                  <w:vAlign w:val="center"/>
                </w:tcPr>
                <w:p w14:paraId="651568B1">
                  <w:pPr>
                    <w:jc w:val="center"/>
                    <w:rPr>
                      <w:rFonts w:hint="default" w:ascii="Times New Roman" w:hAnsi="Times New Roman" w:eastAsia="仿宋" w:cs="Times New Roman"/>
                      <w:bCs/>
                      <w:color w:val="auto"/>
                      <w:sz w:val="21"/>
                      <w:szCs w:val="21"/>
                      <w:highlight w:val="none"/>
                    </w:rPr>
                  </w:pPr>
                </w:p>
              </w:tc>
            </w:tr>
            <w:tr w14:paraId="10C23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5" w:type="pct"/>
                  <w:vMerge w:val="continue"/>
                  <w:noWrap w:val="0"/>
                  <w:vAlign w:val="center"/>
                </w:tcPr>
                <w:p w14:paraId="0058E577">
                  <w:pPr>
                    <w:pStyle w:val="16"/>
                    <w:adjustRightInd w:val="0"/>
                    <w:snapToGrid w:val="0"/>
                    <w:jc w:val="center"/>
                    <w:rPr>
                      <w:rFonts w:hint="default" w:ascii="Times New Roman" w:hAnsi="Times New Roman" w:eastAsia="仿宋" w:cs="Times New Roman"/>
                      <w:bCs/>
                      <w:color w:val="auto"/>
                      <w:sz w:val="21"/>
                      <w:szCs w:val="21"/>
                      <w:highlight w:val="none"/>
                    </w:rPr>
                  </w:pPr>
                </w:p>
              </w:tc>
              <w:tc>
                <w:tcPr>
                  <w:tcW w:w="532" w:type="pct"/>
                  <w:vMerge w:val="continue"/>
                  <w:noWrap w:val="0"/>
                  <w:vAlign w:val="center"/>
                </w:tcPr>
                <w:p w14:paraId="6F5C347F">
                  <w:pPr>
                    <w:pStyle w:val="16"/>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bCs/>
                      <w:color w:val="auto"/>
                      <w:sz w:val="21"/>
                      <w:szCs w:val="21"/>
                      <w:highlight w:val="none"/>
                    </w:rPr>
                  </w:pPr>
                </w:p>
              </w:tc>
              <w:tc>
                <w:tcPr>
                  <w:tcW w:w="577" w:type="pct"/>
                  <w:noWrap w:val="0"/>
                  <w:vAlign w:val="center"/>
                </w:tcPr>
                <w:p w14:paraId="55352C21">
                  <w:pPr>
                    <w:pStyle w:val="1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总氮</w:t>
                  </w:r>
                </w:p>
              </w:tc>
              <w:tc>
                <w:tcPr>
                  <w:tcW w:w="539" w:type="pct"/>
                  <w:shd w:val="clear" w:color="auto" w:fill="auto"/>
                  <w:noWrap w:val="0"/>
                  <w:vAlign w:val="center"/>
                </w:tcPr>
                <w:p w14:paraId="3E5D22A5">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35</w:t>
                  </w:r>
                </w:p>
              </w:tc>
              <w:tc>
                <w:tcPr>
                  <w:tcW w:w="602" w:type="pct"/>
                  <w:shd w:val="clear" w:color="auto" w:fill="auto"/>
                  <w:noWrap w:val="0"/>
                  <w:vAlign w:val="center"/>
                </w:tcPr>
                <w:p w14:paraId="34BA40C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0.011</w:t>
                  </w:r>
                </w:p>
              </w:tc>
              <w:tc>
                <w:tcPr>
                  <w:tcW w:w="386" w:type="pct"/>
                  <w:vMerge w:val="continue"/>
                  <w:noWrap w:val="0"/>
                  <w:vAlign w:val="center"/>
                </w:tcPr>
                <w:p w14:paraId="376E47F9">
                  <w:pPr>
                    <w:jc w:val="center"/>
                    <w:rPr>
                      <w:rFonts w:hint="default" w:ascii="Times New Roman" w:hAnsi="Times New Roman" w:eastAsia="仿宋" w:cs="Times New Roman"/>
                      <w:bCs/>
                      <w:color w:val="auto"/>
                      <w:sz w:val="21"/>
                      <w:szCs w:val="21"/>
                      <w:highlight w:val="none"/>
                    </w:rPr>
                  </w:pPr>
                </w:p>
              </w:tc>
              <w:tc>
                <w:tcPr>
                  <w:tcW w:w="575" w:type="pct"/>
                  <w:shd w:val="clear" w:color="auto" w:fill="auto"/>
                  <w:noWrap w:val="0"/>
                  <w:vAlign w:val="center"/>
                </w:tcPr>
                <w:p w14:paraId="1900242A">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35</w:t>
                  </w:r>
                </w:p>
              </w:tc>
              <w:tc>
                <w:tcPr>
                  <w:tcW w:w="575" w:type="pct"/>
                  <w:shd w:val="clear" w:color="auto" w:fill="auto"/>
                  <w:noWrap w:val="0"/>
                  <w:vAlign w:val="center"/>
                </w:tcPr>
                <w:p w14:paraId="06AB25FC">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0.011</w:t>
                  </w:r>
                </w:p>
              </w:tc>
              <w:tc>
                <w:tcPr>
                  <w:tcW w:w="576" w:type="pct"/>
                  <w:vMerge w:val="continue"/>
                  <w:noWrap w:val="0"/>
                  <w:vAlign w:val="center"/>
                </w:tcPr>
                <w:p w14:paraId="56EB7941">
                  <w:pPr>
                    <w:jc w:val="center"/>
                    <w:rPr>
                      <w:rFonts w:hint="default" w:ascii="Times New Roman" w:hAnsi="Times New Roman" w:eastAsia="仿宋" w:cs="Times New Roman"/>
                      <w:bCs/>
                      <w:color w:val="auto"/>
                      <w:sz w:val="21"/>
                      <w:szCs w:val="21"/>
                      <w:highlight w:val="none"/>
                    </w:rPr>
                  </w:pPr>
                </w:p>
              </w:tc>
            </w:tr>
          </w:tbl>
          <w:p w14:paraId="103B7D0F">
            <w:pPr>
              <w:adjustRightInd w:val="0"/>
              <w:snapToGrid w:val="0"/>
              <w:spacing w:before="120" w:beforeLines="50" w:line="360" w:lineRule="auto"/>
              <w:ind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扩建后全厂废水排放情况见表4-2</w:t>
            </w:r>
            <w:r>
              <w:rPr>
                <w:rFonts w:hint="eastAsia" w:eastAsia="仿宋" w:cs="Times New Roman"/>
                <w:bCs/>
                <w:sz w:val="24"/>
                <w:lang w:val="en-US" w:eastAsia="zh-CN"/>
              </w:rPr>
              <w:t>2</w:t>
            </w:r>
            <w:r>
              <w:rPr>
                <w:rFonts w:hint="default" w:ascii="Times New Roman" w:hAnsi="Times New Roman" w:eastAsia="仿宋" w:cs="Times New Roman"/>
                <w:bCs/>
                <w:sz w:val="24"/>
              </w:rPr>
              <w:t>。</w:t>
            </w:r>
          </w:p>
          <w:p w14:paraId="2BA7A8FE">
            <w:pPr>
              <w:adjustRightInd w:val="0"/>
              <w:snapToGrid w:val="0"/>
              <w:jc w:val="center"/>
              <w:rPr>
                <w:rFonts w:hint="default" w:ascii="Times New Roman" w:hAnsi="Times New Roman" w:eastAsia="仿宋" w:cs="Times New Roman"/>
                <w:b/>
                <w:sz w:val="24"/>
              </w:rPr>
            </w:pPr>
            <w:r>
              <w:rPr>
                <w:rFonts w:hint="default" w:ascii="Times New Roman" w:hAnsi="Times New Roman" w:eastAsia="仿宋" w:cs="Times New Roman"/>
                <w:b/>
                <w:sz w:val="24"/>
              </w:rPr>
              <w:t>表4-2</w:t>
            </w:r>
            <w:r>
              <w:rPr>
                <w:rFonts w:hint="eastAsia" w:eastAsia="仿宋" w:cs="Times New Roman"/>
                <w:b/>
                <w:sz w:val="24"/>
                <w:lang w:val="en-US" w:eastAsia="zh-CN"/>
              </w:rPr>
              <w:t>2</w:t>
            </w:r>
            <w:r>
              <w:rPr>
                <w:rFonts w:hint="default" w:ascii="Times New Roman" w:hAnsi="Times New Roman" w:eastAsia="仿宋" w:cs="Times New Roman"/>
                <w:b/>
                <w:sz w:val="24"/>
              </w:rPr>
              <w:t xml:space="preserve">  全厂水污染物产生及排放情况表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38"/>
              <w:gridCol w:w="838"/>
              <w:gridCol w:w="839"/>
              <w:gridCol w:w="839"/>
              <w:gridCol w:w="841"/>
              <w:gridCol w:w="841"/>
              <w:gridCol w:w="841"/>
              <w:gridCol w:w="841"/>
              <w:gridCol w:w="841"/>
              <w:gridCol w:w="841"/>
            </w:tblGrid>
            <w:tr w14:paraId="70DB8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99" w:type="pct"/>
                  <w:vAlign w:val="center"/>
                </w:tcPr>
                <w:p w14:paraId="2D552E19">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废水</w:t>
                  </w:r>
                </w:p>
                <w:p w14:paraId="4CB968B5">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名称</w:t>
                  </w:r>
                </w:p>
              </w:tc>
              <w:tc>
                <w:tcPr>
                  <w:tcW w:w="499" w:type="pct"/>
                  <w:vAlign w:val="center"/>
                </w:tcPr>
                <w:p w14:paraId="701490D0">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废水量</w:t>
                  </w:r>
                </w:p>
                <w:p w14:paraId="25AE1F14">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(t/a)</w:t>
                  </w:r>
                </w:p>
              </w:tc>
              <w:tc>
                <w:tcPr>
                  <w:tcW w:w="499" w:type="pct"/>
                  <w:vAlign w:val="center"/>
                </w:tcPr>
                <w:p w14:paraId="0F7ECAAF">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污染物</w:t>
                  </w:r>
                </w:p>
                <w:p w14:paraId="35CFE02B">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名称</w:t>
                  </w:r>
                </w:p>
              </w:tc>
              <w:tc>
                <w:tcPr>
                  <w:tcW w:w="499" w:type="pct"/>
                  <w:vAlign w:val="center"/>
                </w:tcPr>
                <w:p w14:paraId="39467446">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污染物</w:t>
                  </w:r>
                </w:p>
                <w:p w14:paraId="4805E113">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产生浓度</w:t>
                  </w:r>
                </w:p>
                <w:p w14:paraId="762F954F">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(mg/L)</w:t>
                  </w:r>
                </w:p>
              </w:tc>
              <w:tc>
                <w:tcPr>
                  <w:tcW w:w="500" w:type="pct"/>
                  <w:vAlign w:val="center"/>
                </w:tcPr>
                <w:p w14:paraId="0574FA21">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污染物</w:t>
                  </w:r>
                </w:p>
                <w:p w14:paraId="0C08015B">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产生量</w:t>
                  </w:r>
                </w:p>
                <w:p w14:paraId="13FFC4C0">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(t/a)</w:t>
                  </w:r>
                </w:p>
              </w:tc>
              <w:tc>
                <w:tcPr>
                  <w:tcW w:w="500" w:type="pct"/>
                  <w:vAlign w:val="center"/>
                </w:tcPr>
                <w:p w14:paraId="0C10100E">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治理</w:t>
                  </w:r>
                </w:p>
                <w:p w14:paraId="70C45BCC">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措施</w:t>
                  </w:r>
                </w:p>
              </w:tc>
              <w:tc>
                <w:tcPr>
                  <w:tcW w:w="500" w:type="pct"/>
                  <w:vAlign w:val="center"/>
                </w:tcPr>
                <w:p w14:paraId="397C91DF">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污染物</w:t>
                  </w:r>
                </w:p>
                <w:p w14:paraId="791C3E8B">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排放浓度</w:t>
                  </w:r>
                </w:p>
                <w:p w14:paraId="52CC488F">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(mg/L)</w:t>
                  </w:r>
                </w:p>
              </w:tc>
              <w:tc>
                <w:tcPr>
                  <w:tcW w:w="500" w:type="pct"/>
                  <w:vAlign w:val="center"/>
                </w:tcPr>
                <w:p w14:paraId="5FDB91D6">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污染物</w:t>
                  </w:r>
                </w:p>
                <w:p w14:paraId="4E87D23A">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排放量</w:t>
                  </w:r>
                </w:p>
                <w:p w14:paraId="1249769A">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cr/>
                  </w:r>
                  <w:r>
                    <w:rPr>
                      <w:rFonts w:hint="default" w:ascii="Times New Roman" w:hAnsi="Times New Roman" w:eastAsia="仿宋" w:cs="Times New Roman"/>
                      <w:b/>
                      <w:bCs/>
                      <w:szCs w:val="21"/>
                    </w:rPr>
                    <w:t>(t/a)</w:t>
                  </w:r>
                </w:p>
              </w:tc>
              <w:tc>
                <w:tcPr>
                  <w:tcW w:w="500" w:type="pct"/>
                  <w:vAlign w:val="center"/>
                </w:tcPr>
                <w:p w14:paraId="0D9D5100">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接管标准(mg/L)</w:t>
                  </w:r>
                </w:p>
              </w:tc>
              <w:tc>
                <w:tcPr>
                  <w:tcW w:w="500" w:type="pct"/>
                  <w:vAlign w:val="center"/>
                </w:tcPr>
                <w:p w14:paraId="2A8924CB">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排放</w:t>
                  </w:r>
                </w:p>
                <w:p w14:paraId="45FE857B">
                  <w:pPr>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去向</w:t>
                  </w:r>
                </w:p>
              </w:tc>
            </w:tr>
            <w:tr w14:paraId="3AE02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99" w:type="pct"/>
                  <w:vMerge w:val="restart"/>
                  <w:vAlign w:val="center"/>
                </w:tcPr>
                <w:p w14:paraId="698B2C10">
                  <w:pPr>
                    <w:jc w:val="center"/>
                    <w:rPr>
                      <w:rFonts w:hint="default" w:ascii="Times New Roman" w:hAnsi="Times New Roman" w:eastAsia="仿宋" w:cs="Times New Roman"/>
                      <w:szCs w:val="21"/>
                    </w:rPr>
                  </w:pPr>
                  <w:r>
                    <w:rPr>
                      <w:rFonts w:hint="default" w:ascii="Times New Roman" w:hAnsi="Times New Roman" w:eastAsia="仿宋" w:cs="Times New Roman"/>
                      <w:szCs w:val="21"/>
                    </w:rPr>
                    <w:t>生活</w:t>
                  </w:r>
                </w:p>
                <w:p w14:paraId="6F116C56">
                  <w:pPr>
                    <w:jc w:val="center"/>
                    <w:rPr>
                      <w:rFonts w:hint="default" w:ascii="Times New Roman" w:hAnsi="Times New Roman" w:eastAsia="仿宋" w:cs="Times New Roman"/>
                      <w:b/>
                      <w:bCs/>
                      <w:szCs w:val="21"/>
                    </w:rPr>
                  </w:pPr>
                  <w:r>
                    <w:rPr>
                      <w:rFonts w:hint="default" w:ascii="Times New Roman" w:hAnsi="Times New Roman" w:eastAsia="仿宋" w:cs="Times New Roman"/>
                      <w:szCs w:val="21"/>
                    </w:rPr>
                    <w:t>污水</w:t>
                  </w:r>
                </w:p>
              </w:tc>
              <w:tc>
                <w:tcPr>
                  <w:tcW w:w="499" w:type="pct"/>
                  <w:vMerge w:val="restart"/>
                  <w:vAlign w:val="center"/>
                </w:tcPr>
                <w:p w14:paraId="1CF1A2D6">
                  <w:pPr>
                    <w:jc w:val="center"/>
                    <w:rPr>
                      <w:rFonts w:hint="default" w:ascii="Times New Roman" w:hAnsi="Times New Roman" w:eastAsia="仿宋" w:cs="Times New Roman"/>
                      <w:b/>
                      <w:bCs/>
                      <w:szCs w:val="21"/>
                      <w:lang w:val="en-US" w:eastAsia="zh-CN"/>
                    </w:rPr>
                  </w:pPr>
                  <w:r>
                    <w:rPr>
                      <w:rFonts w:hint="eastAsia" w:eastAsia="仿宋" w:cs="Times New Roman"/>
                      <w:szCs w:val="21"/>
                      <w:lang w:val="en-US" w:eastAsia="zh-CN"/>
                    </w:rPr>
                    <w:t>1404</w:t>
                  </w:r>
                </w:p>
              </w:tc>
              <w:tc>
                <w:tcPr>
                  <w:tcW w:w="499" w:type="pct"/>
                  <w:vAlign w:val="center"/>
                </w:tcPr>
                <w:p w14:paraId="5A5A1A3B">
                  <w:pPr>
                    <w:jc w:val="center"/>
                    <w:rPr>
                      <w:rFonts w:hint="default" w:ascii="Times New Roman" w:hAnsi="Times New Roman" w:eastAsia="仿宋" w:cs="Times New Roman"/>
                      <w:b/>
                      <w:bCs/>
                      <w:szCs w:val="21"/>
                    </w:rPr>
                  </w:pPr>
                  <w:r>
                    <w:rPr>
                      <w:rFonts w:hint="default" w:ascii="Times New Roman" w:hAnsi="Times New Roman" w:eastAsia="仿宋" w:cs="Times New Roman"/>
                      <w:szCs w:val="21"/>
                    </w:rPr>
                    <w:t>pH</w:t>
                  </w:r>
                </w:p>
              </w:tc>
              <w:tc>
                <w:tcPr>
                  <w:tcW w:w="999" w:type="pct"/>
                  <w:gridSpan w:val="2"/>
                  <w:vAlign w:val="center"/>
                </w:tcPr>
                <w:p w14:paraId="3B222A2A">
                  <w:pPr>
                    <w:jc w:val="center"/>
                    <w:rPr>
                      <w:rFonts w:hint="default" w:ascii="Times New Roman" w:hAnsi="Times New Roman" w:eastAsia="仿宋" w:cs="Times New Roman"/>
                      <w:b/>
                      <w:bCs/>
                      <w:szCs w:val="21"/>
                    </w:rPr>
                  </w:pPr>
                  <w:r>
                    <w:rPr>
                      <w:rFonts w:hint="default" w:ascii="Times New Roman" w:hAnsi="Times New Roman" w:eastAsia="仿宋" w:cs="Times New Roman"/>
                      <w:szCs w:val="21"/>
                    </w:rPr>
                    <w:t>7-9</w:t>
                  </w:r>
                </w:p>
              </w:tc>
              <w:tc>
                <w:tcPr>
                  <w:tcW w:w="500" w:type="pct"/>
                  <w:vMerge w:val="restart"/>
                  <w:vAlign w:val="center"/>
                </w:tcPr>
                <w:p w14:paraId="195EEAEB">
                  <w:pPr>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rPr>
                    <w:t>化粪池</w:t>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依托</w:t>
                  </w:r>
                  <w:r>
                    <w:rPr>
                      <w:rFonts w:hint="default" w:ascii="Times New Roman" w:hAnsi="Times New Roman" w:eastAsia="仿宋" w:cs="Times New Roman"/>
                      <w:szCs w:val="21"/>
                      <w:lang w:eastAsia="zh-CN"/>
                    </w:rPr>
                    <w:t>）</w:t>
                  </w:r>
                </w:p>
              </w:tc>
              <w:tc>
                <w:tcPr>
                  <w:tcW w:w="1000" w:type="pct"/>
                  <w:gridSpan w:val="2"/>
                  <w:vAlign w:val="center"/>
                </w:tcPr>
                <w:p w14:paraId="6EAB11C9">
                  <w:pPr>
                    <w:jc w:val="center"/>
                    <w:rPr>
                      <w:rFonts w:hint="default" w:ascii="Times New Roman" w:hAnsi="Times New Roman" w:eastAsia="仿宋" w:cs="Times New Roman"/>
                      <w:szCs w:val="21"/>
                    </w:rPr>
                  </w:pPr>
                  <w:r>
                    <w:rPr>
                      <w:rFonts w:hint="default" w:ascii="Times New Roman" w:hAnsi="Times New Roman" w:eastAsia="仿宋" w:cs="Times New Roman"/>
                      <w:szCs w:val="21"/>
                    </w:rPr>
                    <w:t>7-9</w:t>
                  </w:r>
                </w:p>
              </w:tc>
              <w:tc>
                <w:tcPr>
                  <w:tcW w:w="843" w:type="dxa"/>
                  <w:vAlign w:val="center"/>
                </w:tcPr>
                <w:p w14:paraId="641A6BB3">
                  <w:pPr>
                    <w:jc w:val="center"/>
                    <w:rPr>
                      <w:rFonts w:hint="default" w:ascii="Times New Roman" w:hAnsi="Times New Roman" w:eastAsia="仿宋" w:cs="Times New Roman"/>
                      <w:bCs/>
                      <w:szCs w:val="21"/>
                    </w:rPr>
                  </w:pPr>
                  <w:r>
                    <w:rPr>
                      <w:rFonts w:hint="default" w:ascii="Times New Roman" w:hAnsi="Times New Roman" w:eastAsia="仿宋" w:cs="Times New Roman"/>
                      <w:szCs w:val="21"/>
                    </w:rPr>
                    <w:t>6～9</w:t>
                  </w:r>
                </w:p>
              </w:tc>
              <w:tc>
                <w:tcPr>
                  <w:tcW w:w="500" w:type="pct"/>
                  <w:vMerge w:val="restart"/>
                  <w:vAlign w:val="center"/>
                </w:tcPr>
                <w:p w14:paraId="084CDDCC">
                  <w:pPr>
                    <w:adjustRightInd w:val="0"/>
                    <w:snapToGrid w:val="0"/>
                    <w:jc w:val="center"/>
                    <w:rPr>
                      <w:rFonts w:hint="default" w:ascii="Times New Roman" w:hAnsi="Times New Roman" w:eastAsia="仿宋" w:cs="Times New Roman"/>
                      <w:bCs/>
                      <w:szCs w:val="21"/>
                    </w:rPr>
                  </w:pPr>
                  <w:r>
                    <w:rPr>
                      <w:rFonts w:hint="default" w:ascii="Times New Roman" w:hAnsi="Times New Roman" w:eastAsia="仿宋" w:cs="Times New Roman"/>
                      <w:bCs/>
                      <w:color w:val="auto"/>
                      <w:sz w:val="21"/>
                      <w:szCs w:val="21"/>
                      <w:highlight w:val="none"/>
                      <w:lang w:val="en-US" w:eastAsia="zh-CN"/>
                    </w:rPr>
                    <w:t>接管排放至常州金坛区第二污水处理有限公司集中处理</w:t>
                  </w:r>
                </w:p>
              </w:tc>
            </w:tr>
            <w:tr w14:paraId="571BC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99" w:type="pct"/>
                  <w:vMerge w:val="continue"/>
                  <w:vAlign w:val="center"/>
                </w:tcPr>
                <w:p w14:paraId="59F07068">
                  <w:pPr>
                    <w:jc w:val="center"/>
                    <w:rPr>
                      <w:rFonts w:hint="default" w:ascii="Times New Roman" w:hAnsi="Times New Roman" w:eastAsia="仿宋" w:cs="Times New Roman"/>
                      <w:szCs w:val="21"/>
                    </w:rPr>
                  </w:pPr>
                </w:p>
              </w:tc>
              <w:tc>
                <w:tcPr>
                  <w:tcW w:w="499" w:type="pct"/>
                  <w:vMerge w:val="continue"/>
                  <w:vAlign w:val="center"/>
                </w:tcPr>
                <w:p w14:paraId="5A33877A">
                  <w:pPr>
                    <w:jc w:val="center"/>
                    <w:rPr>
                      <w:rFonts w:hint="default" w:ascii="Times New Roman" w:hAnsi="Times New Roman" w:eastAsia="仿宋" w:cs="Times New Roman"/>
                      <w:szCs w:val="21"/>
                    </w:rPr>
                  </w:pPr>
                </w:p>
              </w:tc>
              <w:tc>
                <w:tcPr>
                  <w:tcW w:w="499" w:type="pct"/>
                  <w:vAlign w:val="center"/>
                </w:tcPr>
                <w:p w14:paraId="20423034">
                  <w:pPr>
                    <w:jc w:val="center"/>
                    <w:rPr>
                      <w:rFonts w:hint="default" w:ascii="Times New Roman" w:hAnsi="Times New Roman" w:eastAsia="仿宋" w:cs="Times New Roman"/>
                      <w:szCs w:val="21"/>
                    </w:rPr>
                  </w:pPr>
                  <w:r>
                    <w:rPr>
                      <w:rFonts w:hint="default" w:ascii="Times New Roman" w:hAnsi="Times New Roman" w:eastAsia="仿宋" w:cs="Times New Roman"/>
                      <w:szCs w:val="21"/>
                    </w:rPr>
                    <w:t>COD</w:t>
                  </w:r>
                </w:p>
              </w:tc>
              <w:tc>
                <w:tcPr>
                  <w:tcW w:w="839" w:type="dxa"/>
                  <w:vAlign w:val="center"/>
                </w:tcPr>
                <w:p w14:paraId="76BF506D">
                  <w:pPr>
                    <w:jc w:val="center"/>
                    <w:rPr>
                      <w:rFonts w:hint="default" w:ascii="Times New Roman" w:hAnsi="Times New Roman" w:eastAsia="仿宋" w:cs="Times New Roman"/>
                      <w:szCs w:val="21"/>
                    </w:rPr>
                  </w:pPr>
                  <w:r>
                    <w:rPr>
                      <w:rFonts w:hint="default" w:ascii="Times New Roman" w:hAnsi="Times New Roman" w:eastAsia="仿宋" w:cs="Times New Roman"/>
                      <w:szCs w:val="21"/>
                      <w:lang w:val="en-US" w:eastAsia="zh-CN"/>
                    </w:rPr>
                    <w:t>400</w:t>
                  </w:r>
                </w:p>
              </w:tc>
              <w:tc>
                <w:tcPr>
                  <w:tcW w:w="841" w:type="dxa"/>
                  <w:vAlign w:val="center"/>
                </w:tcPr>
                <w:p w14:paraId="1FCB30C4">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0.562</w:t>
                  </w:r>
                </w:p>
              </w:tc>
              <w:tc>
                <w:tcPr>
                  <w:tcW w:w="500" w:type="pct"/>
                  <w:vMerge w:val="continue"/>
                  <w:vAlign w:val="center"/>
                </w:tcPr>
                <w:p w14:paraId="7BA366C4">
                  <w:pPr>
                    <w:jc w:val="center"/>
                    <w:rPr>
                      <w:rFonts w:hint="default" w:ascii="Times New Roman" w:hAnsi="Times New Roman" w:eastAsia="仿宋" w:cs="Times New Roman"/>
                      <w:szCs w:val="21"/>
                      <w:highlight w:val="none"/>
                    </w:rPr>
                  </w:pPr>
                </w:p>
              </w:tc>
              <w:tc>
                <w:tcPr>
                  <w:tcW w:w="843" w:type="dxa"/>
                  <w:vAlign w:val="center"/>
                </w:tcPr>
                <w:p w14:paraId="5CEF2A35">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400</w:t>
                  </w:r>
                </w:p>
              </w:tc>
              <w:tc>
                <w:tcPr>
                  <w:tcW w:w="843" w:type="dxa"/>
                  <w:vAlign w:val="center"/>
                </w:tcPr>
                <w:p w14:paraId="18EBDC99">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0.562</w:t>
                  </w:r>
                </w:p>
              </w:tc>
              <w:tc>
                <w:tcPr>
                  <w:tcW w:w="843" w:type="dxa"/>
                  <w:vAlign w:val="center"/>
                </w:tcPr>
                <w:p w14:paraId="6C6FF294">
                  <w:pPr>
                    <w:pStyle w:val="65"/>
                    <w:spacing w:before="24" w:after="24"/>
                    <w:rPr>
                      <w:rFonts w:hint="default" w:ascii="Times New Roman" w:hAnsi="Times New Roman" w:eastAsia="仿宋" w:cs="Times New Roman"/>
                      <w:szCs w:val="21"/>
                    </w:rPr>
                  </w:pPr>
                  <w:r>
                    <w:rPr>
                      <w:rFonts w:hint="default" w:ascii="Times New Roman" w:hAnsi="Times New Roman" w:eastAsia="仿宋" w:cs="Times New Roman"/>
                      <w:color w:val="auto"/>
                      <w:szCs w:val="21"/>
                      <w:highlight w:val="none"/>
                    </w:rPr>
                    <w:t>500</w:t>
                  </w:r>
                </w:p>
              </w:tc>
              <w:tc>
                <w:tcPr>
                  <w:tcW w:w="500" w:type="pct"/>
                  <w:vMerge w:val="continue"/>
                  <w:vAlign w:val="center"/>
                </w:tcPr>
                <w:p w14:paraId="11E42E31">
                  <w:pPr>
                    <w:adjustRightInd w:val="0"/>
                    <w:snapToGrid w:val="0"/>
                    <w:jc w:val="center"/>
                    <w:rPr>
                      <w:rFonts w:hint="default" w:ascii="Times New Roman" w:hAnsi="Times New Roman" w:eastAsia="仿宋" w:cs="Times New Roman"/>
                      <w:szCs w:val="21"/>
                      <w:lang w:val="en-GB"/>
                    </w:rPr>
                  </w:pPr>
                </w:p>
              </w:tc>
            </w:tr>
            <w:tr w14:paraId="51301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99" w:type="pct"/>
                  <w:vMerge w:val="continue"/>
                  <w:vAlign w:val="center"/>
                </w:tcPr>
                <w:p w14:paraId="6614A21E">
                  <w:pPr>
                    <w:jc w:val="center"/>
                    <w:rPr>
                      <w:rFonts w:hint="default" w:ascii="Times New Roman" w:hAnsi="Times New Roman" w:eastAsia="仿宋" w:cs="Times New Roman"/>
                      <w:szCs w:val="21"/>
                    </w:rPr>
                  </w:pPr>
                </w:p>
              </w:tc>
              <w:tc>
                <w:tcPr>
                  <w:tcW w:w="499" w:type="pct"/>
                  <w:vMerge w:val="continue"/>
                  <w:vAlign w:val="center"/>
                </w:tcPr>
                <w:p w14:paraId="530A22C3">
                  <w:pPr>
                    <w:jc w:val="center"/>
                    <w:rPr>
                      <w:rFonts w:hint="default" w:ascii="Times New Roman" w:hAnsi="Times New Roman" w:eastAsia="仿宋" w:cs="Times New Roman"/>
                      <w:szCs w:val="21"/>
                    </w:rPr>
                  </w:pPr>
                </w:p>
              </w:tc>
              <w:tc>
                <w:tcPr>
                  <w:tcW w:w="499" w:type="pct"/>
                  <w:vAlign w:val="center"/>
                </w:tcPr>
                <w:p w14:paraId="5A149425">
                  <w:pPr>
                    <w:jc w:val="center"/>
                    <w:rPr>
                      <w:rFonts w:hint="default" w:ascii="Times New Roman" w:hAnsi="Times New Roman" w:eastAsia="仿宋" w:cs="Times New Roman"/>
                      <w:szCs w:val="21"/>
                    </w:rPr>
                  </w:pPr>
                  <w:r>
                    <w:rPr>
                      <w:rFonts w:hint="default" w:ascii="Times New Roman" w:hAnsi="Times New Roman" w:eastAsia="仿宋" w:cs="Times New Roman"/>
                      <w:szCs w:val="21"/>
                    </w:rPr>
                    <w:t>SS</w:t>
                  </w:r>
                </w:p>
              </w:tc>
              <w:tc>
                <w:tcPr>
                  <w:tcW w:w="839" w:type="dxa"/>
                  <w:vAlign w:val="center"/>
                </w:tcPr>
                <w:p w14:paraId="3E20C7BB">
                  <w:pPr>
                    <w:jc w:val="center"/>
                    <w:rPr>
                      <w:rFonts w:hint="default" w:ascii="Times New Roman" w:hAnsi="Times New Roman" w:eastAsia="仿宋" w:cs="Times New Roman"/>
                      <w:szCs w:val="21"/>
                    </w:rPr>
                  </w:pPr>
                  <w:r>
                    <w:rPr>
                      <w:rFonts w:hint="default" w:ascii="Times New Roman" w:hAnsi="Times New Roman" w:eastAsia="仿宋" w:cs="Times New Roman"/>
                      <w:szCs w:val="21"/>
                      <w:lang w:val="en-US" w:eastAsia="zh-CN"/>
                    </w:rPr>
                    <w:t>211.538</w:t>
                  </w:r>
                </w:p>
              </w:tc>
              <w:tc>
                <w:tcPr>
                  <w:tcW w:w="841" w:type="dxa"/>
                  <w:vAlign w:val="center"/>
                </w:tcPr>
                <w:p w14:paraId="01DD5582">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0.297</w:t>
                  </w:r>
                </w:p>
              </w:tc>
              <w:tc>
                <w:tcPr>
                  <w:tcW w:w="500" w:type="pct"/>
                  <w:vMerge w:val="continue"/>
                  <w:vAlign w:val="center"/>
                </w:tcPr>
                <w:p w14:paraId="543887BD">
                  <w:pPr>
                    <w:jc w:val="center"/>
                    <w:rPr>
                      <w:rFonts w:hint="default" w:ascii="Times New Roman" w:hAnsi="Times New Roman" w:eastAsia="仿宋" w:cs="Times New Roman"/>
                      <w:szCs w:val="21"/>
                      <w:highlight w:val="none"/>
                    </w:rPr>
                  </w:pPr>
                </w:p>
              </w:tc>
              <w:tc>
                <w:tcPr>
                  <w:tcW w:w="843" w:type="dxa"/>
                  <w:vAlign w:val="center"/>
                </w:tcPr>
                <w:p w14:paraId="48F19E0B">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211.538</w:t>
                  </w:r>
                </w:p>
              </w:tc>
              <w:tc>
                <w:tcPr>
                  <w:tcW w:w="843" w:type="dxa"/>
                  <w:vAlign w:val="center"/>
                </w:tcPr>
                <w:p w14:paraId="3FEE37A8">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0.297</w:t>
                  </w:r>
                </w:p>
              </w:tc>
              <w:tc>
                <w:tcPr>
                  <w:tcW w:w="843" w:type="dxa"/>
                  <w:vAlign w:val="center"/>
                </w:tcPr>
                <w:p w14:paraId="62CD515E">
                  <w:pPr>
                    <w:pStyle w:val="65"/>
                    <w:spacing w:before="24" w:after="24"/>
                    <w:rPr>
                      <w:rFonts w:hint="default" w:ascii="Times New Roman" w:hAnsi="Times New Roman" w:eastAsia="仿宋" w:cs="Times New Roman"/>
                      <w:szCs w:val="21"/>
                    </w:rPr>
                  </w:pPr>
                  <w:r>
                    <w:rPr>
                      <w:rFonts w:hint="default" w:ascii="Times New Roman" w:hAnsi="Times New Roman" w:eastAsia="仿宋" w:cs="Times New Roman"/>
                      <w:color w:val="auto"/>
                      <w:szCs w:val="21"/>
                      <w:highlight w:val="none"/>
                    </w:rPr>
                    <w:t>250</w:t>
                  </w:r>
                </w:p>
              </w:tc>
              <w:tc>
                <w:tcPr>
                  <w:tcW w:w="500" w:type="pct"/>
                  <w:vMerge w:val="continue"/>
                  <w:vAlign w:val="center"/>
                </w:tcPr>
                <w:p w14:paraId="7E0265C0">
                  <w:pPr>
                    <w:adjustRightInd w:val="0"/>
                    <w:snapToGrid w:val="0"/>
                    <w:jc w:val="center"/>
                    <w:rPr>
                      <w:rFonts w:hint="default" w:ascii="Times New Roman" w:hAnsi="Times New Roman" w:eastAsia="仿宋" w:cs="Times New Roman"/>
                      <w:szCs w:val="21"/>
                      <w:lang w:val="en-GB"/>
                    </w:rPr>
                  </w:pPr>
                </w:p>
              </w:tc>
            </w:tr>
            <w:tr w14:paraId="0FB13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99" w:type="pct"/>
                  <w:vMerge w:val="continue"/>
                  <w:vAlign w:val="center"/>
                </w:tcPr>
                <w:p w14:paraId="31E5CF6A">
                  <w:pPr>
                    <w:jc w:val="center"/>
                    <w:rPr>
                      <w:rFonts w:hint="default" w:ascii="Times New Roman" w:hAnsi="Times New Roman" w:eastAsia="仿宋" w:cs="Times New Roman"/>
                      <w:szCs w:val="21"/>
                    </w:rPr>
                  </w:pPr>
                </w:p>
              </w:tc>
              <w:tc>
                <w:tcPr>
                  <w:tcW w:w="499" w:type="pct"/>
                  <w:vMerge w:val="continue"/>
                  <w:vAlign w:val="center"/>
                </w:tcPr>
                <w:p w14:paraId="230CA0E8">
                  <w:pPr>
                    <w:jc w:val="center"/>
                    <w:rPr>
                      <w:rFonts w:hint="default" w:ascii="Times New Roman" w:hAnsi="Times New Roman" w:eastAsia="仿宋" w:cs="Times New Roman"/>
                      <w:szCs w:val="21"/>
                    </w:rPr>
                  </w:pPr>
                </w:p>
              </w:tc>
              <w:tc>
                <w:tcPr>
                  <w:tcW w:w="499" w:type="pct"/>
                  <w:vAlign w:val="center"/>
                </w:tcPr>
                <w:p w14:paraId="3D334250">
                  <w:pPr>
                    <w:jc w:val="center"/>
                    <w:rPr>
                      <w:rFonts w:hint="default" w:ascii="Times New Roman" w:hAnsi="Times New Roman" w:eastAsia="仿宋" w:cs="Times New Roman"/>
                      <w:szCs w:val="21"/>
                    </w:rPr>
                  </w:pPr>
                  <w:r>
                    <w:rPr>
                      <w:rFonts w:hint="default" w:ascii="Times New Roman" w:hAnsi="Times New Roman" w:eastAsia="仿宋" w:cs="Times New Roman"/>
                      <w:szCs w:val="21"/>
                    </w:rPr>
                    <w:t>氨氮</w:t>
                  </w:r>
                </w:p>
              </w:tc>
              <w:tc>
                <w:tcPr>
                  <w:tcW w:w="839" w:type="dxa"/>
                  <w:vAlign w:val="center"/>
                </w:tcPr>
                <w:p w14:paraId="1BA51B71">
                  <w:pPr>
                    <w:jc w:val="center"/>
                    <w:rPr>
                      <w:rFonts w:hint="default" w:ascii="Times New Roman" w:hAnsi="Times New Roman" w:eastAsia="仿宋" w:cs="Times New Roman"/>
                      <w:szCs w:val="21"/>
                    </w:rPr>
                  </w:pPr>
                  <w:r>
                    <w:rPr>
                      <w:rFonts w:hint="default" w:ascii="Times New Roman" w:hAnsi="Times New Roman" w:eastAsia="仿宋" w:cs="Times New Roman"/>
                      <w:szCs w:val="21"/>
                      <w:lang w:val="en-US" w:eastAsia="zh-CN"/>
                    </w:rPr>
                    <w:t>28.561</w:t>
                  </w:r>
                </w:p>
              </w:tc>
              <w:tc>
                <w:tcPr>
                  <w:tcW w:w="841" w:type="dxa"/>
                  <w:vAlign w:val="center"/>
                </w:tcPr>
                <w:p w14:paraId="23F2DD01">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0.040</w:t>
                  </w:r>
                </w:p>
              </w:tc>
              <w:tc>
                <w:tcPr>
                  <w:tcW w:w="500" w:type="pct"/>
                  <w:vMerge w:val="continue"/>
                  <w:vAlign w:val="center"/>
                </w:tcPr>
                <w:p w14:paraId="6463CDCB">
                  <w:pPr>
                    <w:jc w:val="center"/>
                    <w:rPr>
                      <w:rFonts w:hint="default" w:ascii="Times New Roman" w:hAnsi="Times New Roman" w:eastAsia="仿宋" w:cs="Times New Roman"/>
                      <w:szCs w:val="21"/>
                      <w:highlight w:val="none"/>
                    </w:rPr>
                  </w:pPr>
                </w:p>
              </w:tc>
              <w:tc>
                <w:tcPr>
                  <w:tcW w:w="843" w:type="dxa"/>
                  <w:vAlign w:val="center"/>
                </w:tcPr>
                <w:p w14:paraId="18AACA86">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28.561</w:t>
                  </w:r>
                </w:p>
              </w:tc>
              <w:tc>
                <w:tcPr>
                  <w:tcW w:w="843" w:type="dxa"/>
                  <w:vAlign w:val="center"/>
                </w:tcPr>
                <w:p w14:paraId="4F355F96">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0.040</w:t>
                  </w:r>
                </w:p>
              </w:tc>
              <w:tc>
                <w:tcPr>
                  <w:tcW w:w="843" w:type="dxa"/>
                  <w:vAlign w:val="center"/>
                </w:tcPr>
                <w:p w14:paraId="27E46E04">
                  <w:pPr>
                    <w:pStyle w:val="65"/>
                    <w:spacing w:before="24" w:after="24"/>
                    <w:rPr>
                      <w:rFonts w:hint="default" w:ascii="Times New Roman" w:hAnsi="Times New Roman" w:eastAsia="仿宋" w:cs="Times New Roman"/>
                      <w:szCs w:val="21"/>
                    </w:rPr>
                  </w:pPr>
                  <w:r>
                    <w:rPr>
                      <w:rFonts w:hint="default" w:ascii="Times New Roman" w:hAnsi="Times New Roman" w:eastAsia="仿宋" w:cs="Times New Roman"/>
                      <w:color w:val="auto"/>
                      <w:szCs w:val="21"/>
                      <w:highlight w:val="none"/>
                    </w:rPr>
                    <w:t>35</w:t>
                  </w:r>
                </w:p>
              </w:tc>
              <w:tc>
                <w:tcPr>
                  <w:tcW w:w="500" w:type="pct"/>
                  <w:vMerge w:val="continue"/>
                  <w:vAlign w:val="center"/>
                </w:tcPr>
                <w:p w14:paraId="3C40B103">
                  <w:pPr>
                    <w:adjustRightInd w:val="0"/>
                    <w:snapToGrid w:val="0"/>
                    <w:jc w:val="center"/>
                    <w:rPr>
                      <w:rFonts w:hint="default" w:ascii="Times New Roman" w:hAnsi="Times New Roman" w:eastAsia="仿宋" w:cs="Times New Roman"/>
                      <w:szCs w:val="21"/>
                      <w:lang w:val="en-GB"/>
                    </w:rPr>
                  </w:pPr>
                </w:p>
              </w:tc>
            </w:tr>
            <w:tr w14:paraId="468F5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99" w:type="pct"/>
                  <w:vMerge w:val="continue"/>
                  <w:vAlign w:val="center"/>
                </w:tcPr>
                <w:p w14:paraId="3038C630">
                  <w:pPr>
                    <w:jc w:val="center"/>
                    <w:rPr>
                      <w:rFonts w:hint="default" w:ascii="Times New Roman" w:hAnsi="Times New Roman" w:eastAsia="仿宋" w:cs="Times New Roman"/>
                      <w:szCs w:val="21"/>
                    </w:rPr>
                  </w:pPr>
                </w:p>
              </w:tc>
              <w:tc>
                <w:tcPr>
                  <w:tcW w:w="499" w:type="pct"/>
                  <w:vMerge w:val="continue"/>
                  <w:vAlign w:val="center"/>
                </w:tcPr>
                <w:p w14:paraId="43EB398C">
                  <w:pPr>
                    <w:jc w:val="center"/>
                    <w:rPr>
                      <w:rFonts w:hint="default" w:ascii="Times New Roman" w:hAnsi="Times New Roman" w:eastAsia="仿宋" w:cs="Times New Roman"/>
                      <w:szCs w:val="21"/>
                    </w:rPr>
                  </w:pPr>
                </w:p>
              </w:tc>
              <w:tc>
                <w:tcPr>
                  <w:tcW w:w="499" w:type="pct"/>
                  <w:vAlign w:val="center"/>
                </w:tcPr>
                <w:p w14:paraId="1322EA27">
                  <w:pPr>
                    <w:jc w:val="center"/>
                    <w:rPr>
                      <w:rFonts w:hint="default" w:ascii="Times New Roman" w:hAnsi="Times New Roman" w:eastAsia="仿宋" w:cs="Times New Roman"/>
                      <w:szCs w:val="21"/>
                    </w:rPr>
                  </w:pPr>
                  <w:r>
                    <w:rPr>
                      <w:rFonts w:hint="default" w:ascii="Times New Roman" w:hAnsi="Times New Roman" w:eastAsia="仿宋" w:cs="Times New Roman"/>
                      <w:szCs w:val="21"/>
                    </w:rPr>
                    <w:t>总磷</w:t>
                  </w:r>
                </w:p>
              </w:tc>
              <w:tc>
                <w:tcPr>
                  <w:tcW w:w="839" w:type="dxa"/>
                  <w:vAlign w:val="center"/>
                </w:tcPr>
                <w:p w14:paraId="0CBFB07B">
                  <w:pPr>
                    <w:jc w:val="center"/>
                    <w:rPr>
                      <w:rFonts w:hint="default" w:ascii="Times New Roman" w:hAnsi="Times New Roman" w:eastAsia="仿宋" w:cs="Times New Roman"/>
                      <w:szCs w:val="21"/>
                    </w:rPr>
                  </w:pPr>
                  <w:r>
                    <w:rPr>
                      <w:rFonts w:hint="default" w:ascii="Times New Roman" w:hAnsi="Times New Roman" w:eastAsia="仿宋" w:cs="Times New Roman"/>
                      <w:szCs w:val="21"/>
                      <w:lang w:val="en-US" w:eastAsia="zh-CN"/>
                    </w:rPr>
                    <w:t>2.829</w:t>
                  </w:r>
                </w:p>
              </w:tc>
              <w:tc>
                <w:tcPr>
                  <w:tcW w:w="841" w:type="dxa"/>
                  <w:vAlign w:val="center"/>
                </w:tcPr>
                <w:p w14:paraId="1EF43335">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0.004</w:t>
                  </w:r>
                </w:p>
              </w:tc>
              <w:tc>
                <w:tcPr>
                  <w:tcW w:w="500" w:type="pct"/>
                  <w:vMerge w:val="continue"/>
                  <w:vAlign w:val="center"/>
                </w:tcPr>
                <w:p w14:paraId="18DED331">
                  <w:pPr>
                    <w:jc w:val="center"/>
                    <w:rPr>
                      <w:rFonts w:hint="default" w:ascii="Times New Roman" w:hAnsi="Times New Roman" w:eastAsia="仿宋" w:cs="Times New Roman"/>
                      <w:szCs w:val="21"/>
                      <w:highlight w:val="none"/>
                    </w:rPr>
                  </w:pPr>
                </w:p>
              </w:tc>
              <w:tc>
                <w:tcPr>
                  <w:tcW w:w="843" w:type="dxa"/>
                  <w:vAlign w:val="center"/>
                </w:tcPr>
                <w:p w14:paraId="6A6F26FA">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2.829</w:t>
                  </w:r>
                </w:p>
              </w:tc>
              <w:tc>
                <w:tcPr>
                  <w:tcW w:w="843" w:type="dxa"/>
                  <w:vAlign w:val="center"/>
                </w:tcPr>
                <w:p w14:paraId="3699B0A0">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0.004</w:t>
                  </w:r>
                </w:p>
              </w:tc>
              <w:tc>
                <w:tcPr>
                  <w:tcW w:w="843" w:type="dxa"/>
                  <w:vAlign w:val="center"/>
                </w:tcPr>
                <w:p w14:paraId="153D5C05">
                  <w:pPr>
                    <w:pStyle w:val="65"/>
                    <w:spacing w:before="24" w:after="24"/>
                    <w:rPr>
                      <w:rFonts w:hint="default" w:ascii="Times New Roman" w:hAnsi="Times New Roman" w:eastAsia="仿宋" w:cs="Times New Roman"/>
                      <w:szCs w:val="21"/>
                    </w:rPr>
                  </w:pPr>
                  <w:r>
                    <w:rPr>
                      <w:rFonts w:hint="default" w:ascii="Times New Roman" w:hAnsi="Times New Roman" w:eastAsia="仿宋" w:cs="Times New Roman"/>
                      <w:color w:val="auto"/>
                      <w:szCs w:val="21"/>
                      <w:highlight w:val="none"/>
                    </w:rPr>
                    <w:t>3</w:t>
                  </w:r>
                </w:p>
              </w:tc>
              <w:tc>
                <w:tcPr>
                  <w:tcW w:w="500" w:type="pct"/>
                  <w:vMerge w:val="continue"/>
                  <w:vAlign w:val="center"/>
                </w:tcPr>
                <w:p w14:paraId="3C744174">
                  <w:pPr>
                    <w:adjustRightInd w:val="0"/>
                    <w:snapToGrid w:val="0"/>
                    <w:jc w:val="center"/>
                    <w:rPr>
                      <w:rFonts w:hint="default" w:ascii="Times New Roman" w:hAnsi="Times New Roman" w:eastAsia="仿宋" w:cs="Times New Roman"/>
                      <w:szCs w:val="21"/>
                      <w:lang w:val="en-GB"/>
                    </w:rPr>
                  </w:pPr>
                </w:p>
              </w:tc>
            </w:tr>
            <w:tr w14:paraId="42C07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99" w:type="pct"/>
                  <w:vMerge w:val="continue"/>
                  <w:vAlign w:val="center"/>
                </w:tcPr>
                <w:p w14:paraId="30D1FB5D">
                  <w:pPr>
                    <w:jc w:val="center"/>
                    <w:rPr>
                      <w:rFonts w:hint="default" w:ascii="Times New Roman" w:hAnsi="Times New Roman" w:eastAsia="仿宋" w:cs="Times New Roman"/>
                      <w:szCs w:val="21"/>
                    </w:rPr>
                  </w:pPr>
                </w:p>
              </w:tc>
              <w:tc>
                <w:tcPr>
                  <w:tcW w:w="499" w:type="pct"/>
                  <w:vMerge w:val="continue"/>
                  <w:vAlign w:val="center"/>
                </w:tcPr>
                <w:p w14:paraId="43E28BBF">
                  <w:pPr>
                    <w:jc w:val="center"/>
                    <w:rPr>
                      <w:rFonts w:hint="default" w:ascii="Times New Roman" w:hAnsi="Times New Roman" w:eastAsia="仿宋" w:cs="Times New Roman"/>
                      <w:szCs w:val="21"/>
                    </w:rPr>
                  </w:pPr>
                </w:p>
              </w:tc>
              <w:tc>
                <w:tcPr>
                  <w:tcW w:w="499" w:type="pct"/>
                  <w:vAlign w:val="center"/>
                </w:tcPr>
                <w:p w14:paraId="390D7450">
                  <w:pPr>
                    <w:jc w:val="center"/>
                    <w:rPr>
                      <w:rFonts w:hint="default" w:ascii="Times New Roman" w:hAnsi="Times New Roman" w:eastAsia="仿宋" w:cs="Times New Roman"/>
                      <w:szCs w:val="21"/>
                    </w:rPr>
                  </w:pPr>
                  <w:r>
                    <w:rPr>
                      <w:rFonts w:hint="default" w:ascii="Times New Roman" w:hAnsi="Times New Roman" w:eastAsia="仿宋" w:cs="Times New Roman"/>
                      <w:szCs w:val="21"/>
                    </w:rPr>
                    <w:t>总氮</w:t>
                  </w:r>
                </w:p>
              </w:tc>
              <w:tc>
                <w:tcPr>
                  <w:tcW w:w="839" w:type="dxa"/>
                  <w:vAlign w:val="center"/>
                </w:tcPr>
                <w:p w14:paraId="2641F728">
                  <w:pPr>
                    <w:jc w:val="center"/>
                    <w:rPr>
                      <w:rFonts w:hint="default" w:ascii="Times New Roman" w:hAnsi="Times New Roman" w:eastAsia="仿宋" w:cs="Times New Roman"/>
                      <w:szCs w:val="21"/>
                    </w:rPr>
                  </w:pPr>
                  <w:r>
                    <w:rPr>
                      <w:rFonts w:hint="default" w:ascii="Times New Roman" w:hAnsi="Times New Roman" w:eastAsia="仿宋" w:cs="Times New Roman"/>
                      <w:szCs w:val="21"/>
                      <w:lang w:val="en-US" w:eastAsia="zh-CN"/>
                    </w:rPr>
                    <w:t>46.538</w:t>
                  </w:r>
                </w:p>
              </w:tc>
              <w:tc>
                <w:tcPr>
                  <w:tcW w:w="841" w:type="dxa"/>
                  <w:vAlign w:val="center"/>
                </w:tcPr>
                <w:p w14:paraId="0EDA6E20">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0.065</w:t>
                  </w:r>
                </w:p>
              </w:tc>
              <w:tc>
                <w:tcPr>
                  <w:tcW w:w="500" w:type="pct"/>
                  <w:vMerge w:val="continue"/>
                  <w:vAlign w:val="center"/>
                </w:tcPr>
                <w:p w14:paraId="3045BEF2">
                  <w:pPr>
                    <w:jc w:val="center"/>
                    <w:rPr>
                      <w:rFonts w:hint="default" w:ascii="Times New Roman" w:hAnsi="Times New Roman" w:eastAsia="仿宋" w:cs="Times New Roman"/>
                      <w:szCs w:val="21"/>
                      <w:highlight w:val="none"/>
                    </w:rPr>
                  </w:pPr>
                </w:p>
              </w:tc>
              <w:tc>
                <w:tcPr>
                  <w:tcW w:w="843" w:type="dxa"/>
                  <w:vAlign w:val="center"/>
                </w:tcPr>
                <w:p w14:paraId="41D680E3">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46.538</w:t>
                  </w:r>
                </w:p>
              </w:tc>
              <w:tc>
                <w:tcPr>
                  <w:tcW w:w="843" w:type="dxa"/>
                  <w:vAlign w:val="center"/>
                </w:tcPr>
                <w:p w14:paraId="200947C6">
                  <w:pPr>
                    <w:jc w:val="center"/>
                    <w:rPr>
                      <w:rFonts w:hint="default" w:ascii="Times New Roman" w:hAnsi="Times New Roman" w:eastAsia="仿宋" w:cs="Times New Roman"/>
                      <w:szCs w:val="21"/>
                      <w:highlight w:val="none"/>
                    </w:rPr>
                  </w:pPr>
                  <w:r>
                    <w:rPr>
                      <w:rFonts w:hint="default" w:ascii="Times New Roman" w:hAnsi="Times New Roman" w:eastAsia="仿宋" w:cs="Times New Roman"/>
                      <w:szCs w:val="21"/>
                      <w:highlight w:val="none"/>
                      <w:lang w:val="en-US" w:eastAsia="zh-CN"/>
                    </w:rPr>
                    <w:t>0.065</w:t>
                  </w:r>
                </w:p>
              </w:tc>
              <w:tc>
                <w:tcPr>
                  <w:tcW w:w="843" w:type="dxa"/>
                  <w:vAlign w:val="center"/>
                </w:tcPr>
                <w:p w14:paraId="10A64D60">
                  <w:pPr>
                    <w:pStyle w:val="65"/>
                    <w:spacing w:before="24" w:after="24"/>
                    <w:rPr>
                      <w:rFonts w:hint="default" w:ascii="Times New Roman" w:hAnsi="Times New Roman" w:eastAsia="仿宋" w:cs="Times New Roman"/>
                      <w:szCs w:val="21"/>
                    </w:rPr>
                  </w:pPr>
                  <w:r>
                    <w:rPr>
                      <w:rFonts w:hint="default" w:ascii="Times New Roman" w:hAnsi="Times New Roman" w:eastAsia="仿宋" w:cs="Times New Roman"/>
                      <w:color w:val="auto"/>
                      <w:szCs w:val="21"/>
                      <w:highlight w:val="none"/>
                    </w:rPr>
                    <w:t>50</w:t>
                  </w:r>
                </w:p>
              </w:tc>
              <w:tc>
                <w:tcPr>
                  <w:tcW w:w="500" w:type="pct"/>
                  <w:vMerge w:val="continue"/>
                  <w:vAlign w:val="center"/>
                </w:tcPr>
                <w:p w14:paraId="7B2936ED">
                  <w:pPr>
                    <w:adjustRightInd w:val="0"/>
                    <w:snapToGrid w:val="0"/>
                    <w:jc w:val="center"/>
                    <w:rPr>
                      <w:rFonts w:hint="default" w:ascii="Times New Roman" w:hAnsi="Times New Roman" w:eastAsia="仿宋" w:cs="Times New Roman"/>
                      <w:szCs w:val="21"/>
                      <w:lang w:val="en-GB"/>
                    </w:rPr>
                  </w:pPr>
                </w:p>
              </w:tc>
            </w:tr>
          </w:tbl>
          <w:p w14:paraId="4EDF08CD">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lang w:val="en-US" w:eastAsia="zh-CN"/>
              </w:rPr>
              <w:t>4</w:t>
            </w:r>
            <w:r>
              <w:rPr>
                <w:rFonts w:hint="default" w:ascii="Times New Roman" w:hAnsi="Times New Roman" w:eastAsia="仿宋" w:cs="Times New Roman"/>
                <w:color w:val="auto"/>
                <w:sz w:val="24"/>
                <w:highlight w:val="none"/>
              </w:rPr>
              <w:t>、排污口规范化设置要求</w:t>
            </w:r>
          </w:p>
          <w:p w14:paraId="1CB27A90">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color w:val="auto"/>
                <w:sz w:val="24"/>
                <w:highlight w:val="none"/>
              </w:rPr>
              <w:t>本项目依托</w:t>
            </w:r>
            <w:r>
              <w:rPr>
                <w:rFonts w:hint="default" w:ascii="Times New Roman" w:hAnsi="Times New Roman" w:eastAsia="仿宋" w:cs="Times New Roman"/>
                <w:color w:val="auto"/>
                <w:sz w:val="24"/>
                <w:highlight w:val="none"/>
                <w:lang w:val="en-US" w:eastAsia="zh-CN"/>
              </w:rPr>
              <w:t>园区</w:t>
            </w:r>
            <w:r>
              <w:rPr>
                <w:rFonts w:hint="default" w:ascii="Times New Roman" w:hAnsi="Times New Roman" w:eastAsia="仿宋" w:cs="Times New Roman"/>
                <w:color w:val="auto"/>
                <w:sz w:val="24"/>
                <w:highlight w:val="none"/>
              </w:rPr>
              <w:t>现有的</w:t>
            </w:r>
            <w:r>
              <w:rPr>
                <w:rFonts w:hint="default" w:ascii="Times New Roman" w:hAnsi="Times New Roman" w:eastAsia="仿宋" w:cs="Times New Roman"/>
                <w:bCs/>
                <w:color w:val="auto"/>
                <w:sz w:val="24"/>
                <w:highlight w:val="none"/>
              </w:rPr>
              <w:t>1个雨水排放口、1个污水排放口。雨、污接管口根据江苏省环保厅《江苏省排污口设置及规范化整治管理办法》（苏环控[97]122号）进行规范化设置。</w:t>
            </w:r>
          </w:p>
          <w:p w14:paraId="3ED0A03D">
            <w:pPr>
              <w:adjustRightInd w:val="0"/>
              <w:snapToGrid w:val="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default" w:ascii="Times New Roman" w:hAnsi="Times New Roman" w:eastAsia="仿宋" w:cs="Times New Roman"/>
                <w:b/>
                <w:color w:val="auto"/>
                <w:sz w:val="24"/>
                <w:highlight w:val="none"/>
                <w:lang w:val="en-US" w:eastAsia="zh-CN"/>
              </w:rPr>
              <w:t>2</w:t>
            </w:r>
            <w:r>
              <w:rPr>
                <w:rFonts w:hint="eastAsia" w:eastAsia="仿宋" w:cs="Times New Roman"/>
                <w:b/>
                <w:color w:val="auto"/>
                <w:sz w:val="24"/>
                <w:highlight w:val="none"/>
                <w:lang w:val="en-US" w:eastAsia="zh-CN"/>
              </w:rPr>
              <w:t>3</w:t>
            </w:r>
            <w:r>
              <w:rPr>
                <w:rFonts w:hint="default" w:ascii="Times New Roman" w:hAnsi="Times New Roman" w:eastAsia="仿宋" w:cs="Times New Roman"/>
                <w:b/>
                <w:color w:val="auto"/>
                <w:sz w:val="24"/>
                <w:highlight w:val="none"/>
              </w:rPr>
              <w:t xml:space="preserve">  废水类别、污染物及污染治理设施信息表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231"/>
              <w:gridCol w:w="548"/>
              <w:gridCol w:w="962"/>
              <w:gridCol w:w="706"/>
              <w:gridCol w:w="748"/>
              <w:gridCol w:w="753"/>
              <w:gridCol w:w="881"/>
              <w:gridCol w:w="693"/>
              <w:gridCol w:w="1318"/>
            </w:tblGrid>
            <w:tr w14:paraId="7121E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restart"/>
                  <w:noWrap w:val="0"/>
                  <w:vAlign w:val="center"/>
                </w:tcPr>
                <w:p w14:paraId="163C2E35">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废水</w:t>
                  </w:r>
                </w:p>
                <w:p w14:paraId="7D97BC4D">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类别</w:t>
                  </w:r>
                </w:p>
              </w:tc>
              <w:tc>
                <w:tcPr>
                  <w:tcW w:w="732" w:type="pct"/>
                  <w:vMerge w:val="restart"/>
                  <w:noWrap w:val="0"/>
                  <w:vAlign w:val="center"/>
                </w:tcPr>
                <w:p w14:paraId="29DC5BBE">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污染物种类</w:t>
                  </w:r>
                </w:p>
              </w:tc>
              <w:tc>
                <w:tcPr>
                  <w:tcW w:w="326" w:type="pct"/>
                  <w:vMerge w:val="restart"/>
                  <w:noWrap w:val="0"/>
                  <w:vAlign w:val="center"/>
                </w:tcPr>
                <w:p w14:paraId="2E253864">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排放</w:t>
                  </w:r>
                </w:p>
                <w:p w14:paraId="6DE3A9B8">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去向</w:t>
                  </w:r>
                </w:p>
              </w:tc>
              <w:tc>
                <w:tcPr>
                  <w:tcW w:w="572" w:type="pct"/>
                  <w:vMerge w:val="restart"/>
                  <w:noWrap w:val="0"/>
                  <w:vAlign w:val="center"/>
                </w:tcPr>
                <w:p w14:paraId="594E446B">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排放规律</w:t>
                  </w:r>
                </w:p>
              </w:tc>
              <w:tc>
                <w:tcPr>
                  <w:tcW w:w="1313" w:type="pct"/>
                  <w:gridSpan w:val="3"/>
                  <w:noWrap w:val="0"/>
                  <w:vAlign w:val="center"/>
                </w:tcPr>
                <w:p w14:paraId="4BB489BB">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污染治理设施</w:t>
                  </w:r>
                </w:p>
              </w:tc>
              <w:tc>
                <w:tcPr>
                  <w:tcW w:w="524" w:type="pct"/>
                  <w:vMerge w:val="restart"/>
                  <w:noWrap w:val="0"/>
                  <w:vAlign w:val="center"/>
                </w:tcPr>
                <w:p w14:paraId="02FE5527">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lang w:bidi="ar"/>
                    </w:rPr>
                  </w:pPr>
                  <w:r>
                    <w:rPr>
                      <w:rFonts w:hint="default" w:ascii="Times New Roman" w:hAnsi="Times New Roman" w:eastAsia="仿宋" w:cs="Times New Roman"/>
                      <w:b/>
                      <w:color w:val="auto"/>
                      <w:sz w:val="21"/>
                      <w:szCs w:val="21"/>
                      <w:highlight w:val="none"/>
                      <w:lang w:bidi="ar"/>
                    </w:rPr>
                    <w:t>排放口</w:t>
                  </w:r>
                </w:p>
                <w:p w14:paraId="14352B7A">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编号</w:t>
                  </w:r>
                </w:p>
              </w:tc>
              <w:tc>
                <w:tcPr>
                  <w:tcW w:w="412" w:type="pct"/>
                  <w:vMerge w:val="restart"/>
                  <w:noWrap w:val="0"/>
                  <w:vAlign w:val="center"/>
                </w:tcPr>
                <w:p w14:paraId="1DDD840F">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排放口设置是否符合要求</w:t>
                  </w:r>
                </w:p>
              </w:tc>
              <w:tc>
                <w:tcPr>
                  <w:tcW w:w="784" w:type="pct"/>
                  <w:vMerge w:val="restart"/>
                  <w:noWrap w:val="0"/>
                  <w:vAlign w:val="center"/>
                </w:tcPr>
                <w:p w14:paraId="0B63E29D">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排放口类型</w:t>
                  </w:r>
                </w:p>
              </w:tc>
            </w:tr>
            <w:tr w14:paraId="23921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0E26838D">
                  <w:pPr>
                    <w:adjustRightInd w:val="0"/>
                    <w:snapToGrid w:val="0"/>
                    <w:spacing w:line="240" w:lineRule="auto"/>
                    <w:rPr>
                      <w:rFonts w:hint="default" w:ascii="Times New Roman" w:hAnsi="Times New Roman" w:eastAsia="仿宋" w:cs="Times New Roman"/>
                      <w:color w:val="auto"/>
                      <w:sz w:val="21"/>
                      <w:szCs w:val="21"/>
                      <w:highlight w:val="none"/>
                    </w:rPr>
                  </w:pPr>
                </w:p>
              </w:tc>
              <w:tc>
                <w:tcPr>
                  <w:tcW w:w="732" w:type="pct"/>
                  <w:vMerge w:val="continue"/>
                  <w:noWrap w:val="0"/>
                  <w:vAlign w:val="center"/>
                </w:tcPr>
                <w:p w14:paraId="5F9FE5A2">
                  <w:pPr>
                    <w:adjustRightInd w:val="0"/>
                    <w:snapToGrid w:val="0"/>
                    <w:spacing w:line="240" w:lineRule="auto"/>
                    <w:rPr>
                      <w:rFonts w:hint="default" w:ascii="Times New Roman" w:hAnsi="Times New Roman" w:eastAsia="仿宋" w:cs="Times New Roman"/>
                      <w:color w:val="auto"/>
                      <w:sz w:val="21"/>
                      <w:szCs w:val="21"/>
                      <w:highlight w:val="none"/>
                    </w:rPr>
                  </w:pPr>
                </w:p>
              </w:tc>
              <w:tc>
                <w:tcPr>
                  <w:tcW w:w="326" w:type="pct"/>
                  <w:vMerge w:val="continue"/>
                  <w:noWrap w:val="0"/>
                  <w:vAlign w:val="center"/>
                </w:tcPr>
                <w:p w14:paraId="4E9C9CCD">
                  <w:pPr>
                    <w:adjustRightInd w:val="0"/>
                    <w:snapToGrid w:val="0"/>
                    <w:spacing w:line="240" w:lineRule="auto"/>
                    <w:rPr>
                      <w:rFonts w:hint="default" w:ascii="Times New Roman" w:hAnsi="Times New Roman" w:eastAsia="仿宋" w:cs="Times New Roman"/>
                      <w:color w:val="auto"/>
                      <w:sz w:val="21"/>
                      <w:szCs w:val="21"/>
                      <w:highlight w:val="none"/>
                    </w:rPr>
                  </w:pPr>
                </w:p>
              </w:tc>
              <w:tc>
                <w:tcPr>
                  <w:tcW w:w="572" w:type="pct"/>
                  <w:vMerge w:val="continue"/>
                  <w:noWrap w:val="0"/>
                  <w:vAlign w:val="center"/>
                </w:tcPr>
                <w:p w14:paraId="6E9C47B7">
                  <w:pPr>
                    <w:adjustRightInd w:val="0"/>
                    <w:snapToGrid w:val="0"/>
                    <w:spacing w:line="240" w:lineRule="auto"/>
                    <w:rPr>
                      <w:rFonts w:hint="default" w:ascii="Times New Roman" w:hAnsi="Times New Roman" w:eastAsia="仿宋" w:cs="Times New Roman"/>
                      <w:color w:val="auto"/>
                      <w:sz w:val="21"/>
                      <w:szCs w:val="21"/>
                      <w:highlight w:val="none"/>
                    </w:rPr>
                  </w:pPr>
                </w:p>
              </w:tc>
              <w:tc>
                <w:tcPr>
                  <w:tcW w:w="420" w:type="pct"/>
                  <w:noWrap w:val="0"/>
                  <w:vAlign w:val="center"/>
                </w:tcPr>
                <w:p w14:paraId="6DBF7258">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污染治理设施编号</w:t>
                  </w:r>
                </w:p>
              </w:tc>
              <w:tc>
                <w:tcPr>
                  <w:tcW w:w="445" w:type="pct"/>
                  <w:noWrap w:val="0"/>
                  <w:vAlign w:val="center"/>
                </w:tcPr>
                <w:p w14:paraId="157684B2">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污染治理设施名称</w:t>
                  </w:r>
                </w:p>
              </w:tc>
              <w:tc>
                <w:tcPr>
                  <w:tcW w:w="446" w:type="pct"/>
                  <w:noWrap w:val="0"/>
                  <w:vAlign w:val="center"/>
                </w:tcPr>
                <w:p w14:paraId="17C5EED2">
                  <w:pPr>
                    <w:adjustRightInd w:val="0"/>
                    <w:snapToGrid w:val="0"/>
                    <w:spacing w:line="240" w:lineRule="auto"/>
                    <w:ind w:left="-105" w:leftChars="-50" w:right="-105" w:rightChars="-5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lang w:bidi="ar"/>
                    </w:rPr>
                    <w:t>污染治理设施工艺</w:t>
                  </w:r>
                </w:p>
              </w:tc>
              <w:tc>
                <w:tcPr>
                  <w:tcW w:w="524" w:type="pct"/>
                  <w:vMerge w:val="continue"/>
                  <w:noWrap w:val="0"/>
                  <w:vAlign w:val="center"/>
                </w:tcPr>
                <w:p w14:paraId="41EB3742">
                  <w:pPr>
                    <w:adjustRightInd w:val="0"/>
                    <w:snapToGrid w:val="0"/>
                    <w:spacing w:line="240" w:lineRule="auto"/>
                    <w:rPr>
                      <w:rFonts w:hint="default" w:ascii="Times New Roman" w:hAnsi="Times New Roman" w:eastAsia="仿宋" w:cs="Times New Roman"/>
                      <w:color w:val="auto"/>
                      <w:sz w:val="21"/>
                      <w:szCs w:val="21"/>
                      <w:highlight w:val="none"/>
                    </w:rPr>
                  </w:pPr>
                </w:p>
              </w:tc>
              <w:tc>
                <w:tcPr>
                  <w:tcW w:w="412" w:type="pct"/>
                  <w:vMerge w:val="continue"/>
                  <w:noWrap w:val="0"/>
                  <w:vAlign w:val="center"/>
                </w:tcPr>
                <w:p w14:paraId="6014F75F">
                  <w:pPr>
                    <w:adjustRightInd w:val="0"/>
                    <w:snapToGrid w:val="0"/>
                    <w:spacing w:line="240" w:lineRule="auto"/>
                    <w:rPr>
                      <w:rFonts w:hint="default" w:ascii="Times New Roman" w:hAnsi="Times New Roman" w:eastAsia="仿宋" w:cs="Times New Roman"/>
                      <w:color w:val="auto"/>
                      <w:sz w:val="21"/>
                      <w:szCs w:val="21"/>
                      <w:highlight w:val="none"/>
                    </w:rPr>
                  </w:pPr>
                </w:p>
              </w:tc>
              <w:tc>
                <w:tcPr>
                  <w:tcW w:w="784" w:type="pct"/>
                  <w:vMerge w:val="continue"/>
                  <w:noWrap w:val="0"/>
                  <w:vAlign w:val="center"/>
                </w:tcPr>
                <w:p w14:paraId="62839A45">
                  <w:pPr>
                    <w:adjustRightInd w:val="0"/>
                    <w:snapToGrid w:val="0"/>
                    <w:spacing w:line="240" w:lineRule="auto"/>
                    <w:rPr>
                      <w:rFonts w:hint="default" w:ascii="Times New Roman" w:hAnsi="Times New Roman" w:eastAsia="仿宋" w:cs="Times New Roman"/>
                      <w:color w:val="auto"/>
                      <w:sz w:val="21"/>
                      <w:szCs w:val="21"/>
                      <w:highlight w:val="none"/>
                    </w:rPr>
                  </w:pPr>
                </w:p>
              </w:tc>
            </w:tr>
            <w:tr w14:paraId="1C3E8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noWrap w:val="0"/>
                  <w:vAlign w:val="center"/>
                </w:tcPr>
                <w:p w14:paraId="5BADACFE">
                  <w:pPr>
                    <w:adjustRightInd w:val="0"/>
                    <w:snapToGrid w:val="0"/>
                    <w:spacing w:line="240" w:lineRule="auto"/>
                    <w:ind w:left="-105" w:leftChars="-50" w:right="-105" w:rightChars="-5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w:t>
                  </w:r>
                </w:p>
                <w:p w14:paraId="763090F4">
                  <w:pPr>
                    <w:adjustRightInd w:val="0"/>
                    <w:snapToGrid w:val="0"/>
                    <w:spacing w:line="240" w:lineRule="auto"/>
                    <w:ind w:left="-105" w:leftChars="-50" w:right="-105" w:rightChars="-5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污水</w:t>
                  </w:r>
                </w:p>
              </w:tc>
              <w:tc>
                <w:tcPr>
                  <w:tcW w:w="732" w:type="pct"/>
                  <w:noWrap w:val="0"/>
                  <w:vAlign w:val="center"/>
                </w:tcPr>
                <w:p w14:paraId="0B635E08">
                  <w:pPr>
                    <w:adjustRightInd w:val="0"/>
                    <w:snapToGrid w:val="0"/>
                    <w:spacing w:line="240" w:lineRule="auto"/>
                    <w:ind w:left="0" w:leftChars="0" w:right="0" w:rightChars="0"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pH、COD、SS、氨氮、总磷、总氮</w:t>
                  </w:r>
                </w:p>
              </w:tc>
              <w:tc>
                <w:tcPr>
                  <w:tcW w:w="326" w:type="pct"/>
                  <w:tcBorders>
                    <w:top w:val="single" w:color="000000" w:sz="4" w:space="0"/>
                  </w:tcBorders>
                  <w:noWrap w:val="0"/>
                  <w:vAlign w:val="center"/>
                </w:tcPr>
                <w:p w14:paraId="7E1657EA">
                  <w:pPr>
                    <w:adjustRightInd w:val="0"/>
                    <w:snapToGrid w:val="0"/>
                    <w:spacing w:line="240" w:lineRule="auto"/>
                    <w:ind w:left="-105" w:leftChars="-50" w:right="-105" w:rightChars="-5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常州金坛区第二污水处理有限公司</w:t>
                  </w:r>
                </w:p>
              </w:tc>
              <w:tc>
                <w:tcPr>
                  <w:tcW w:w="572" w:type="pct"/>
                  <w:tcBorders>
                    <w:top w:val="single" w:color="000000" w:sz="4" w:space="0"/>
                  </w:tcBorders>
                  <w:noWrap w:val="0"/>
                  <w:vAlign w:val="center"/>
                </w:tcPr>
                <w:p w14:paraId="1ABAAC6B">
                  <w:pPr>
                    <w:adjustRightInd w:val="0"/>
                    <w:snapToGrid w:val="0"/>
                    <w:spacing w:line="240" w:lineRule="auto"/>
                    <w:ind w:left="-105" w:leftChars="-50" w:right="-105" w:rightChars="-5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间断排放，排放期间流量不稳定，但有周期性规律</w:t>
                  </w:r>
                </w:p>
              </w:tc>
              <w:tc>
                <w:tcPr>
                  <w:tcW w:w="420" w:type="pct"/>
                  <w:tcBorders>
                    <w:top w:val="single" w:color="000000" w:sz="4" w:space="0"/>
                  </w:tcBorders>
                  <w:noWrap w:val="0"/>
                  <w:vAlign w:val="center"/>
                </w:tcPr>
                <w:p w14:paraId="66FD6143">
                  <w:pPr>
                    <w:adjustRightInd w:val="0"/>
                    <w:snapToGrid w:val="0"/>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445" w:type="pct"/>
                  <w:noWrap w:val="0"/>
                  <w:vAlign w:val="center"/>
                </w:tcPr>
                <w:p w14:paraId="51D7F89D">
                  <w:pPr>
                    <w:adjustRightInd w:val="0"/>
                    <w:snapToGrid w:val="0"/>
                    <w:spacing w:line="240" w:lineRule="auto"/>
                    <w:jc w:val="center"/>
                    <w:rPr>
                      <w:rFonts w:hint="eastAsia" w:ascii="Times New Roman" w:hAnsi="Times New Roman" w:eastAsia="仿宋" w:cs="Times New Roman"/>
                      <w:color w:val="auto"/>
                      <w:sz w:val="21"/>
                      <w:szCs w:val="21"/>
                      <w:highlight w:val="none"/>
                      <w:lang w:eastAsia="zh-CN"/>
                    </w:rPr>
                  </w:pPr>
                  <w:r>
                    <w:rPr>
                      <w:rFonts w:hint="eastAsia" w:eastAsia="仿宋" w:cs="Times New Roman"/>
                      <w:color w:val="auto"/>
                      <w:sz w:val="21"/>
                      <w:szCs w:val="21"/>
                      <w:highlight w:val="none"/>
                      <w:lang w:val="en-US" w:eastAsia="zh-CN"/>
                    </w:rPr>
                    <w:t>化粪池（依托）</w:t>
                  </w:r>
                </w:p>
              </w:tc>
              <w:tc>
                <w:tcPr>
                  <w:tcW w:w="446" w:type="pct"/>
                  <w:tcBorders>
                    <w:top w:val="single" w:color="000000" w:sz="4" w:space="0"/>
                  </w:tcBorders>
                  <w:noWrap w:val="0"/>
                  <w:vAlign w:val="center"/>
                </w:tcPr>
                <w:p w14:paraId="7F4543AF">
                  <w:pPr>
                    <w:adjustRightInd w:val="0"/>
                    <w:snapToGrid w:val="0"/>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524" w:type="pct"/>
                  <w:tcBorders>
                    <w:top w:val="single" w:color="000000" w:sz="4" w:space="0"/>
                  </w:tcBorders>
                  <w:noWrap w:val="0"/>
                  <w:vAlign w:val="center"/>
                </w:tcPr>
                <w:p w14:paraId="3A844D25">
                  <w:pPr>
                    <w:adjustRightInd w:val="0"/>
                    <w:snapToGrid w:val="0"/>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DW001</w:t>
                  </w:r>
                </w:p>
                <w:p w14:paraId="6ADDC8ED">
                  <w:pPr>
                    <w:adjustRightInd w:val="0"/>
                    <w:snapToGrid w:val="0"/>
                    <w:spacing w:line="240" w:lineRule="auto"/>
                    <w:ind w:left="-105" w:leftChars="-50" w:right="-105" w:rightChars="-5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(依托)</w:t>
                  </w:r>
                </w:p>
              </w:tc>
              <w:tc>
                <w:tcPr>
                  <w:tcW w:w="412" w:type="pct"/>
                  <w:tcBorders>
                    <w:top w:val="single" w:color="000000" w:sz="4" w:space="0"/>
                  </w:tcBorders>
                  <w:noWrap w:val="0"/>
                  <w:vAlign w:val="center"/>
                </w:tcPr>
                <w:p w14:paraId="03187913">
                  <w:pPr>
                    <w:adjustRightInd w:val="0"/>
                    <w:snapToGrid w:val="0"/>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√是</w:t>
                  </w:r>
                </w:p>
                <w:p w14:paraId="24337269">
                  <w:pPr>
                    <w:adjustRightInd w:val="0"/>
                    <w:snapToGrid w:val="0"/>
                    <w:spacing w:line="240" w:lineRule="auto"/>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□否</w:t>
                  </w:r>
                </w:p>
              </w:tc>
              <w:tc>
                <w:tcPr>
                  <w:tcW w:w="784" w:type="pct"/>
                  <w:tcBorders>
                    <w:top w:val="single" w:color="000000" w:sz="4" w:space="0"/>
                  </w:tcBorders>
                  <w:noWrap w:val="0"/>
                  <w:vAlign w:val="center"/>
                </w:tcPr>
                <w:p w14:paraId="3DFEFCD4">
                  <w:pPr>
                    <w:adjustRightInd w:val="0"/>
                    <w:snapToGrid w:val="0"/>
                    <w:spacing w:line="240" w:lineRule="auto"/>
                    <w:ind w:left="-105" w:leftChars="-50" w:right="-105" w:rightChars="-5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√企业总排(依托)</w:t>
                  </w:r>
                </w:p>
                <w:p w14:paraId="641F4A18">
                  <w:pPr>
                    <w:adjustRightInd w:val="0"/>
                    <w:snapToGrid w:val="0"/>
                    <w:spacing w:line="240" w:lineRule="auto"/>
                    <w:ind w:left="-105" w:leftChars="-50" w:right="-105" w:rightChars="-5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□雨水排放</w:t>
                  </w:r>
                </w:p>
                <w:p w14:paraId="305DD1AD">
                  <w:pPr>
                    <w:adjustRightInd w:val="0"/>
                    <w:snapToGrid w:val="0"/>
                    <w:spacing w:line="240" w:lineRule="auto"/>
                    <w:ind w:left="-105" w:leftChars="-50" w:right="-105" w:rightChars="-5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□清净下水排放</w:t>
                  </w:r>
                </w:p>
                <w:p w14:paraId="064D2683">
                  <w:pPr>
                    <w:adjustRightInd w:val="0"/>
                    <w:snapToGrid w:val="0"/>
                    <w:spacing w:line="240" w:lineRule="auto"/>
                    <w:ind w:left="-105" w:leftChars="-50" w:right="-105" w:rightChars="-50"/>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□温排水排放</w:t>
                  </w:r>
                </w:p>
                <w:p w14:paraId="06611938">
                  <w:pPr>
                    <w:adjustRightInd w:val="0"/>
                    <w:snapToGrid w:val="0"/>
                    <w:spacing w:line="240" w:lineRule="auto"/>
                    <w:ind w:left="-105" w:leftChars="-50" w:right="-105" w:rightChars="-50"/>
                    <w:jc w:val="left"/>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□车间或车间设施排放</w:t>
                  </w:r>
                </w:p>
              </w:tc>
            </w:tr>
          </w:tbl>
          <w:p w14:paraId="2A1DAB4B">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default" w:ascii="Times New Roman" w:hAnsi="Times New Roman" w:eastAsia="仿宋" w:cs="Times New Roman"/>
                <w:b/>
                <w:bCs/>
                <w:color w:val="auto"/>
                <w:sz w:val="24"/>
                <w:highlight w:val="none"/>
                <w:lang w:val="en-US" w:eastAsia="zh-CN"/>
              </w:rPr>
              <w:t>2</w:t>
            </w:r>
            <w:r>
              <w:rPr>
                <w:rFonts w:hint="eastAsia" w:eastAsia="仿宋" w:cs="Times New Roman"/>
                <w:b/>
                <w:bCs/>
                <w:color w:val="auto"/>
                <w:sz w:val="24"/>
                <w:highlight w:val="none"/>
                <w:lang w:val="en-US" w:eastAsia="zh-CN"/>
              </w:rPr>
              <w:t>4</w:t>
            </w:r>
            <w:r>
              <w:rPr>
                <w:rFonts w:hint="default" w:ascii="Times New Roman" w:hAnsi="Times New Roman" w:eastAsia="仿宋" w:cs="Times New Roman"/>
                <w:b/>
                <w:bCs/>
                <w:color w:val="auto"/>
                <w:sz w:val="24"/>
                <w:highlight w:val="none"/>
              </w:rPr>
              <w:t xml:space="preserve">  废水间接排放口基本情况表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694"/>
              <w:gridCol w:w="681"/>
              <w:gridCol w:w="1206"/>
              <w:gridCol w:w="1109"/>
              <w:gridCol w:w="1602"/>
              <w:gridCol w:w="622"/>
              <w:gridCol w:w="481"/>
              <w:gridCol w:w="716"/>
              <w:gridCol w:w="846"/>
            </w:tblGrid>
            <w:tr w14:paraId="77A7F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vMerge w:val="restart"/>
                  <w:noWrap w:val="0"/>
                  <w:vAlign w:val="center"/>
                </w:tcPr>
                <w:p w14:paraId="0862EBDA">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废水类别</w:t>
                  </w:r>
                </w:p>
              </w:tc>
              <w:tc>
                <w:tcPr>
                  <w:tcW w:w="452" w:type="pct"/>
                  <w:vMerge w:val="restart"/>
                  <w:noWrap w:val="0"/>
                  <w:vAlign w:val="center"/>
                </w:tcPr>
                <w:p w14:paraId="7853E67A">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污染物</w:t>
                  </w:r>
                </w:p>
                <w:p w14:paraId="50919CCF">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种类</w:t>
                  </w:r>
                </w:p>
              </w:tc>
              <w:tc>
                <w:tcPr>
                  <w:tcW w:w="444" w:type="pct"/>
                  <w:vMerge w:val="restart"/>
                  <w:noWrap w:val="0"/>
                  <w:vAlign w:val="center"/>
                </w:tcPr>
                <w:p w14:paraId="34D49D1F">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排放口编号</w:t>
                  </w:r>
                </w:p>
              </w:tc>
              <w:tc>
                <w:tcPr>
                  <w:tcW w:w="1093" w:type="pct"/>
                  <w:gridSpan w:val="2"/>
                  <w:noWrap w:val="0"/>
                  <w:vAlign w:val="center"/>
                </w:tcPr>
                <w:p w14:paraId="3E6D98AA">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排放口地理位置</w:t>
                  </w:r>
                </w:p>
              </w:tc>
              <w:tc>
                <w:tcPr>
                  <w:tcW w:w="992" w:type="pct"/>
                  <w:vMerge w:val="restart"/>
                  <w:noWrap w:val="0"/>
                  <w:vAlign w:val="center"/>
                </w:tcPr>
                <w:p w14:paraId="479E8CAD">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排放口类型</w:t>
                  </w:r>
                </w:p>
              </w:tc>
              <w:tc>
                <w:tcPr>
                  <w:tcW w:w="409" w:type="pct"/>
                  <w:vMerge w:val="restart"/>
                  <w:noWrap w:val="0"/>
                  <w:vAlign w:val="center"/>
                </w:tcPr>
                <w:p w14:paraId="57383DC3">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排放口设置是否符合要求</w:t>
                  </w:r>
                </w:p>
              </w:tc>
              <w:tc>
                <w:tcPr>
                  <w:tcW w:w="1302" w:type="pct"/>
                  <w:gridSpan w:val="3"/>
                  <w:noWrap w:val="0"/>
                  <w:vAlign w:val="center"/>
                </w:tcPr>
                <w:p w14:paraId="56832A82">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受纳污水处理厂信息</w:t>
                  </w:r>
                </w:p>
              </w:tc>
            </w:tr>
            <w:tr w14:paraId="52913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vMerge w:val="continue"/>
                  <w:noWrap w:val="0"/>
                  <w:vAlign w:val="center"/>
                </w:tcPr>
                <w:p w14:paraId="4745FFCA">
                  <w:pPr>
                    <w:widowControl/>
                    <w:jc w:val="left"/>
                    <w:rPr>
                      <w:rFonts w:hint="default" w:ascii="Times New Roman" w:hAnsi="Times New Roman" w:eastAsia="仿宋" w:cs="Times New Roman"/>
                      <w:b/>
                      <w:color w:val="auto"/>
                      <w:spacing w:val="-10"/>
                      <w:szCs w:val="21"/>
                      <w:highlight w:val="none"/>
                    </w:rPr>
                  </w:pPr>
                </w:p>
              </w:tc>
              <w:tc>
                <w:tcPr>
                  <w:tcW w:w="452" w:type="pct"/>
                  <w:vMerge w:val="continue"/>
                  <w:noWrap w:val="0"/>
                  <w:vAlign w:val="center"/>
                </w:tcPr>
                <w:p w14:paraId="4376DB0B">
                  <w:pPr>
                    <w:widowControl/>
                    <w:jc w:val="left"/>
                    <w:rPr>
                      <w:rFonts w:hint="default" w:ascii="Times New Roman" w:hAnsi="Times New Roman" w:eastAsia="仿宋" w:cs="Times New Roman"/>
                      <w:b/>
                      <w:color w:val="auto"/>
                      <w:spacing w:val="-10"/>
                      <w:szCs w:val="21"/>
                      <w:highlight w:val="none"/>
                    </w:rPr>
                  </w:pPr>
                </w:p>
              </w:tc>
              <w:tc>
                <w:tcPr>
                  <w:tcW w:w="444" w:type="pct"/>
                  <w:vMerge w:val="continue"/>
                  <w:noWrap w:val="0"/>
                  <w:vAlign w:val="center"/>
                </w:tcPr>
                <w:p w14:paraId="64484D39">
                  <w:pPr>
                    <w:widowControl/>
                    <w:jc w:val="left"/>
                    <w:rPr>
                      <w:rFonts w:hint="default" w:ascii="Times New Roman" w:hAnsi="Times New Roman" w:eastAsia="仿宋" w:cs="Times New Roman"/>
                      <w:b/>
                      <w:color w:val="auto"/>
                      <w:spacing w:val="-10"/>
                      <w:szCs w:val="21"/>
                      <w:highlight w:val="none"/>
                    </w:rPr>
                  </w:pPr>
                </w:p>
              </w:tc>
              <w:tc>
                <w:tcPr>
                  <w:tcW w:w="546" w:type="pct"/>
                  <w:noWrap w:val="0"/>
                  <w:vAlign w:val="center"/>
                </w:tcPr>
                <w:p w14:paraId="13578137">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经度（°)</w:t>
                  </w:r>
                </w:p>
              </w:tc>
              <w:tc>
                <w:tcPr>
                  <w:tcW w:w="547" w:type="pct"/>
                  <w:noWrap w:val="0"/>
                  <w:vAlign w:val="center"/>
                </w:tcPr>
                <w:p w14:paraId="0705A056">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纬度(°)</w:t>
                  </w:r>
                </w:p>
              </w:tc>
              <w:tc>
                <w:tcPr>
                  <w:tcW w:w="992" w:type="pct"/>
                  <w:vMerge w:val="continue"/>
                  <w:noWrap w:val="0"/>
                  <w:vAlign w:val="center"/>
                </w:tcPr>
                <w:p w14:paraId="75CD75D1">
                  <w:pPr>
                    <w:widowControl/>
                    <w:jc w:val="left"/>
                    <w:rPr>
                      <w:rFonts w:hint="default" w:ascii="Times New Roman" w:hAnsi="Times New Roman" w:eastAsia="仿宋" w:cs="Times New Roman"/>
                      <w:b/>
                      <w:color w:val="auto"/>
                      <w:spacing w:val="-10"/>
                      <w:szCs w:val="21"/>
                      <w:highlight w:val="none"/>
                    </w:rPr>
                  </w:pPr>
                </w:p>
              </w:tc>
              <w:tc>
                <w:tcPr>
                  <w:tcW w:w="409" w:type="pct"/>
                  <w:vMerge w:val="continue"/>
                  <w:noWrap w:val="0"/>
                  <w:vAlign w:val="center"/>
                </w:tcPr>
                <w:p w14:paraId="6B5B20E2">
                  <w:pPr>
                    <w:widowControl/>
                    <w:jc w:val="left"/>
                    <w:rPr>
                      <w:rFonts w:hint="default" w:ascii="Times New Roman" w:hAnsi="Times New Roman" w:eastAsia="仿宋" w:cs="Times New Roman"/>
                      <w:b/>
                      <w:color w:val="auto"/>
                      <w:spacing w:val="-10"/>
                      <w:szCs w:val="21"/>
                      <w:highlight w:val="none"/>
                    </w:rPr>
                  </w:pPr>
                </w:p>
              </w:tc>
              <w:tc>
                <w:tcPr>
                  <w:tcW w:w="325" w:type="pct"/>
                  <w:noWrap w:val="0"/>
                  <w:vAlign w:val="center"/>
                </w:tcPr>
                <w:p w14:paraId="2CF112BA">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名称</w:t>
                  </w:r>
                </w:p>
              </w:tc>
              <w:tc>
                <w:tcPr>
                  <w:tcW w:w="465" w:type="pct"/>
                  <w:noWrap w:val="0"/>
                  <w:vAlign w:val="center"/>
                </w:tcPr>
                <w:p w14:paraId="27133EDB">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污染物</w:t>
                  </w:r>
                </w:p>
                <w:p w14:paraId="3FE37539">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种类</w:t>
                  </w:r>
                </w:p>
              </w:tc>
              <w:tc>
                <w:tcPr>
                  <w:tcW w:w="512" w:type="pct"/>
                  <w:noWrap w:val="0"/>
                  <w:vAlign w:val="center"/>
                </w:tcPr>
                <w:p w14:paraId="3A242B62">
                  <w:pPr>
                    <w:snapToGrid w:val="0"/>
                    <w:ind w:left="-105" w:leftChars="-50" w:right="-105" w:rightChars="-50"/>
                    <w:jc w:val="center"/>
                    <w:rPr>
                      <w:rFonts w:hint="default" w:ascii="Times New Roman" w:hAnsi="Times New Roman" w:eastAsia="仿宋" w:cs="Times New Roman"/>
                      <w:b/>
                      <w:color w:val="auto"/>
                      <w:spacing w:val="-10"/>
                      <w:szCs w:val="21"/>
                      <w:highlight w:val="none"/>
                    </w:rPr>
                  </w:pPr>
                  <w:r>
                    <w:rPr>
                      <w:rFonts w:hint="default" w:ascii="Times New Roman" w:hAnsi="Times New Roman" w:eastAsia="仿宋" w:cs="Times New Roman"/>
                      <w:b/>
                      <w:color w:val="auto"/>
                      <w:spacing w:val="-10"/>
                      <w:szCs w:val="21"/>
                      <w:highlight w:val="none"/>
                    </w:rPr>
                    <w:t>排放标准浓度限值（mg/L）</w:t>
                  </w:r>
                </w:p>
              </w:tc>
            </w:tr>
            <w:tr w14:paraId="2A46E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vMerge w:val="restart"/>
                  <w:noWrap w:val="0"/>
                  <w:vAlign w:val="center"/>
                </w:tcPr>
                <w:p w14:paraId="0A74F36F">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生活污水</w:t>
                  </w:r>
                </w:p>
              </w:tc>
              <w:tc>
                <w:tcPr>
                  <w:tcW w:w="452" w:type="pct"/>
                  <w:vMerge w:val="restart"/>
                  <w:noWrap w:val="0"/>
                  <w:vAlign w:val="center"/>
                </w:tcPr>
                <w:p w14:paraId="0748C179">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pH、COD、SS、氨氮、总磷、总氮</w:t>
                  </w:r>
                </w:p>
              </w:tc>
              <w:tc>
                <w:tcPr>
                  <w:tcW w:w="444" w:type="pct"/>
                  <w:vMerge w:val="restart"/>
                  <w:noWrap w:val="0"/>
                  <w:vAlign w:val="center"/>
                </w:tcPr>
                <w:p w14:paraId="564F6236">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DW001</w:t>
                  </w:r>
                </w:p>
                <w:p w14:paraId="09B490E9">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(依托)</w:t>
                  </w:r>
                </w:p>
              </w:tc>
              <w:tc>
                <w:tcPr>
                  <w:tcW w:w="996" w:type="dxa"/>
                  <w:vMerge w:val="restart"/>
                  <w:noWrap w:val="0"/>
                  <w:vAlign w:val="center"/>
                </w:tcPr>
                <w:p w14:paraId="1225C0F1">
                  <w:pPr>
                    <w:snapToGrid w:val="0"/>
                    <w:spacing w:line="240" w:lineRule="atLeast"/>
                    <w:jc w:val="center"/>
                    <w:rPr>
                      <w:rFonts w:hint="default" w:ascii="Times New Roman" w:hAnsi="Times New Roman" w:eastAsia="仿宋" w:cs="Times New Roman"/>
                      <w:color w:val="auto"/>
                      <w:szCs w:val="21"/>
                      <w:highlight w:val="none"/>
                    </w:rPr>
                  </w:pPr>
                  <w:r>
                    <w:rPr>
                      <w:rFonts w:hint="default" w:ascii="Times New Roman" w:hAnsi="Times New Roman" w:cs="Times New Roman"/>
                    </w:rPr>
                    <w:t>119.594057</w:t>
                  </w:r>
                </w:p>
              </w:tc>
              <w:tc>
                <w:tcPr>
                  <w:tcW w:w="911" w:type="dxa"/>
                  <w:vMerge w:val="restart"/>
                  <w:noWrap w:val="0"/>
                  <w:vAlign w:val="center"/>
                </w:tcPr>
                <w:p w14:paraId="3267464A">
                  <w:pPr>
                    <w:snapToGrid w:val="0"/>
                    <w:spacing w:line="240" w:lineRule="atLeast"/>
                    <w:jc w:val="center"/>
                    <w:rPr>
                      <w:rFonts w:hint="default" w:ascii="Times New Roman" w:hAnsi="Times New Roman" w:eastAsia="仿宋" w:cs="Times New Roman"/>
                      <w:color w:val="auto"/>
                      <w:szCs w:val="21"/>
                      <w:highlight w:val="none"/>
                    </w:rPr>
                  </w:pPr>
                  <w:r>
                    <w:rPr>
                      <w:rFonts w:hint="default" w:ascii="Times New Roman" w:hAnsi="Times New Roman" w:cs="Times New Roman"/>
                    </w:rPr>
                    <w:t>31.773154</w:t>
                  </w:r>
                </w:p>
              </w:tc>
              <w:tc>
                <w:tcPr>
                  <w:tcW w:w="992" w:type="pct"/>
                  <w:vMerge w:val="restart"/>
                  <w:noWrap w:val="0"/>
                  <w:vAlign w:val="center"/>
                </w:tcPr>
                <w:p w14:paraId="5E4CA801">
                  <w:pPr>
                    <w:snapToGrid w:val="0"/>
                    <w:ind w:left="-105" w:leftChars="-50" w:right="-105" w:rightChars="-50"/>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√企业总排</w:t>
                  </w:r>
                </w:p>
                <w:p w14:paraId="6799F414">
                  <w:pPr>
                    <w:snapToGrid w:val="0"/>
                    <w:ind w:left="-105" w:leftChars="-50" w:right="-105" w:rightChars="-50"/>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□雨水排放</w:t>
                  </w:r>
                </w:p>
                <w:p w14:paraId="049B3DD3">
                  <w:pPr>
                    <w:snapToGrid w:val="0"/>
                    <w:ind w:left="-105" w:leftChars="-50" w:right="-105" w:rightChars="-50"/>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□清净下水排放</w:t>
                  </w:r>
                </w:p>
                <w:p w14:paraId="193A3780">
                  <w:pPr>
                    <w:snapToGrid w:val="0"/>
                    <w:ind w:left="-105" w:leftChars="-50" w:right="-105" w:rightChars="-50"/>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□温排水排放</w:t>
                  </w:r>
                </w:p>
                <w:p w14:paraId="041E4C3D">
                  <w:pPr>
                    <w:snapToGrid w:val="0"/>
                    <w:ind w:left="-105" w:leftChars="-50" w:right="-105" w:rightChars="-50"/>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□车间或车间设施排放</w:t>
                  </w:r>
                </w:p>
              </w:tc>
              <w:tc>
                <w:tcPr>
                  <w:tcW w:w="409" w:type="pct"/>
                  <w:vMerge w:val="restart"/>
                  <w:noWrap w:val="0"/>
                  <w:vAlign w:val="center"/>
                </w:tcPr>
                <w:p w14:paraId="7FEE60E7">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√是</w:t>
                  </w:r>
                </w:p>
                <w:p w14:paraId="3B8BE94B">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□否</w:t>
                  </w:r>
                </w:p>
              </w:tc>
              <w:tc>
                <w:tcPr>
                  <w:tcW w:w="325" w:type="pct"/>
                  <w:vMerge w:val="restart"/>
                  <w:noWrap w:val="0"/>
                  <w:vAlign w:val="center"/>
                </w:tcPr>
                <w:p w14:paraId="0F8BBCF7">
                  <w:pPr>
                    <w:snapToGrid w:val="0"/>
                    <w:ind w:left="-105" w:leftChars="-50" w:right="-105" w:rightChars="-50"/>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color w:val="auto"/>
                      <w:szCs w:val="21"/>
                      <w:highlight w:val="none"/>
                    </w:rPr>
                    <w:t>常州金坛区第二污水处理有限公司</w:t>
                  </w:r>
                </w:p>
              </w:tc>
              <w:tc>
                <w:tcPr>
                  <w:tcW w:w="465" w:type="pct"/>
                  <w:noWrap w:val="0"/>
                  <w:vAlign w:val="center"/>
                </w:tcPr>
                <w:p w14:paraId="695EFDE1">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pH</w:t>
                  </w:r>
                </w:p>
              </w:tc>
              <w:tc>
                <w:tcPr>
                  <w:tcW w:w="512" w:type="pct"/>
                  <w:noWrap w:val="0"/>
                  <w:vAlign w:val="center"/>
                </w:tcPr>
                <w:p w14:paraId="2708A557">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6～9</w:t>
                  </w:r>
                </w:p>
              </w:tc>
            </w:tr>
            <w:tr w14:paraId="2F388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vMerge w:val="continue"/>
                  <w:noWrap w:val="0"/>
                  <w:vAlign w:val="center"/>
                </w:tcPr>
                <w:p w14:paraId="6F30B407">
                  <w:pPr>
                    <w:widowControl/>
                    <w:jc w:val="left"/>
                    <w:rPr>
                      <w:rFonts w:hint="default" w:ascii="Times New Roman" w:hAnsi="Times New Roman" w:eastAsia="仿宋" w:cs="Times New Roman"/>
                      <w:color w:val="auto"/>
                      <w:szCs w:val="21"/>
                      <w:highlight w:val="none"/>
                    </w:rPr>
                  </w:pPr>
                </w:p>
              </w:tc>
              <w:tc>
                <w:tcPr>
                  <w:tcW w:w="452" w:type="pct"/>
                  <w:vMerge w:val="continue"/>
                  <w:noWrap w:val="0"/>
                  <w:vAlign w:val="center"/>
                </w:tcPr>
                <w:p w14:paraId="3030D87F">
                  <w:pPr>
                    <w:widowControl/>
                    <w:jc w:val="left"/>
                    <w:rPr>
                      <w:rFonts w:hint="default" w:ascii="Times New Roman" w:hAnsi="Times New Roman" w:eastAsia="仿宋" w:cs="Times New Roman"/>
                      <w:color w:val="auto"/>
                      <w:szCs w:val="21"/>
                      <w:highlight w:val="none"/>
                    </w:rPr>
                  </w:pPr>
                </w:p>
              </w:tc>
              <w:tc>
                <w:tcPr>
                  <w:tcW w:w="444" w:type="pct"/>
                  <w:vMerge w:val="continue"/>
                  <w:noWrap w:val="0"/>
                  <w:vAlign w:val="center"/>
                </w:tcPr>
                <w:p w14:paraId="0BA6890A">
                  <w:pPr>
                    <w:widowControl/>
                    <w:jc w:val="left"/>
                    <w:rPr>
                      <w:rFonts w:hint="default" w:ascii="Times New Roman" w:hAnsi="Times New Roman" w:eastAsia="仿宋" w:cs="Times New Roman"/>
                      <w:color w:val="auto"/>
                      <w:szCs w:val="21"/>
                      <w:highlight w:val="none"/>
                    </w:rPr>
                  </w:pPr>
                </w:p>
              </w:tc>
              <w:tc>
                <w:tcPr>
                  <w:tcW w:w="546" w:type="pct"/>
                  <w:vMerge w:val="continue"/>
                  <w:noWrap w:val="0"/>
                  <w:vAlign w:val="center"/>
                </w:tcPr>
                <w:p w14:paraId="19110805">
                  <w:pPr>
                    <w:widowControl/>
                    <w:jc w:val="left"/>
                    <w:rPr>
                      <w:rFonts w:hint="default" w:ascii="Times New Roman" w:hAnsi="Times New Roman" w:eastAsia="仿宋" w:cs="Times New Roman"/>
                      <w:color w:val="auto"/>
                      <w:szCs w:val="21"/>
                      <w:highlight w:val="none"/>
                    </w:rPr>
                  </w:pPr>
                </w:p>
              </w:tc>
              <w:tc>
                <w:tcPr>
                  <w:tcW w:w="547" w:type="pct"/>
                  <w:vMerge w:val="continue"/>
                  <w:noWrap w:val="0"/>
                  <w:vAlign w:val="center"/>
                </w:tcPr>
                <w:p w14:paraId="0C2D91A8">
                  <w:pPr>
                    <w:widowControl/>
                    <w:jc w:val="left"/>
                    <w:rPr>
                      <w:rFonts w:hint="default" w:ascii="Times New Roman" w:hAnsi="Times New Roman" w:eastAsia="仿宋" w:cs="Times New Roman"/>
                      <w:color w:val="auto"/>
                      <w:szCs w:val="21"/>
                      <w:highlight w:val="none"/>
                    </w:rPr>
                  </w:pPr>
                </w:p>
              </w:tc>
              <w:tc>
                <w:tcPr>
                  <w:tcW w:w="992" w:type="pct"/>
                  <w:vMerge w:val="continue"/>
                  <w:noWrap w:val="0"/>
                  <w:vAlign w:val="center"/>
                </w:tcPr>
                <w:p w14:paraId="3B919DD6">
                  <w:pPr>
                    <w:widowControl/>
                    <w:jc w:val="left"/>
                    <w:rPr>
                      <w:rFonts w:hint="default" w:ascii="Times New Roman" w:hAnsi="Times New Roman" w:eastAsia="仿宋" w:cs="Times New Roman"/>
                      <w:color w:val="auto"/>
                      <w:szCs w:val="21"/>
                      <w:highlight w:val="none"/>
                    </w:rPr>
                  </w:pPr>
                </w:p>
              </w:tc>
              <w:tc>
                <w:tcPr>
                  <w:tcW w:w="409" w:type="pct"/>
                  <w:vMerge w:val="continue"/>
                  <w:noWrap w:val="0"/>
                  <w:vAlign w:val="center"/>
                </w:tcPr>
                <w:p w14:paraId="00D208BA">
                  <w:pPr>
                    <w:widowControl/>
                    <w:jc w:val="left"/>
                    <w:rPr>
                      <w:rFonts w:hint="default" w:ascii="Times New Roman" w:hAnsi="Times New Roman" w:eastAsia="仿宋" w:cs="Times New Roman"/>
                      <w:color w:val="auto"/>
                      <w:szCs w:val="21"/>
                      <w:highlight w:val="none"/>
                    </w:rPr>
                  </w:pPr>
                </w:p>
              </w:tc>
              <w:tc>
                <w:tcPr>
                  <w:tcW w:w="325" w:type="pct"/>
                  <w:vMerge w:val="continue"/>
                  <w:noWrap w:val="0"/>
                  <w:vAlign w:val="center"/>
                </w:tcPr>
                <w:p w14:paraId="7CA10111">
                  <w:pPr>
                    <w:widowControl/>
                    <w:jc w:val="left"/>
                    <w:rPr>
                      <w:rFonts w:hint="default" w:ascii="Times New Roman" w:hAnsi="Times New Roman" w:eastAsia="仿宋" w:cs="Times New Roman"/>
                      <w:b/>
                      <w:color w:val="auto"/>
                      <w:szCs w:val="21"/>
                      <w:highlight w:val="none"/>
                    </w:rPr>
                  </w:pPr>
                </w:p>
              </w:tc>
              <w:tc>
                <w:tcPr>
                  <w:tcW w:w="465" w:type="pct"/>
                  <w:noWrap w:val="0"/>
                  <w:vAlign w:val="center"/>
                </w:tcPr>
                <w:p w14:paraId="4991C947">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COD</w:t>
                  </w:r>
                </w:p>
              </w:tc>
              <w:tc>
                <w:tcPr>
                  <w:tcW w:w="512" w:type="pct"/>
                  <w:noWrap w:val="0"/>
                  <w:vAlign w:val="center"/>
                </w:tcPr>
                <w:p w14:paraId="5602B972">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50</w:t>
                  </w:r>
                </w:p>
              </w:tc>
            </w:tr>
            <w:tr w14:paraId="72C0A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vMerge w:val="continue"/>
                  <w:noWrap w:val="0"/>
                  <w:vAlign w:val="center"/>
                </w:tcPr>
                <w:p w14:paraId="39CEC756">
                  <w:pPr>
                    <w:widowControl/>
                    <w:jc w:val="left"/>
                    <w:rPr>
                      <w:rFonts w:hint="default" w:ascii="Times New Roman" w:hAnsi="Times New Roman" w:eastAsia="仿宋" w:cs="Times New Roman"/>
                      <w:color w:val="auto"/>
                      <w:szCs w:val="21"/>
                      <w:highlight w:val="none"/>
                    </w:rPr>
                  </w:pPr>
                </w:p>
              </w:tc>
              <w:tc>
                <w:tcPr>
                  <w:tcW w:w="452" w:type="pct"/>
                  <w:vMerge w:val="continue"/>
                  <w:noWrap w:val="0"/>
                  <w:vAlign w:val="center"/>
                </w:tcPr>
                <w:p w14:paraId="56A787E1">
                  <w:pPr>
                    <w:widowControl/>
                    <w:jc w:val="left"/>
                    <w:rPr>
                      <w:rFonts w:hint="default" w:ascii="Times New Roman" w:hAnsi="Times New Roman" w:eastAsia="仿宋" w:cs="Times New Roman"/>
                      <w:color w:val="auto"/>
                      <w:szCs w:val="21"/>
                      <w:highlight w:val="none"/>
                    </w:rPr>
                  </w:pPr>
                </w:p>
              </w:tc>
              <w:tc>
                <w:tcPr>
                  <w:tcW w:w="444" w:type="pct"/>
                  <w:vMerge w:val="continue"/>
                  <w:noWrap w:val="0"/>
                  <w:vAlign w:val="center"/>
                </w:tcPr>
                <w:p w14:paraId="379B23E1">
                  <w:pPr>
                    <w:widowControl/>
                    <w:jc w:val="left"/>
                    <w:rPr>
                      <w:rFonts w:hint="default" w:ascii="Times New Roman" w:hAnsi="Times New Roman" w:eastAsia="仿宋" w:cs="Times New Roman"/>
                      <w:color w:val="auto"/>
                      <w:szCs w:val="21"/>
                      <w:highlight w:val="none"/>
                    </w:rPr>
                  </w:pPr>
                </w:p>
              </w:tc>
              <w:tc>
                <w:tcPr>
                  <w:tcW w:w="546" w:type="pct"/>
                  <w:vMerge w:val="continue"/>
                  <w:noWrap w:val="0"/>
                  <w:vAlign w:val="center"/>
                </w:tcPr>
                <w:p w14:paraId="55851DC0">
                  <w:pPr>
                    <w:widowControl/>
                    <w:jc w:val="left"/>
                    <w:rPr>
                      <w:rFonts w:hint="default" w:ascii="Times New Roman" w:hAnsi="Times New Roman" w:eastAsia="仿宋" w:cs="Times New Roman"/>
                      <w:color w:val="auto"/>
                      <w:szCs w:val="21"/>
                      <w:highlight w:val="none"/>
                    </w:rPr>
                  </w:pPr>
                </w:p>
              </w:tc>
              <w:tc>
                <w:tcPr>
                  <w:tcW w:w="547" w:type="pct"/>
                  <w:vMerge w:val="continue"/>
                  <w:noWrap w:val="0"/>
                  <w:vAlign w:val="center"/>
                </w:tcPr>
                <w:p w14:paraId="0350F98A">
                  <w:pPr>
                    <w:widowControl/>
                    <w:jc w:val="left"/>
                    <w:rPr>
                      <w:rFonts w:hint="default" w:ascii="Times New Roman" w:hAnsi="Times New Roman" w:eastAsia="仿宋" w:cs="Times New Roman"/>
                      <w:color w:val="auto"/>
                      <w:szCs w:val="21"/>
                      <w:highlight w:val="none"/>
                    </w:rPr>
                  </w:pPr>
                </w:p>
              </w:tc>
              <w:tc>
                <w:tcPr>
                  <w:tcW w:w="992" w:type="pct"/>
                  <w:vMerge w:val="continue"/>
                  <w:noWrap w:val="0"/>
                  <w:vAlign w:val="center"/>
                </w:tcPr>
                <w:p w14:paraId="4DD27171">
                  <w:pPr>
                    <w:widowControl/>
                    <w:jc w:val="left"/>
                    <w:rPr>
                      <w:rFonts w:hint="default" w:ascii="Times New Roman" w:hAnsi="Times New Roman" w:eastAsia="仿宋" w:cs="Times New Roman"/>
                      <w:color w:val="auto"/>
                      <w:szCs w:val="21"/>
                      <w:highlight w:val="none"/>
                    </w:rPr>
                  </w:pPr>
                </w:p>
              </w:tc>
              <w:tc>
                <w:tcPr>
                  <w:tcW w:w="409" w:type="pct"/>
                  <w:vMerge w:val="continue"/>
                  <w:noWrap w:val="0"/>
                  <w:vAlign w:val="center"/>
                </w:tcPr>
                <w:p w14:paraId="267586F4">
                  <w:pPr>
                    <w:widowControl/>
                    <w:jc w:val="left"/>
                    <w:rPr>
                      <w:rFonts w:hint="default" w:ascii="Times New Roman" w:hAnsi="Times New Roman" w:eastAsia="仿宋" w:cs="Times New Roman"/>
                      <w:color w:val="auto"/>
                      <w:szCs w:val="21"/>
                      <w:highlight w:val="none"/>
                    </w:rPr>
                  </w:pPr>
                </w:p>
              </w:tc>
              <w:tc>
                <w:tcPr>
                  <w:tcW w:w="325" w:type="pct"/>
                  <w:vMerge w:val="continue"/>
                  <w:noWrap w:val="0"/>
                  <w:vAlign w:val="center"/>
                </w:tcPr>
                <w:p w14:paraId="2CF87B80">
                  <w:pPr>
                    <w:widowControl/>
                    <w:jc w:val="left"/>
                    <w:rPr>
                      <w:rFonts w:hint="default" w:ascii="Times New Roman" w:hAnsi="Times New Roman" w:eastAsia="仿宋" w:cs="Times New Roman"/>
                      <w:b/>
                      <w:color w:val="auto"/>
                      <w:szCs w:val="21"/>
                      <w:highlight w:val="none"/>
                    </w:rPr>
                  </w:pPr>
                </w:p>
              </w:tc>
              <w:tc>
                <w:tcPr>
                  <w:tcW w:w="465" w:type="pct"/>
                  <w:noWrap w:val="0"/>
                  <w:vAlign w:val="center"/>
                </w:tcPr>
                <w:p w14:paraId="2C80763E">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SS</w:t>
                  </w:r>
                </w:p>
              </w:tc>
              <w:tc>
                <w:tcPr>
                  <w:tcW w:w="512" w:type="pct"/>
                  <w:noWrap w:val="0"/>
                  <w:vAlign w:val="center"/>
                </w:tcPr>
                <w:p w14:paraId="5257F10D">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10</w:t>
                  </w:r>
                </w:p>
              </w:tc>
            </w:tr>
            <w:tr w14:paraId="232A5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vMerge w:val="continue"/>
                  <w:noWrap w:val="0"/>
                  <w:vAlign w:val="center"/>
                </w:tcPr>
                <w:p w14:paraId="0A78A66B">
                  <w:pPr>
                    <w:widowControl/>
                    <w:jc w:val="left"/>
                    <w:rPr>
                      <w:rFonts w:hint="default" w:ascii="Times New Roman" w:hAnsi="Times New Roman" w:eastAsia="仿宋" w:cs="Times New Roman"/>
                      <w:color w:val="auto"/>
                      <w:szCs w:val="21"/>
                      <w:highlight w:val="none"/>
                    </w:rPr>
                  </w:pPr>
                </w:p>
              </w:tc>
              <w:tc>
                <w:tcPr>
                  <w:tcW w:w="452" w:type="pct"/>
                  <w:vMerge w:val="continue"/>
                  <w:noWrap w:val="0"/>
                  <w:vAlign w:val="center"/>
                </w:tcPr>
                <w:p w14:paraId="558F0B8A">
                  <w:pPr>
                    <w:widowControl/>
                    <w:jc w:val="left"/>
                    <w:rPr>
                      <w:rFonts w:hint="default" w:ascii="Times New Roman" w:hAnsi="Times New Roman" w:eastAsia="仿宋" w:cs="Times New Roman"/>
                      <w:color w:val="auto"/>
                      <w:szCs w:val="21"/>
                      <w:highlight w:val="none"/>
                    </w:rPr>
                  </w:pPr>
                </w:p>
              </w:tc>
              <w:tc>
                <w:tcPr>
                  <w:tcW w:w="444" w:type="pct"/>
                  <w:vMerge w:val="continue"/>
                  <w:noWrap w:val="0"/>
                  <w:vAlign w:val="center"/>
                </w:tcPr>
                <w:p w14:paraId="22F35804">
                  <w:pPr>
                    <w:widowControl/>
                    <w:jc w:val="left"/>
                    <w:rPr>
                      <w:rFonts w:hint="default" w:ascii="Times New Roman" w:hAnsi="Times New Roman" w:eastAsia="仿宋" w:cs="Times New Roman"/>
                      <w:color w:val="auto"/>
                      <w:szCs w:val="21"/>
                      <w:highlight w:val="none"/>
                    </w:rPr>
                  </w:pPr>
                </w:p>
              </w:tc>
              <w:tc>
                <w:tcPr>
                  <w:tcW w:w="546" w:type="pct"/>
                  <w:vMerge w:val="continue"/>
                  <w:noWrap w:val="0"/>
                  <w:vAlign w:val="center"/>
                </w:tcPr>
                <w:p w14:paraId="12DBAFE4">
                  <w:pPr>
                    <w:widowControl/>
                    <w:jc w:val="left"/>
                    <w:rPr>
                      <w:rFonts w:hint="default" w:ascii="Times New Roman" w:hAnsi="Times New Roman" w:eastAsia="仿宋" w:cs="Times New Roman"/>
                      <w:color w:val="auto"/>
                      <w:szCs w:val="21"/>
                      <w:highlight w:val="none"/>
                    </w:rPr>
                  </w:pPr>
                </w:p>
              </w:tc>
              <w:tc>
                <w:tcPr>
                  <w:tcW w:w="547" w:type="pct"/>
                  <w:vMerge w:val="continue"/>
                  <w:noWrap w:val="0"/>
                  <w:vAlign w:val="center"/>
                </w:tcPr>
                <w:p w14:paraId="07221C26">
                  <w:pPr>
                    <w:widowControl/>
                    <w:jc w:val="left"/>
                    <w:rPr>
                      <w:rFonts w:hint="default" w:ascii="Times New Roman" w:hAnsi="Times New Roman" w:eastAsia="仿宋" w:cs="Times New Roman"/>
                      <w:color w:val="auto"/>
                      <w:szCs w:val="21"/>
                      <w:highlight w:val="none"/>
                    </w:rPr>
                  </w:pPr>
                </w:p>
              </w:tc>
              <w:tc>
                <w:tcPr>
                  <w:tcW w:w="992" w:type="pct"/>
                  <w:vMerge w:val="continue"/>
                  <w:noWrap w:val="0"/>
                  <w:vAlign w:val="center"/>
                </w:tcPr>
                <w:p w14:paraId="6CBC30BD">
                  <w:pPr>
                    <w:widowControl/>
                    <w:jc w:val="left"/>
                    <w:rPr>
                      <w:rFonts w:hint="default" w:ascii="Times New Roman" w:hAnsi="Times New Roman" w:eastAsia="仿宋" w:cs="Times New Roman"/>
                      <w:color w:val="auto"/>
                      <w:szCs w:val="21"/>
                      <w:highlight w:val="none"/>
                    </w:rPr>
                  </w:pPr>
                </w:p>
              </w:tc>
              <w:tc>
                <w:tcPr>
                  <w:tcW w:w="409" w:type="pct"/>
                  <w:vMerge w:val="continue"/>
                  <w:noWrap w:val="0"/>
                  <w:vAlign w:val="center"/>
                </w:tcPr>
                <w:p w14:paraId="62D541F1">
                  <w:pPr>
                    <w:widowControl/>
                    <w:jc w:val="left"/>
                    <w:rPr>
                      <w:rFonts w:hint="default" w:ascii="Times New Roman" w:hAnsi="Times New Roman" w:eastAsia="仿宋" w:cs="Times New Roman"/>
                      <w:color w:val="auto"/>
                      <w:szCs w:val="21"/>
                      <w:highlight w:val="none"/>
                    </w:rPr>
                  </w:pPr>
                </w:p>
              </w:tc>
              <w:tc>
                <w:tcPr>
                  <w:tcW w:w="325" w:type="pct"/>
                  <w:vMerge w:val="continue"/>
                  <w:noWrap w:val="0"/>
                  <w:vAlign w:val="center"/>
                </w:tcPr>
                <w:p w14:paraId="4AC21121">
                  <w:pPr>
                    <w:widowControl/>
                    <w:jc w:val="left"/>
                    <w:rPr>
                      <w:rFonts w:hint="default" w:ascii="Times New Roman" w:hAnsi="Times New Roman" w:eastAsia="仿宋" w:cs="Times New Roman"/>
                      <w:b/>
                      <w:color w:val="auto"/>
                      <w:szCs w:val="21"/>
                      <w:highlight w:val="none"/>
                    </w:rPr>
                  </w:pPr>
                </w:p>
              </w:tc>
              <w:tc>
                <w:tcPr>
                  <w:tcW w:w="465" w:type="pct"/>
                  <w:noWrap w:val="0"/>
                  <w:vAlign w:val="center"/>
                </w:tcPr>
                <w:p w14:paraId="495BE277">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NH</w:t>
                  </w:r>
                  <w:r>
                    <w:rPr>
                      <w:rFonts w:hint="default" w:ascii="Times New Roman" w:hAnsi="Times New Roman" w:eastAsia="仿宋" w:cs="Times New Roman"/>
                      <w:color w:val="auto"/>
                      <w:szCs w:val="21"/>
                      <w:highlight w:val="none"/>
                      <w:vertAlign w:val="subscript"/>
                    </w:rPr>
                    <w:t>3</w:t>
                  </w:r>
                  <w:r>
                    <w:rPr>
                      <w:rFonts w:hint="default" w:ascii="Times New Roman" w:hAnsi="Times New Roman" w:eastAsia="仿宋" w:cs="Times New Roman"/>
                      <w:color w:val="auto"/>
                      <w:szCs w:val="21"/>
                      <w:highlight w:val="none"/>
                    </w:rPr>
                    <w:t>-N</w:t>
                  </w:r>
                </w:p>
              </w:tc>
              <w:tc>
                <w:tcPr>
                  <w:tcW w:w="512" w:type="pct"/>
                  <w:noWrap w:val="0"/>
                  <w:vAlign w:val="center"/>
                </w:tcPr>
                <w:p w14:paraId="461326D3">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4（6）</w:t>
                  </w:r>
                </w:p>
              </w:tc>
            </w:tr>
            <w:tr w14:paraId="7300E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vMerge w:val="continue"/>
                  <w:noWrap w:val="0"/>
                  <w:vAlign w:val="center"/>
                </w:tcPr>
                <w:p w14:paraId="1EB782A5">
                  <w:pPr>
                    <w:widowControl/>
                    <w:jc w:val="left"/>
                    <w:rPr>
                      <w:rFonts w:hint="default" w:ascii="Times New Roman" w:hAnsi="Times New Roman" w:eastAsia="仿宋" w:cs="Times New Roman"/>
                      <w:color w:val="auto"/>
                      <w:szCs w:val="21"/>
                      <w:highlight w:val="none"/>
                    </w:rPr>
                  </w:pPr>
                </w:p>
              </w:tc>
              <w:tc>
                <w:tcPr>
                  <w:tcW w:w="452" w:type="pct"/>
                  <w:vMerge w:val="continue"/>
                  <w:noWrap w:val="0"/>
                  <w:vAlign w:val="center"/>
                </w:tcPr>
                <w:p w14:paraId="6AB5026C">
                  <w:pPr>
                    <w:widowControl/>
                    <w:jc w:val="left"/>
                    <w:rPr>
                      <w:rFonts w:hint="default" w:ascii="Times New Roman" w:hAnsi="Times New Roman" w:eastAsia="仿宋" w:cs="Times New Roman"/>
                      <w:color w:val="auto"/>
                      <w:szCs w:val="21"/>
                      <w:highlight w:val="none"/>
                    </w:rPr>
                  </w:pPr>
                </w:p>
              </w:tc>
              <w:tc>
                <w:tcPr>
                  <w:tcW w:w="444" w:type="pct"/>
                  <w:vMerge w:val="continue"/>
                  <w:noWrap w:val="0"/>
                  <w:vAlign w:val="center"/>
                </w:tcPr>
                <w:p w14:paraId="21A0A210">
                  <w:pPr>
                    <w:widowControl/>
                    <w:jc w:val="left"/>
                    <w:rPr>
                      <w:rFonts w:hint="default" w:ascii="Times New Roman" w:hAnsi="Times New Roman" w:eastAsia="仿宋" w:cs="Times New Roman"/>
                      <w:color w:val="auto"/>
                      <w:szCs w:val="21"/>
                      <w:highlight w:val="none"/>
                    </w:rPr>
                  </w:pPr>
                </w:p>
              </w:tc>
              <w:tc>
                <w:tcPr>
                  <w:tcW w:w="546" w:type="pct"/>
                  <w:vMerge w:val="continue"/>
                  <w:noWrap w:val="0"/>
                  <w:vAlign w:val="center"/>
                </w:tcPr>
                <w:p w14:paraId="0E14D795">
                  <w:pPr>
                    <w:widowControl/>
                    <w:jc w:val="left"/>
                    <w:rPr>
                      <w:rFonts w:hint="default" w:ascii="Times New Roman" w:hAnsi="Times New Roman" w:eastAsia="仿宋" w:cs="Times New Roman"/>
                      <w:color w:val="auto"/>
                      <w:szCs w:val="21"/>
                      <w:highlight w:val="none"/>
                    </w:rPr>
                  </w:pPr>
                </w:p>
              </w:tc>
              <w:tc>
                <w:tcPr>
                  <w:tcW w:w="547" w:type="pct"/>
                  <w:vMerge w:val="continue"/>
                  <w:noWrap w:val="0"/>
                  <w:vAlign w:val="center"/>
                </w:tcPr>
                <w:p w14:paraId="64E1332E">
                  <w:pPr>
                    <w:widowControl/>
                    <w:jc w:val="left"/>
                    <w:rPr>
                      <w:rFonts w:hint="default" w:ascii="Times New Roman" w:hAnsi="Times New Roman" w:eastAsia="仿宋" w:cs="Times New Roman"/>
                      <w:color w:val="auto"/>
                      <w:szCs w:val="21"/>
                      <w:highlight w:val="none"/>
                    </w:rPr>
                  </w:pPr>
                </w:p>
              </w:tc>
              <w:tc>
                <w:tcPr>
                  <w:tcW w:w="992" w:type="pct"/>
                  <w:vMerge w:val="continue"/>
                  <w:noWrap w:val="0"/>
                  <w:vAlign w:val="center"/>
                </w:tcPr>
                <w:p w14:paraId="73CAE997">
                  <w:pPr>
                    <w:widowControl/>
                    <w:jc w:val="left"/>
                    <w:rPr>
                      <w:rFonts w:hint="default" w:ascii="Times New Roman" w:hAnsi="Times New Roman" w:eastAsia="仿宋" w:cs="Times New Roman"/>
                      <w:color w:val="auto"/>
                      <w:szCs w:val="21"/>
                      <w:highlight w:val="none"/>
                    </w:rPr>
                  </w:pPr>
                </w:p>
              </w:tc>
              <w:tc>
                <w:tcPr>
                  <w:tcW w:w="409" w:type="pct"/>
                  <w:vMerge w:val="continue"/>
                  <w:noWrap w:val="0"/>
                  <w:vAlign w:val="center"/>
                </w:tcPr>
                <w:p w14:paraId="364CEE0A">
                  <w:pPr>
                    <w:widowControl/>
                    <w:jc w:val="left"/>
                    <w:rPr>
                      <w:rFonts w:hint="default" w:ascii="Times New Roman" w:hAnsi="Times New Roman" w:eastAsia="仿宋" w:cs="Times New Roman"/>
                      <w:color w:val="auto"/>
                      <w:szCs w:val="21"/>
                      <w:highlight w:val="none"/>
                    </w:rPr>
                  </w:pPr>
                </w:p>
              </w:tc>
              <w:tc>
                <w:tcPr>
                  <w:tcW w:w="325" w:type="pct"/>
                  <w:vMerge w:val="continue"/>
                  <w:noWrap w:val="0"/>
                  <w:vAlign w:val="center"/>
                </w:tcPr>
                <w:p w14:paraId="64C7BEA8">
                  <w:pPr>
                    <w:widowControl/>
                    <w:jc w:val="left"/>
                    <w:rPr>
                      <w:rFonts w:hint="default" w:ascii="Times New Roman" w:hAnsi="Times New Roman" w:eastAsia="仿宋" w:cs="Times New Roman"/>
                      <w:b/>
                      <w:color w:val="auto"/>
                      <w:szCs w:val="21"/>
                      <w:highlight w:val="none"/>
                    </w:rPr>
                  </w:pPr>
                </w:p>
              </w:tc>
              <w:tc>
                <w:tcPr>
                  <w:tcW w:w="465" w:type="pct"/>
                  <w:noWrap w:val="0"/>
                  <w:vAlign w:val="center"/>
                </w:tcPr>
                <w:p w14:paraId="2D5609E0">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TN</w:t>
                  </w:r>
                </w:p>
              </w:tc>
              <w:tc>
                <w:tcPr>
                  <w:tcW w:w="512" w:type="pct"/>
                  <w:noWrap w:val="0"/>
                  <w:vAlign w:val="center"/>
                </w:tcPr>
                <w:p w14:paraId="0E6E740D">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12（15）</w:t>
                  </w:r>
                </w:p>
              </w:tc>
            </w:tr>
            <w:tr w14:paraId="04FF7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 w:type="pct"/>
                  <w:vMerge w:val="continue"/>
                  <w:noWrap w:val="0"/>
                  <w:vAlign w:val="center"/>
                </w:tcPr>
                <w:p w14:paraId="33B3C641">
                  <w:pPr>
                    <w:widowControl/>
                    <w:jc w:val="left"/>
                    <w:rPr>
                      <w:rFonts w:hint="default" w:ascii="Times New Roman" w:hAnsi="Times New Roman" w:eastAsia="仿宋" w:cs="Times New Roman"/>
                      <w:color w:val="auto"/>
                      <w:szCs w:val="21"/>
                      <w:highlight w:val="none"/>
                    </w:rPr>
                  </w:pPr>
                </w:p>
              </w:tc>
              <w:tc>
                <w:tcPr>
                  <w:tcW w:w="452" w:type="pct"/>
                  <w:vMerge w:val="continue"/>
                  <w:noWrap w:val="0"/>
                  <w:vAlign w:val="center"/>
                </w:tcPr>
                <w:p w14:paraId="0B0C54D6">
                  <w:pPr>
                    <w:widowControl/>
                    <w:jc w:val="left"/>
                    <w:rPr>
                      <w:rFonts w:hint="default" w:ascii="Times New Roman" w:hAnsi="Times New Roman" w:eastAsia="仿宋" w:cs="Times New Roman"/>
                      <w:color w:val="auto"/>
                      <w:szCs w:val="21"/>
                      <w:highlight w:val="none"/>
                    </w:rPr>
                  </w:pPr>
                </w:p>
              </w:tc>
              <w:tc>
                <w:tcPr>
                  <w:tcW w:w="444" w:type="pct"/>
                  <w:vMerge w:val="continue"/>
                  <w:noWrap w:val="0"/>
                  <w:vAlign w:val="center"/>
                </w:tcPr>
                <w:p w14:paraId="59EC1F19">
                  <w:pPr>
                    <w:widowControl/>
                    <w:jc w:val="left"/>
                    <w:rPr>
                      <w:rFonts w:hint="default" w:ascii="Times New Roman" w:hAnsi="Times New Roman" w:eastAsia="仿宋" w:cs="Times New Roman"/>
                      <w:color w:val="auto"/>
                      <w:szCs w:val="21"/>
                      <w:highlight w:val="none"/>
                    </w:rPr>
                  </w:pPr>
                </w:p>
              </w:tc>
              <w:tc>
                <w:tcPr>
                  <w:tcW w:w="546" w:type="pct"/>
                  <w:vMerge w:val="continue"/>
                  <w:noWrap w:val="0"/>
                  <w:vAlign w:val="center"/>
                </w:tcPr>
                <w:p w14:paraId="55817218">
                  <w:pPr>
                    <w:widowControl/>
                    <w:jc w:val="left"/>
                    <w:rPr>
                      <w:rFonts w:hint="default" w:ascii="Times New Roman" w:hAnsi="Times New Roman" w:eastAsia="仿宋" w:cs="Times New Roman"/>
                      <w:color w:val="auto"/>
                      <w:szCs w:val="21"/>
                      <w:highlight w:val="none"/>
                    </w:rPr>
                  </w:pPr>
                </w:p>
              </w:tc>
              <w:tc>
                <w:tcPr>
                  <w:tcW w:w="547" w:type="pct"/>
                  <w:vMerge w:val="continue"/>
                  <w:noWrap w:val="0"/>
                  <w:vAlign w:val="center"/>
                </w:tcPr>
                <w:p w14:paraId="0100D162">
                  <w:pPr>
                    <w:widowControl/>
                    <w:jc w:val="left"/>
                    <w:rPr>
                      <w:rFonts w:hint="default" w:ascii="Times New Roman" w:hAnsi="Times New Roman" w:eastAsia="仿宋" w:cs="Times New Roman"/>
                      <w:color w:val="auto"/>
                      <w:szCs w:val="21"/>
                      <w:highlight w:val="none"/>
                    </w:rPr>
                  </w:pPr>
                </w:p>
              </w:tc>
              <w:tc>
                <w:tcPr>
                  <w:tcW w:w="992" w:type="pct"/>
                  <w:vMerge w:val="continue"/>
                  <w:noWrap w:val="0"/>
                  <w:vAlign w:val="center"/>
                </w:tcPr>
                <w:p w14:paraId="6C4AF1EF">
                  <w:pPr>
                    <w:widowControl/>
                    <w:jc w:val="left"/>
                    <w:rPr>
                      <w:rFonts w:hint="default" w:ascii="Times New Roman" w:hAnsi="Times New Roman" w:eastAsia="仿宋" w:cs="Times New Roman"/>
                      <w:color w:val="auto"/>
                      <w:szCs w:val="21"/>
                      <w:highlight w:val="none"/>
                    </w:rPr>
                  </w:pPr>
                </w:p>
              </w:tc>
              <w:tc>
                <w:tcPr>
                  <w:tcW w:w="409" w:type="pct"/>
                  <w:vMerge w:val="continue"/>
                  <w:noWrap w:val="0"/>
                  <w:vAlign w:val="center"/>
                </w:tcPr>
                <w:p w14:paraId="3797E2B5">
                  <w:pPr>
                    <w:widowControl/>
                    <w:jc w:val="left"/>
                    <w:rPr>
                      <w:rFonts w:hint="default" w:ascii="Times New Roman" w:hAnsi="Times New Roman" w:eastAsia="仿宋" w:cs="Times New Roman"/>
                      <w:color w:val="auto"/>
                      <w:szCs w:val="21"/>
                      <w:highlight w:val="none"/>
                    </w:rPr>
                  </w:pPr>
                </w:p>
              </w:tc>
              <w:tc>
                <w:tcPr>
                  <w:tcW w:w="325" w:type="pct"/>
                  <w:vMerge w:val="continue"/>
                  <w:noWrap w:val="0"/>
                  <w:vAlign w:val="center"/>
                </w:tcPr>
                <w:p w14:paraId="08E6919D">
                  <w:pPr>
                    <w:widowControl/>
                    <w:jc w:val="left"/>
                    <w:rPr>
                      <w:rFonts w:hint="default" w:ascii="Times New Roman" w:hAnsi="Times New Roman" w:eastAsia="仿宋" w:cs="Times New Roman"/>
                      <w:b/>
                      <w:color w:val="auto"/>
                      <w:szCs w:val="21"/>
                      <w:highlight w:val="none"/>
                    </w:rPr>
                  </w:pPr>
                </w:p>
              </w:tc>
              <w:tc>
                <w:tcPr>
                  <w:tcW w:w="465" w:type="pct"/>
                  <w:noWrap w:val="0"/>
                  <w:vAlign w:val="center"/>
                </w:tcPr>
                <w:p w14:paraId="21AA63D3">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TP</w:t>
                  </w:r>
                </w:p>
              </w:tc>
              <w:tc>
                <w:tcPr>
                  <w:tcW w:w="512" w:type="pct"/>
                  <w:noWrap w:val="0"/>
                  <w:vAlign w:val="center"/>
                </w:tcPr>
                <w:p w14:paraId="73B796BD">
                  <w:pPr>
                    <w:snapToGrid w:val="0"/>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0.5</w:t>
                  </w:r>
                </w:p>
              </w:tc>
            </w:tr>
          </w:tbl>
          <w:p w14:paraId="5E44D77B">
            <w:pP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rPr>
              <w:t>注：每年11月1日至次年3月31日执行括号内排放限值。</w:t>
            </w:r>
          </w:p>
          <w:p w14:paraId="135EC5C3">
            <w:pPr>
              <w:keepNext w:val="0"/>
              <w:keepLines w:val="0"/>
              <w:pageBreakBefore w:val="0"/>
              <w:widowControl w:val="0"/>
              <w:numPr>
                <w:ilvl w:val="0"/>
                <w:numId w:val="10"/>
              </w:numPr>
              <w:kinsoku/>
              <w:wordWrap/>
              <w:overflowPunct/>
              <w:topLinePunct w:val="0"/>
              <w:autoSpaceDE/>
              <w:autoSpaceDN/>
              <w:bidi w:val="0"/>
              <w:adjustRightInd w:val="0"/>
              <w:snapToGrid w:val="0"/>
              <w:spacing w:before="120" w:beforeLines="50" w:line="360" w:lineRule="auto"/>
              <w:ind w:left="0" w:leftChars="0" w:firstLine="480" w:firstLineChars="200"/>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废水监测计划</w:t>
            </w:r>
          </w:p>
          <w:p w14:paraId="0357A2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参考《排污单位自行监测技术指南 橡胶和塑料制品》（HJ1207-2021），本项目废</w:t>
            </w:r>
            <w:r>
              <w:rPr>
                <w:rFonts w:hint="default" w:ascii="Times New Roman" w:hAnsi="Times New Roman" w:eastAsia="仿宋" w:cs="Times New Roman"/>
                <w:bCs/>
                <w:color w:val="auto"/>
                <w:sz w:val="24"/>
                <w:highlight w:val="none"/>
                <w:lang w:val="en-US" w:eastAsia="zh-CN"/>
              </w:rPr>
              <w:t>水</w:t>
            </w:r>
            <w:r>
              <w:rPr>
                <w:rFonts w:hint="default" w:ascii="Times New Roman" w:hAnsi="Times New Roman" w:eastAsia="仿宋" w:cs="Times New Roman"/>
                <w:bCs/>
                <w:color w:val="auto"/>
                <w:sz w:val="24"/>
                <w:highlight w:val="none"/>
              </w:rPr>
              <w:t>监测计划见下表。</w:t>
            </w:r>
          </w:p>
          <w:p w14:paraId="3920ADFF">
            <w:pPr>
              <w:adjustRightInd w:val="0"/>
              <w:snapToGrid w:val="0"/>
              <w:jc w:val="center"/>
              <w:rPr>
                <w:rFonts w:hint="default" w:ascii="Times New Roman" w:hAnsi="Times New Roman" w:eastAsia="仿宋" w:cs="Times New Roman"/>
                <w:b/>
                <w:bCs/>
                <w:color w:val="auto"/>
                <w:sz w:val="24"/>
                <w:highlight w:val="none"/>
              </w:rPr>
            </w:pPr>
          </w:p>
          <w:p w14:paraId="4EEC6EAE">
            <w:pPr>
              <w:adjustRightInd w:val="0"/>
              <w:snapToGrid w:val="0"/>
              <w:jc w:val="center"/>
              <w:rPr>
                <w:rFonts w:hint="default" w:ascii="Times New Roman" w:hAnsi="Times New Roman" w:eastAsia="仿宋" w:cs="Times New Roman"/>
                <w:b/>
                <w:bCs/>
                <w:color w:val="auto"/>
                <w:sz w:val="24"/>
                <w:highlight w:val="none"/>
              </w:rPr>
            </w:pPr>
          </w:p>
          <w:p w14:paraId="4BF92C42">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default" w:ascii="Times New Roman" w:hAnsi="Times New Roman" w:eastAsia="仿宋" w:cs="Times New Roman"/>
                <w:b/>
                <w:bCs/>
                <w:color w:val="auto"/>
                <w:sz w:val="24"/>
                <w:highlight w:val="none"/>
                <w:lang w:val="en-US" w:eastAsia="zh-CN"/>
              </w:rPr>
              <w:t>2</w:t>
            </w:r>
            <w:r>
              <w:rPr>
                <w:rFonts w:hint="eastAsia" w:eastAsia="仿宋" w:cs="Times New Roman"/>
                <w:b/>
                <w:bCs/>
                <w:color w:val="auto"/>
                <w:sz w:val="24"/>
                <w:highlight w:val="none"/>
                <w:lang w:val="en-US" w:eastAsia="zh-CN"/>
              </w:rPr>
              <w:t>5</w:t>
            </w:r>
            <w:r>
              <w:rPr>
                <w:rFonts w:hint="default" w:ascii="Times New Roman" w:hAnsi="Times New Roman" w:eastAsia="仿宋" w:cs="Times New Roman"/>
                <w:b/>
                <w:bCs/>
                <w:color w:val="auto"/>
                <w:sz w:val="24"/>
                <w:highlight w:val="none"/>
              </w:rPr>
              <w:t xml:space="preserve">  本项目运营期废水监测计划表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10"/>
              <w:gridCol w:w="725"/>
              <w:gridCol w:w="975"/>
              <w:gridCol w:w="1414"/>
              <w:gridCol w:w="990"/>
              <w:gridCol w:w="1565"/>
              <w:gridCol w:w="1258"/>
              <w:gridCol w:w="863"/>
            </w:tblGrid>
            <w:tr w14:paraId="4F146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63" w:type="pct"/>
                  <w:tcBorders>
                    <w:top w:val="single" w:color="auto" w:sz="12" w:space="0"/>
                    <w:left w:val="nil"/>
                    <w:bottom w:val="single" w:color="auto" w:sz="4" w:space="0"/>
                    <w:right w:val="single" w:color="auto" w:sz="4" w:space="0"/>
                  </w:tcBorders>
                  <w:noWrap w:val="0"/>
                  <w:vAlign w:val="center"/>
                </w:tcPr>
                <w:p w14:paraId="01138DBD">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时段</w:t>
                  </w:r>
                </w:p>
              </w:tc>
              <w:tc>
                <w:tcPr>
                  <w:tcW w:w="431" w:type="pct"/>
                  <w:tcBorders>
                    <w:top w:val="single" w:color="auto" w:sz="12" w:space="0"/>
                    <w:left w:val="single" w:color="auto" w:sz="4" w:space="0"/>
                    <w:bottom w:val="single" w:color="auto" w:sz="4" w:space="0"/>
                    <w:right w:val="single" w:color="auto" w:sz="4" w:space="0"/>
                  </w:tcBorders>
                  <w:noWrap w:val="0"/>
                  <w:vAlign w:val="center"/>
                </w:tcPr>
                <w:p w14:paraId="6E87C80F">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类别</w:t>
                  </w:r>
                </w:p>
              </w:tc>
              <w:tc>
                <w:tcPr>
                  <w:tcW w:w="580" w:type="pct"/>
                  <w:tcBorders>
                    <w:top w:val="single" w:color="auto" w:sz="12" w:space="0"/>
                    <w:left w:val="single" w:color="auto" w:sz="4" w:space="0"/>
                    <w:bottom w:val="single" w:color="auto" w:sz="4" w:space="0"/>
                    <w:right w:val="single" w:color="auto" w:sz="4" w:space="0"/>
                  </w:tcBorders>
                  <w:noWrap w:val="0"/>
                  <w:vAlign w:val="center"/>
                </w:tcPr>
                <w:p w14:paraId="67603417">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监测位置</w:t>
                  </w:r>
                </w:p>
              </w:tc>
              <w:tc>
                <w:tcPr>
                  <w:tcW w:w="841" w:type="pct"/>
                  <w:tcBorders>
                    <w:top w:val="single" w:color="auto" w:sz="12" w:space="0"/>
                    <w:left w:val="single" w:color="auto" w:sz="4" w:space="0"/>
                    <w:bottom w:val="single" w:color="auto" w:sz="4" w:space="0"/>
                    <w:right w:val="single" w:color="auto" w:sz="4" w:space="0"/>
                  </w:tcBorders>
                  <w:noWrap w:val="0"/>
                  <w:vAlign w:val="center"/>
                </w:tcPr>
                <w:p w14:paraId="53D18976">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监测项目</w:t>
                  </w:r>
                </w:p>
              </w:tc>
              <w:tc>
                <w:tcPr>
                  <w:tcW w:w="589" w:type="pct"/>
                  <w:tcBorders>
                    <w:top w:val="single" w:color="auto" w:sz="12" w:space="0"/>
                    <w:left w:val="single" w:color="auto" w:sz="4" w:space="0"/>
                    <w:bottom w:val="single" w:color="auto" w:sz="4" w:space="0"/>
                    <w:right w:val="single" w:color="auto" w:sz="4" w:space="0"/>
                  </w:tcBorders>
                  <w:noWrap w:val="0"/>
                  <w:vAlign w:val="center"/>
                </w:tcPr>
                <w:p w14:paraId="2840DFF2">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监测频率</w:t>
                  </w:r>
                </w:p>
              </w:tc>
              <w:tc>
                <w:tcPr>
                  <w:tcW w:w="931" w:type="pct"/>
                  <w:tcBorders>
                    <w:top w:val="single" w:color="auto" w:sz="12" w:space="0"/>
                    <w:left w:val="single" w:color="auto" w:sz="4" w:space="0"/>
                    <w:bottom w:val="single" w:color="auto" w:sz="4" w:space="0"/>
                    <w:right w:val="single" w:color="auto" w:sz="4" w:space="0"/>
                  </w:tcBorders>
                  <w:noWrap w:val="0"/>
                  <w:vAlign w:val="center"/>
                </w:tcPr>
                <w:p w14:paraId="428FF36E">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执行标准</w:t>
                  </w:r>
                </w:p>
              </w:tc>
              <w:tc>
                <w:tcPr>
                  <w:tcW w:w="748" w:type="pct"/>
                  <w:tcBorders>
                    <w:top w:val="single" w:color="auto" w:sz="12" w:space="0"/>
                    <w:left w:val="single" w:color="auto" w:sz="4" w:space="0"/>
                    <w:bottom w:val="single" w:color="auto" w:sz="4" w:space="0"/>
                    <w:right w:val="single" w:color="auto" w:sz="4" w:space="0"/>
                  </w:tcBorders>
                  <w:noWrap w:val="0"/>
                  <w:vAlign w:val="center"/>
                </w:tcPr>
                <w:p w14:paraId="786B9A3B">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监测方法</w:t>
                  </w:r>
                </w:p>
              </w:tc>
              <w:tc>
                <w:tcPr>
                  <w:tcW w:w="513" w:type="pct"/>
                  <w:tcBorders>
                    <w:top w:val="single" w:color="auto" w:sz="12" w:space="0"/>
                    <w:left w:val="single" w:color="auto" w:sz="4" w:space="0"/>
                    <w:bottom w:val="single" w:color="auto" w:sz="4" w:space="0"/>
                    <w:right w:val="nil"/>
                  </w:tcBorders>
                  <w:noWrap w:val="0"/>
                  <w:vAlign w:val="center"/>
                </w:tcPr>
                <w:p w14:paraId="1A16C5D3">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备注</w:t>
                  </w:r>
                </w:p>
              </w:tc>
            </w:tr>
            <w:tr w14:paraId="2F2CF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363" w:type="pct"/>
                  <w:tcBorders>
                    <w:top w:val="single" w:color="auto" w:sz="4" w:space="0"/>
                    <w:left w:val="nil"/>
                    <w:bottom w:val="single" w:color="auto" w:sz="12" w:space="0"/>
                    <w:right w:val="single" w:color="auto" w:sz="4" w:space="0"/>
                  </w:tcBorders>
                  <w:noWrap w:val="0"/>
                  <w:vAlign w:val="center"/>
                </w:tcPr>
                <w:p w14:paraId="34E3DCDC">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营运期</w:t>
                  </w:r>
                </w:p>
              </w:tc>
              <w:tc>
                <w:tcPr>
                  <w:tcW w:w="431" w:type="pct"/>
                  <w:tcBorders>
                    <w:top w:val="single" w:color="auto" w:sz="4" w:space="0"/>
                    <w:left w:val="single" w:color="auto" w:sz="4" w:space="0"/>
                    <w:bottom w:val="single" w:color="auto" w:sz="12" w:space="0"/>
                    <w:right w:val="single" w:color="auto" w:sz="4" w:space="0"/>
                  </w:tcBorders>
                  <w:noWrap w:val="0"/>
                  <w:vAlign w:val="center"/>
                </w:tcPr>
                <w:p w14:paraId="62E56D5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废水</w:t>
                  </w:r>
                </w:p>
              </w:tc>
              <w:tc>
                <w:tcPr>
                  <w:tcW w:w="580" w:type="pct"/>
                  <w:tcBorders>
                    <w:top w:val="single" w:color="auto" w:sz="4" w:space="0"/>
                    <w:left w:val="single" w:color="auto" w:sz="4" w:space="0"/>
                    <w:bottom w:val="single" w:color="auto" w:sz="12" w:space="0"/>
                    <w:right w:val="single" w:color="auto" w:sz="4" w:space="0"/>
                  </w:tcBorders>
                  <w:noWrap w:val="0"/>
                  <w:vAlign w:val="center"/>
                </w:tcPr>
                <w:p w14:paraId="7ADF6B1D">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DW001（依托）</w:t>
                  </w:r>
                </w:p>
              </w:tc>
              <w:tc>
                <w:tcPr>
                  <w:tcW w:w="841" w:type="pct"/>
                  <w:tcBorders>
                    <w:top w:val="single" w:color="auto" w:sz="4" w:space="0"/>
                    <w:left w:val="single" w:color="auto" w:sz="4" w:space="0"/>
                    <w:bottom w:val="single" w:color="auto" w:sz="12" w:space="0"/>
                    <w:right w:val="single" w:color="auto" w:sz="4" w:space="0"/>
                  </w:tcBorders>
                  <w:noWrap w:val="0"/>
                  <w:vAlign w:val="center"/>
                </w:tcPr>
                <w:p w14:paraId="52893D8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pH、COD、SS、氨氮、总磷、总氮</w:t>
                  </w:r>
                </w:p>
              </w:tc>
              <w:tc>
                <w:tcPr>
                  <w:tcW w:w="589" w:type="pct"/>
                  <w:tcBorders>
                    <w:top w:val="single" w:color="auto" w:sz="4" w:space="0"/>
                    <w:left w:val="single" w:color="auto" w:sz="4" w:space="0"/>
                    <w:bottom w:val="single" w:color="auto" w:sz="12" w:space="0"/>
                    <w:right w:val="single" w:color="auto" w:sz="4" w:space="0"/>
                  </w:tcBorders>
                  <w:noWrap w:val="0"/>
                  <w:vAlign w:val="center"/>
                </w:tcPr>
                <w:p w14:paraId="67733792">
                  <w:pPr>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1次/年</w:t>
                  </w:r>
                </w:p>
              </w:tc>
              <w:tc>
                <w:tcPr>
                  <w:tcW w:w="931" w:type="pct"/>
                  <w:tcBorders>
                    <w:top w:val="single" w:color="auto" w:sz="4" w:space="0"/>
                    <w:left w:val="single" w:color="auto" w:sz="4" w:space="0"/>
                    <w:bottom w:val="single" w:color="auto" w:sz="12" w:space="0"/>
                    <w:right w:val="single" w:color="auto" w:sz="4" w:space="0"/>
                  </w:tcBorders>
                  <w:noWrap w:val="0"/>
                  <w:vAlign w:val="center"/>
                </w:tcPr>
                <w:p w14:paraId="5F4CC47A">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常州金坛区第二污水处理有限公司接管标准</w:t>
                  </w:r>
                </w:p>
              </w:tc>
              <w:tc>
                <w:tcPr>
                  <w:tcW w:w="748" w:type="pct"/>
                  <w:tcBorders>
                    <w:top w:val="single" w:color="auto" w:sz="4" w:space="0"/>
                    <w:left w:val="single" w:color="auto" w:sz="4" w:space="0"/>
                    <w:bottom w:val="single" w:color="auto" w:sz="12" w:space="0"/>
                    <w:right w:val="single" w:color="auto" w:sz="4" w:space="0"/>
                  </w:tcBorders>
                  <w:noWrap w:val="0"/>
                  <w:vAlign w:val="center"/>
                </w:tcPr>
                <w:p w14:paraId="242AC80F">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color w:val="auto"/>
                      <w:szCs w:val="21"/>
                      <w:highlight w:val="none"/>
                    </w:rPr>
                    <w:t>采用国家规定最新监测方法与标准</w:t>
                  </w:r>
                </w:p>
              </w:tc>
              <w:tc>
                <w:tcPr>
                  <w:tcW w:w="513" w:type="pct"/>
                  <w:tcBorders>
                    <w:top w:val="single" w:color="auto" w:sz="4" w:space="0"/>
                    <w:left w:val="single" w:color="auto" w:sz="4" w:space="0"/>
                    <w:bottom w:val="single" w:color="auto" w:sz="12" w:space="0"/>
                    <w:right w:val="nil"/>
                  </w:tcBorders>
                  <w:noWrap w:val="0"/>
                  <w:vAlign w:val="center"/>
                </w:tcPr>
                <w:p w14:paraId="424FAA39">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Cs/>
                      <w:color w:val="auto"/>
                      <w:szCs w:val="21"/>
                      <w:highlight w:val="none"/>
                    </w:rPr>
                    <w:t>委托环境检测单位实施检测</w:t>
                  </w:r>
                </w:p>
              </w:tc>
            </w:tr>
          </w:tbl>
          <w:p w14:paraId="4058A98F">
            <w:pPr>
              <w:adjustRightInd w:val="0"/>
              <w:snapToGrid w:val="0"/>
              <w:spacing w:before="120" w:beforeLines="50"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6</w:t>
            </w:r>
            <w:r>
              <w:rPr>
                <w:rFonts w:hint="default" w:ascii="Times New Roman" w:hAnsi="Times New Roman" w:eastAsia="仿宋" w:cs="Times New Roman"/>
                <w:bCs/>
                <w:color w:val="auto"/>
                <w:sz w:val="24"/>
                <w:highlight w:val="none"/>
              </w:rPr>
              <w:t>、地表水影响分析</w:t>
            </w:r>
          </w:p>
          <w:p w14:paraId="7A660DE9">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本项目位于受纳水体环境质量达标区域，</w:t>
            </w:r>
            <w:r>
              <w:rPr>
                <w:rFonts w:hint="default" w:ascii="Times New Roman" w:hAnsi="Times New Roman" w:eastAsia="仿宋" w:cs="Times New Roman"/>
                <w:bCs/>
                <w:color w:val="auto"/>
                <w:sz w:val="24"/>
                <w:highlight w:val="none"/>
                <w:lang w:val="en-US" w:eastAsia="zh-CN"/>
              </w:rPr>
              <w:t>冷却水循环使用不外排，</w:t>
            </w:r>
            <w:r>
              <w:rPr>
                <w:rFonts w:hint="default" w:ascii="Times New Roman" w:hAnsi="Times New Roman" w:eastAsia="仿宋" w:cs="Times New Roman"/>
                <w:bCs/>
                <w:color w:val="auto"/>
                <w:sz w:val="24"/>
                <w:highlight w:val="none"/>
              </w:rPr>
              <w:t>生活污水依托</w:t>
            </w:r>
            <w:r>
              <w:rPr>
                <w:rFonts w:hint="default" w:ascii="Times New Roman" w:hAnsi="Times New Roman" w:eastAsia="仿宋" w:cs="Times New Roman"/>
                <w:bCs/>
                <w:color w:val="auto"/>
                <w:sz w:val="24"/>
                <w:highlight w:val="none"/>
                <w:lang w:val="en-US" w:eastAsia="zh-CN"/>
              </w:rPr>
              <w:t>园区</w:t>
            </w:r>
            <w:r>
              <w:rPr>
                <w:rFonts w:hint="default" w:ascii="Times New Roman" w:hAnsi="Times New Roman" w:eastAsia="仿宋" w:cs="Times New Roman"/>
                <w:bCs/>
                <w:color w:val="auto"/>
                <w:sz w:val="24"/>
                <w:highlight w:val="none"/>
              </w:rPr>
              <w:t>现有污水管网接管</w:t>
            </w:r>
            <w:r>
              <w:rPr>
                <w:rFonts w:hint="default" w:ascii="Times New Roman" w:hAnsi="Times New Roman" w:eastAsia="仿宋" w:cs="Times New Roman"/>
                <w:color w:val="auto"/>
                <w:sz w:val="24"/>
                <w:highlight w:val="none"/>
              </w:rPr>
              <w:t>排入常州金坛区第二污水处理有限公司集中处理</w:t>
            </w:r>
            <w:r>
              <w:rPr>
                <w:rFonts w:hint="default" w:ascii="Times New Roman" w:hAnsi="Times New Roman" w:eastAsia="仿宋" w:cs="Times New Roman"/>
                <w:bCs/>
                <w:color w:val="auto"/>
                <w:sz w:val="24"/>
                <w:highlight w:val="none"/>
              </w:rPr>
              <w:t>，尾水排入尧塘河；项目排水满足污水处理厂接管标准的要求，从水质、水量、接管标准及管道配套情况等方面综合考虑，项目废水接管至常州金坛区第二污水处理有限公司是可行的。因此，本项目废水对地表水环境的影响可以接受。</w:t>
            </w:r>
          </w:p>
          <w:p w14:paraId="52DBAE0E">
            <w:pPr>
              <w:adjustRightInd w:val="0"/>
              <w:snapToGrid w:val="0"/>
              <w:spacing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三、噪声</w:t>
            </w:r>
          </w:p>
          <w:p w14:paraId="017495F7">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1、噪声源</w:t>
            </w:r>
          </w:p>
          <w:p w14:paraId="01072903">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sz w:val="24"/>
                <w:highlight w:val="none"/>
                <w:lang w:val="en-US" w:eastAsia="zh-CN"/>
              </w:rPr>
              <w:t>本项目高噪声设备主要为破碎机、注塑机、筛毛机、废气处理设施风机，其中破碎机、注塑机、筛毛机为室内声源，废气处理设施风机为室外声源</w:t>
            </w:r>
            <w:r>
              <w:rPr>
                <w:rFonts w:hint="default" w:ascii="Times New Roman" w:hAnsi="Times New Roman" w:eastAsia="仿宋" w:cs="Times New Roman"/>
                <w:bCs/>
                <w:color w:val="auto"/>
                <w:sz w:val="24"/>
                <w:highlight w:val="none"/>
              </w:rPr>
              <w:t>。</w:t>
            </w:r>
          </w:p>
          <w:p w14:paraId="01A81898">
            <w:pPr>
              <w:jc w:val="center"/>
              <w:rPr>
                <w:rFonts w:hint="default" w:ascii="Times New Roman" w:hAnsi="Times New Roman" w:eastAsia="仿宋" w:cs="Times New Roman"/>
                <w:b/>
                <w:sz w:val="24"/>
              </w:rPr>
            </w:pPr>
            <w:r>
              <w:rPr>
                <w:rFonts w:hint="default" w:ascii="Times New Roman" w:hAnsi="Times New Roman" w:eastAsia="仿宋" w:cs="Times New Roman"/>
                <w:b/>
                <w:sz w:val="24"/>
              </w:rPr>
              <w:t>表4</w:t>
            </w:r>
            <w:r>
              <w:rPr>
                <w:rFonts w:hint="default" w:ascii="Times New Roman" w:hAnsi="Times New Roman" w:eastAsia="仿宋" w:cs="Times New Roman"/>
                <w:b/>
                <w:sz w:val="24"/>
                <w:lang w:val="en-US" w:eastAsia="zh-CN"/>
              </w:rPr>
              <w:t>-2</w:t>
            </w:r>
            <w:r>
              <w:rPr>
                <w:rFonts w:hint="eastAsia" w:eastAsia="仿宋" w:cs="Times New Roman"/>
                <w:b/>
                <w:sz w:val="24"/>
                <w:lang w:val="en-US" w:eastAsia="zh-CN"/>
              </w:rPr>
              <w:t>6</w:t>
            </w:r>
            <w:r>
              <w:rPr>
                <w:rFonts w:hint="default" w:ascii="Times New Roman" w:hAnsi="Times New Roman" w:eastAsia="仿宋" w:cs="Times New Roman"/>
                <w:b/>
                <w:sz w:val="24"/>
                <w:lang w:val="en-US" w:eastAsia="zh-CN"/>
              </w:rPr>
              <w:t xml:space="preserve"> </w:t>
            </w:r>
            <w:r>
              <w:rPr>
                <w:rFonts w:hint="default" w:ascii="Times New Roman" w:hAnsi="Times New Roman" w:eastAsia="仿宋" w:cs="Times New Roman"/>
                <w:b/>
                <w:sz w:val="24"/>
              </w:rPr>
              <w:t xml:space="preserve"> 工业企业噪</w:t>
            </w:r>
            <w:r>
              <w:rPr>
                <w:rFonts w:hint="default" w:ascii="Times New Roman" w:hAnsi="Times New Roman" w:eastAsia="仿宋" w:cs="Times New Roman"/>
                <w:b/>
                <w:sz w:val="24"/>
                <w:highlight w:val="none"/>
              </w:rPr>
              <w:t>声源调查清单（室内声</w:t>
            </w:r>
            <w:r>
              <w:rPr>
                <w:rFonts w:hint="default" w:ascii="Times New Roman" w:hAnsi="Times New Roman" w:eastAsia="仿宋" w:cs="Times New Roman"/>
                <w:b/>
                <w:sz w:val="24"/>
              </w:rPr>
              <w:t>源） 单位：dB（A）</w:t>
            </w:r>
          </w:p>
          <w:tbl>
            <w:tblPr>
              <w:tblStyle w:val="3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436"/>
              <w:gridCol w:w="815"/>
              <w:gridCol w:w="634"/>
              <w:gridCol w:w="406"/>
              <w:gridCol w:w="406"/>
              <w:gridCol w:w="345"/>
              <w:gridCol w:w="641"/>
              <w:gridCol w:w="789"/>
              <w:gridCol w:w="737"/>
              <w:gridCol w:w="649"/>
              <w:gridCol w:w="818"/>
              <w:gridCol w:w="766"/>
              <w:gridCol w:w="509"/>
            </w:tblGrid>
            <w:tr w14:paraId="1EE8B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49" w:type="dxa"/>
                  <w:vMerge w:val="restart"/>
                  <w:vAlign w:val="center"/>
                </w:tcPr>
                <w:p w14:paraId="49E41D17">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建筑物名称</w:t>
                  </w:r>
                </w:p>
              </w:tc>
              <w:tc>
                <w:tcPr>
                  <w:tcW w:w="436" w:type="dxa"/>
                  <w:vMerge w:val="restart"/>
                  <w:vAlign w:val="center"/>
                </w:tcPr>
                <w:p w14:paraId="19A2B5D7">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声源名称</w:t>
                  </w:r>
                </w:p>
              </w:tc>
              <w:tc>
                <w:tcPr>
                  <w:tcW w:w="815" w:type="dxa"/>
                  <w:vMerge w:val="restart"/>
                  <w:vAlign w:val="center"/>
                </w:tcPr>
                <w:p w14:paraId="62E2BB49">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单台声源源强/dB(A)</w:t>
                  </w:r>
                </w:p>
              </w:tc>
              <w:tc>
                <w:tcPr>
                  <w:tcW w:w="634" w:type="dxa"/>
                  <w:vMerge w:val="restart"/>
                  <w:vAlign w:val="center"/>
                </w:tcPr>
                <w:p w14:paraId="1D111D97">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数量（台/套）</w:t>
                  </w:r>
                </w:p>
              </w:tc>
              <w:tc>
                <w:tcPr>
                  <w:tcW w:w="1157" w:type="dxa"/>
                  <w:gridSpan w:val="3"/>
                  <w:vAlign w:val="center"/>
                </w:tcPr>
                <w:p w14:paraId="73C1C9F1">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空间相对位置/m</w:t>
                  </w:r>
                </w:p>
              </w:tc>
              <w:tc>
                <w:tcPr>
                  <w:tcW w:w="641" w:type="dxa"/>
                  <w:vMerge w:val="restart"/>
                  <w:vAlign w:val="center"/>
                </w:tcPr>
                <w:p w14:paraId="381DE543">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声源控制措施</w:t>
                  </w:r>
                </w:p>
              </w:tc>
              <w:tc>
                <w:tcPr>
                  <w:tcW w:w="789" w:type="dxa"/>
                  <w:vMerge w:val="restart"/>
                  <w:vAlign w:val="center"/>
                </w:tcPr>
                <w:p w14:paraId="292C4EF6">
                  <w:pPr>
                    <w:jc w:val="center"/>
                    <w:rPr>
                      <w:rFonts w:hint="default" w:ascii="Times New Roman" w:hAnsi="Times New Roman" w:eastAsia="仿宋" w:cs="Times New Roman"/>
                      <w:b/>
                      <w:sz w:val="18"/>
                      <w:szCs w:val="18"/>
                      <w:highlight w:val="yellow"/>
                    </w:rPr>
                  </w:pPr>
                  <w:r>
                    <w:rPr>
                      <w:rFonts w:hint="default" w:ascii="Times New Roman" w:hAnsi="Times New Roman" w:eastAsia="仿宋" w:cs="Times New Roman"/>
                      <w:b/>
                      <w:sz w:val="18"/>
                      <w:szCs w:val="18"/>
                      <w:highlight w:val="none"/>
                    </w:rPr>
                    <w:t>距室内边界距离/m</w:t>
                  </w:r>
                </w:p>
              </w:tc>
              <w:tc>
                <w:tcPr>
                  <w:tcW w:w="737" w:type="dxa"/>
                  <w:vMerge w:val="restart"/>
                  <w:vAlign w:val="center"/>
                </w:tcPr>
                <w:p w14:paraId="2F3739DD">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室内边界声级/dB(A)</w:t>
                  </w:r>
                </w:p>
              </w:tc>
              <w:tc>
                <w:tcPr>
                  <w:tcW w:w="649" w:type="dxa"/>
                  <w:vMerge w:val="restart"/>
                  <w:vAlign w:val="center"/>
                </w:tcPr>
                <w:p w14:paraId="29D681FF">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运行时段</w:t>
                  </w:r>
                </w:p>
              </w:tc>
              <w:tc>
                <w:tcPr>
                  <w:tcW w:w="818" w:type="dxa"/>
                  <w:vMerge w:val="restart"/>
                  <w:vAlign w:val="center"/>
                </w:tcPr>
                <w:p w14:paraId="3EF40EBE">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建筑物插入损失/dB（A）</w:t>
                  </w:r>
                </w:p>
              </w:tc>
              <w:tc>
                <w:tcPr>
                  <w:tcW w:w="1275" w:type="dxa"/>
                  <w:gridSpan w:val="2"/>
                  <w:shd w:val="clear" w:color="auto" w:fill="auto"/>
                  <w:vAlign w:val="center"/>
                </w:tcPr>
                <w:p w14:paraId="1A2BCFA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仿宋" w:cs="Times New Roman"/>
                      <w:b/>
                      <w:color w:val="auto"/>
                      <w:kern w:val="2"/>
                      <w:sz w:val="18"/>
                      <w:szCs w:val="18"/>
                      <w:lang w:val="en-US" w:eastAsia="zh-CN" w:bidi="ar-SA"/>
                    </w:rPr>
                  </w:pPr>
                  <w:r>
                    <w:rPr>
                      <w:rFonts w:hint="default" w:ascii="Times New Roman" w:hAnsi="Times New Roman" w:eastAsia="仿宋" w:cs="Times New Roman"/>
                      <w:b/>
                      <w:color w:val="auto"/>
                      <w:sz w:val="18"/>
                      <w:szCs w:val="18"/>
                    </w:rPr>
                    <w:t>建筑物外噪声</w:t>
                  </w:r>
                </w:p>
              </w:tc>
            </w:tr>
            <w:tr w14:paraId="5F506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49" w:type="dxa"/>
                  <w:vMerge w:val="continue"/>
                  <w:vAlign w:val="center"/>
                </w:tcPr>
                <w:p w14:paraId="1F084C85">
                  <w:pPr>
                    <w:jc w:val="center"/>
                    <w:rPr>
                      <w:rFonts w:hint="default" w:ascii="Times New Roman" w:hAnsi="Times New Roman" w:eastAsia="仿宋" w:cs="Times New Roman"/>
                      <w:b/>
                      <w:sz w:val="18"/>
                      <w:szCs w:val="18"/>
                    </w:rPr>
                  </w:pPr>
                </w:p>
              </w:tc>
              <w:tc>
                <w:tcPr>
                  <w:tcW w:w="436" w:type="dxa"/>
                  <w:vMerge w:val="continue"/>
                  <w:vAlign w:val="center"/>
                </w:tcPr>
                <w:p w14:paraId="5E50EDD2">
                  <w:pPr>
                    <w:jc w:val="center"/>
                    <w:rPr>
                      <w:rFonts w:hint="default" w:ascii="Times New Roman" w:hAnsi="Times New Roman" w:eastAsia="仿宋" w:cs="Times New Roman"/>
                      <w:b/>
                      <w:sz w:val="18"/>
                      <w:szCs w:val="18"/>
                    </w:rPr>
                  </w:pPr>
                </w:p>
              </w:tc>
              <w:tc>
                <w:tcPr>
                  <w:tcW w:w="815" w:type="dxa"/>
                  <w:vMerge w:val="continue"/>
                  <w:vAlign w:val="center"/>
                </w:tcPr>
                <w:p w14:paraId="036F481A">
                  <w:pPr>
                    <w:jc w:val="center"/>
                    <w:rPr>
                      <w:rFonts w:hint="default" w:ascii="Times New Roman" w:hAnsi="Times New Roman" w:eastAsia="仿宋" w:cs="Times New Roman"/>
                      <w:b/>
                      <w:sz w:val="18"/>
                      <w:szCs w:val="18"/>
                    </w:rPr>
                  </w:pPr>
                </w:p>
              </w:tc>
              <w:tc>
                <w:tcPr>
                  <w:tcW w:w="634" w:type="dxa"/>
                  <w:vMerge w:val="continue"/>
                  <w:vAlign w:val="center"/>
                </w:tcPr>
                <w:p w14:paraId="75277ED8">
                  <w:pPr>
                    <w:jc w:val="center"/>
                    <w:rPr>
                      <w:rFonts w:hint="default" w:ascii="Times New Roman" w:hAnsi="Times New Roman" w:eastAsia="仿宋" w:cs="Times New Roman"/>
                      <w:b/>
                      <w:sz w:val="18"/>
                      <w:szCs w:val="18"/>
                    </w:rPr>
                  </w:pPr>
                </w:p>
              </w:tc>
              <w:tc>
                <w:tcPr>
                  <w:tcW w:w="406" w:type="dxa"/>
                  <w:vAlign w:val="center"/>
                </w:tcPr>
                <w:p w14:paraId="0304636D">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X</w:t>
                  </w:r>
                </w:p>
              </w:tc>
              <w:tc>
                <w:tcPr>
                  <w:tcW w:w="406" w:type="dxa"/>
                  <w:vAlign w:val="center"/>
                </w:tcPr>
                <w:p w14:paraId="4E8D2BAA">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Y</w:t>
                  </w:r>
                </w:p>
              </w:tc>
              <w:tc>
                <w:tcPr>
                  <w:tcW w:w="345" w:type="dxa"/>
                  <w:vAlign w:val="center"/>
                </w:tcPr>
                <w:p w14:paraId="09E643EF">
                  <w:pPr>
                    <w:jc w:val="center"/>
                    <w:rPr>
                      <w:rFonts w:hint="default" w:ascii="Times New Roman" w:hAnsi="Times New Roman" w:eastAsia="仿宋" w:cs="Times New Roman"/>
                      <w:b/>
                      <w:sz w:val="18"/>
                      <w:szCs w:val="18"/>
                    </w:rPr>
                  </w:pPr>
                  <w:r>
                    <w:rPr>
                      <w:rFonts w:hint="default" w:ascii="Times New Roman" w:hAnsi="Times New Roman" w:eastAsia="仿宋" w:cs="Times New Roman"/>
                      <w:b/>
                      <w:sz w:val="18"/>
                      <w:szCs w:val="18"/>
                    </w:rPr>
                    <w:t>Z</w:t>
                  </w:r>
                </w:p>
              </w:tc>
              <w:tc>
                <w:tcPr>
                  <w:tcW w:w="641" w:type="dxa"/>
                  <w:vMerge w:val="continue"/>
                  <w:vAlign w:val="center"/>
                </w:tcPr>
                <w:p w14:paraId="1C9470F1">
                  <w:pPr>
                    <w:jc w:val="center"/>
                    <w:rPr>
                      <w:rFonts w:hint="default" w:ascii="Times New Roman" w:hAnsi="Times New Roman" w:eastAsia="仿宋" w:cs="Times New Roman"/>
                      <w:b/>
                      <w:sz w:val="18"/>
                      <w:szCs w:val="18"/>
                    </w:rPr>
                  </w:pPr>
                </w:p>
              </w:tc>
              <w:tc>
                <w:tcPr>
                  <w:tcW w:w="789" w:type="dxa"/>
                  <w:vMerge w:val="continue"/>
                  <w:vAlign w:val="center"/>
                </w:tcPr>
                <w:p w14:paraId="1F1DE643">
                  <w:pPr>
                    <w:jc w:val="center"/>
                    <w:rPr>
                      <w:rFonts w:hint="default" w:ascii="Times New Roman" w:hAnsi="Times New Roman" w:eastAsia="仿宋" w:cs="Times New Roman"/>
                      <w:b/>
                      <w:sz w:val="18"/>
                      <w:szCs w:val="18"/>
                      <w:highlight w:val="yellow"/>
                    </w:rPr>
                  </w:pPr>
                </w:p>
              </w:tc>
              <w:tc>
                <w:tcPr>
                  <w:tcW w:w="737" w:type="dxa"/>
                  <w:vMerge w:val="continue"/>
                  <w:vAlign w:val="center"/>
                </w:tcPr>
                <w:p w14:paraId="13654D93">
                  <w:pPr>
                    <w:jc w:val="center"/>
                    <w:rPr>
                      <w:rFonts w:hint="default" w:ascii="Times New Roman" w:hAnsi="Times New Roman" w:eastAsia="仿宋" w:cs="Times New Roman"/>
                      <w:b/>
                      <w:sz w:val="18"/>
                      <w:szCs w:val="18"/>
                    </w:rPr>
                  </w:pPr>
                </w:p>
              </w:tc>
              <w:tc>
                <w:tcPr>
                  <w:tcW w:w="649" w:type="dxa"/>
                  <w:vMerge w:val="continue"/>
                  <w:vAlign w:val="center"/>
                </w:tcPr>
                <w:p w14:paraId="7D808AF6">
                  <w:pPr>
                    <w:jc w:val="center"/>
                    <w:rPr>
                      <w:rFonts w:hint="default" w:ascii="Times New Roman" w:hAnsi="Times New Roman" w:eastAsia="仿宋" w:cs="Times New Roman"/>
                      <w:b/>
                      <w:sz w:val="18"/>
                      <w:szCs w:val="18"/>
                    </w:rPr>
                  </w:pPr>
                </w:p>
              </w:tc>
              <w:tc>
                <w:tcPr>
                  <w:tcW w:w="818" w:type="dxa"/>
                  <w:vMerge w:val="continue"/>
                  <w:vAlign w:val="center"/>
                </w:tcPr>
                <w:p w14:paraId="4B5B0F88">
                  <w:pPr>
                    <w:jc w:val="center"/>
                    <w:rPr>
                      <w:rFonts w:hint="default" w:ascii="Times New Roman" w:hAnsi="Times New Roman" w:eastAsia="仿宋" w:cs="Times New Roman"/>
                      <w:b/>
                      <w:sz w:val="18"/>
                      <w:szCs w:val="18"/>
                    </w:rPr>
                  </w:pPr>
                </w:p>
              </w:tc>
              <w:tc>
                <w:tcPr>
                  <w:tcW w:w="766" w:type="dxa"/>
                  <w:shd w:val="clear" w:color="auto" w:fill="auto"/>
                  <w:vAlign w:val="center"/>
                </w:tcPr>
                <w:p w14:paraId="7D40596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仿宋" w:cs="Times New Roman"/>
                      <w:b/>
                      <w:color w:val="auto"/>
                      <w:kern w:val="2"/>
                      <w:sz w:val="18"/>
                      <w:szCs w:val="18"/>
                      <w:lang w:val="en-US" w:eastAsia="zh-CN" w:bidi="ar-SA"/>
                    </w:rPr>
                  </w:pPr>
                  <w:r>
                    <w:rPr>
                      <w:rFonts w:hint="default" w:ascii="Times New Roman" w:hAnsi="Times New Roman" w:eastAsia="仿宋" w:cs="Times New Roman"/>
                      <w:b/>
                      <w:color w:val="auto"/>
                      <w:sz w:val="18"/>
                      <w:szCs w:val="18"/>
                    </w:rPr>
                    <w:t>声压级/dB（A）</w:t>
                  </w:r>
                </w:p>
              </w:tc>
              <w:tc>
                <w:tcPr>
                  <w:tcW w:w="509" w:type="dxa"/>
                  <w:shd w:val="clear" w:color="auto" w:fill="auto"/>
                  <w:vAlign w:val="center"/>
                </w:tcPr>
                <w:p w14:paraId="1882997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仿宋" w:cs="Times New Roman"/>
                      <w:b/>
                      <w:color w:val="auto"/>
                      <w:kern w:val="2"/>
                      <w:sz w:val="18"/>
                      <w:szCs w:val="18"/>
                      <w:lang w:val="en-US" w:eastAsia="zh-CN" w:bidi="ar-SA"/>
                    </w:rPr>
                  </w:pPr>
                  <w:r>
                    <w:rPr>
                      <w:rFonts w:hint="default" w:ascii="Times New Roman" w:hAnsi="Times New Roman" w:eastAsia="仿宋" w:cs="Times New Roman"/>
                      <w:b/>
                      <w:color w:val="auto"/>
                      <w:sz w:val="18"/>
                      <w:szCs w:val="18"/>
                    </w:rPr>
                    <w:t>建筑物外距离</w:t>
                  </w:r>
                </w:p>
              </w:tc>
            </w:tr>
            <w:tr w14:paraId="0376F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49" w:type="dxa"/>
                  <w:vMerge w:val="restart"/>
                  <w:vAlign w:val="center"/>
                </w:tcPr>
                <w:p w14:paraId="78C3298F">
                  <w:pPr>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D6车间</w:t>
                  </w:r>
                </w:p>
              </w:tc>
              <w:tc>
                <w:tcPr>
                  <w:tcW w:w="436" w:type="dxa"/>
                  <w:vMerge w:val="restart"/>
                  <w:vAlign w:val="center"/>
                </w:tcPr>
                <w:p w14:paraId="23110812">
                  <w:pPr>
                    <w:jc w:val="center"/>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sz w:val="18"/>
                      <w:szCs w:val="18"/>
                      <w:lang w:val="en-US" w:eastAsia="zh-CN"/>
                    </w:rPr>
                    <w:t>注塑机</w:t>
                  </w:r>
                </w:p>
              </w:tc>
              <w:tc>
                <w:tcPr>
                  <w:tcW w:w="815" w:type="dxa"/>
                  <w:vMerge w:val="restart"/>
                  <w:vAlign w:val="center"/>
                </w:tcPr>
                <w:p w14:paraId="02E56760">
                  <w:pPr>
                    <w:jc w:val="center"/>
                    <w:rPr>
                      <w:rFonts w:hint="default" w:ascii="Times New Roman" w:hAnsi="Times New Roman" w:eastAsia="仿宋" w:cs="Times New Roman"/>
                      <w:kern w:val="0"/>
                      <w:sz w:val="18"/>
                      <w:szCs w:val="18"/>
                      <w:lang w:eastAsia="zh-CN"/>
                    </w:rPr>
                  </w:pPr>
                  <w:r>
                    <w:rPr>
                      <w:rFonts w:hint="default" w:ascii="Times New Roman" w:hAnsi="Times New Roman" w:eastAsia="仿宋" w:cs="Times New Roman"/>
                      <w:kern w:val="0"/>
                      <w:sz w:val="18"/>
                      <w:szCs w:val="18"/>
                    </w:rPr>
                    <w:t>8</w:t>
                  </w:r>
                  <w:r>
                    <w:rPr>
                      <w:rFonts w:hint="default" w:ascii="Times New Roman" w:hAnsi="Times New Roman" w:eastAsia="仿宋" w:cs="Times New Roman"/>
                      <w:kern w:val="0"/>
                      <w:sz w:val="18"/>
                      <w:szCs w:val="18"/>
                      <w:lang w:val="en-US" w:eastAsia="zh-CN"/>
                    </w:rPr>
                    <w:t>0</w:t>
                  </w:r>
                </w:p>
              </w:tc>
              <w:tc>
                <w:tcPr>
                  <w:tcW w:w="634" w:type="dxa"/>
                  <w:vMerge w:val="restart"/>
                  <w:vAlign w:val="center"/>
                </w:tcPr>
                <w:p w14:paraId="35048925">
                  <w:pPr>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kern w:val="0"/>
                      <w:szCs w:val="21"/>
                      <w:lang w:val="en-US" w:eastAsia="zh-CN"/>
                    </w:rPr>
                    <w:t>3</w:t>
                  </w:r>
                </w:p>
              </w:tc>
              <w:tc>
                <w:tcPr>
                  <w:tcW w:w="406" w:type="dxa"/>
                  <w:vMerge w:val="restart"/>
                  <w:vAlign w:val="center"/>
                </w:tcPr>
                <w:p w14:paraId="1A155987">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23</w:t>
                  </w:r>
                </w:p>
              </w:tc>
              <w:tc>
                <w:tcPr>
                  <w:tcW w:w="406" w:type="dxa"/>
                  <w:vMerge w:val="restart"/>
                  <w:vAlign w:val="center"/>
                </w:tcPr>
                <w:p w14:paraId="32CB0E08">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16</w:t>
                  </w:r>
                </w:p>
              </w:tc>
              <w:tc>
                <w:tcPr>
                  <w:tcW w:w="345" w:type="dxa"/>
                  <w:vMerge w:val="restart"/>
                  <w:vAlign w:val="center"/>
                </w:tcPr>
                <w:p w14:paraId="1D125714">
                  <w:pPr>
                    <w:jc w:val="center"/>
                    <w:rPr>
                      <w:rFonts w:hint="default" w:ascii="Times New Roman" w:hAnsi="Times New Roman" w:eastAsia="仿宋" w:cs="Times New Roman"/>
                      <w:sz w:val="18"/>
                      <w:szCs w:val="18"/>
                      <w:lang w:eastAsia="zh-CN"/>
                    </w:rPr>
                  </w:pPr>
                  <w:r>
                    <w:rPr>
                      <w:rFonts w:hint="default" w:ascii="Times New Roman" w:hAnsi="Times New Roman" w:eastAsia="仿宋" w:cs="Times New Roman"/>
                      <w:sz w:val="18"/>
                      <w:szCs w:val="18"/>
                      <w:lang w:val="en-US" w:eastAsia="zh-CN"/>
                    </w:rPr>
                    <w:t>1</w:t>
                  </w:r>
                </w:p>
              </w:tc>
              <w:tc>
                <w:tcPr>
                  <w:tcW w:w="641" w:type="dxa"/>
                  <w:vMerge w:val="restart"/>
                  <w:vAlign w:val="center"/>
                </w:tcPr>
                <w:p w14:paraId="3A692317">
                  <w:pPr>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减振、厂房隔声</w:t>
                  </w:r>
                </w:p>
              </w:tc>
              <w:tc>
                <w:tcPr>
                  <w:tcW w:w="789" w:type="dxa"/>
                  <w:vAlign w:val="center"/>
                </w:tcPr>
                <w:p w14:paraId="5601D70B">
                  <w:pPr>
                    <w:jc w:val="center"/>
                    <w:rPr>
                      <w:rFonts w:hint="default" w:ascii="Times New Roman" w:hAnsi="Times New Roman" w:eastAsia="仿宋" w:cs="Times New Roman"/>
                      <w:bCs/>
                      <w:sz w:val="18"/>
                      <w:szCs w:val="18"/>
                      <w:highlight w:val="yellow"/>
                      <w:lang w:val="en-US" w:eastAsia="zh-CN"/>
                    </w:rPr>
                  </w:pPr>
                  <w:r>
                    <w:rPr>
                      <w:rFonts w:hint="default" w:ascii="Times New Roman" w:hAnsi="Times New Roman" w:eastAsia="仿宋" w:cs="Times New Roman"/>
                      <w:bCs/>
                      <w:sz w:val="18"/>
                      <w:szCs w:val="18"/>
                    </w:rPr>
                    <w:t>东，</w:t>
                  </w:r>
                  <w:r>
                    <w:rPr>
                      <w:rFonts w:hint="eastAsia" w:eastAsia="仿宋" w:cs="Times New Roman"/>
                      <w:bCs/>
                      <w:sz w:val="18"/>
                      <w:szCs w:val="18"/>
                      <w:lang w:val="en-US" w:eastAsia="zh-CN"/>
                    </w:rPr>
                    <w:t>16</w:t>
                  </w:r>
                </w:p>
              </w:tc>
              <w:tc>
                <w:tcPr>
                  <w:tcW w:w="737" w:type="dxa"/>
                  <w:vAlign w:val="center"/>
                </w:tcPr>
                <w:p w14:paraId="2E8D0876">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74.3</w:t>
                  </w:r>
                </w:p>
              </w:tc>
              <w:tc>
                <w:tcPr>
                  <w:tcW w:w="649" w:type="dxa"/>
                  <w:vMerge w:val="restart"/>
                  <w:vAlign w:val="center"/>
                </w:tcPr>
                <w:p w14:paraId="5ECBD40D">
                  <w:pPr>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0:00-</w:t>
                  </w:r>
                </w:p>
                <w:p w14:paraId="4462D6F2">
                  <w:pPr>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23:59</w:t>
                  </w:r>
                </w:p>
              </w:tc>
              <w:tc>
                <w:tcPr>
                  <w:tcW w:w="818" w:type="dxa"/>
                  <w:vMerge w:val="restart"/>
                  <w:vAlign w:val="center"/>
                </w:tcPr>
                <w:p w14:paraId="506EA91B">
                  <w:pPr>
                    <w:jc w:val="center"/>
                    <w:rPr>
                      <w:rFonts w:hint="default" w:ascii="Times New Roman" w:hAnsi="Times New Roman" w:eastAsia="仿宋" w:cs="Times New Roman"/>
                      <w:sz w:val="18"/>
                      <w:szCs w:val="18"/>
                    </w:rPr>
                  </w:pPr>
                  <w:r>
                    <w:rPr>
                      <w:rFonts w:hint="default" w:ascii="Times New Roman" w:hAnsi="Times New Roman" w:eastAsia="仿宋" w:cs="Times New Roman"/>
                      <w:sz w:val="18"/>
                      <w:szCs w:val="18"/>
                    </w:rPr>
                    <w:t>31</w:t>
                  </w:r>
                </w:p>
              </w:tc>
              <w:tc>
                <w:tcPr>
                  <w:tcW w:w="766" w:type="dxa"/>
                  <w:shd w:val="clear" w:color="auto" w:fill="auto"/>
                  <w:vAlign w:val="bottom"/>
                </w:tcPr>
                <w:p w14:paraId="1AE9FB76">
                  <w:pPr>
                    <w:jc w:val="center"/>
                    <w:rPr>
                      <w:rFonts w:hint="default" w:ascii="Times New Roman" w:hAnsi="Times New Roman" w:eastAsia="仿宋" w:cs="Times New Roman"/>
                      <w:bCs/>
                      <w:sz w:val="18"/>
                      <w:szCs w:val="18"/>
                      <w:lang w:val="en-US" w:eastAsia="zh-CN"/>
                    </w:rPr>
                  </w:pPr>
                  <w:r>
                    <w:rPr>
                      <w:rFonts w:hint="eastAsia" w:eastAsia="仿宋" w:cs="Times New Roman"/>
                      <w:bCs/>
                      <w:sz w:val="18"/>
                      <w:szCs w:val="18"/>
                      <w:lang w:val="en-US" w:eastAsia="zh-CN"/>
                    </w:rPr>
                    <w:t>43.3</w:t>
                  </w:r>
                </w:p>
              </w:tc>
              <w:tc>
                <w:tcPr>
                  <w:tcW w:w="509" w:type="dxa"/>
                  <w:shd w:val="clear" w:color="auto" w:fill="auto"/>
                  <w:vAlign w:val="center"/>
                </w:tcPr>
                <w:p w14:paraId="03872736">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bCs/>
                      <w:color w:val="auto"/>
                      <w:sz w:val="18"/>
                      <w:szCs w:val="18"/>
                    </w:rPr>
                    <w:t>1m</w:t>
                  </w:r>
                </w:p>
              </w:tc>
            </w:tr>
            <w:tr w14:paraId="5BEDA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49" w:type="dxa"/>
                  <w:vMerge w:val="continue"/>
                  <w:vAlign w:val="center"/>
                </w:tcPr>
                <w:p w14:paraId="21F7F0A9">
                  <w:pPr>
                    <w:jc w:val="center"/>
                    <w:rPr>
                      <w:rFonts w:hint="default" w:ascii="Times New Roman" w:hAnsi="Times New Roman" w:eastAsia="仿宋" w:cs="Times New Roman"/>
                      <w:sz w:val="18"/>
                      <w:szCs w:val="18"/>
                    </w:rPr>
                  </w:pPr>
                </w:p>
              </w:tc>
              <w:tc>
                <w:tcPr>
                  <w:tcW w:w="436" w:type="dxa"/>
                  <w:vMerge w:val="continue"/>
                  <w:vAlign w:val="center"/>
                </w:tcPr>
                <w:p w14:paraId="22350A4B">
                  <w:pPr>
                    <w:jc w:val="center"/>
                    <w:rPr>
                      <w:rFonts w:hint="default" w:ascii="Times New Roman" w:hAnsi="Times New Roman" w:eastAsia="仿宋" w:cs="Times New Roman"/>
                      <w:sz w:val="18"/>
                      <w:szCs w:val="18"/>
                    </w:rPr>
                  </w:pPr>
                </w:p>
              </w:tc>
              <w:tc>
                <w:tcPr>
                  <w:tcW w:w="815" w:type="dxa"/>
                  <w:vMerge w:val="continue"/>
                  <w:vAlign w:val="center"/>
                </w:tcPr>
                <w:p w14:paraId="386FB6A0">
                  <w:pPr>
                    <w:jc w:val="center"/>
                    <w:rPr>
                      <w:rFonts w:hint="default" w:ascii="Times New Roman" w:hAnsi="Times New Roman" w:eastAsia="仿宋" w:cs="Times New Roman"/>
                      <w:kern w:val="0"/>
                      <w:sz w:val="18"/>
                      <w:szCs w:val="18"/>
                    </w:rPr>
                  </w:pPr>
                </w:p>
              </w:tc>
              <w:tc>
                <w:tcPr>
                  <w:tcW w:w="634" w:type="dxa"/>
                  <w:vMerge w:val="continue"/>
                  <w:vAlign w:val="center"/>
                </w:tcPr>
                <w:p w14:paraId="61092D3D">
                  <w:pPr>
                    <w:jc w:val="center"/>
                    <w:rPr>
                      <w:rFonts w:hint="default" w:ascii="Times New Roman" w:hAnsi="Times New Roman" w:eastAsia="仿宋" w:cs="Times New Roman"/>
                      <w:sz w:val="18"/>
                      <w:szCs w:val="18"/>
                    </w:rPr>
                  </w:pPr>
                </w:p>
              </w:tc>
              <w:tc>
                <w:tcPr>
                  <w:tcW w:w="406" w:type="dxa"/>
                  <w:vMerge w:val="continue"/>
                  <w:vAlign w:val="center"/>
                </w:tcPr>
                <w:p w14:paraId="468AE023">
                  <w:pPr>
                    <w:jc w:val="center"/>
                    <w:rPr>
                      <w:rFonts w:hint="default" w:ascii="Times New Roman" w:hAnsi="Times New Roman" w:eastAsia="仿宋" w:cs="Times New Roman"/>
                      <w:sz w:val="18"/>
                      <w:szCs w:val="18"/>
                    </w:rPr>
                  </w:pPr>
                </w:p>
              </w:tc>
              <w:tc>
                <w:tcPr>
                  <w:tcW w:w="406" w:type="dxa"/>
                  <w:vMerge w:val="continue"/>
                  <w:vAlign w:val="center"/>
                </w:tcPr>
                <w:p w14:paraId="48831D84">
                  <w:pPr>
                    <w:jc w:val="center"/>
                    <w:rPr>
                      <w:rFonts w:hint="default" w:ascii="Times New Roman" w:hAnsi="Times New Roman" w:eastAsia="仿宋" w:cs="Times New Roman"/>
                      <w:sz w:val="18"/>
                      <w:szCs w:val="18"/>
                    </w:rPr>
                  </w:pPr>
                </w:p>
              </w:tc>
              <w:tc>
                <w:tcPr>
                  <w:tcW w:w="345" w:type="dxa"/>
                  <w:vMerge w:val="continue"/>
                  <w:vAlign w:val="center"/>
                </w:tcPr>
                <w:p w14:paraId="760DB585">
                  <w:pPr>
                    <w:jc w:val="center"/>
                    <w:rPr>
                      <w:rFonts w:hint="default" w:ascii="Times New Roman" w:hAnsi="Times New Roman" w:eastAsia="仿宋" w:cs="Times New Roman"/>
                      <w:sz w:val="18"/>
                      <w:szCs w:val="18"/>
                    </w:rPr>
                  </w:pPr>
                </w:p>
              </w:tc>
              <w:tc>
                <w:tcPr>
                  <w:tcW w:w="641" w:type="dxa"/>
                  <w:vMerge w:val="continue"/>
                  <w:vAlign w:val="center"/>
                </w:tcPr>
                <w:p w14:paraId="56A95174">
                  <w:pPr>
                    <w:jc w:val="center"/>
                    <w:rPr>
                      <w:rFonts w:hint="default" w:ascii="Times New Roman" w:hAnsi="Times New Roman" w:eastAsia="仿宋" w:cs="Times New Roman"/>
                      <w:sz w:val="18"/>
                      <w:szCs w:val="18"/>
                    </w:rPr>
                  </w:pPr>
                </w:p>
              </w:tc>
              <w:tc>
                <w:tcPr>
                  <w:tcW w:w="789" w:type="dxa"/>
                  <w:vAlign w:val="center"/>
                </w:tcPr>
                <w:p w14:paraId="7B070A3F">
                  <w:pPr>
                    <w:jc w:val="center"/>
                    <w:rPr>
                      <w:rFonts w:hint="default" w:ascii="Times New Roman" w:hAnsi="Times New Roman" w:eastAsia="仿宋" w:cs="Times New Roman"/>
                      <w:bCs/>
                      <w:sz w:val="18"/>
                      <w:szCs w:val="18"/>
                      <w:highlight w:val="yellow"/>
                      <w:lang w:val="en-US" w:eastAsia="zh-CN"/>
                    </w:rPr>
                  </w:pPr>
                  <w:r>
                    <w:rPr>
                      <w:rFonts w:hint="default" w:ascii="Times New Roman" w:hAnsi="Times New Roman" w:eastAsia="仿宋" w:cs="Times New Roman"/>
                      <w:bCs/>
                      <w:sz w:val="18"/>
                      <w:szCs w:val="18"/>
                    </w:rPr>
                    <w:t>南，</w:t>
                  </w:r>
                  <w:r>
                    <w:rPr>
                      <w:rFonts w:hint="eastAsia" w:eastAsia="仿宋" w:cs="Times New Roman"/>
                      <w:bCs/>
                      <w:sz w:val="18"/>
                      <w:szCs w:val="18"/>
                      <w:lang w:val="en-US" w:eastAsia="zh-CN"/>
                    </w:rPr>
                    <w:t>16</w:t>
                  </w:r>
                </w:p>
              </w:tc>
              <w:tc>
                <w:tcPr>
                  <w:tcW w:w="737" w:type="dxa"/>
                  <w:vAlign w:val="center"/>
                </w:tcPr>
                <w:p w14:paraId="13138D5F">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74.3</w:t>
                  </w:r>
                </w:p>
              </w:tc>
              <w:tc>
                <w:tcPr>
                  <w:tcW w:w="649" w:type="dxa"/>
                  <w:vMerge w:val="continue"/>
                  <w:vAlign w:val="center"/>
                </w:tcPr>
                <w:p w14:paraId="57E8356B">
                  <w:pPr>
                    <w:jc w:val="center"/>
                    <w:rPr>
                      <w:rFonts w:hint="default" w:ascii="Times New Roman" w:hAnsi="Times New Roman" w:eastAsia="仿宋" w:cs="Times New Roman"/>
                      <w:sz w:val="18"/>
                      <w:szCs w:val="18"/>
                    </w:rPr>
                  </w:pPr>
                </w:p>
              </w:tc>
              <w:tc>
                <w:tcPr>
                  <w:tcW w:w="818" w:type="dxa"/>
                  <w:vMerge w:val="continue"/>
                  <w:vAlign w:val="center"/>
                </w:tcPr>
                <w:p w14:paraId="3B0DC729">
                  <w:pPr>
                    <w:jc w:val="center"/>
                    <w:rPr>
                      <w:rFonts w:hint="default" w:ascii="Times New Roman" w:hAnsi="Times New Roman" w:eastAsia="仿宋" w:cs="Times New Roman"/>
                      <w:sz w:val="18"/>
                      <w:szCs w:val="18"/>
                    </w:rPr>
                  </w:pPr>
                </w:p>
              </w:tc>
              <w:tc>
                <w:tcPr>
                  <w:tcW w:w="766" w:type="dxa"/>
                  <w:shd w:val="clear" w:color="auto" w:fill="auto"/>
                  <w:vAlign w:val="bottom"/>
                </w:tcPr>
                <w:p w14:paraId="4AA8325B">
                  <w:pPr>
                    <w:jc w:val="center"/>
                    <w:rPr>
                      <w:rFonts w:hint="default" w:ascii="Times New Roman" w:hAnsi="Times New Roman" w:eastAsia="仿宋" w:cs="Times New Roman"/>
                      <w:bCs/>
                      <w:sz w:val="18"/>
                      <w:szCs w:val="18"/>
                      <w:lang w:val="en-US" w:eastAsia="zh-CN"/>
                    </w:rPr>
                  </w:pPr>
                  <w:r>
                    <w:rPr>
                      <w:rFonts w:hint="eastAsia" w:eastAsia="仿宋" w:cs="Times New Roman"/>
                      <w:bCs/>
                      <w:sz w:val="18"/>
                      <w:szCs w:val="18"/>
                      <w:lang w:val="en-US" w:eastAsia="zh-CN"/>
                    </w:rPr>
                    <w:t>43.3</w:t>
                  </w:r>
                </w:p>
              </w:tc>
              <w:tc>
                <w:tcPr>
                  <w:tcW w:w="509" w:type="dxa"/>
                  <w:shd w:val="clear" w:color="auto" w:fill="auto"/>
                  <w:vAlign w:val="center"/>
                </w:tcPr>
                <w:p w14:paraId="1D8303E5">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bCs/>
                      <w:color w:val="auto"/>
                      <w:sz w:val="18"/>
                      <w:szCs w:val="18"/>
                    </w:rPr>
                    <w:t>1m</w:t>
                  </w:r>
                </w:p>
              </w:tc>
            </w:tr>
            <w:tr w14:paraId="60B3C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49" w:type="dxa"/>
                  <w:vMerge w:val="continue"/>
                  <w:vAlign w:val="center"/>
                </w:tcPr>
                <w:p w14:paraId="7EACB13D">
                  <w:pPr>
                    <w:jc w:val="center"/>
                    <w:rPr>
                      <w:rFonts w:hint="default" w:ascii="Times New Roman" w:hAnsi="Times New Roman" w:eastAsia="仿宋" w:cs="Times New Roman"/>
                      <w:sz w:val="18"/>
                      <w:szCs w:val="18"/>
                    </w:rPr>
                  </w:pPr>
                </w:p>
              </w:tc>
              <w:tc>
                <w:tcPr>
                  <w:tcW w:w="436" w:type="dxa"/>
                  <w:vMerge w:val="continue"/>
                  <w:vAlign w:val="center"/>
                </w:tcPr>
                <w:p w14:paraId="59328917">
                  <w:pPr>
                    <w:jc w:val="center"/>
                    <w:rPr>
                      <w:rFonts w:hint="default" w:ascii="Times New Roman" w:hAnsi="Times New Roman" w:eastAsia="仿宋" w:cs="Times New Roman"/>
                      <w:sz w:val="18"/>
                      <w:szCs w:val="18"/>
                    </w:rPr>
                  </w:pPr>
                </w:p>
              </w:tc>
              <w:tc>
                <w:tcPr>
                  <w:tcW w:w="815" w:type="dxa"/>
                  <w:vMerge w:val="continue"/>
                  <w:vAlign w:val="center"/>
                </w:tcPr>
                <w:p w14:paraId="79C59702">
                  <w:pPr>
                    <w:jc w:val="center"/>
                    <w:rPr>
                      <w:rFonts w:hint="default" w:ascii="Times New Roman" w:hAnsi="Times New Roman" w:eastAsia="仿宋" w:cs="Times New Roman"/>
                      <w:kern w:val="0"/>
                      <w:sz w:val="18"/>
                      <w:szCs w:val="18"/>
                    </w:rPr>
                  </w:pPr>
                </w:p>
              </w:tc>
              <w:tc>
                <w:tcPr>
                  <w:tcW w:w="634" w:type="dxa"/>
                  <w:vMerge w:val="continue"/>
                  <w:vAlign w:val="center"/>
                </w:tcPr>
                <w:p w14:paraId="7FD6FC83">
                  <w:pPr>
                    <w:jc w:val="center"/>
                    <w:rPr>
                      <w:rFonts w:hint="default" w:ascii="Times New Roman" w:hAnsi="Times New Roman" w:eastAsia="仿宋" w:cs="Times New Roman"/>
                      <w:sz w:val="18"/>
                      <w:szCs w:val="18"/>
                    </w:rPr>
                  </w:pPr>
                </w:p>
              </w:tc>
              <w:tc>
                <w:tcPr>
                  <w:tcW w:w="406" w:type="dxa"/>
                  <w:vMerge w:val="continue"/>
                  <w:vAlign w:val="center"/>
                </w:tcPr>
                <w:p w14:paraId="1A1B51A0">
                  <w:pPr>
                    <w:jc w:val="center"/>
                    <w:rPr>
                      <w:rFonts w:hint="default" w:ascii="Times New Roman" w:hAnsi="Times New Roman" w:eastAsia="仿宋" w:cs="Times New Roman"/>
                      <w:sz w:val="18"/>
                      <w:szCs w:val="18"/>
                    </w:rPr>
                  </w:pPr>
                </w:p>
              </w:tc>
              <w:tc>
                <w:tcPr>
                  <w:tcW w:w="406" w:type="dxa"/>
                  <w:vMerge w:val="continue"/>
                  <w:vAlign w:val="center"/>
                </w:tcPr>
                <w:p w14:paraId="796542D2">
                  <w:pPr>
                    <w:jc w:val="center"/>
                    <w:rPr>
                      <w:rFonts w:hint="default" w:ascii="Times New Roman" w:hAnsi="Times New Roman" w:eastAsia="仿宋" w:cs="Times New Roman"/>
                      <w:sz w:val="18"/>
                      <w:szCs w:val="18"/>
                    </w:rPr>
                  </w:pPr>
                </w:p>
              </w:tc>
              <w:tc>
                <w:tcPr>
                  <w:tcW w:w="345" w:type="dxa"/>
                  <w:vMerge w:val="continue"/>
                  <w:vAlign w:val="center"/>
                </w:tcPr>
                <w:p w14:paraId="78D9B98B">
                  <w:pPr>
                    <w:jc w:val="center"/>
                    <w:rPr>
                      <w:rFonts w:hint="default" w:ascii="Times New Roman" w:hAnsi="Times New Roman" w:eastAsia="仿宋" w:cs="Times New Roman"/>
                      <w:sz w:val="18"/>
                      <w:szCs w:val="18"/>
                    </w:rPr>
                  </w:pPr>
                </w:p>
              </w:tc>
              <w:tc>
                <w:tcPr>
                  <w:tcW w:w="641" w:type="dxa"/>
                  <w:vMerge w:val="continue"/>
                  <w:vAlign w:val="center"/>
                </w:tcPr>
                <w:p w14:paraId="5E74437C">
                  <w:pPr>
                    <w:jc w:val="center"/>
                    <w:rPr>
                      <w:rFonts w:hint="default" w:ascii="Times New Roman" w:hAnsi="Times New Roman" w:eastAsia="仿宋" w:cs="Times New Roman"/>
                      <w:sz w:val="18"/>
                      <w:szCs w:val="18"/>
                    </w:rPr>
                  </w:pPr>
                </w:p>
              </w:tc>
              <w:tc>
                <w:tcPr>
                  <w:tcW w:w="789" w:type="dxa"/>
                  <w:vAlign w:val="center"/>
                </w:tcPr>
                <w:p w14:paraId="274D495A">
                  <w:pPr>
                    <w:jc w:val="center"/>
                    <w:rPr>
                      <w:rFonts w:hint="default" w:ascii="Times New Roman" w:hAnsi="Times New Roman" w:eastAsia="仿宋" w:cs="Times New Roman"/>
                      <w:bCs/>
                      <w:sz w:val="18"/>
                      <w:szCs w:val="18"/>
                      <w:highlight w:val="yellow"/>
                      <w:lang w:val="en-US" w:eastAsia="zh-CN"/>
                    </w:rPr>
                  </w:pPr>
                  <w:r>
                    <w:rPr>
                      <w:rFonts w:hint="default" w:ascii="Times New Roman" w:hAnsi="Times New Roman" w:eastAsia="仿宋" w:cs="Times New Roman"/>
                      <w:bCs/>
                      <w:sz w:val="18"/>
                      <w:szCs w:val="18"/>
                    </w:rPr>
                    <w:t>西，</w:t>
                  </w:r>
                  <w:r>
                    <w:rPr>
                      <w:rFonts w:hint="eastAsia" w:eastAsia="仿宋" w:cs="Times New Roman"/>
                      <w:bCs/>
                      <w:sz w:val="18"/>
                      <w:szCs w:val="18"/>
                      <w:lang w:val="en-US" w:eastAsia="zh-CN"/>
                    </w:rPr>
                    <w:t>23</w:t>
                  </w:r>
                </w:p>
              </w:tc>
              <w:tc>
                <w:tcPr>
                  <w:tcW w:w="737" w:type="dxa"/>
                  <w:vAlign w:val="center"/>
                </w:tcPr>
                <w:p w14:paraId="5140EB39">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74.3</w:t>
                  </w:r>
                </w:p>
              </w:tc>
              <w:tc>
                <w:tcPr>
                  <w:tcW w:w="649" w:type="dxa"/>
                  <w:vMerge w:val="continue"/>
                  <w:vAlign w:val="center"/>
                </w:tcPr>
                <w:p w14:paraId="1FDB485E">
                  <w:pPr>
                    <w:jc w:val="center"/>
                    <w:rPr>
                      <w:rFonts w:hint="default" w:ascii="Times New Roman" w:hAnsi="Times New Roman" w:eastAsia="仿宋" w:cs="Times New Roman"/>
                      <w:sz w:val="18"/>
                      <w:szCs w:val="18"/>
                    </w:rPr>
                  </w:pPr>
                </w:p>
              </w:tc>
              <w:tc>
                <w:tcPr>
                  <w:tcW w:w="818" w:type="dxa"/>
                  <w:vMerge w:val="continue"/>
                  <w:vAlign w:val="center"/>
                </w:tcPr>
                <w:p w14:paraId="304027A3">
                  <w:pPr>
                    <w:jc w:val="center"/>
                    <w:rPr>
                      <w:rFonts w:hint="default" w:ascii="Times New Roman" w:hAnsi="Times New Roman" w:eastAsia="仿宋" w:cs="Times New Roman"/>
                      <w:sz w:val="18"/>
                      <w:szCs w:val="18"/>
                    </w:rPr>
                  </w:pPr>
                </w:p>
              </w:tc>
              <w:tc>
                <w:tcPr>
                  <w:tcW w:w="766" w:type="dxa"/>
                  <w:shd w:val="clear" w:color="auto" w:fill="auto"/>
                  <w:vAlign w:val="bottom"/>
                </w:tcPr>
                <w:p w14:paraId="70801BE4">
                  <w:pPr>
                    <w:jc w:val="center"/>
                    <w:rPr>
                      <w:rFonts w:hint="default" w:ascii="Times New Roman" w:hAnsi="Times New Roman" w:eastAsia="仿宋" w:cs="Times New Roman"/>
                      <w:bCs/>
                      <w:sz w:val="18"/>
                      <w:szCs w:val="18"/>
                      <w:lang w:val="en-US" w:eastAsia="zh-CN"/>
                    </w:rPr>
                  </w:pPr>
                  <w:r>
                    <w:rPr>
                      <w:rFonts w:hint="eastAsia" w:eastAsia="仿宋" w:cs="Times New Roman"/>
                      <w:bCs/>
                      <w:sz w:val="18"/>
                      <w:szCs w:val="18"/>
                      <w:lang w:val="en-US" w:eastAsia="zh-CN"/>
                    </w:rPr>
                    <w:t>43.3</w:t>
                  </w:r>
                </w:p>
              </w:tc>
              <w:tc>
                <w:tcPr>
                  <w:tcW w:w="509" w:type="dxa"/>
                  <w:shd w:val="clear" w:color="auto" w:fill="auto"/>
                  <w:vAlign w:val="center"/>
                </w:tcPr>
                <w:p w14:paraId="40547CFE">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bCs/>
                      <w:color w:val="auto"/>
                      <w:sz w:val="18"/>
                      <w:szCs w:val="18"/>
                    </w:rPr>
                    <w:t>1m</w:t>
                  </w:r>
                </w:p>
              </w:tc>
            </w:tr>
            <w:tr w14:paraId="037AA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49" w:type="dxa"/>
                  <w:vMerge w:val="continue"/>
                  <w:vAlign w:val="center"/>
                </w:tcPr>
                <w:p w14:paraId="2CDFC9DE">
                  <w:pPr>
                    <w:jc w:val="center"/>
                    <w:rPr>
                      <w:rFonts w:hint="default" w:ascii="Times New Roman" w:hAnsi="Times New Roman" w:eastAsia="仿宋" w:cs="Times New Roman"/>
                      <w:sz w:val="18"/>
                      <w:szCs w:val="18"/>
                      <w:lang w:eastAsia="zh-CN"/>
                    </w:rPr>
                  </w:pPr>
                </w:p>
              </w:tc>
              <w:tc>
                <w:tcPr>
                  <w:tcW w:w="436" w:type="dxa"/>
                  <w:vMerge w:val="continue"/>
                  <w:vAlign w:val="center"/>
                </w:tcPr>
                <w:p w14:paraId="0D2829FA">
                  <w:pPr>
                    <w:jc w:val="center"/>
                    <w:rPr>
                      <w:rFonts w:hint="default" w:ascii="Times New Roman" w:hAnsi="Times New Roman" w:eastAsia="仿宋" w:cs="Times New Roman"/>
                      <w:sz w:val="18"/>
                      <w:szCs w:val="18"/>
                    </w:rPr>
                  </w:pPr>
                </w:p>
              </w:tc>
              <w:tc>
                <w:tcPr>
                  <w:tcW w:w="815" w:type="dxa"/>
                  <w:vMerge w:val="continue"/>
                  <w:vAlign w:val="center"/>
                </w:tcPr>
                <w:p w14:paraId="52B05E0C">
                  <w:pPr>
                    <w:jc w:val="center"/>
                    <w:rPr>
                      <w:rFonts w:hint="default" w:ascii="Times New Roman" w:hAnsi="Times New Roman" w:eastAsia="仿宋" w:cs="Times New Roman"/>
                      <w:kern w:val="0"/>
                      <w:sz w:val="18"/>
                      <w:szCs w:val="18"/>
                    </w:rPr>
                  </w:pPr>
                </w:p>
              </w:tc>
              <w:tc>
                <w:tcPr>
                  <w:tcW w:w="634" w:type="dxa"/>
                  <w:vMerge w:val="continue"/>
                  <w:vAlign w:val="center"/>
                </w:tcPr>
                <w:p w14:paraId="4D4639B8">
                  <w:pPr>
                    <w:jc w:val="center"/>
                    <w:rPr>
                      <w:rFonts w:hint="default" w:ascii="Times New Roman" w:hAnsi="Times New Roman" w:eastAsia="仿宋" w:cs="Times New Roman"/>
                      <w:sz w:val="18"/>
                      <w:szCs w:val="18"/>
                    </w:rPr>
                  </w:pPr>
                </w:p>
              </w:tc>
              <w:tc>
                <w:tcPr>
                  <w:tcW w:w="406" w:type="dxa"/>
                  <w:vMerge w:val="continue"/>
                  <w:vAlign w:val="center"/>
                </w:tcPr>
                <w:p w14:paraId="7A2DF43B">
                  <w:pPr>
                    <w:jc w:val="center"/>
                    <w:rPr>
                      <w:rFonts w:hint="default" w:ascii="Times New Roman" w:hAnsi="Times New Roman" w:eastAsia="仿宋" w:cs="Times New Roman"/>
                      <w:sz w:val="18"/>
                      <w:szCs w:val="18"/>
                    </w:rPr>
                  </w:pPr>
                </w:p>
              </w:tc>
              <w:tc>
                <w:tcPr>
                  <w:tcW w:w="406" w:type="dxa"/>
                  <w:vMerge w:val="continue"/>
                  <w:vAlign w:val="center"/>
                </w:tcPr>
                <w:p w14:paraId="0038F6C5">
                  <w:pPr>
                    <w:jc w:val="center"/>
                    <w:rPr>
                      <w:rFonts w:hint="default" w:ascii="Times New Roman" w:hAnsi="Times New Roman" w:eastAsia="仿宋" w:cs="Times New Roman"/>
                      <w:sz w:val="18"/>
                      <w:szCs w:val="18"/>
                    </w:rPr>
                  </w:pPr>
                </w:p>
              </w:tc>
              <w:tc>
                <w:tcPr>
                  <w:tcW w:w="345" w:type="dxa"/>
                  <w:vMerge w:val="continue"/>
                  <w:vAlign w:val="center"/>
                </w:tcPr>
                <w:p w14:paraId="522C9133">
                  <w:pPr>
                    <w:jc w:val="center"/>
                    <w:rPr>
                      <w:rFonts w:hint="default" w:ascii="Times New Roman" w:hAnsi="Times New Roman" w:eastAsia="仿宋" w:cs="Times New Roman"/>
                      <w:sz w:val="18"/>
                      <w:szCs w:val="18"/>
                    </w:rPr>
                  </w:pPr>
                </w:p>
              </w:tc>
              <w:tc>
                <w:tcPr>
                  <w:tcW w:w="641" w:type="dxa"/>
                  <w:vMerge w:val="continue"/>
                  <w:vAlign w:val="center"/>
                </w:tcPr>
                <w:p w14:paraId="01536724">
                  <w:pPr>
                    <w:jc w:val="center"/>
                    <w:rPr>
                      <w:rFonts w:hint="default" w:ascii="Times New Roman" w:hAnsi="Times New Roman" w:eastAsia="仿宋" w:cs="Times New Roman"/>
                      <w:sz w:val="18"/>
                      <w:szCs w:val="18"/>
                    </w:rPr>
                  </w:pPr>
                </w:p>
              </w:tc>
              <w:tc>
                <w:tcPr>
                  <w:tcW w:w="789" w:type="dxa"/>
                  <w:vAlign w:val="center"/>
                </w:tcPr>
                <w:p w14:paraId="2DFFD8D9">
                  <w:pPr>
                    <w:jc w:val="center"/>
                    <w:rPr>
                      <w:rFonts w:hint="default" w:ascii="Times New Roman" w:hAnsi="Times New Roman" w:eastAsia="仿宋" w:cs="Times New Roman"/>
                      <w:bCs/>
                      <w:sz w:val="18"/>
                      <w:szCs w:val="18"/>
                      <w:highlight w:val="yellow"/>
                      <w:lang w:val="en-US" w:eastAsia="zh-CN"/>
                    </w:rPr>
                  </w:pPr>
                  <w:r>
                    <w:rPr>
                      <w:rFonts w:hint="default" w:ascii="Times New Roman" w:hAnsi="Times New Roman" w:eastAsia="仿宋" w:cs="Times New Roman"/>
                      <w:bCs/>
                      <w:sz w:val="18"/>
                      <w:szCs w:val="18"/>
                    </w:rPr>
                    <w:t>北，</w:t>
                  </w:r>
                  <w:r>
                    <w:rPr>
                      <w:rFonts w:hint="eastAsia" w:eastAsia="仿宋" w:cs="Times New Roman"/>
                      <w:bCs/>
                      <w:sz w:val="18"/>
                      <w:szCs w:val="18"/>
                      <w:lang w:val="en-US" w:eastAsia="zh-CN"/>
                    </w:rPr>
                    <w:t>9</w:t>
                  </w:r>
                </w:p>
              </w:tc>
              <w:tc>
                <w:tcPr>
                  <w:tcW w:w="737" w:type="dxa"/>
                  <w:vAlign w:val="center"/>
                </w:tcPr>
                <w:p w14:paraId="715F00A6">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74.4</w:t>
                  </w:r>
                </w:p>
              </w:tc>
              <w:tc>
                <w:tcPr>
                  <w:tcW w:w="649" w:type="dxa"/>
                  <w:vMerge w:val="continue"/>
                  <w:vAlign w:val="center"/>
                </w:tcPr>
                <w:p w14:paraId="5292CD99">
                  <w:pPr>
                    <w:jc w:val="center"/>
                    <w:rPr>
                      <w:rFonts w:hint="default" w:ascii="Times New Roman" w:hAnsi="Times New Roman" w:eastAsia="仿宋" w:cs="Times New Roman"/>
                      <w:sz w:val="18"/>
                      <w:szCs w:val="18"/>
                    </w:rPr>
                  </w:pPr>
                </w:p>
              </w:tc>
              <w:tc>
                <w:tcPr>
                  <w:tcW w:w="818" w:type="dxa"/>
                  <w:vMerge w:val="continue"/>
                  <w:vAlign w:val="center"/>
                </w:tcPr>
                <w:p w14:paraId="4C365DC9">
                  <w:pPr>
                    <w:jc w:val="center"/>
                    <w:rPr>
                      <w:rFonts w:hint="default" w:ascii="Times New Roman" w:hAnsi="Times New Roman" w:eastAsia="仿宋" w:cs="Times New Roman"/>
                      <w:sz w:val="18"/>
                      <w:szCs w:val="18"/>
                    </w:rPr>
                  </w:pPr>
                </w:p>
              </w:tc>
              <w:tc>
                <w:tcPr>
                  <w:tcW w:w="766" w:type="dxa"/>
                  <w:shd w:val="clear" w:color="auto" w:fill="auto"/>
                  <w:vAlign w:val="bottom"/>
                </w:tcPr>
                <w:p w14:paraId="6B4A5BB3">
                  <w:pPr>
                    <w:jc w:val="center"/>
                    <w:rPr>
                      <w:rFonts w:hint="default" w:ascii="Times New Roman" w:hAnsi="Times New Roman" w:eastAsia="仿宋" w:cs="Times New Roman"/>
                      <w:bCs/>
                      <w:sz w:val="18"/>
                      <w:szCs w:val="18"/>
                      <w:lang w:val="en-US" w:eastAsia="zh-CN"/>
                    </w:rPr>
                  </w:pPr>
                  <w:r>
                    <w:rPr>
                      <w:rFonts w:hint="eastAsia" w:eastAsia="仿宋" w:cs="Times New Roman"/>
                      <w:bCs/>
                      <w:sz w:val="18"/>
                      <w:szCs w:val="18"/>
                      <w:lang w:val="en-US" w:eastAsia="zh-CN"/>
                    </w:rPr>
                    <w:t>43.4</w:t>
                  </w:r>
                </w:p>
              </w:tc>
              <w:tc>
                <w:tcPr>
                  <w:tcW w:w="509" w:type="dxa"/>
                  <w:shd w:val="clear" w:color="auto" w:fill="auto"/>
                  <w:vAlign w:val="center"/>
                </w:tcPr>
                <w:p w14:paraId="59CD34D3">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bCs/>
                      <w:color w:val="auto"/>
                      <w:sz w:val="18"/>
                      <w:szCs w:val="18"/>
                    </w:rPr>
                    <w:t>1m</w:t>
                  </w:r>
                </w:p>
              </w:tc>
            </w:tr>
            <w:tr w14:paraId="0B7B3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49" w:type="dxa"/>
                  <w:vMerge w:val="continue"/>
                  <w:vAlign w:val="center"/>
                </w:tcPr>
                <w:p w14:paraId="316267EA">
                  <w:pPr>
                    <w:jc w:val="center"/>
                    <w:rPr>
                      <w:rFonts w:hint="default" w:ascii="Times New Roman" w:hAnsi="Times New Roman" w:eastAsia="仿宋" w:cs="Times New Roman"/>
                      <w:sz w:val="18"/>
                      <w:szCs w:val="18"/>
                    </w:rPr>
                  </w:pPr>
                </w:p>
              </w:tc>
              <w:tc>
                <w:tcPr>
                  <w:tcW w:w="436" w:type="dxa"/>
                  <w:vMerge w:val="restart"/>
                  <w:vAlign w:val="center"/>
                </w:tcPr>
                <w:p w14:paraId="134E014B">
                  <w:pPr>
                    <w:jc w:val="center"/>
                    <w:rPr>
                      <w:rFonts w:hint="default" w:ascii="Times New Roman" w:hAnsi="Times New Roman" w:eastAsia="仿宋" w:cs="Times New Roman"/>
                      <w:sz w:val="18"/>
                      <w:szCs w:val="18"/>
                      <w:lang w:eastAsia="zh-CN"/>
                    </w:rPr>
                  </w:pPr>
                  <w:r>
                    <w:rPr>
                      <w:rFonts w:hint="default" w:ascii="Times New Roman" w:hAnsi="Times New Roman" w:eastAsia="仿宋" w:cs="Times New Roman"/>
                      <w:sz w:val="18"/>
                      <w:szCs w:val="18"/>
                      <w:lang w:val="en-US" w:eastAsia="zh-CN"/>
                    </w:rPr>
                    <w:t>筛毛机</w:t>
                  </w:r>
                </w:p>
              </w:tc>
              <w:tc>
                <w:tcPr>
                  <w:tcW w:w="815" w:type="dxa"/>
                  <w:vMerge w:val="restart"/>
                  <w:vAlign w:val="center"/>
                </w:tcPr>
                <w:p w14:paraId="09ACC859">
                  <w:pPr>
                    <w:jc w:val="center"/>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80</w:t>
                  </w:r>
                </w:p>
              </w:tc>
              <w:tc>
                <w:tcPr>
                  <w:tcW w:w="634" w:type="dxa"/>
                  <w:vMerge w:val="restart"/>
                  <w:vAlign w:val="center"/>
                </w:tcPr>
                <w:p w14:paraId="402F4F2C">
                  <w:pPr>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2</w:t>
                  </w:r>
                </w:p>
              </w:tc>
              <w:tc>
                <w:tcPr>
                  <w:tcW w:w="406" w:type="dxa"/>
                  <w:vMerge w:val="restart"/>
                  <w:vAlign w:val="center"/>
                </w:tcPr>
                <w:p w14:paraId="63944B8B">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28</w:t>
                  </w:r>
                </w:p>
              </w:tc>
              <w:tc>
                <w:tcPr>
                  <w:tcW w:w="406" w:type="dxa"/>
                  <w:vMerge w:val="restart"/>
                  <w:vAlign w:val="center"/>
                </w:tcPr>
                <w:p w14:paraId="7764C0DB">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6</w:t>
                  </w:r>
                </w:p>
              </w:tc>
              <w:tc>
                <w:tcPr>
                  <w:tcW w:w="345" w:type="dxa"/>
                  <w:vMerge w:val="restart"/>
                  <w:vAlign w:val="center"/>
                </w:tcPr>
                <w:p w14:paraId="53CC50BC">
                  <w:pPr>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1</w:t>
                  </w:r>
                </w:p>
              </w:tc>
              <w:tc>
                <w:tcPr>
                  <w:tcW w:w="641" w:type="dxa"/>
                  <w:vMerge w:val="continue"/>
                  <w:vAlign w:val="center"/>
                </w:tcPr>
                <w:p w14:paraId="0677CE85">
                  <w:pPr>
                    <w:jc w:val="center"/>
                    <w:rPr>
                      <w:rFonts w:hint="default" w:ascii="Times New Roman" w:hAnsi="Times New Roman" w:eastAsia="仿宋" w:cs="Times New Roman"/>
                      <w:sz w:val="18"/>
                      <w:szCs w:val="18"/>
                    </w:rPr>
                  </w:pPr>
                </w:p>
              </w:tc>
              <w:tc>
                <w:tcPr>
                  <w:tcW w:w="789" w:type="dxa"/>
                  <w:vAlign w:val="center"/>
                </w:tcPr>
                <w:p w14:paraId="23C39E18">
                  <w:pPr>
                    <w:jc w:val="center"/>
                    <w:rPr>
                      <w:rFonts w:hint="default" w:ascii="Times New Roman" w:hAnsi="Times New Roman" w:eastAsia="仿宋" w:cs="Times New Roman"/>
                      <w:bCs/>
                      <w:sz w:val="18"/>
                      <w:szCs w:val="18"/>
                      <w:highlight w:val="yellow"/>
                      <w:lang w:val="en-US" w:eastAsia="zh-CN"/>
                    </w:rPr>
                  </w:pPr>
                  <w:r>
                    <w:rPr>
                      <w:rFonts w:hint="default" w:ascii="Times New Roman" w:hAnsi="Times New Roman" w:eastAsia="仿宋" w:cs="Times New Roman"/>
                      <w:bCs/>
                      <w:sz w:val="18"/>
                      <w:szCs w:val="18"/>
                    </w:rPr>
                    <w:t>东，</w:t>
                  </w:r>
                  <w:r>
                    <w:rPr>
                      <w:rFonts w:hint="default" w:ascii="Times New Roman" w:hAnsi="Times New Roman" w:eastAsia="仿宋" w:cs="Times New Roman"/>
                      <w:bCs/>
                      <w:sz w:val="18"/>
                      <w:szCs w:val="18"/>
                      <w:lang w:val="en-US" w:eastAsia="zh-CN"/>
                    </w:rPr>
                    <w:t>10</w:t>
                  </w:r>
                </w:p>
              </w:tc>
              <w:tc>
                <w:tcPr>
                  <w:tcW w:w="737" w:type="dxa"/>
                  <w:vAlign w:val="center"/>
                </w:tcPr>
                <w:p w14:paraId="731A8937">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73.3</w:t>
                  </w:r>
                </w:p>
              </w:tc>
              <w:tc>
                <w:tcPr>
                  <w:tcW w:w="649" w:type="dxa"/>
                  <w:vMerge w:val="continue"/>
                  <w:vAlign w:val="center"/>
                </w:tcPr>
                <w:p w14:paraId="2D92C580">
                  <w:pPr>
                    <w:jc w:val="center"/>
                    <w:rPr>
                      <w:rFonts w:hint="default" w:ascii="Times New Roman" w:hAnsi="Times New Roman" w:eastAsia="仿宋" w:cs="Times New Roman"/>
                      <w:sz w:val="18"/>
                      <w:szCs w:val="18"/>
                    </w:rPr>
                  </w:pPr>
                </w:p>
              </w:tc>
              <w:tc>
                <w:tcPr>
                  <w:tcW w:w="818" w:type="dxa"/>
                  <w:vMerge w:val="continue"/>
                  <w:vAlign w:val="center"/>
                </w:tcPr>
                <w:p w14:paraId="18D3D092">
                  <w:pPr>
                    <w:jc w:val="center"/>
                    <w:rPr>
                      <w:rFonts w:hint="default" w:ascii="Times New Roman" w:hAnsi="Times New Roman" w:eastAsia="仿宋" w:cs="Times New Roman"/>
                      <w:sz w:val="18"/>
                      <w:szCs w:val="18"/>
                    </w:rPr>
                  </w:pPr>
                </w:p>
              </w:tc>
              <w:tc>
                <w:tcPr>
                  <w:tcW w:w="766" w:type="dxa"/>
                  <w:shd w:val="clear" w:color="auto" w:fill="auto"/>
                  <w:vAlign w:val="bottom"/>
                </w:tcPr>
                <w:p w14:paraId="381C7ADC">
                  <w:pPr>
                    <w:jc w:val="center"/>
                    <w:rPr>
                      <w:rFonts w:hint="default" w:ascii="Times New Roman" w:hAnsi="Times New Roman" w:eastAsia="仿宋" w:cs="Times New Roman"/>
                      <w:bCs/>
                      <w:sz w:val="18"/>
                      <w:szCs w:val="18"/>
                      <w:lang w:val="en-US" w:eastAsia="zh-CN"/>
                    </w:rPr>
                  </w:pPr>
                  <w:r>
                    <w:rPr>
                      <w:rFonts w:hint="eastAsia" w:eastAsia="仿宋" w:cs="Times New Roman"/>
                      <w:bCs/>
                      <w:sz w:val="18"/>
                      <w:szCs w:val="18"/>
                      <w:lang w:val="en-US" w:eastAsia="zh-CN"/>
                    </w:rPr>
                    <w:t>42.3</w:t>
                  </w:r>
                </w:p>
              </w:tc>
              <w:tc>
                <w:tcPr>
                  <w:tcW w:w="509" w:type="dxa"/>
                  <w:shd w:val="clear" w:color="auto" w:fill="auto"/>
                  <w:vAlign w:val="center"/>
                </w:tcPr>
                <w:p w14:paraId="044CA04A">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bCs/>
                      <w:color w:val="auto"/>
                      <w:sz w:val="18"/>
                      <w:szCs w:val="18"/>
                    </w:rPr>
                    <w:t>1m</w:t>
                  </w:r>
                </w:p>
              </w:tc>
            </w:tr>
            <w:tr w14:paraId="37F04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49" w:type="dxa"/>
                  <w:vMerge w:val="continue"/>
                  <w:vAlign w:val="center"/>
                </w:tcPr>
                <w:p w14:paraId="554671FD">
                  <w:pPr>
                    <w:jc w:val="center"/>
                    <w:rPr>
                      <w:rFonts w:hint="default" w:ascii="Times New Roman" w:hAnsi="Times New Roman" w:eastAsia="仿宋" w:cs="Times New Roman"/>
                      <w:sz w:val="18"/>
                      <w:szCs w:val="18"/>
                    </w:rPr>
                  </w:pPr>
                </w:p>
              </w:tc>
              <w:tc>
                <w:tcPr>
                  <w:tcW w:w="436" w:type="dxa"/>
                  <w:vMerge w:val="continue"/>
                  <w:vAlign w:val="center"/>
                </w:tcPr>
                <w:p w14:paraId="77EE80B8">
                  <w:pPr>
                    <w:jc w:val="center"/>
                    <w:rPr>
                      <w:rFonts w:hint="default" w:ascii="Times New Roman" w:hAnsi="Times New Roman" w:eastAsia="仿宋" w:cs="Times New Roman"/>
                      <w:sz w:val="18"/>
                      <w:szCs w:val="18"/>
                    </w:rPr>
                  </w:pPr>
                </w:p>
              </w:tc>
              <w:tc>
                <w:tcPr>
                  <w:tcW w:w="815" w:type="dxa"/>
                  <w:vMerge w:val="continue"/>
                  <w:vAlign w:val="center"/>
                </w:tcPr>
                <w:p w14:paraId="242521CB">
                  <w:pPr>
                    <w:jc w:val="center"/>
                    <w:rPr>
                      <w:rFonts w:hint="default" w:ascii="Times New Roman" w:hAnsi="Times New Roman" w:eastAsia="仿宋" w:cs="Times New Roman"/>
                      <w:kern w:val="0"/>
                      <w:sz w:val="18"/>
                      <w:szCs w:val="18"/>
                    </w:rPr>
                  </w:pPr>
                </w:p>
              </w:tc>
              <w:tc>
                <w:tcPr>
                  <w:tcW w:w="634" w:type="dxa"/>
                  <w:vMerge w:val="continue"/>
                  <w:vAlign w:val="center"/>
                </w:tcPr>
                <w:p w14:paraId="0010D34C">
                  <w:pPr>
                    <w:jc w:val="center"/>
                    <w:rPr>
                      <w:rFonts w:hint="default" w:ascii="Times New Roman" w:hAnsi="Times New Roman" w:eastAsia="仿宋" w:cs="Times New Roman"/>
                      <w:sz w:val="18"/>
                      <w:szCs w:val="18"/>
                    </w:rPr>
                  </w:pPr>
                </w:p>
              </w:tc>
              <w:tc>
                <w:tcPr>
                  <w:tcW w:w="406" w:type="dxa"/>
                  <w:vMerge w:val="continue"/>
                  <w:vAlign w:val="center"/>
                </w:tcPr>
                <w:p w14:paraId="7D943448">
                  <w:pPr>
                    <w:jc w:val="center"/>
                    <w:rPr>
                      <w:rFonts w:hint="default" w:ascii="Times New Roman" w:hAnsi="Times New Roman" w:eastAsia="仿宋" w:cs="Times New Roman"/>
                      <w:sz w:val="18"/>
                      <w:szCs w:val="18"/>
                    </w:rPr>
                  </w:pPr>
                </w:p>
              </w:tc>
              <w:tc>
                <w:tcPr>
                  <w:tcW w:w="406" w:type="dxa"/>
                  <w:vMerge w:val="continue"/>
                  <w:vAlign w:val="center"/>
                </w:tcPr>
                <w:p w14:paraId="632E04EF">
                  <w:pPr>
                    <w:jc w:val="center"/>
                    <w:rPr>
                      <w:rFonts w:hint="default" w:ascii="Times New Roman" w:hAnsi="Times New Roman" w:eastAsia="仿宋" w:cs="Times New Roman"/>
                      <w:sz w:val="18"/>
                      <w:szCs w:val="18"/>
                    </w:rPr>
                  </w:pPr>
                </w:p>
              </w:tc>
              <w:tc>
                <w:tcPr>
                  <w:tcW w:w="345" w:type="dxa"/>
                  <w:vMerge w:val="continue"/>
                  <w:vAlign w:val="center"/>
                </w:tcPr>
                <w:p w14:paraId="52CE5D25">
                  <w:pPr>
                    <w:jc w:val="center"/>
                    <w:rPr>
                      <w:rFonts w:hint="default" w:ascii="Times New Roman" w:hAnsi="Times New Roman" w:eastAsia="仿宋" w:cs="Times New Roman"/>
                      <w:sz w:val="18"/>
                      <w:szCs w:val="18"/>
                    </w:rPr>
                  </w:pPr>
                </w:p>
              </w:tc>
              <w:tc>
                <w:tcPr>
                  <w:tcW w:w="641" w:type="dxa"/>
                  <w:vMerge w:val="continue"/>
                  <w:vAlign w:val="center"/>
                </w:tcPr>
                <w:p w14:paraId="75241175">
                  <w:pPr>
                    <w:jc w:val="center"/>
                    <w:rPr>
                      <w:rFonts w:hint="default" w:ascii="Times New Roman" w:hAnsi="Times New Roman" w:eastAsia="仿宋" w:cs="Times New Roman"/>
                      <w:sz w:val="18"/>
                      <w:szCs w:val="18"/>
                    </w:rPr>
                  </w:pPr>
                </w:p>
              </w:tc>
              <w:tc>
                <w:tcPr>
                  <w:tcW w:w="789" w:type="dxa"/>
                  <w:vAlign w:val="center"/>
                </w:tcPr>
                <w:p w14:paraId="28334A30">
                  <w:pPr>
                    <w:jc w:val="center"/>
                    <w:rPr>
                      <w:rFonts w:hint="default" w:ascii="Times New Roman" w:hAnsi="Times New Roman" w:eastAsia="仿宋" w:cs="Times New Roman"/>
                      <w:bCs/>
                      <w:sz w:val="18"/>
                      <w:szCs w:val="18"/>
                      <w:highlight w:val="yellow"/>
                      <w:lang w:val="en-US" w:eastAsia="zh-CN"/>
                    </w:rPr>
                  </w:pPr>
                  <w:r>
                    <w:rPr>
                      <w:rFonts w:hint="default" w:ascii="Times New Roman" w:hAnsi="Times New Roman" w:eastAsia="仿宋" w:cs="Times New Roman"/>
                      <w:bCs/>
                      <w:sz w:val="18"/>
                      <w:szCs w:val="18"/>
                    </w:rPr>
                    <w:t>南，</w:t>
                  </w:r>
                  <w:r>
                    <w:rPr>
                      <w:rFonts w:hint="eastAsia" w:eastAsia="仿宋" w:cs="Times New Roman"/>
                      <w:bCs/>
                      <w:sz w:val="18"/>
                      <w:szCs w:val="18"/>
                      <w:lang w:val="en-US" w:eastAsia="zh-CN"/>
                    </w:rPr>
                    <w:t>6</w:t>
                  </w:r>
                </w:p>
              </w:tc>
              <w:tc>
                <w:tcPr>
                  <w:tcW w:w="737" w:type="dxa"/>
                  <w:vAlign w:val="center"/>
                </w:tcPr>
                <w:p w14:paraId="1C00DA6C">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73.5</w:t>
                  </w:r>
                </w:p>
              </w:tc>
              <w:tc>
                <w:tcPr>
                  <w:tcW w:w="649" w:type="dxa"/>
                  <w:vMerge w:val="continue"/>
                  <w:vAlign w:val="center"/>
                </w:tcPr>
                <w:p w14:paraId="5C1B5D69">
                  <w:pPr>
                    <w:jc w:val="center"/>
                    <w:rPr>
                      <w:rFonts w:hint="default" w:ascii="Times New Roman" w:hAnsi="Times New Roman" w:eastAsia="仿宋" w:cs="Times New Roman"/>
                      <w:sz w:val="18"/>
                      <w:szCs w:val="18"/>
                    </w:rPr>
                  </w:pPr>
                </w:p>
              </w:tc>
              <w:tc>
                <w:tcPr>
                  <w:tcW w:w="818" w:type="dxa"/>
                  <w:vMerge w:val="continue"/>
                  <w:vAlign w:val="center"/>
                </w:tcPr>
                <w:p w14:paraId="3E9DD176">
                  <w:pPr>
                    <w:jc w:val="center"/>
                    <w:rPr>
                      <w:rFonts w:hint="default" w:ascii="Times New Roman" w:hAnsi="Times New Roman" w:eastAsia="仿宋" w:cs="Times New Roman"/>
                      <w:sz w:val="18"/>
                      <w:szCs w:val="18"/>
                    </w:rPr>
                  </w:pPr>
                </w:p>
              </w:tc>
              <w:tc>
                <w:tcPr>
                  <w:tcW w:w="766" w:type="dxa"/>
                  <w:shd w:val="clear" w:color="auto" w:fill="auto"/>
                  <w:vAlign w:val="bottom"/>
                </w:tcPr>
                <w:p w14:paraId="40CA8F77">
                  <w:pPr>
                    <w:jc w:val="center"/>
                    <w:rPr>
                      <w:rFonts w:hint="default" w:ascii="Times New Roman" w:hAnsi="Times New Roman" w:eastAsia="仿宋" w:cs="Times New Roman"/>
                      <w:bCs/>
                      <w:sz w:val="18"/>
                      <w:szCs w:val="18"/>
                      <w:lang w:val="en-US" w:eastAsia="zh-CN"/>
                    </w:rPr>
                  </w:pPr>
                  <w:r>
                    <w:rPr>
                      <w:rFonts w:hint="eastAsia" w:eastAsia="仿宋" w:cs="Times New Roman"/>
                      <w:bCs/>
                      <w:sz w:val="18"/>
                      <w:szCs w:val="18"/>
                      <w:lang w:val="en-US" w:eastAsia="zh-CN"/>
                    </w:rPr>
                    <w:t>42.5</w:t>
                  </w:r>
                </w:p>
              </w:tc>
              <w:tc>
                <w:tcPr>
                  <w:tcW w:w="509" w:type="dxa"/>
                  <w:shd w:val="clear" w:color="auto" w:fill="auto"/>
                  <w:vAlign w:val="center"/>
                </w:tcPr>
                <w:p w14:paraId="56A48CD5">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bCs/>
                      <w:color w:val="auto"/>
                      <w:sz w:val="18"/>
                      <w:szCs w:val="18"/>
                    </w:rPr>
                    <w:t>1m</w:t>
                  </w:r>
                </w:p>
              </w:tc>
            </w:tr>
            <w:tr w14:paraId="5670B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49" w:type="dxa"/>
                  <w:vMerge w:val="continue"/>
                  <w:vAlign w:val="center"/>
                </w:tcPr>
                <w:p w14:paraId="10BA0AE3">
                  <w:pPr>
                    <w:jc w:val="center"/>
                    <w:rPr>
                      <w:rFonts w:hint="default" w:ascii="Times New Roman" w:hAnsi="Times New Roman" w:eastAsia="仿宋" w:cs="Times New Roman"/>
                      <w:sz w:val="18"/>
                      <w:szCs w:val="18"/>
                    </w:rPr>
                  </w:pPr>
                </w:p>
              </w:tc>
              <w:tc>
                <w:tcPr>
                  <w:tcW w:w="436" w:type="dxa"/>
                  <w:vMerge w:val="continue"/>
                  <w:vAlign w:val="center"/>
                </w:tcPr>
                <w:p w14:paraId="1332BA9C">
                  <w:pPr>
                    <w:jc w:val="center"/>
                    <w:rPr>
                      <w:rFonts w:hint="default" w:ascii="Times New Roman" w:hAnsi="Times New Roman" w:eastAsia="仿宋" w:cs="Times New Roman"/>
                      <w:sz w:val="18"/>
                      <w:szCs w:val="18"/>
                    </w:rPr>
                  </w:pPr>
                </w:p>
              </w:tc>
              <w:tc>
                <w:tcPr>
                  <w:tcW w:w="815" w:type="dxa"/>
                  <w:vMerge w:val="continue"/>
                  <w:vAlign w:val="center"/>
                </w:tcPr>
                <w:p w14:paraId="7AF5A1A3">
                  <w:pPr>
                    <w:jc w:val="center"/>
                    <w:rPr>
                      <w:rFonts w:hint="default" w:ascii="Times New Roman" w:hAnsi="Times New Roman" w:eastAsia="仿宋" w:cs="Times New Roman"/>
                      <w:kern w:val="0"/>
                      <w:sz w:val="18"/>
                      <w:szCs w:val="18"/>
                    </w:rPr>
                  </w:pPr>
                </w:p>
              </w:tc>
              <w:tc>
                <w:tcPr>
                  <w:tcW w:w="634" w:type="dxa"/>
                  <w:vMerge w:val="continue"/>
                  <w:vAlign w:val="center"/>
                </w:tcPr>
                <w:p w14:paraId="56B409E4">
                  <w:pPr>
                    <w:jc w:val="center"/>
                    <w:rPr>
                      <w:rFonts w:hint="default" w:ascii="Times New Roman" w:hAnsi="Times New Roman" w:eastAsia="仿宋" w:cs="Times New Roman"/>
                      <w:sz w:val="18"/>
                      <w:szCs w:val="18"/>
                    </w:rPr>
                  </w:pPr>
                </w:p>
              </w:tc>
              <w:tc>
                <w:tcPr>
                  <w:tcW w:w="406" w:type="dxa"/>
                  <w:vMerge w:val="continue"/>
                  <w:vAlign w:val="center"/>
                </w:tcPr>
                <w:p w14:paraId="03D59924">
                  <w:pPr>
                    <w:jc w:val="center"/>
                    <w:rPr>
                      <w:rFonts w:hint="default" w:ascii="Times New Roman" w:hAnsi="Times New Roman" w:eastAsia="仿宋" w:cs="Times New Roman"/>
                      <w:sz w:val="18"/>
                      <w:szCs w:val="18"/>
                    </w:rPr>
                  </w:pPr>
                </w:p>
              </w:tc>
              <w:tc>
                <w:tcPr>
                  <w:tcW w:w="406" w:type="dxa"/>
                  <w:vMerge w:val="continue"/>
                  <w:vAlign w:val="center"/>
                </w:tcPr>
                <w:p w14:paraId="24AB5ECF">
                  <w:pPr>
                    <w:jc w:val="center"/>
                    <w:rPr>
                      <w:rFonts w:hint="default" w:ascii="Times New Roman" w:hAnsi="Times New Roman" w:eastAsia="仿宋" w:cs="Times New Roman"/>
                      <w:sz w:val="18"/>
                      <w:szCs w:val="18"/>
                    </w:rPr>
                  </w:pPr>
                </w:p>
              </w:tc>
              <w:tc>
                <w:tcPr>
                  <w:tcW w:w="345" w:type="dxa"/>
                  <w:vMerge w:val="continue"/>
                  <w:vAlign w:val="center"/>
                </w:tcPr>
                <w:p w14:paraId="39936F59">
                  <w:pPr>
                    <w:jc w:val="center"/>
                    <w:rPr>
                      <w:rFonts w:hint="default" w:ascii="Times New Roman" w:hAnsi="Times New Roman" w:eastAsia="仿宋" w:cs="Times New Roman"/>
                      <w:sz w:val="18"/>
                      <w:szCs w:val="18"/>
                    </w:rPr>
                  </w:pPr>
                </w:p>
              </w:tc>
              <w:tc>
                <w:tcPr>
                  <w:tcW w:w="641" w:type="dxa"/>
                  <w:vMerge w:val="continue"/>
                  <w:vAlign w:val="center"/>
                </w:tcPr>
                <w:p w14:paraId="611C3096">
                  <w:pPr>
                    <w:jc w:val="center"/>
                    <w:rPr>
                      <w:rFonts w:hint="default" w:ascii="Times New Roman" w:hAnsi="Times New Roman" w:eastAsia="仿宋" w:cs="Times New Roman"/>
                      <w:sz w:val="18"/>
                      <w:szCs w:val="18"/>
                    </w:rPr>
                  </w:pPr>
                </w:p>
              </w:tc>
              <w:tc>
                <w:tcPr>
                  <w:tcW w:w="789" w:type="dxa"/>
                  <w:vAlign w:val="center"/>
                </w:tcPr>
                <w:p w14:paraId="62D5A0BB">
                  <w:pPr>
                    <w:jc w:val="center"/>
                    <w:rPr>
                      <w:rFonts w:hint="default" w:ascii="Times New Roman" w:hAnsi="Times New Roman" w:eastAsia="仿宋" w:cs="Times New Roman"/>
                      <w:bCs/>
                      <w:sz w:val="18"/>
                      <w:szCs w:val="18"/>
                      <w:highlight w:val="yellow"/>
                      <w:lang w:val="en-US" w:eastAsia="zh-CN"/>
                    </w:rPr>
                  </w:pPr>
                  <w:r>
                    <w:rPr>
                      <w:rFonts w:hint="default" w:ascii="Times New Roman" w:hAnsi="Times New Roman" w:eastAsia="仿宋" w:cs="Times New Roman"/>
                      <w:bCs/>
                      <w:sz w:val="18"/>
                      <w:szCs w:val="18"/>
                    </w:rPr>
                    <w:t>西，</w:t>
                  </w:r>
                  <w:r>
                    <w:rPr>
                      <w:rFonts w:hint="eastAsia" w:eastAsia="仿宋" w:cs="Times New Roman"/>
                      <w:bCs/>
                      <w:sz w:val="18"/>
                      <w:szCs w:val="18"/>
                      <w:lang w:val="en-US" w:eastAsia="zh-CN"/>
                    </w:rPr>
                    <w:t>28</w:t>
                  </w:r>
                </w:p>
              </w:tc>
              <w:tc>
                <w:tcPr>
                  <w:tcW w:w="737" w:type="dxa"/>
                  <w:vAlign w:val="center"/>
                </w:tcPr>
                <w:p w14:paraId="04EA5D7E">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73.3</w:t>
                  </w:r>
                </w:p>
              </w:tc>
              <w:tc>
                <w:tcPr>
                  <w:tcW w:w="649" w:type="dxa"/>
                  <w:vMerge w:val="continue"/>
                  <w:vAlign w:val="center"/>
                </w:tcPr>
                <w:p w14:paraId="423E3BF6">
                  <w:pPr>
                    <w:jc w:val="center"/>
                    <w:rPr>
                      <w:rFonts w:hint="default" w:ascii="Times New Roman" w:hAnsi="Times New Roman" w:eastAsia="仿宋" w:cs="Times New Roman"/>
                      <w:sz w:val="18"/>
                      <w:szCs w:val="18"/>
                    </w:rPr>
                  </w:pPr>
                </w:p>
              </w:tc>
              <w:tc>
                <w:tcPr>
                  <w:tcW w:w="818" w:type="dxa"/>
                  <w:vMerge w:val="continue"/>
                  <w:vAlign w:val="center"/>
                </w:tcPr>
                <w:p w14:paraId="73456C53">
                  <w:pPr>
                    <w:jc w:val="center"/>
                    <w:rPr>
                      <w:rFonts w:hint="default" w:ascii="Times New Roman" w:hAnsi="Times New Roman" w:eastAsia="仿宋" w:cs="Times New Roman"/>
                      <w:sz w:val="18"/>
                      <w:szCs w:val="18"/>
                    </w:rPr>
                  </w:pPr>
                </w:p>
              </w:tc>
              <w:tc>
                <w:tcPr>
                  <w:tcW w:w="766" w:type="dxa"/>
                  <w:shd w:val="clear" w:color="auto" w:fill="auto"/>
                  <w:vAlign w:val="bottom"/>
                </w:tcPr>
                <w:p w14:paraId="049770A5">
                  <w:pPr>
                    <w:jc w:val="center"/>
                    <w:rPr>
                      <w:rFonts w:hint="default" w:ascii="Times New Roman" w:hAnsi="Times New Roman" w:eastAsia="仿宋" w:cs="Times New Roman"/>
                      <w:bCs/>
                      <w:sz w:val="18"/>
                      <w:szCs w:val="18"/>
                      <w:lang w:val="en-US" w:eastAsia="zh-CN"/>
                    </w:rPr>
                  </w:pPr>
                  <w:r>
                    <w:rPr>
                      <w:rFonts w:hint="eastAsia" w:eastAsia="仿宋" w:cs="Times New Roman"/>
                      <w:bCs/>
                      <w:sz w:val="18"/>
                      <w:szCs w:val="18"/>
                      <w:lang w:val="en-US" w:eastAsia="zh-CN"/>
                    </w:rPr>
                    <w:t>42.3</w:t>
                  </w:r>
                </w:p>
              </w:tc>
              <w:tc>
                <w:tcPr>
                  <w:tcW w:w="509" w:type="dxa"/>
                  <w:shd w:val="clear" w:color="auto" w:fill="auto"/>
                  <w:vAlign w:val="center"/>
                </w:tcPr>
                <w:p w14:paraId="6C0A4122">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bCs/>
                      <w:color w:val="auto"/>
                      <w:sz w:val="18"/>
                      <w:szCs w:val="18"/>
                    </w:rPr>
                    <w:t>1m</w:t>
                  </w:r>
                </w:p>
              </w:tc>
            </w:tr>
            <w:tr w14:paraId="28433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49" w:type="dxa"/>
                  <w:vMerge w:val="continue"/>
                  <w:vAlign w:val="center"/>
                </w:tcPr>
                <w:p w14:paraId="4E630B30">
                  <w:pPr>
                    <w:jc w:val="center"/>
                    <w:rPr>
                      <w:rFonts w:hint="default" w:ascii="Times New Roman" w:hAnsi="Times New Roman" w:eastAsia="仿宋" w:cs="Times New Roman"/>
                      <w:sz w:val="18"/>
                      <w:szCs w:val="18"/>
                    </w:rPr>
                  </w:pPr>
                </w:p>
              </w:tc>
              <w:tc>
                <w:tcPr>
                  <w:tcW w:w="436" w:type="dxa"/>
                  <w:vMerge w:val="continue"/>
                  <w:vAlign w:val="center"/>
                </w:tcPr>
                <w:p w14:paraId="5DF10E1D">
                  <w:pPr>
                    <w:jc w:val="center"/>
                    <w:rPr>
                      <w:rFonts w:hint="default" w:ascii="Times New Roman" w:hAnsi="Times New Roman" w:eastAsia="仿宋" w:cs="Times New Roman"/>
                      <w:sz w:val="18"/>
                      <w:szCs w:val="18"/>
                    </w:rPr>
                  </w:pPr>
                </w:p>
              </w:tc>
              <w:tc>
                <w:tcPr>
                  <w:tcW w:w="815" w:type="dxa"/>
                  <w:vMerge w:val="continue"/>
                  <w:vAlign w:val="center"/>
                </w:tcPr>
                <w:p w14:paraId="63A5186A">
                  <w:pPr>
                    <w:jc w:val="center"/>
                    <w:rPr>
                      <w:rFonts w:hint="default" w:ascii="Times New Roman" w:hAnsi="Times New Roman" w:eastAsia="仿宋" w:cs="Times New Roman"/>
                      <w:kern w:val="0"/>
                      <w:sz w:val="18"/>
                      <w:szCs w:val="18"/>
                    </w:rPr>
                  </w:pPr>
                </w:p>
              </w:tc>
              <w:tc>
                <w:tcPr>
                  <w:tcW w:w="634" w:type="dxa"/>
                  <w:vMerge w:val="continue"/>
                  <w:vAlign w:val="center"/>
                </w:tcPr>
                <w:p w14:paraId="133E2DFB">
                  <w:pPr>
                    <w:jc w:val="center"/>
                    <w:rPr>
                      <w:rFonts w:hint="default" w:ascii="Times New Roman" w:hAnsi="Times New Roman" w:eastAsia="仿宋" w:cs="Times New Roman"/>
                      <w:sz w:val="18"/>
                      <w:szCs w:val="18"/>
                    </w:rPr>
                  </w:pPr>
                </w:p>
              </w:tc>
              <w:tc>
                <w:tcPr>
                  <w:tcW w:w="406" w:type="dxa"/>
                  <w:vMerge w:val="continue"/>
                  <w:vAlign w:val="center"/>
                </w:tcPr>
                <w:p w14:paraId="1FBB0515">
                  <w:pPr>
                    <w:jc w:val="center"/>
                    <w:rPr>
                      <w:rFonts w:hint="default" w:ascii="Times New Roman" w:hAnsi="Times New Roman" w:eastAsia="仿宋" w:cs="Times New Roman"/>
                      <w:sz w:val="18"/>
                      <w:szCs w:val="18"/>
                    </w:rPr>
                  </w:pPr>
                </w:p>
              </w:tc>
              <w:tc>
                <w:tcPr>
                  <w:tcW w:w="406" w:type="dxa"/>
                  <w:vMerge w:val="continue"/>
                  <w:vAlign w:val="center"/>
                </w:tcPr>
                <w:p w14:paraId="193C8BA4">
                  <w:pPr>
                    <w:jc w:val="center"/>
                    <w:rPr>
                      <w:rFonts w:hint="default" w:ascii="Times New Roman" w:hAnsi="Times New Roman" w:eastAsia="仿宋" w:cs="Times New Roman"/>
                      <w:sz w:val="18"/>
                      <w:szCs w:val="18"/>
                    </w:rPr>
                  </w:pPr>
                </w:p>
              </w:tc>
              <w:tc>
                <w:tcPr>
                  <w:tcW w:w="345" w:type="dxa"/>
                  <w:vMerge w:val="continue"/>
                  <w:vAlign w:val="center"/>
                </w:tcPr>
                <w:p w14:paraId="7767DAFA">
                  <w:pPr>
                    <w:jc w:val="center"/>
                    <w:rPr>
                      <w:rFonts w:hint="default" w:ascii="Times New Roman" w:hAnsi="Times New Roman" w:eastAsia="仿宋" w:cs="Times New Roman"/>
                      <w:sz w:val="18"/>
                      <w:szCs w:val="18"/>
                    </w:rPr>
                  </w:pPr>
                </w:p>
              </w:tc>
              <w:tc>
                <w:tcPr>
                  <w:tcW w:w="641" w:type="dxa"/>
                  <w:vMerge w:val="continue"/>
                  <w:vAlign w:val="center"/>
                </w:tcPr>
                <w:p w14:paraId="7C0244CF">
                  <w:pPr>
                    <w:jc w:val="center"/>
                    <w:rPr>
                      <w:rFonts w:hint="default" w:ascii="Times New Roman" w:hAnsi="Times New Roman" w:eastAsia="仿宋" w:cs="Times New Roman"/>
                      <w:sz w:val="18"/>
                      <w:szCs w:val="18"/>
                    </w:rPr>
                  </w:pPr>
                </w:p>
              </w:tc>
              <w:tc>
                <w:tcPr>
                  <w:tcW w:w="789" w:type="dxa"/>
                  <w:vAlign w:val="center"/>
                </w:tcPr>
                <w:p w14:paraId="42424422">
                  <w:pPr>
                    <w:jc w:val="center"/>
                    <w:rPr>
                      <w:rFonts w:hint="default" w:ascii="Times New Roman" w:hAnsi="Times New Roman" w:eastAsia="仿宋" w:cs="Times New Roman"/>
                      <w:bCs/>
                      <w:sz w:val="18"/>
                      <w:szCs w:val="18"/>
                      <w:highlight w:val="yellow"/>
                      <w:lang w:val="en-US" w:eastAsia="zh-CN"/>
                    </w:rPr>
                  </w:pPr>
                  <w:r>
                    <w:rPr>
                      <w:rFonts w:hint="default" w:ascii="Times New Roman" w:hAnsi="Times New Roman" w:eastAsia="仿宋" w:cs="Times New Roman"/>
                      <w:bCs/>
                      <w:sz w:val="18"/>
                      <w:szCs w:val="18"/>
                    </w:rPr>
                    <w:t>北，</w:t>
                  </w:r>
                  <w:r>
                    <w:rPr>
                      <w:rFonts w:hint="default" w:ascii="Times New Roman" w:hAnsi="Times New Roman" w:eastAsia="仿宋" w:cs="Times New Roman"/>
                      <w:bCs/>
                      <w:sz w:val="18"/>
                      <w:szCs w:val="18"/>
                      <w:lang w:val="en-US" w:eastAsia="zh-CN"/>
                    </w:rPr>
                    <w:t>1</w:t>
                  </w:r>
                  <w:r>
                    <w:rPr>
                      <w:rFonts w:hint="eastAsia" w:eastAsia="仿宋" w:cs="Times New Roman"/>
                      <w:bCs/>
                      <w:sz w:val="18"/>
                      <w:szCs w:val="18"/>
                      <w:lang w:val="en-US" w:eastAsia="zh-CN"/>
                    </w:rPr>
                    <w:t>7</w:t>
                  </w:r>
                </w:p>
              </w:tc>
              <w:tc>
                <w:tcPr>
                  <w:tcW w:w="737" w:type="dxa"/>
                  <w:vAlign w:val="center"/>
                </w:tcPr>
                <w:p w14:paraId="7535D4C0">
                  <w:pPr>
                    <w:jc w:val="center"/>
                    <w:rPr>
                      <w:rFonts w:hint="default" w:ascii="Times New Roman" w:hAnsi="Times New Roman" w:eastAsia="仿宋" w:cs="Times New Roman"/>
                      <w:sz w:val="18"/>
                      <w:szCs w:val="18"/>
                      <w:lang w:val="en-US" w:eastAsia="zh-CN"/>
                    </w:rPr>
                  </w:pPr>
                  <w:r>
                    <w:rPr>
                      <w:rFonts w:hint="eastAsia" w:eastAsia="仿宋" w:cs="Times New Roman"/>
                      <w:sz w:val="18"/>
                      <w:szCs w:val="18"/>
                      <w:lang w:val="en-US" w:eastAsia="zh-CN"/>
                    </w:rPr>
                    <w:t>73.3</w:t>
                  </w:r>
                </w:p>
              </w:tc>
              <w:tc>
                <w:tcPr>
                  <w:tcW w:w="649" w:type="dxa"/>
                  <w:vMerge w:val="continue"/>
                  <w:vAlign w:val="center"/>
                </w:tcPr>
                <w:p w14:paraId="2226A0C6">
                  <w:pPr>
                    <w:jc w:val="center"/>
                    <w:rPr>
                      <w:rFonts w:hint="default" w:ascii="Times New Roman" w:hAnsi="Times New Roman" w:eastAsia="仿宋" w:cs="Times New Roman"/>
                      <w:sz w:val="18"/>
                      <w:szCs w:val="18"/>
                    </w:rPr>
                  </w:pPr>
                </w:p>
              </w:tc>
              <w:tc>
                <w:tcPr>
                  <w:tcW w:w="818" w:type="dxa"/>
                  <w:vMerge w:val="continue"/>
                  <w:vAlign w:val="center"/>
                </w:tcPr>
                <w:p w14:paraId="4461FEF1">
                  <w:pPr>
                    <w:jc w:val="center"/>
                    <w:rPr>
                      <w:rFonts w:hint="default" w:ascii="Times New Roman" w:hAnsi="Times New Roman" w:eastAsia="仿宋" w:cs="Times New Roman"/>
                      <w:sz w:val="18"/>
                      <w:szCs w:val="18"/>
                    </w:rPr>
                  </w:pPr>
                </w:p>
              </w:tc>
              <w:tc>
                <w:tcPr>
                  <w:tcW w:w="766" w:type="dxa"/>
                  <w:shd w:val="clear" w:color="auto" w:fill="auto"/>
                  <w:vAlign w:val="bottom"/>
                </w:tcPr>
                <w:p w14:paraId="0342C39C">
                  <w:pPr>
                    <w:jc w:val="center"/>
                    <w:rPr>
                      <w:rFonts w:hint="default" w:ascii="Times New Roman" w:hAnsi="Times New Roman" w:eastAsia="仿宋" w:cs="Times New Roman"/>
                      <w:bCs/>
                      <w:sz w:val="18"/>
                      <w:szCs w:val="18"/>
                      <w:lang w:val="en-US" w:eastAsia="zh-CN"/>
                    </w:rPr>
                  </w:pPr>
                  <w:r>
                    <w:rPr>
                      <w:rFonts w:hint="eastAsia" w:eastAsia="仿宋" w:cs="Times New Roman"/>
                      <w:bCs/>
                      <w:sz w:val="18"/>
                      <w:szCs w:val="18"/>
                      <w:lang w:val="en-US" w:eastAsia="zh-CN"/>
                    </w:rPr>
                    <w:t>42.3</w:t>
                  </w:r>
                </w:p>
              </w:tc>
              <w:tc>
                <w:tcPr>
                  <w:tcW w:w="509" w:type="dxa"/>
                  <w:shd w:val="clear" w:color="auto" w:fill="auto"/>
                  <w:vAlign w:val="center"/>
                </w:tcPr>
                <w:p w14:paraId="4F256A1A">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bCs/>
                      <w:color w:val="auto"/>
                      <w:sz w:val="18"/>
                      <w:szCs w:val="18"/>
                    </w:rPr>
                    <w:t>1m</w:t>
                  </w:r>
                </w:p>
              </w:tc>
            </w:tr>
            <w:tr w14:paraId="3937F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49" w:type="dxa"/>
                  <w:vMerge w:val="continue"/>
                  <w:vAlign w:val="center"/>
                </w:tcPr>
                <w:p w14:paraId="7FB7E142">
                  <w:pPr>
                    <w:jc w:val="center"/>
                    <w:rPr>
                      <w:rFonts w:hint="default" w:ascii="Times New Roman" w:hAnsi="Times New Roman" w:eastAsia="仿宋" w:cs="Times New Roman"/>
                      <w:sz w:val="18"/>
                      <w:szCs w:val="18"/>
                    </w:rPr>
                  </w:pPr>
                </w:p>
              </w:tc>
              <w:tc>
                <w:tcPr>
                  <w:tcW w:w="436" w:type="dxa"/>
                  <w:vMerge w:val="restart"/>
                  <w:vAlign w:val="center"/>
                </w:tcPr>
                <w:p w14:paraId="68AEFC65">
                  <w:pPr>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破碎机</w:t>
                  </w:r>
                </w:p>
              </w:tc>
              <w:tc>
                <w:tcPr>
                  <w:tcW w:w="815" w:type="dxa"/>
                  <w:vMerge w:val="restart"/>
                  <w:vAlign w:val="center"/>
                </w:tcPr>
                <w:p w14:paraId="5DFE68E4">
                  <w:pPr>
                    <w:jc w:val="center"/>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80</w:t>
                  </w:r>
                </w:p>
              </w:tc>
              <w:tc>
                <w:tcPr>
                  <w:tcW w:w="634" w:type="dxa"/>
                  <w:vMerge w:val="restart"/>
                  <w:vAlign w:val="center"/>
                </w:tcPr>
                <w:p w14:paraId="2F19FAED">
                  <w:pPr>
                    <w:jc w:val="center"/>
                    <w:rPr>
                      <w:rFonts w:hint="default" w:ascii="Times New Roman" w:hAnsi="Times New Roman" w:eastAsia="仿宋" w:cs="Times New Roman"/>
                      <w:sz w:val="18"/>
                      <w:szCs w:val="18"/>
                      <w:lang w:val="en-US" w:eastAsia="zh-CN"/>
                    </w:rPr>
                  </w:pPr>
                  <w:r>
                    <w:rPr>
                      <w:rFonts w:hint="default" w:ascii="Times New Roman" w:hAnsi="Times New Roman" w:eastAsia="仿宋" w:cs="Times New Roman"/>
                      <w:sz w:val="18"/>
                      <w:szCs w:val="18"/>
                      <w:lang w:val="en-US" w:eastAsia="zh-CN"/>
                    </w:rPr>
                    <w:t>3</w:t>
                  </w:r>
                </w:p>
              </w:tc>
              <w:tc>
                <w:tcPr>
                  <w:tcW w:w="406" w:type="dxa"/>
                  <w:vMerge w:val="restart"/>
                  <w:shd w:val="clear" w:color="auto" w:fill="auto"/>
                  <w:vAlign w:val="center"/>
                </w:tcPr>
                <w:p w14:paraId="493D6F62">
                  <w:pPr>
                    <w:jc w:val="center"/>
                    <w:rPr>
                      <w:rFonts w:hint="default" w:ascii="Times New Roman" w:hAnsi="Times New Roman" w:eastAsia="仿宋" w:cs="Times New Roman"/>
                      <w:color w:val="auto"/>
                      <w:kern w:val="2"/>
                      <w:sz w:val="18"/>
                      <w:szCs w:val="18"/>
                      <w:lang w:val="en-US" w:eastAsia="zh-CN" w:bidi="ar-SA"/>
                    </w:rPr>
                  </w:pPr>
                  <w:r>
                    <w:rPr>
                      <w:rFonts w:hint="eastAsia" w:eastAsia="仿宋" w:cs="Times New Roman"/>
                      <w:color w:val="auto"/>
                      <w:kern w:val="2"/>
                      <w:sz w:val="18"/>
                      <w:szCs w:val="18"/>
                      <w:lang w:val="en-US" w:eastAsia="zh-CN" w:bidi="ar-SA"/>
                    </w:rPr>
                    <w:t>26</w:t>
                  </w:r>
                </w:p>
              </w:tc>
              <w:tc>
                <w:tcPr>
                  <w:tcW w:w="406" w:type="dxa"/>
                  <w:vMerge w:val="restart"/>
                  <w:shd w:val="clear" w:color="auto" w:fill="auto"/>
                  <w:vAlign w:val="center"/>
                </w:tcPr>
                <w:p w14:paraId="5E30A96C">
                  <w:pPr>
                    <w:jc w:val="center"/>
                    <w:rPr>
                      <w:rFonts w:hint="default" w:ascii="Times New Roman" w:hAnsi="Times New Roman" w:eastAsia="仿宋" w:cs="Times New Roman"/>
                      <w:color w:val="auto"/>
                      <w:kern w:val="2"/>
                      <w:sz w:val="18"/>
                      <w:szCs w:val="18"/>
                      <w:lang w:val="en-US" w:eastAsia="zh-CN" w:bidi="ar-SA"/>
                    </w:rPr>
                  </w:pPr>
                  <w:r>
                    <w:rPr>
                      <w:rFonts w:hint="eastAsia" w:eastAsia="仿宋" w:cs="Times New Roman"/>
                      <w:color w:val="auto"/>
                      <w:kern w:val="2"/>
                      <w:sz w:val="18"/>
                      <w:szCs w:val="18"/>
                      <w:lang w:val="en-US" w:eastAsia="zh-CN" w:bidi="ar-SA"/>
                    </w:rPr>
                    <w:t>23</w:t>
                  </w:r>
                </w:p>
              </w:tc>
              <w:tc>
                <w:tcPr>
                  <w:tcW w:w="345" w:type="dxa"/>
                  <w:vMerge w:val="restart"/>
                  <w:shd w:val="clear" w:color="auto" w:fill="auto"/>
                  <w:vAlign w:val="center"/>
                </w:tcPr>
                <w:p w14:paraId="12060E2A">
                  <w:pPr>
                    <w:jc w:val="center"/>
                    <w:rPr>
                      <w:rFonts w:hint="default" w:ascii="Times New Roman" w:hAnsi="Times New Roman" w:eastAsia="仿宋" w:cs="Times New Roman"/>
                      <w:color w:val="auto"/>
                      <w:kern w:val="2"/>
                      <w:sz w:val="18"/>
                      <w:szCs w:val="18"/>
                      <w:lang w:val="en-US" w:eastAsia="zh-CN" w:bidi="ar-SA"/>
                    </w:rPr>
                  </w:pPr>
                  <w:r>
                    <w:rPr>
                      <w:rFonts w:hint="default" w:ascii="Times New Roman" w:hAnsi="Times New Roman" w:eastAsia="仿宋" w:cs="Times New Roman"/>
                      <w:sz w:val="18"/>
                      <w:szCs w:val="18"/>
                      <w:lang w:val="en-US" w:eastAsia="zh-CN"/>
                    </w:rPr>
                    <w:t>1</w:t>
                  </w:r>
                </w:p>
              </w:tc>
              <w:tc>
                <w:tcPr>
                  <w:tcW w:w="641" w:type="dxa"/>
                  <w:vMerge w:val="continue"/>
                  <w:vAlign w:val="center"/>
                </w:tcPr>
                <w:p w14:paraId="1EC51F41">
                  <w:pPr>
                    <w:jc w:val="center"/>
                    <w:rPr>
                      <w:rFonts w:hint="default" w:ascii="Times New Roman" w:hAnsi="Times New Roman" w:eastAsia="仿宋" w:cs="Times New Roman"/>
                      <w:sz w:val="18"/>
                      <w:szCs w:val="18"/>
                    </w:rPr>
                  </w:pPr>
                </w:p>
              </w:tc>
              <w:tc>
                <w:tcPr>
                  <w:tcW w:w="789" w:type="dxa"/>
                  <w:shd w:val="clear" w:color="auto" w:fill="auto"/>
                  <w:vAlign w:val="center"/>
                </w:tcPr>
                <w:p w14:paraId="0218BB61">
                  <w:pPr>
                    <w:jc w:val="center"/>
                    <w:rPr>
                      <w:rFonts w:hint="default" w:ascii="Times New Roman" w:hAnsi="Times New Roman" w:eastAsia="仿宋" w:cs="Times New Roman"/>
                      <w:bCs/>
                      <w:color w:val="auto"/>
                      <w:kern w:val="2"/>
                      <w:sz w:val="18"/>
                      <w:szCs w:val="18"/>
                      <w:highlight w:val="yellow"/>
                      <w:lang w:val="en-US" w:eastAsia="zh-CN" w:bidi="ar-SA"/>
                    </w:rPr>
                  </w:pPr>
                  <w:r>
                    <w:rPr>
                      <w:rFonts w:hint="default" w:ascii="Times New Roman" w:hAnsi="Times New Roman" w:eastAsia="仿宋" w:cs="Times New Roman"/>
                      <w:bCs/>
                      <w:color w:val="auto"/>
                      <w:sz w:val="18"/>
                      <w:szCs w:val="18"/>
                    </w:rPr>
                    <w:t>东，</w:t>
                  </w:r>
                  <w:r>
                    <w:rPr>
                      <w:rFonts w:hint="eastAsia" w:eastAsia="仿宋" w:cs="Times New Roman"/>
                      <w:bCs/>
                      <w:color w:val="auto"/>
                      <w:sz w:val="18"/>
                      <w:szCs w:val="18"/>
                      <w:lang w:val="en-US" w:eastAsia="zh-CN"/>
                    </w:rPr>
                    <w:t>13</w:t>
                  </w:r>
                </w:p>
              </w:tc>
              <w:tc>
                <w:tcPr>
                  <w:tcW w:w="737" w:type="dxa"/>
                  <w:shd w:val="clear" w:color="auto" w:fill="auto"/>
                  <w:vAlign w:val="center"/>
                </w:tcPr>
                <w:p w14:paraId="299AE6B4">
                  <w:pPr>
                    <w:jc w:val="center"/>
                    <w:rPr>
                      <w:rFonts w:hint="default" w:ascii="Times New Roman" w:hAnsi="Times New Roman" w:eastAsia="仿宋" w:cs="Times New Roman"/>
                      <w:bCs/>
                      <w:color w:val="auto"/>
                      <w:kern w:val="2"/>
                      <w:sz w:val="18"/>
                      <w:szCs w:val="18"/>
                      <w:lang w:val="en-US" w:eastAsia="zh-CN" w:bidi="ar-SA"/>
                    </w:rPr>
                  </w:pPr>
                  <w:r>
                    <w:rPr>
                      <w:rFonts w:hint="eastAsia" w:eastAsia="仿宋" w:cs="Times New Roman"/>
                      <w:bCs/>
                      <w:color w:val="auto"/>
                      <w:kern w:val="2"/>
                      <w:sz w:val="18"/>
                      <w:szCs w:val="18"/>
                      <w:lang w:val="en-US" w:eastAsia="zh-CN" w:bidi="ar-SA"/>
                    </w:rPr>
                    <w:t>74.3</w:t>
                  </w:r>
                </w:p>
              </w:tc>
              <w:tc>
                <w:tcPr>
                  <w:tcW w:w="649" w:type="dxa"/>
                  <w:vMerge w:val="continue"/>
                  <w:vAlign w:val="center"/>
                </w:tcPr>
                <w:p w14:paraId="4519BF16">
                  <w:pPr>
                    <w:jc w:val="center"/>
                    <w:rPr>
                      <w:rFonts w:hint="default" w:ascii="Times New Roman" w:hAnsi="Times New Roman" w:eastAsia="仿宋" w:cs="Times New Roman"/>
                      <w:sz w:val="18"/>
                      <w:szCs w:val="18"/>
                    </w:rPr>
                  </w:pPr>
                </w:p>
              </w:tc>
              <w:tc>
                <w:tcPr>
                  <w:tcW w:w="818" w:type="dxa"/>
                  <w:vMerge w:val="continue"/>
                  <w:vAlign w:val="center"/>
                </w:tcPr>
                <w:p w14:paraId="135EA4AE">
                  <w:pPr>
                    <w:jc w:val="center"/>
                    <w:rPr>
                      <w:rFonts w:hint="default" w:ascii="Times New Roman" w:hAnsi="Times New Roman" w:eastAsia="仿宋" w:cs="Times New Roman"/>
                      <w:sz w:val="18"/>
                      <w:szCs w:val="18"/>
                    </w:rPr>
                  </w:pPr>
                </w:p>
              </w:tc>
              <w:tc>
                <w:tcPr>
                  <w:tcW w:w="766" w:type="dxa"/>
                  <w:shd w:val="clear" w:color="auto" w:fill="auto"/>
                  <w:vAlign w:val="bottom"/>
                </w:tcPr>
                <w:p w14:paraId="287BB2F5">
                  <w:pPr>
                    <w:jc w:val="center"/>
                    <w:rPr>
                      <w:rFonts w:hint="default" w:ascii="Times New Roman" w:hAnsi="Times New Roman" w:eastAsia="仿宋" w:cs="Times New Roman"/>
                      <w:bCs/>
                      <w:sz w:val="18"/>
                      <w:szCs w:val="18"/>
                    </w:rPr>
                  </w:pPr>
                  <w:r>
                    <w:rPr>
                      <w:rFonts w:hint="eastAsia" w:eastAsia="仿宋" w:cs="Times New Roman"/>
                      <w:bCs/>
                      <w:sz w:val="18"/>
                      <w:szCs w:val="18"/>
                      <w:lang w:val="en-US" w:eastAsia="zh-CN"/>
                    </w:rPr>
                    <w:t>43.3</w:t>
                  </w:r>
                </w:p>
              </w:tc>
              <w:tc>
                <w:tcPr>
                  <w:tcW w:w="509" w:type="dxa"/>
                  <w:shd w:val="clear" w:color="auto" w:fill="auto"/>
                  <w:vAlign w:val="center"/>
                </w:tcPr>
                <w:p w14:paraId="051F4ED1">
                  <w:pPr>
                    <w:jc w:val="center"/>
                    <w:rPr>
                      <w:rFonts w:hint="default" w:ascii="Times New Roman" w:hAnsi="Times New Roman" w:eastAsia="仿宋" w:cs="Times New Roman"/>
                      <w:sz w:val="18"/>
                      <w:szCs w:val="18"/>
                    </w:rPr>
                  </w:pPr>
                  <w:r>
                    <w:rPr>
                      <w:rFonts w:hint="default" w:ascii="Times New Roman" w:hAnsi="Times New Roman" w:eastAsia="仿宋" w:cs="Times New Roman"/>
                      <w:bCs/>
                      <w:color w:val="auto"/>
                      <w:sz w:val="18"/>
                      <w:szCs w:val="18"/>
                    </w:rPr>
                    <w:t>1m</w:t>
                  </w:r>
                </w:p>
              </w:tc>
            </w:tr>
            <w:tr w14:paraId="561A6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49" w:type="dxa"/>
                  <w:vMerge w:val="continue"/>
                  <w:vAlign w:val="center"/>
                </w:tcPr>
                <w:p w14:paraId="3168B1A7">
                  <w:pPr>
                    <w:jc w:val="center"/>
                    <w:rPr>
                      <w:rFonts w:hint="default" w:ascii="Times New Roman" w:hAnsi="Times New Roman" w:eastAsia="Times New Roman" w:cs="Times New Roman"/>
                    </w:rPr>
                  </w:pPr>
                </w:p>
              </w:tc>
              <w:tc>
                <w:tcPr>
                  <w:tcW w:w="436" w:type="dxa"/>
                  <w:vMerge w:val="continue"/>
                  <w:vAlign w:val="center"/>
                </w:tcPr>
                <w:p w14:paraId="564B515F">
                  <w:pPr>
                    <w:jc w:val="center"/>
                    <w:rPr>
                      <w:rFonts w:hint="default" w:ascii="Times New Roman" w:hAnsi="Times New Roman" w:eastAsia="Times New Roman" w:cs="Times New Roman"/>
                    </w:rPr>
                  </w:pPr>
                </w:p>
              </w:tc>
              <w:tc>
                <w:tcPr>
                  <w:tcW w:w="815" w:type="dxa"/>
                  <w:vMerge w:val="continue"/>
                  <w:vAlign w:val="center"/>
                </w:tcPr>
                <w:p w14:paraId="44403FD5">
                  <w:pPr>
                    <w:jc w:val="center"/>
                    <w:rPr>
                      <w:rFonts w:hint="default" w:ascii="Times New Roman" w:hAnsi="Times New Roman" w:eastAsia="Times New Roman" w:cs="Times New Roman"/>
                    </w:rPr>
                  </w:pPr>
                </w:p>
              </w:tc>
              <w:tc>
                <w:tcPr>
                  <w:tcW w:w="634" w:type="dxa"/>
                  <w:vMerge w:val="continue"/>
                  <w:vAlign w:val="center"/>
                </w:tcPr>
                <w:p w14:paraId="5981FC02">
                  <w:pPr>
                    <w:jc w:val="center"/>
                    <w:rPr>
                      <w:rFonts w:hint="default" w:ascii="Times New Roman" w:hAnsi="Times New Roman" w:eastAsia="Times New Roman" w:cs="Times New Roman"/>
                    </w:rPr>
                  </w:pPr>
                </w:p>
              </w:tc>
              <w:tc>
                <w:tcPr>
                  <w:tcW w:w="406" w:type="dxa"/>
                  <w:vMerge w:val="continue"/>
                  <w:shd w:val="clear" w:color="auto" w:fill="auto"/>
                  <w:vAlign w:val="center"/>
                </w:tcPr>
                <w:p w14:paraId="5E1292AA">
                  <w:pPr>
                    <w:jc w:val="center"/>
                    <w:rPr>
                      <w:rFonts w:hint="default" w:ascii="Times New Roman" w:hAnsi="Times New Roman" w:eastAsia="Times New Roman" w:cs="Times New Roman"/>
                    </w:rPr>
                  </w:pPr>
                </w:p>
              </w:tc>
              <w:tc>
                <w:tcPr>
                  <w:tcW w:w="406" w:type="dxa"/>
                  <w:vMerge w:val="continue"/>
                  <w:shd w:val="clear" w:color="auto" w:fill="auto"/>
                  <w:vAlign w:val="center"/>
                </w:tcPr>
                <w:p w14:paraId="2FF675D5">
                  <w:pPr>
                    <w:jc w:val="center"/>
                    <w:rPr>
                      <w:rFonts w:hint="default" w:ascii="Times New Roman" w:hAnsi="Times New Roman" w:eastAsia="Times New Roman" w:cs="Times New Roman"/>
                    </w:rPr>
                  </w:pPr>
                </w:p>
              </w:tc>
              <w:tc>
                <w:tcPr>
                  <w:tcW w:w="345" w:type="dxa"/>
                  <w:vMerge w:val="continue"/>
                  <w:shd w:val="clear" w:color="auto" w:fill="auto"/>
                  <w:vAlign w:val="center"/>
                </w:tcPr>
                <w:p w14:paraId="6B97F5B6">
                  <w:pPr>
                    <w:jc w:val="center"/>
                    <w:rPr>
                      <w:rFonts w:hint="default" w:ascii="Times New Roman" w:hAnsi="Times New Roman" w:eastAsia="Times New Roman" w:cs="Times New Roman"/>
                    </w:rPr>
                  </w:pPr>
                </w:p>
              </w:tc>
              <w:tc>
                <w:tcPr>
                  <w:tcW w:w="641" w:type="dxa"/>
                  <w:vMerge w:val="continue"/>
                  <w:vAlign w:val="center"/>
                </w:tcPr>
                <w:p w14:paraId="2B7BFAE3">
                  <w:pPr>
                    <w:jc w:val="center"/>
                    <w:rPr>
                      <w:rFonts w:hint="default" w:ascii="Times New Roman" w:hAnsi="Times New Roman" w:eastAsia="Times New Roman" w:cs="Times New Roman"/>
                    </w:rPr>
                  </w:pPr>
                </w:p>
              </w:tc>
              <w:tc>
                <w:tcPr>
                  <w:tcW w:w="789" w:type="dxa"/>
                  <w:shd w:val="clear" w:color="auto" w:fill="auto"/>
                  <w:vAlign w:val="center"/>
                </w:tcPr>
                <w:p w14:paraId="77054E53">
                  <w:pPr>
                    <w:jc w:val="center"/>
                    <w:rPr>
                      <w:rFonts w:hint="default" w:ascii="Times New Roman" w:hAnsi="Times New Roman" w:eastAsia="仿宋" w:cs="Times New Roman"/>
                      <w:bCs/>
                      <w:color w:val="auto"/>
                      <w:kern w:val="2"/>
                      <w:sz w:val="18"/>
                      <w:szCs w:val="18"/>
                      <w:highlight w:val="yellow"/>
                      <w:lang w:val="en-US" w:eastAsia="zh-CN" w:bidi="ar-SA"/>
                    </w:rPr>
                  </w:pPr>
                  <w:r>
                    <w:rPr>
                      <w:rFonts w:hint="default" w:ascii="Times New Roman" w:hAnsi="Times New Roman" w:eastAsia="仿宋" w:cs="Times New Roman"/>
                      <w:bCs/>
                      <w:color w:val="auto"/>
                      <w:sz w:val="18"/>
                      <w:szCs w:val="18"/>
                    </w:rPr>
                    <w:t>南，</w:t>
                  </w:r>
                  <w:r>
                    <w:rPr>
                      <w:rFonts w:hint="eastAsia" w:eastAsia="仿宋" w:cs="Times New Roman"/>
                      <w:bCs/>
                      <w:color w:val="auto"/>
                      <w:sz w:val="18"/>
                      <w:szCs w:val="18"/>
                      <w:lang w:val="en-US" w:eastAsia="zh-CN"/>
                    </w:rPr>
                    <w:t>23</w:t>
                  </w:r>
                </w:p>
              </w:tc>
              <w:tc>
                <w:tcPr>
                  <w:tcW w:w="737" w:type="dxa"/>
                  <w:shd w:val="clear" w:color="auto" w:fill="auto"/>
                  <w:vAlign w:val="center"/>
                </w:tcPr>
                <w:p w14:paraId="5A7A1EF5">
                  <w:pPr>
                    <w:jc w:val="center"/>
                    <w:rPr>
                      <w:rFonts w:hint="default" w:ascii="Times New Roman" w:hAnsi="Times New Roman" w:eastAsia="仿宋" w:cs="Times New Roman"/>
                      <w:bCs/>
                      <w:color w:val="auto"/>
                      <w:kern w:val="2"/>
                      <w:sz w:val="18"/>
                      <w:szCs w:val="18"/>
                      <w:lang w:val="en-US" w:eastAsia="zh-CN" w:bidi="ar-SA"/>
                    </w:rPr>
                  </w:pPr>
                  <w:r>
                    <w:rPr>
                      <w:rFonts w:hint="eastAsia" w:eastAsia="仿宋" w:cs="Times New Roman"/>
                      <w:bCs/>
                      <w:color w:val="auto"/>
                      <w:kern w:val="2"/>
                      <w:sz w:val="18"/>
                      <w:szCs w:val="18"/>
                      <w:lang w:val="en-US" w:eastAsia="zh-CN" w:bidi="ar-SA"/>
                    </w:rPr>
                    <w:t>74.3</w:t>
                  </w:r>
                </w:p>
              </w:tc>
              <w:tc>
                <w:tcPr>
                  <w:tcW w:w="649" w:type="dxa"/>
                  <w:vMerge w:val="continue"/>
                  <w:vAlign w:val="center"/>
                </w:tcPr>
                <w:p w14:paraId="7AA932EB">
                  <w:pPr>
                    <w:jc w:val="center"/>
                    <w:rPr>
                      <w:rFonts w:hint="default" w:ascii="Times New Roman" w:hAnsi="Times New Roman" w:eastAsia="仿宋" w:cs="Times New Roman"/>
                      <w:bCs/>
                      <w:sz w:val="18"/>
                      <w:szCs w:val="18"/>
                    </w:rPr>
                  </w:pPr>
                </w:p>
              </w:tc>
              <w:tc>
                <w:tcPr>
                  <w:tcW w:w="818" w:type="dxa"/>
                  <w:vMerge w:val="continue"/>
                  <w:vAlign w:val="center"/>
                </w:tcPr>
                <w:p w14:paraId="10A09E9A">
                  <w:pPr>
                    <w:jc w:val="center"/>
                    <w:rPr>
                      <w:rFonts w:hint="default" w:ascii="Times New Roman" w:hAnsi="Times New Roman" w:eastAsia="仿宋" w:cs="Times New Roman"/>
                      <w:bCs/>
                      <w:sz w:val="18"/>
                      <w:szCs w:val="18"/>
                    </w:rPr>
                  </w:pPr>
                </w:p>
              </w:tc>
              <w:tc>
                <w:tcPr>
                  <w:tcW w:w="766" w:type="dxa"/>
                  <w:shd w:val="clear" w:color="auto" w:fill="auto"/>
                  <w:vAlign w:val="bottom"/>
                </w:tcPr>
                <w:p w14:paraId="7F6F439D">
                  <w:pPr>
                    <w:jc w:val="center"/>
                    <w:rPr>
                      <w:rFonts w:hint="default" w:ascii="Times New Roman" w:hAnsi="Times New Roman" w:eastAsia="仿宋" w:cs="Times New Roman"/>
                      <w:bCs/>
                      <w:sz w:val="18"/>
                      <w:szCs w:val="18"/>
                    </w:rPr>
                  </w:pPr>
                  <w:r>
                    <w:rPr>
                      <w:rFonts w:hint="eastAsia" w:eastAsia="仿宋" w:cs="Times New Roman"/>
                      <w:bCs/>
                      <w:sz w:val="18"/>
                      <w:szCs w:val="18"/>
                      <w:lang w:val="en-US" w:eastAsia="zh-CN"/>
                    </w:rPr>
                    <w:t>43.3</w:t>
                  </w:r>
                </w:p>
              </w:tc>
              <w:tc>
                <w:tcPr>
                  <w:tcW w:w="509" w:type="dxa"/>
                  <w:shd w:val="clear" w:color="auto" w:fill="auto"/>
                  <w:vAlign w:val="center"/>
                </w:tcPr>
                <w:p w14:paraId="6F7A7BB3">
                  <w:pPr>
                    <w:jc w:val="center"/>
                    <w:rPr>
                      <w:rFonts w:hint="default" w:ascii="Times New Roman" w:hAnsi="Times New Roman" w:eastAsia="仿宋" w:cs="Times New Roman"/>
                      <w:bCs/>
                      <w:sz w:val="18"/>
                      <w:szCs w:val="18"/>
                    </w:rPr>
                  </w:pPr>
                  <w:r>
                    <w:rPr>
                      <w:rFonts w:hint="default" w:ascii="Times New Roman" w:hAnsi="Times New Roman" w:eastAsia="仿宋" w:cs="Times New Roman"/>
                      <w:bCs/>
                      <w:color w:val="auto"/>
                      <w:sz w:val="18"/>
                      <w:szCs w:val="18"/>
                    </w:rPr>
                    <w:t>1m</w:t>
                  </w:r>
                </w:p>
              </w:tc>
            </w:tr>
            <w:tr w14:paraId="6B1FF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49" w:type="dxa"/>
                  <w:vMerge w:val="continue"/>
                  <w:vAlign w:val="center"/>
                </w:tcPr>
                <w:p w14:paraId="022F8DAA">
                  <w:pPr>
                    <w:jc w:val="center"/>
                    <w:rPr>
                      <w:rFonts w:hint="default" w:ascii="Times New Roman" w:hAnsi="Times New Roman" w:eastAsia="仿宋" w:cs="Times New Roman"/>
                      <w:bCs/>
                      <w:sz w:val="18"/>
                      <w:szCs w:val="18"/>
                    </w:rPr>
                  </w:pPr>
                </w:p>
              </w:tc>
              <w:tc>
                <w:tcPr>
                  <w:tcW w:w="436" w:type="dxa"/>
                  <w:vMerge w:val="continue"/>
                  <w:vAlign w:val="center"/>
                </w:tcPr>
                <w:p w14:paraId="0930AC7F">
                  <w:pPr>
                    <w:jc w:val="center"/>
                    <w:rPr>
                      <w:rFonts w:hint="default" w:ascii="Times New Roman" w:hAnsi="Times New Roman" w:eastAsia="仿宋" w:cs="Times New Roman"/>
                      <w:bCs/>
                      <w:sz w:val="18"/>
                      <w:szCs w:val="18"/>
                    </w:rPr>
                  </w:pPr>
                </w:p>
              </w:tc>
              <w:tc>
                <w:tcPr>
                  <w:tcW w:w="815" w:type="dxa"/>
                  <w:vMerge w:val="continue"/>
                  <w:vAlign w:val="center"/>
                </w:tcPr>
                <w:p w14:paraId="758C6C23">
                  <w:pPr>
                    <w:jc w:val="center"/>
                    <w:rPr>
                      <w:rFonts w:hint="default" w:ascii="Times New Roman" w:hAnsi="Times New Roman" w:eastAsia="仿宋" w:cs="Times New Roman"/>
                      <w:bCs/>
                      <w:sz w:val="18"/>
                      <w:szCs w:val="18"/>
                    </w:rPr>
                  </w:pPr>
                </w:p>
              </w:tc>
              <w:tc>
                <w:tcPr>
                  <w:tcW w:w="634" w:type="dxa"/>
                  <w:vMerge w:val="continue"/>
                  <w:vAlign w:val="center"/>
                </w:tcPr>
                <w:p w14:paraId="44218559">
                  <w:pPr>
                    <w:jc w:val="center"/>
                    <w:rPr>
                      <w:rFonts w:hint="default" w:ascii="Times New Roman" w:hAnsi="Times New Roman" w:eastAsia="仿宋" w:cs="Times New Roman"/>
                      <w:bCs/>
                      <w:sz w:val="18"/>
                      <w:szCs w:val="18"/>
                    </w:rPr>
                  </w:pPr>
                </w:p>
              </w:tc>
              <w:tc>
                <w:tcPr>
                  <w:tcW w:w="406" w:type="dxa"/>
                  <w:vMerge w:val="continue"/>
                  <w:shd w:val="clear" w:color="auto" w:fill="auto"/>
                  <w:vAlign w:val="center"/>
                </w:tcPr>
                <w:p w14:paraId="0B96945A">
                  <w:pPr>
                    <w:jc w:val="center"/>
                    <w:rPr>
                      <w:rFonts w:hint="default" w:ascii="Times New Roman" w:hAnsi="Times New Roman" w:eastAsia="仿宋" w:cs="Times New Roman"/>
                      <w:bCs/>
                      <w:sz w:val="18"/>
                      <w:szCs w:val="18"/>
                    </w:rPr>
                  </w:pPr>
                </w:p>
              </w:tc>
              <w:tc>
                <w:tcPr>
                  <w:tcW w:w="406" w:type="dxa"/>
                  <w:vMerge w:val="continue"/>
                  <w:shd w:val="clear" w:color="auto" w:fill="auto"/>
                  <w:vAlign w:val="center"/>
                </w:tcPr>
                <w:p w14:paraId="5A4F1BFE">
                  <w:pPr>
                    <w:jc w:val="center"/>
                    <w:rPr>
                      <w:rFonts w:hint="default" w:ascii="Times New Roman" w:hAnsi="Times New Roman" w:eastAsia="仿宋" w:cs="Times New Roman"/>
                      <w:bCs/>
                      <w:sz w:val="18"/>
                      <w:szCs w:val="18"/>
                    </w:rPr>
                  </w:pPr>
                </w:p>
              </w:tc>
              <w:tc>
                <w:tcPr>
                  <w:tcW w:w="345" w:type="dxa"/>
                  <w:vMerge w:val="continue"/>
                  <w:shd w:val="clear" w:color="auto" w:fill="auto"/>
                  <w:vAlign w:val="center"/>
                </w:tcPr>
                <w:p w14:paraId="37AB56EA">
                  <w:pPr>
                    <w:jc w:val="center"/>
                    <w:rPr>
                      <w:rFonts w:hint="default" w:ascii="Times New Roman" w:hAnsi="Times New Roman" w:eastAsia="仿宋" w:cs="Times New Roman"/>
                      <w:bCs/>
                      <w:sz w:val="18"/>
                      <w:szCs w:val="18"/>
                    </w:rPr>
                  </w:pPr>
                </w:p>
              </w:tc>
              <w:tc>
                <w:tcPr>
                  <w:tcW w:w="641" w:type="dxa"/>
                  <w:vMerge w:val="continue"/>
                  <w:vAlign w:val="center"/>
                </w:tcPr>
                <w:p w14:paraId="587EBE70">
                  <w:pPr>
                    <w:jc w:val="center"/>
                    <w:rPr>
                      <w:rFonts w:hint="default" w:ascii="Times New Roman" w:hAnsi="Times New Roman" w:eastAsia="仿宋" w:cs="Times New Roman"/>
                      <w:bCs/>
                      <w:sz w:val="18"/>
                      <w:szCs w:val="18"/>
                    </w:rPr>
                  </w:pPr>
                </w:p>
              </w:tc>
              <w:tc>
                <w:tcPr>
                  <w:tcW w:w="789" w:type="dxa"/>
                  <w:shd w:val="clear" w:color="auto" w:fill="auto"/>
                  <w:vAlign w:val="center"/>
                </w:tcPr>
                <w:p w14:paraId="238A2F2F">
                  <w:pPr>
                    <w:jc w:val="center"/>
                    <w:rPr>
                      <w:rFonts w:hint="default" w:ascii="Times New Roman" w:hAnsi="Times New Roman" w:eastAsia="仿宋" w:cs="Times New Roman"/>
                      <w:bCs/>
                      <w:color w:val="auto"/>
                      <w:kern w:val="2"/>
                      <w:sz w:val="18"/>
                      <w:szCs w:val="18"/>
                      <w:highlight w:val="yellow"/>
                      <w:lang w:val="en-US" w:eastAsia="zh-CN" w:bidi="ar-SA"/>
                    </w:rPr>
                  </w:pPr>
                  <w:r>
                    <w:rPr>
                      <w:rFonts w:hint="default" w:ascii="Times New Roman" w:hAnsi="Times New Roman" w:eastAsia="仿宋" w:cs="Times New Roman"/>
                      <w:bCs/>
                      <w:color w:val="auto"/>
                      <w:sz w:val="18"/>
                      <w:szCs w:val="18"/>
                    </w:rPr>
                    <w:t>西，</w:t>
                  </w:r>
                  <w:r>
                    <w:rPr>
                      <w:rFonts w:hint="eastAsia" w:eastAsia="仿宋" w:cs="Times New Roman"/>
                      <w:bCs/>
                      <w:color w:val="auto"/>
                      <w:sz w:val="18"/>
                      <w:szCs w:val="18"/>
                      <w:lang w:val="en-US" w:eastAsia="zh-CN"/>
                    </w:rPr>
                    <w:t>26</w:t>
                  </w:r>
                </w:p>
              </w:tc>
              <w:tc>
                <w:tcPr>
                  <w:tcW w:w="737" w:type="dxa"/>
                  <w:shd w:val="clear" w:color="auto" w:fill="auto"/>
                  <w:vAlign w:val="center"/>
                </w:tcPr>
                <w:p w14:paraId="250945A0">
                  <w:pPr>
                    <w:jc w:val="center"/>
                    <w:rPr>
                      <w:rFonts w:hint="default" w:ascii="Times New Roman" w:hAnsi="Times New Roman" w:eastAsia="仿宋" w:cs="Times New Roman"/>
                      <w:bCs/>
                      <w:color w:val="auto"/>
                      <w:kern w:val="2"/>
                      <w:sz w:val="18"/>
                      <w:szCs w:val="18"/>
                      <w:lang w:val="en-US" w:eastAsia="zh-CN" w:bidi="ar-SA"/>
                    </w:rPr>
                  </w:pPr>
                  <w:r>
                    <w:rPr>
                      <w:rFonts w:hint="eastAsia" w:eastAsia="仿宋" w:cs="Times New Roman"/>
                      <w:bCs/>
                      <w:color w:val="auto"/>
                      <w:kern w:val="2"/>
                      <w:sz w:val="18"/>
                      <w:szCs w:val="18"/>
                      <w:lang w:val="en-US" w:eastAsia="zh-CN" w:bidi="ar-SA"/>
                    </w:rPr>
                    <w:t>74.3</w:t>
                  </w:r>
                </w:p>
              </w:tc>
              <w:tc>
                <w:tcPr>
                  <w:tcW w:w="649" w:type="dxa"/>
                  <w:vMerge w:val="continue"/>
                  <w:vAlign w:val="center"/>
                </w:tcPr>
                <w:p w14:paraId="2273AB65">
                  <w:pPr>
                    <w:jc w:val="center"/>
                    <w:rPr>
                      <w:rFonts w:hint="default" w:ascii="Times New Roman" w:hAnsi="Times New Roman" w:eastAsia="仿宋" w:cs="Times New Roman"/>
                      <w:bCs/>
                      <w:sz w:val="18"/>
                      <w:szCs w:val="18"/>
                    </w:rPr>
                  </w:pPr>
                </w:p>
              </w:tc>
              <w:tc>
                <w:tcPr>
                  <w:tcW w:w="818" w:type="dxa"/>
                  <w:vMerge w:val="continue"/>
                  <w:vAlign w:val="center"/>
                </w:tcPr>
                <w:p w14:paraId="79BC5093">
                  <w:pPr>
                    <w:jc w:val="center"/>
                    <w:rPr>
                      <w:rFonts w:hint="default" w:ascii="Times New Roman" w:hAnsi="Times New Roman" w:eastAsia="仿宋" w:cs="Times New Roman"/>
                      <w:bCs/>
                      <w:sz w:val="18"/>
                      <w:szCs w:val="18"/>
                    </w:rPr>
                  </w:pPr>
                </w:p>
              </w:tc>
              <w:tc>
                <w:tcPr>
                  <w:tcW w:w="766" w:type="dxa"/>
                  <w:shd w:val="clear" w:color="auto" w:fill="auto"/>
                  <w:vAlign w:val="bottom"/>
                </w:tcPr>
                <w:p w14:paraId="6D30A942">
                  <w:pPr>
                    <w:jc w:val="center"/>
                    <w:rPr>
                      <w:rFonts w:hint="default" w:ascii="Times New Roman" w:hAnsi="Times New Roman" w:eastAsia="仿宋" w:cs="Times New Roman"/>
                      <w:bCs/>
                      <w:sz w:val="18"/>
                      <w:szCs w:val="18"/>
                    </w:rPr>
                  </w:pPr>
                  <w:r>
                    <w:rPr>
                      <w:rFonts w:hint="eastAsia" w:eastAsia="仿宋" w:cs="Times New Roman"/>
                      <w:bCs/>
                      <w:sz w:val="18"/>
                      <w:szCs w:val="18"/>
                      <w:lang w:val="en-US" w:eastAsia="zh-CN"/>
                    </w:rPr>
                    <w:t>43.3</w:t>
                  </w:r>
                </w:p>
              </w:tc>
              <w:tc>
                <w:tcPr>
                  <w:tcW w:w="509" w:type="dxa"/>
                  <w:shd w:val="clear" w:color="auto" w:fill="auto"/>
                  <w:vAlign w:val="center"/>
                </w:tcPr>
                <w:p w14:paraId="650ABAB5">
                  <w:pPr>
                    <w:jc w:val="center"/>
                    <w:rPr>
                      <w:rFonts w:hint="default" w:ascii="Times New Roman" w:hAnsi="Times New Roman" w:eastAsia="仿宋" w:cs="Times New Roman"/>
                      <w:bCs/>
                      <w:sz w:val="18"/>
                      <w:szCs w:val="18"/>
                    </w:rPr>
                  </w:pPr>
                  <w:r>
                    <w:rPr>
                      <w:rFonts w:hint="default" w:ascii="Times New Roman" w:hAnsi="Times New Roman" w:eastAsia="仿宋" w:cs="Times New Roman"/>
                      <w:bCs/>
                      <w:color w:val="auto"/>
                      <w:sz w:val="18"/>
                      <w:szCs w:val="18"/>
                    </w:rPr>
                    <w:t>1m</w:t>
                  </w:r>
                </w:p>
              </w:tc>
            </w:tr>
            <w:tr w14:paraId="69D83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49" w:type="dxa"/>
                  <w:vMerge w:val="continue"/>
                  <w:vAlign w:val="center"/>
                </w:tcPr>
                <w:p w14:paraId="4D546361">
                  <w:pPr>
                    <w:jc w:val="center"/>
                    <w:rPr>
                      <w:rFonts w:hint="default" w:ascii="Times New Roman" w:hAnsi="Times New Roman" w:eastAsia="仿宋" w:cs="Times New Roman"/>
                      <w:bCs/>
                      <w:sz w:val="18"/>
                      <w:szCs w:val="18"/>
                    </w:rPr>
                  </w:pPr>
                </w:p>
              </w:tc>
              <w:tc>
                <w:tcPr>
                  <w:tcW w:w="436" w:type="dxa"/>
                  <w:vMerge w:val="continue"/>
                  <w:vAlign w:val="center"/>
                </w:tcPr>
                <w:p w14:paraId="6F5555A2">
                  <w:pPr>
                    <w:jc w:val="center"/>
                    <w:rPr>
                      <w:rFonts w:hint="default" w:ascii="Times New Roman" w:hAnsi="Times New Roman" w:eastAsia="仿宋" w:cs="Times New Roman"/>
                      <w:bCs/>
                      <w:sz w:val="18"/>
                      <w:szCs w:val="18"/>
                    </w:rPr>
                  </w:pPr>
                </w:p>
              </w:tc>
              <w:tc>
                <w:tcPr>
                  <w:tcW w:w="815" w:type="dxa"/>
                  <w:vMerge w:val="continue"/>
                  <w:vAlign w:val="center"/>
                </w:tcPr>
                <w:p w14:paraId="6EDA9ED3">
                  <w:pPr>
                    <w:jc w:val="center"/>
                    <w:rPr>
                      <w:rFonts w:hint="default" w:ascii="Times New Roman" w:hAnsi="Times New Roman" w:eastAsia="仿宋" w:cs="Times New Roman"/>
                      <w:bCs/>
                      <w:sz w:val="18"/>
                      <w:szCs w:val="18"/>
                    </w:rPr>
                  </w:pPr>
                </w:p>
              </w:tc>
              <w:tc>
                <w:tcPr>
                  <w:tcW w:w="634" w:type="dxa"/>
                  <w:vMerge w:val="continue"/>
                  <w:vAlign w:val="center"/>
                </w:tcPr>
                <w:p w14:paraId="5506887A">
                  <w:pPr>
                    <w:jc w:val="center"/>
                    <w:rPr>
                      <w:rFonts w:hint="default" w:ascii="Times New Roman" w:hAnsi="Times New Roman" w:eastAsia="仿宋" w:cs="Times New Roman"/>
                      <w:bCs/>
                      <w:sz w:val="18"/>
                      <w:szCs w:val="18"/>
                    </w:rPr>
                  </w:pPr>
                </w:p>
              </w:tc>
              <w:tc>
                <w:tcPr>
                  <w:tcW w:w="406" w:type="dxa"/>
                  <w:vMerge w:val="continue"/>
                  <w:shd w:val="clear" w:color="auto" w:fill="auto"/>
                  <w:vAlign w:val="center"/>
                </w:tcPr>
                <w:p w14:paraId="4CA4B610">
                  <w:pPr>
                    <w:jc w:val="center"/>
                    <w:rPr>
                      <w:rFonts w:hint="default" w:ascii="Times New Roman" w:hAnsi="Times New Roman" w:eastAsia="仿宋" w:cs="Times New Roman"/>
                      <w:bCs/>
                      <w:sz w:val="18"/>
                      <w:szCs w:val="18"/>
                    </w:rPr>
                  </w:pPr>
                </w:p>
              </w:tc>
              <w:tc>
                <w:tcPr>
                  <w:tcW w:w="406" w:type="dxa"/>
                  <w:vMerge w:val="continue"/>
                  <w:shd w:val="clear" w:color="auto" w:fill="auto"/>
                  <w:vAlign w:val="center"/>
                </w:tcPr>
                <w:p w14:paraId="2804106A">
                  <w:pPr>
                    <w:jc w:val="center"/>
                    <w:rPr>
                      <w:rFonts w:hint="default" w:ascii="Times New Roman" w:hAnsi="Times New Roman" w:eastAsia="仿宋" w:cs="Times New Roman"/>
                      <w:bCs/>
                      <w:sz w:val="18"/>
                      <w:szCs w:val="18"/>
                    </w:rPr>
                  </w:pPr>
                </w:p>
              </w:tc>
              <w:tc>
                <w:tcPr>
                  <w:tcW w:w="345" w:type="dxa"/>
                  <w:vMerge w:val="continue"/>
                  <w:shd w:val="clear" w:color="auto" w:fill="auto"/>
                  <w:vAlign w:val="center"/>
                </w:tcPr>
                <w:p w14:paraId="0339CB03">
                  <w:pPr>
                    <w:jc w:val="center"/>
                    <w:rPr>
                      <w:rFonts w:hint="default" w:ascii="Times New Roman" w:hAnsi="Times New Roman" w:eastAsia="仿宋" w:cs="Times New Roman"/>
                      <w:bCs/>
                      <w:sz w:val="18"/>
                      <w:szCs w:val="18"/>
                    </w:rPr>
                  </w:pPr>
                </w:p>
              </w:tc>
              <w:tc>
                <w:tcPr>
                  <w:tcW w:w="641" w:type="dxa"/>
                  <w:vMerge w:val="continue"/>
                  <w:vAlign w:val="center"/>
                </w:tcPr>
                <w:p w14:paraId="53E15A93">
                  <w:pPr>
                    <w:jc w:val="center"/>
                    <w:rPr>
                      <w:rFonts w:hint="default" w:ascii="Times New Roman" w:hAnsi="Times New Roman" w:eastAsia="仿宋" w:cs="Times New Roman"/>
                      <w:bCs/>
                      <w:sz w:val="18"/>
                      <w:szCs w:val="18"/>
                    </w:rPr>
                  </w:pPr>
                </w:p>
              </w:tc>
              <w:tc>
                <w:tcPr>
                  <w:tcW w:w="789" w:type="dxa"/>
                  <w:shd w:val="clear" w:color="auto" w:fill="auto"/>
                  <w:vAlign w:val="center"/>
                </w:tcPr>
                <w:p w14:paraId="6DB75B6C">
                  <w:pPr>
                    <w:jc w:val="center"/>
                    <w:rPr>
                      <w:rFonts w:hint="default" w:ascii="Times New Roman" w:hAnsi="Times New Roman" w:eastAsia="仿宋" w:cs="Times New Roman"/>
                      <w:bCs/>
                      <w:color w:val="auto"/>
                      <w:kern w:val="2"/>
                      <w:sz w:val="18"/>
                      <w:szCs w:val="18"/>
                      <w:highlight w:val="yellow"/>
                      <w:lang w:val="en-US" w:eastAsia="zh-CN" w:bidi="ar-SA"/>
                    </w:rPr>
                  </w:pPr>
                  <w:r>
                    <w:rPr>
                      <w:rFonts w:hint="default" w:ascii="Times New Roman" w:hAnsi="Times New Roman" w:eastAsia="仿宋" w:cs="Times New Roman"/>
                      <w:bCs/>
                      <w:color w:val="auto"/>
                      <w:sz w:val="18"/>
                      <w:szCs w:val="18"/>
                    </w:rPr>
                    <w:t>北，</w:t>
                  </w:r>
                  <w:r>
                    <w:rPr>
                      <w:rFonts w:hint="eastAsia" w:eastAsia="仿宋" w:cs="Times New Roman"/>
                      <w:bCs/>
                      <w:color w:val="auto"/>
                      <w:sz w:val="18"/>
                      <w:szCs w:val="18"/>
                      <w:lang w:val="en-US" w:eastAsia="zh-CN"/>
                    </w:rPr>
                    <w:t>2</w:t>
                  </w:r>
                </w:p>
              </w:tc>
              <w:tc>
                <w:tcPr>
                  <w:tcW w:w="737" w:type="dxa"/>
                  <w:shd w:val="clear" w:color="auto" w:fill="auto"/>
                  <w:vAlign w:val="center"/>
                </w:tcPr>
                <w:p w14:paraId="46240C88">
                  <w:pPr>
                    <w:jc w:val="center"/>
                    <w:rPr>
                      <w:rFonts w:hint="default" w:ascii="Times New Roman" w:hAnsi="Times New Roman" w:eastAsia="仿宋" w:cs="Times New Roman"/>
                      <w:bCs/>
                      <w:color w:val="auto"/>
                      <w:kern w:val="2"/>
                      <w:sz w:val="18"/>
                      <w:szCs w:val="18"/>
                      <w:lang w:val="en-US" w:eastAsia="zh-CN" w:bidi="ar-SA"/>
                    </w:rPr>
                  </w:pPr>
                  <w:r>
                    <w:rPr>
                      <w:rFonts w:hint="eastAsia" w:eastAsia="仿宋" w:cs="Times New Roman"/>
                      <w:bCs/>
                      <w:color w:val="auto"/>
                      <w:kern w:val="2"/>
                      <w:sz w:val="18"/>
                      <w:szCs w:val="18"/>
                      <w:lang w:val="en-US" w:eastAsia="zh-CN" w:bidi="ar-SA"/>
                    </w:rPr>
                    <w:t>75.7</w:t>
                  </w:r>
                </w:p>
              </w:tc>
              <w:tc>
                <w:tcPr>
                  <w:tcW w:w="649" w:type="dxa"/>
                  <w:vMerge w:val="continue"/>
                  <w:vAlign w:val="center"/>
                </w:tcPr>
                <w:p w14:paraId="19CF9B3B">
                  <w:pPr>
                    <w:jc w:val="center"/>
                    <w:rPr>
                      <w:rFonts w:hint="default" w:ascii="Times New Roman" w:hAnsi="Times New Roman" w:eastAsia="仿宋" w:cs="Times New Roman"/>
                      <w:bCs/>
                      <w:sz w:val="18"/>
                      <w:szCs w:val="18"/>
                    </w:rPr>
                  </w:pPr>
                </w:p>
              </w:tc>
              <w:tc>
                <w:tcPr>
                  <w:tcW w:w="818" w:type="dxa"/>
                  <w:vMerge w:val="continue"/>
                  <w:vAlign w:val="center"/>
                </w:tcPr>
                <w:p w14:paraId="65AC1947">
                  <w:pPr>
                    <w:jc w:val="center"/>
                    <w:rPr>
                      <w:rFonts w:hint="default" w:ascii="Times New Roman" w:hAnsi="Times New Roman" w:eastAsia="仿宋" w:cs="Times New Roman"/>
                      <w:bCs/>
                      <w:sz w:val="18"/>
                      <w:szCs w:val="18"/>
                    </w:rPr>
                  </w:pPr>
                </w:p>
              </w:tc>
              <w:tc>
                <w:tcPr>
                  <w:tcW w:w="766" w:type="dxa"/>
                  <w:shd w:val="clear" w:color="auto" w:fill="auto"/>
                  <w:vAlign w:val="bottom"/>
                </w:tcPr>
                <w:p w14:paraId="76F91693">
                  <w:pPr>
                    <w:jc w:val="center"/>
                    <w:rPr>
                      <w:rFonts w:hint="default" w:ascii="Times New Roman" w:hAnsi="Times New Roman" w:eastAsia="仿宋" w:cs="Times New Roman"/>
                      <w:bCs/>
                      <w:sz w:val="18"/>
                      <w:szCs w:val="18"/>
                    </w:rPr>
                  </w:pPr>
                  <w:r>
                    <w:rPr>
                      <w:rFonts w:hint="eastAsia" w:eastAsia="仿宋" w:cs="Times New Roman"/>
                      <w:bCs/>
                      <w:sz w:val="18"/>
                      <w:szCs w:val="18"/>
                      <w:lang w:val="en-US" w:eastAsia="zh-CN"/>
                    </w:rPr>
                    <w:t>44.7</w:t>
                  </w:r>
                </w:p>
              </w:tc>
              <w:tc>
                <w:tcPr>
                  <w:tcW w:w="509" w:type="dxa"/>
                  <w:shd w:val="clear" w:color="auto" w:fill="auto"/>
                  <w:vAlign w:val="center"/>
                </w:tcPr>
                <w:p w14:paraId="5567AE4B">
                  <w:pPr>
                    <w:jc w:val="center"/>
                    <w:rPr>
                      <w:rFonts w:hint="default" w:ascii="Times New Roman" w:hAnsi="Times New Roman" w:eastAsia="仿宋" w:cs="Times New Roman"/>
                      <w:bCs/>
                      <w:sz w:val="18"/>
                      <w:szCs w:val="18"/>
                    </w:rPr>
                  </w:pPr>
                  <w:r>
                    <w:rPr>
                      <w:rFonts w:hint="default" w:ascii="Times New Roman" w:hAnsi="Times New Roman" w:eastAsia="仿宋" w:cs="Times New Roman"/>
                      <w:bCs/>
                      <w:color w:val="auto"/>
                      <w:sz w:val="18"/>
                      <w:szCs w:val="18"/>
                    </w:rPr>
                    <w:t>1m</w:t>
                  </w:r>
                </w:p>
              </w:tc>
            </w:tr>
            <w:tr w14:paraId="2A875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49" w:type="dxa"/>
                  <w:vMerge w:val="continue"/>
                  <w:vAlign w:val="center"/>
                </w:tcPr>
                <w:p w14:paraId="1A64166B">
                  <w:pPr>
                    <w:jc w:val="center"/>
                    <w:rPr>
                      <w:rFonts w:hint="default" w:ascii="Times New Roman" w:hAnsi="Times New Roman" w:eastAsia="仿宋" w:cs="Times New Roman"/>
                      <w:bCs/>
                      <w:sz w:val="18"/>
                      <w:szCs w:val="18"/>
                    </w:rPr>
                  </w:pPr>
                </w:p>
              </w:tc>
              <w:tc>
                <w:tcPr>
                  <w:tcW w:w="436" w:type="dxa"/>
                  <w:vMerge w:val="continue"/>
                  <w:vAlign w:val="center"/>
                </w:tcPr>
                <w:p w14:paraId="18DE9B09">
                  <w:pPr>
                    <w:jc w:val="center"/>
                    <w:rPr>
                      <w:rFonts w:hint="default" w:ascii="Times New Roman" w:hAnsi="Times New Roman" w:eastAsia="仿宋" w:cs="Times New Roman"/>
                      <w:bCs/>
                      <w:sz w:val="18"/>
                      <w:szCs w:val="18"/>
                    </w:rPr>
                  </w:pPr>
                </w:p>
              </w:tc>
              <w:tc>
                <w:tcPr>
                  <w:tcW w:w="815" w:type="dxa"/>
                  <w:vMerge w:val="continue"/>
                  <w:vAlign w:val="center"/>
                </w:tcPr>
                <w:p w14:paraId="29E04313">
                  <w:pPr>
                    <w:jc w:val="center"/>
                    <w:rPr>
                      <w:rFonts w:hint="default" w:ascii="Times New Roman" w:hAnsi="Times New Roman" w:eastAsia="仿宋" w:cs="Times New Roman"/>
                      <w:bCs/>
                      <w:sz w:val="18"/>
                      <w:szCs w:val="18"/>
                    </w:rPr>
                  </w:pPr>
                </w:p>
              </w:tc>
              <w:tc>
                <w:tcPr>
                  <w:tcW w:w="634" w:type="dxa"/>
                  <w:vMerge w:val="continue"/>
                  <w:vAlign w:val="center"/>
                </w:tcPr>
                <w:p w14:paraId="271C3DBA">
                  <w:pPr>
                    <w:jc w:val="center"/>
                    <w:rPr>
                      <w:rFonts w:hint="default" w:ascii="Times New Roman" w:hAnsi="Times New Roman" w:eastAsia="仿宋" w:cs="Times New Roman"/>
                      <w:bCs/>
                      <w:sz w:val="18"/>
                      <w:szCs w:val="18"/>
                    </w:rPr>
                  </w:pPr>
                </w:p>
              </w:tc>
              <w:tc>
                <w:tcPr>
                  <w:tcW w:w="406" w:type="dxa"/>
                  <w:vMerge w:val="continue"/>
                  <w:shd w:val="clear" w:color="auto" w:fill="auto"/>
                  <w:vAlign w:val="center"/>
                </w:tcPr>
                <w:p w14:paraId="367104C2">
                  <w:pPr>
                    <w:jc w:val="center"/>
                    <w:rPr>
                      <w:rFonts w:hint="default" w:ascii="Times New Roman" w:hAnsi="Times New Roman" w:eastAsia="仿宋" w:cs="Times New Roman"/>
                      <w:bCs/>
                      <w:sz w:val="18"/>
                      <w:szCs w:val="18"/>
                    </w:rPr>
                  </w:pPr>
                </w:p>
              </w:tc>
              <w:tc>
                <w:tcPr>
                  <w:tcW w:w="406" w:type="dxa"/>
                  <w:vMerge w:val="continue"/>
                  <w:shd w:val="clear" w:color="auto" w:fill="auto"/>
                  <w:vAlign w:val="center"/>
                </w:tcPr>
                <w:p w14:paraId="5EF0BBC1">
                  <w:pPr>
                    <w:jc w:val="center"/>
                    <w:rPr>
                      <w:rFonts w:hint="default" w:ascii="Times New Roman" w:hAnsi="Times New Roman" w:eastAsia="仿宋" w:cs="Times New Roman"/>
                      <w:bCs/>
                      <w:sz w:val="18"/>
                      <w:szCs w:val="18"/>
                    </w:rPr>
                  </w:pPr>
                </w:p>
              </w:tc>
              <w:tc>
                <w:tcPr>
                  <w:tcW w:w="345" w:type="dxa"/>
                  <w:vMerge w:val="continue"/>
                  <w:shd w:val="clear" w:color="auto" w:fill="auto"/>
                  <w:vAlign w:val="center"/>
                </w:tcPr>
                <w:p w14:paraId="19E3DD1E">
                  <w:pPr>
                    <w:jc w:val="center"/>
                    <w:rPr>
                      <w:rFonts w:hint="default" w:ascii="Times New Roman" w:hAnsi="Times New Roman" w:eastAsia="仿宋" w:cs="Times New Roman"/>
                      <w:bCs/>
                      <w:sz w:val="18"/>
                      <w:szCs w:val="18"/>
                    </w:rPr>
                  </w:pPr>
                </w:p>
              </w:tc>
              <w:tc>
                <w:tcPr>
                  <w:tcW w:w="641" w:type="dxa"/>
                  <w:vMerge w:val="continue"/>
                  <w:vAlign w:val="center"/>
                </w:tcPr>
                <w:p w14:paraId="2BB79995">
                  <w:pPr>
                    <w:jc w:val="center"/>
                    <w:rPr>
                      <w:rFonts w:hint="default" w:ascii="Times New Roman" w:hAnsi="Times New Roman" w:eastAsia="仿宋" w:cs="Times New Roman"/>
                      <w:bCs/>
                      <w:sz w:val="18"/>
                      <w:szCs w:val="18"/>
                    </w:rPr>
                  </w:pPr>
                </w:p>
              </w:tc>
              <w:tc>
                <w:tcPr>
                  <w:tcW w:w="789" w:type="dxa"/>
                  <w:shd w:val="clear" w:color="auto" w:fill="auto"/>
                  <w:vAlign w:val="center"/>
                </w:tcPr>
                <w:p w14:paraId="2839E659">
                  <w:pPr>
                    <w:jc w:val="center"/>
                    <w:rPr>
                      <w:rFonts w:hint="default" w:ascii="Times New Roman" w:hAnsi="Times New Roman" w:eastAsia="仿宋" w:cs="Times New Roman"/>
                      <w:bCs/>
                      <w:color w:val="auto"/>
                      <w:kern w:val="2"/>
                      <w:sz w:val="18"/>
                      <w:szCs w:val="18"/>
                      <w:highlight w:val="yellow"/>
                      <w:lang w:val="en-US" w:eastAsia="zh-CN" w:bidi="ar-SA"/>
                    </w:rPr>
                  </w:pPr>
                  <w:r>
                    <w:rPr>
                      <w:rFonts w:hint="default" w:ascii="Times New Roman" w:hAnsi="Times New Roman" w:eastAsia="仿宋" w:cs="Times New Roman"/>
                      <w:bCs/>
                      <w:sz w:val="18"/>
                      <w:szCs w:val="18"/>
                    </w:rPr>
                    <w:t>东，</w:t>
                  </w:r>
                  <w:r>
                    <w:rPr>
                      <w:rFonts w:hint="eastAsia" w:eastAsia="仿宋" w:cs="Times New Roman"/>
                      <w:bCs/>
                      <w:sz w:val="18"/>
                      <w:szCs w:val="18"/>
                      <w:lang w:val="en-US" w:eastAsia="zh-CN"/>
                    </w:rPr>
                    <w:t>16</w:t>
                  </w:r>
                </w:p>
              </w:tc>
              <w:tc>
                <w:tcPr>
                  <w:tcW w:w="737" w:type="dxa"/>
                  <w:shd w:val="clear" w:color="auto" w:fill="auto"/>
                  <w:vAlign w:val="center"/>
                </w:tcPr>
                <w:p w14:paraId="537B6E91">
                  <w:pPr>
                    <w:jc w:val="center"/>
                    <w:rPr>
                      <w:rFonts w:hint="default" w:ascii="Times New Roman" w:hAnsi="Times New Roman" w:eastAsia="仿宋" w:cs="Times New Roman"/>
                      <w:bCs/>
                      <w:color w:val="auto"/>
                      <w:kern w:val="2"/>
                      <w:sz w:val="18"/>
                      <w:szCs w:val="18"/>
                      <w:lang w:val="en-US" w:eastAsia="zh-CN" w:bidi="ar-SA"/>
                    </w:rPr>
                  </w:pPr>
                  <w:r>
                    <w:rPr>
                      <w:rFonts w:hint="eastAsia" w:eastAsia="仿宋" w:cs="Times New Roman"/>
                      <w:sz w:val="18"/>
                      <w:szCs w:val="18"/>
                      <w:lang w:val="en-US" w:eastAsia="zh-CN"/>
                    </w:rPr>
                    <w:t>74.3</w:t>
                  </w:r>
                </w:p>
              </w:tc>
              <w:tc>
                <w:tcPr>
                  <w:tcW w:w="649" w:type="dxa"/>
                  <w:vMerge w:val="continue"/>
                  <w:vAlign w:val="center"/>
                </w:tcPr>
                <w:p w14:paraId="46BFB789">
                  <w:pPr>
                    <w:jc w:val="center"/>
                    <w:rPr>
                      <w:rFonts w:hint="default" w:ascii="Times New Roman" w:hAnsi="Times New Roman" w:eastAsia="仿宋" w:cs="Times New Roman"/>
                      <w:bCs/>
                      <w:sz w:val="18"/>
                      <w:szCs w:val="18"/>
                    </w:rPr>
                  </w:pPr>
                </w:p>
              </w:tc>
              <w:tc>
                <w:tcPr>
                  <w:tcW w:w="818" w:type="dxa"/>
                  <w:vMerge w:val="continue"/>
                  <w:vAlign w:val="center"/>
                </w:tcPr>
                <w:p w14:paraId="5B5DDA76">
                  <w:pPr>
                    <w:jc w:val="center"/>
                    <w:rPr>
                      <w:rFonts w:hint="default" w:ascii="Times New Roman" w:hAnsi="Times New Roman" w:eastAsia="仿宋" w:cs="Times New Roman"/>
                      <w:bCs/>
                      <w:sz w:val="18"/>
                      <w:szCs w:val="18"/>
                    </w:rPr>
                  </w:pPr>
                </w:p>
              </w:tc>
              <w:tc>
                <w:tcPr>
                  <w:tcW w:w="766" w:type="dxa"/>
                  <w:shd w:val="clear" w:color="auto" w:fill="auto"/>
                  <w:vAlign w:val="bottom"/>
                </w:tcPr>
                <w:p w14:paraId="215FE3F7">
                  <w:pPr>
                    <w:jc w:val="center"/>
                    <w:rPr>
                      <w:rFonts w:hint="default" w:ascii="Times New Roman" w:hAnsi="Times New Roman" w:eastAsia="仿宋" w:cs="Times New Roman"/>
                      <w:bCs/>
                      <w:sz w:val="18"/>
                      <w:szCs w:val="18"/>
                    </w:rPr>
                  </w:pPr>
                  <w:r>
                    <w:rPr>
                      <w:rFonts w:hint="eastAsia" w:eastAsia="仿宋" w:cs="Times New Roman"/>
                      <w:bCs/>
                      <w:sz w:val="18"/>
                      <w:szCs w:val="18"/>
                      <w:lang w:val="en-US" w:eastAsia="zh-CN"/>
                    </w:rPr>
                    <w:t>43.3</w:t>
                  </w:r>
                </w:p>
              </w:tc>
              <w:tc>
                <w:tcPr>
                  <w:tcW w:w="509" w:type="dxa"/>
                  <w:shd w:val="clear" w:color="auto" w:fill="auto"/>
                  <w:vAlign w:val="center"/>
                </w:tcPr>
                <w:p w14:paraId="532B0350">
                  <w:pPr>
                    <w:jc w:val="center"/>
                    <w:rPr>
                      <w:rFonts w:hint="default" w:ascii="Times New Roman" w:hAnsi="Times New Roman" w:eastAsia="仿宋" w:cs="Times New Roman"/>
                      <w:bCs/>
                      <w:sz w:val="18"/>
                      <w:szCs w:val="18"/>
                    </w:rPr>
                  </w:pPr>
                  <w:r>
                    <w:rPr>
                      <w:rFonts w:hint="default" w:ascii="Times New Roman" w:hAnsi="Times New Roman" w:eastAsia="仿宋" w:cs="Times New Roman"/>
                      <w:bCs/>
                      <w:color w:val="auto"/>
                      <w:sz w:val="18"/>
                      <w:szCs w:val="18"/>
                    </w:rPr>
                    <w:t>1m</w:t>
                  </w:r>
                </w:p>
              </w:tc>
            </w:tr>
            <w:tr w14:paraId="009C1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49" w:type="dxa"/>
                  <w:vMerge w:val="continue"/>
                  <w:vAlign w:val="center"/>
                </w:tcPr>
                <w:p w14:paraId="73EB6AC8">
                  <w:pPr>
                    <w:jc w:val="center"/>
                    <w:rPr>
                      <w:rFonts w:hint="default" w:ascii="Times New Roman" w:hAnsi="Times New Roman" w:eastAsia="仿宋" w:cs="Times New Roman"/>
                      <w:bCs/>
                      <w:sz w:val="18"/>
                      <w:szCs w:val="18"/>
                    </w:rPr>
                  </w:pPr>
                </w:p>
              </w:tc>
              <w:tc>
                <w:tcPr>
                  <w:tcW w:w="436" w:type="dxa"/>
                  <w:vMerge w:val="continue"/>
                  <w:vAlign w:val="center"/>
                </w:tcPr>
                <w:p w14:paraId="7F3AC70C">
                  <w:pPr>
                    <w:jc w:val="center"/>
                    <w:rPr>
                      <w:rFonts w:hint="default" w:ascii="Times New Roman" w:hAnsi="Times New Roman" w:eastAsia="仿宋" w:cs="Times New Roman"/>
                      <w:bCs/>
                      <w:sz w:val="18"/>
                      <w:szCs w:val="18"/>
                    </w:rPr>
                  </w:pPr>
                </w:p>
              </w:tc>
              <w:tc>
                <w:tcPr>
                  <w:tcW w:w="815" w:type="dxa"/>
                  <w:vMerge w:val="continue"/>
                  <w:vAlign w:val="center"/>
                </w:tcPr>
                <w:p w14:paraId="3D23F8D5">
                  <w:pPr>
                    <w:jc w:val="center"/>
                    <w:rPr>
                      <w:rFonts w:hint="default" w:ascii="Times New Roman" w:hAnsi="Times New Roman" w:eastAsia="仿宋" w:cs="Times New Roman"/>
                      <w:bCs/>
                      <w:sz w:val="18"/>
                      <w:szCs w:val="18"/>
                    </w:rPr>
                  </w:pPr>
                </w:p>
              </w:tc>
              <w:tc>
                <w:tcPr>
                  <w:tcW w:w="634" w:type="dxa"/>
                  <w:vMerge w:val="continue"/>
                  <w:vAlign w:val="center"/>
                </w:tcPr>
                <w:p w14:paraId="768EFBF9">
                  <w:pPr>
                    <w:jc w:val="center"/>
                    <w:rPr>
                      <w:rFonts w:hint="default" w:ascii="Times New Roman" w:hAnsi="Times New Roman" w:eastAsia="仿宋" w:cs="Times New Roman"/>
                      <w:bCs/>
                      <w:sz w:val="18"/>
                      <w:szCs w:val="18"/>
                    </w:rPr>
                  </w:pPr>
                </w:p>
              </w:tc>
              <w:tc>
                <w:tcPr>
                  <w:tcW w:w="406" w:type="dxa"/>
                  <w:vMerge w:val="continue"/>
                  <w:shd w:val="clear" w:color="auto" w:fill="auto"/>
                  <w:vAlign w:val="center"/>
                </w:tcPr>
                <w:p w14:paraId="412F9EFC">
                  <w:pPr>
                    <w:jc w:val="center"/>
                    <w:rPr>
                      <w:rFonts w:hint="default" w:ascii="Times New Roman" w:hAnsi="Times New Roman" w:eastAsia="仿宋" w:cs="Times New Roman"/>
                      <w:bCs/>
                      <w:sz w:val="18"/>
                      <w:szCs w:val="18"/>
                    </w:rPr>
                  </w:pPr>
                </w:p>
              </w:tc>
              <w:tc>
                <w:tcPr>
                  <w:tcW w:w="406" w:type="dxa"/>
                  <w:vMerge w:val="continue"/>
                  <w:shd w:val="clear" w:color="auto" w:fill="auto"/>
                  <w:vAlign w:val="center"/>
                </w:tcPr>
                <w:p w14:paraId="0B18923C">
                  <w:pPr>
                    <w:jc w:val="center"/>
                    <w:rPr>
                      <w:rFonts w:hint="default" w:ascii="Times New Roman" w:hAnsi="Times New Roman" w:eastAsia="仿宋" w:cs="Times New Roman"/>
                      <w:bCs/>
                      <w:sz w:val="18"/>
                      <w:szCs w:val="18"/>
                    </w:rPr>
                  </w:pPr>
                </w:p>
              </w:tc>
              <w:tc>
                <w:tcPr>
                  <w:tcW w:w="345" w:type="dxa"/>
                  <w:vMerge w:val="continue"/>
                  <w:shd w:val="clear" w:color="auto" w:fill="auto"/>
                  <w:vAlign w:val="center"/>
                </w:tcPr>
                <w:p w14:paraId="0C6AAF83">
                  <w:pPr>
                    <w:jc w:val="center"/>
                    <w:rPr>
                      <w:rFonts w:hint="default" w:ascii="Times New Roman" w:hAnsi="Times New Roman" w:eastAsia="仿宋" w:cs="Times New Roman"/>
                      <w:bCs/>
                      <w:sz w:val="18"/>
                      <w:szCs w:val="18"/>
                    </w:rPr>
                  </w:pPr>
                </w:p>
              </w:tc>
              <w:tc>
                <w:tcPr>
                  <w:tcW w:w="641" w:type="dxa"/>
                  <w:vMerge w:val="continue"/>
                  <w:vAlign w:val="center"/>
                </w:tcPr>
                <w:p w14:paraId="07A9F600">
                  <w:pPr>
                    <w:jc w:val="center"/>
                    <w:rPr>
                      <w:rFonts w:hint="default" w:ascii="Times New Roman" w:hAnsi="Times New Roman" w:eastAsia="仿宋" w:cs="Times New Roman"/>
                      <w:bCs/>
                      <w:sz w:val="18"/>
                      <w:szCs w:val="18"/>
                    </w:rPr>
                  </w:pPr>
                </w:p>
              </w:tc>
              <w:tc>
                <w:tcPr>
                  <w:tcW w:w="789" w:type="dxa"/>
                  <w:shd w:val="clear" w:color="auto" w:fill="auto"/>
                  <w:vAlign w:val="center"/>
                </w:tcPr>
                <w:p w14:paraId="2869A8B0">
                  <w:pPr>
                    <w:jc w:val="center"/>
                    <w:rPr>
                      <w:rFonts w:hint="default" w:ascii="Times New Roman" w:hAnsi="Times New Roman" w:eastAsia="仿宋" w:cs="Times New Roman"/>
                      <w:bCs/>
                      <w:color w:val="auto"/>
                      <w:kern w:val="2"/>
                      <w:sz w:val="18"/>
                      <w:szCs w:val="18"/>
                      <w:highlight w:val="yellow"/>
                      <w:lang w:val="en-US" w:eastAsia="zh-CN" w:bidi="ar-SA"/>
                    </w:rPr>
                  </w:pPr>
                  <w:r>
                    <w:rPr>
                      <w:rFonts w:hint="default" w:ascii="Times New Roman" w:hAnsi="Times New Roman" w:eastAsia="仿宋" w:cs="Times New Roman"/>
                      <w:bCs/>
                      <w:sz w:val="18"/>
                      <w:szCs w:val="18"/>
                    </w:rPr>
                    <w:t>南，</w:t>
                  </w:r>
                  <w:r>
                    <w:rPr>
                      <w:rFonts w:hint="eastAsia" w:eastAsia="仿宋" w:cs="Times New Roman"/>
                      <w:bCs/>
                      <w:sz w:val="18"/>
                      <w:szCs w:val="18"/>
                      <w:lang w:val="en-US" w:eastAsia="zh-CN"/>
                    </w:rPr>
                    <w:t>16</w:t>
                  </w:r>
                </w:p>
              </w:tc>
              <w:tc>
                <w:tcPr>
                  <w:tcW w:w="737" w:type="dxa"/>
                  <w:shd w:val="clear" w:color="auto" w:fill="auto"/>
                  <w:vAlign w:val="center"/>
                </w:tcPr>
                <w:p w14:paraId="078A7878">
                  <w:pPr>
                    <w:jc w:val="center"/>
                    <w:rPr>
                      <w:rFonts w:hint="default" w:ascii="Times New Roman" w:hAnsi="Times New Roman" w:eastAsia="仿宋" w:cs="Times New Roman"/>
                      <w:bCs/>
                      <w:color w:val="auto"/>
                      <w:kern w:val="2"/>
                      <w:sz w:val="18"/>
                      <w:szCs w:val="18"/>
                      <w:lang w:val="en-US" w:eastAsia="zh-CN" w:bidi="ar-SA"/>
                    </w:rPr>
                  </w:pPr>
                  <w:r>
                    <w:rPr>
                      <w:rFonts w:hint="eastAsia" w:eastAsia="仿宋" w:cs="Times New Roman"/>
                      <w:sz w:val="18"/>
                      <w:szCs w:val="18"/>
                      <w:lang w:val="en-US" w:eastAsia="zh-CN"/>
                    </w:rPr>
                    <w:t>74.3</w:t>
                  </w:r>
                </w:p>
              </w:tc>
              <w:tc>
                <w:tcPr>
                  <w:tcW w:w="649" w:type="dxa"/>
                  <w:vMerge w:val="continue"/>
                  <w:vAlign w:val="center"/>
                </w:tcPr>
                <w:p w14:paraId="0474054E">
                  <w:pPr>
                    <w:jc w:val="center"/>
                    <w:rPr>
                      <w:rFonts w:hint="default" w:ascii="Times New Roman" w:hAnsi="Times New Roman" w:eastAsia="仿宋" w:cs="Times New Roman"/>
                      <w:bCs/>
                      <w:sz w:val="18"/>
                      <w:szCs w:val="18"/>
                    </w:rPr>
                  </w:pPr>
                </w:p>
              </w:tc>
              <w:tc>
                <w:tcPr>
                  <w:tcW w:w="818" w:type="dxa"/>
                  <w:vMerge w:val="continue"/>
                  <w:vAlign w:val="center"/>
                </w:tcPr>
                <w:p w14:paraId="1777212E">
                  <w:pPr>
                    <w:jc w:val="center"/>
                    <w:rPr>
                      <w:rFonts w:hint="default" w:ascii="Times New Roman" w:hAnsi="Times New Roman" w:eastAsia="仿宋" w:cs="Times New Roman"/>
                      <w:bCs/>
                      <w:sz w:val="18"/>
                      <w:szCs w:val="18"/>
                    </w:rPr>
                  </w:pPr>
                </w:p>
              </w:tc>
              <w:tc>
                <w:tcPr>
                  <w:tcW w:w="766" w:type="dxa"/>
                  <w:shd w:val="clear" w:color="auto" w:fill="auto"/>
                  <w:vAlign w:val="bottom"/>
                </w:tcPr>
                <w:p w14:paraId="0D82B500">
                  <w:pPr>
                    <w:jc w:val="center"/>
                    <w:rPr>
                      <w:rFonts w:hint="default" w:ascii="Times New Roman" w:hAnsi="Times New Roman" w:eastAsia="仿宋" w:cs="Times New Roman"/>
                      <w:bCs/>
                      <w:sz w:val="18"/>
                      <w:szCs w:val="18"/>
                    </w:rPr>
                  </w:pPr>
                  <w:r>
                    <w:rPr>
                      <w:rFonts w:hint="eastAsia" w:eastAsia="仿宋" w:cs="Times New Roman"/>
                      <w:bCs/>
                      <w:sz w:val="18"/>
                      <w:szCs w:val="18"/>
                      <w:lang w:val="en-US" w:eastAsia="zh-CN"/>
                    </w:rPr>
                    <w:t>43.3</w:t>
                  </w:r>
                </w:p>
              </w:tc>
              <w:tc>
                <w:tcPr>
                  <w:tcW w:w="509" w:type="dxa"/>
                  <w:shd w:val="clear" w:color="auto" w:fill="auto"/>
                  <w:vAlign w:val="center"/>
                </w:tcPr>
                <w:p w14:paraId="592A8C51">
                  <w:pPr>
                    <w:jc w:val="center"/>
                    <w:rPr>
                      <w:rFonts w:hint="default" w:ascii="Times New Roman" w:hAnsi="Times New Roman" w:eastAsia="仿宋" w:cs="Times New Roman"/>
                      <w:bCs/>
                      <w:sz w:val="18"/>
                      <w:szCs w:val="18"/>
                    </w:rPr>
                  </w:pPr>
                  <w:r>
                    <w:rPr>
                      <w:rFonts w:hint="default" w:ascii="Times New Roman" w:hAnsi="Times New Roman" w:eastAsia="仿宋" w:cs="Times New Roman"/>
                      <w:bCs/>
                      <w:color w:val="auto"/>
                      <w:sz w:val="18"/>
                      <w:szCs w:val="18"/>
                    </w:rPr>
                    <w:t>1m</w:t>
                  </w:r>
                </w:p>
              </w:tc>
            </w:tr>
            <w:tr w14:paraId="1AC31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449" w:type="dxa"/>
                  <w:vMerge w:val="continue"/>
                  <w:vAlign w:val="center"/>
                </w:tcPr>
                <w:p w14:paraId="761AC465">
                  <w:pPr>
                    <w:jc w:val="center"/>
                    <w:rPr>
                      <w:rFonts w:hint="default" w:ascii="Times New Roman" w:hAnsi="Times New Roman" w:eastAsia="仿宋" w:cs="Times New Roman"/>
                      <w:bCs/>
                      <w:sz w:val="18"/>
                      <w:szCs w:val="18"/>
                    </w:rPr>
                  </w:pPr>
                </w:p>
              </w:tc>
              <w:tc>
                <w:tcPr>
                  <w:tcW w:w="436" w:type="dxa"/>
                  <w:vMerge w:val="continue"/>
                  <w:vAlign w:val="center"/>
                </w:tcPr>
                <w:p w14:paraId="6BE02084">
                  <w:pPr>
                    <w:jc w:val="center"/>
                    <w:rPr>
                      <w:rFonts w:hint="default" w:ascii="Times New Roman" w:hAnsi="Times New Roman" w:eastAsia="仿宋" w:cs="Times New Roman"/>
                      <w:bCs/>
                      <w:sz w:val="18"/>
                      <w:szCs w:val="18"/>
                    </w:rPr>
                  </w:pPr>
                </w:p>
              </w:tc>
              <w:tc>
                <w:tcPr>
                  <w:tcW w:w="815" w:type="dxa"/>
                  <w:vMerge w:val="continue"/>
                  <w:vAlign w:val="center"/>
                </w:tcPr>
                <w:p w14:paraId="4DFF581E">
                  <w:pPr>
                    <w:jc w:val="center"/>
                    <w:rPr>
                      <w:rFonts w:hint="default" w:ascii="Times New Roman" w:hAnsi="Times New Roman" w:eastAsia="仿宋" w:cs="Times New Roman"/>
                      <w:bCs/>
                      <w:sz w:val="18"/>
                      <w:szCs w:val="18"/>
                    </w:rPr>
                  </w:pPr>
                </w:p>
              </w:tc>
              <w:tc>
                <w:tcPr>
                  <w:tcW w:w="634" w:type="dxa"/>
                  <w:vMerge w:val="continue"/>
                  <w:vAlign w:val="center"/>
                </w:tcPr>
                <w:p w14:paraId="4CCA77E0">
                  <w:pPr>
                    <w:jc w:val="center"/>
                    <w:rPr>
                      <w:rFonts w:hint="default" w:ascii="Times New Roman" w:hAnsi="Times New Roman" w:eastAsia="仿宋" w:cs="Times New Roman"/>
                      <w:bCs/>
                      <w:sz w:val="18"/>
                      <w:szCs w:val="18"/>
                    </w:rPr>
                  </w:pPr>
                </w:p>
              </w:tc>
              <w:tc>
                <w:tcPr>
                  <w:tcW w:w="406" w:type="dxa"/>
                  <w:vMerge w:val="continue"/>
                  <w:shd w:val="clear" w:color="auto" w:fill="auto"/>
                  <w:vAlign w:val="center"/>
                </w:tcPr>
                <w:p w14:paraId="2472036A">
                  <w:pPr>
                    <w:jc w:val="center"/>
                    <w:rPr>
                      <w:rFonts w:hint="default" w:ascii="Times New Roman" w:hAnsi="Times New Roman" w:eastAsia="仿宋" w:cs="Times New Roman"/>
                      <w:bCs/>
                      <w:sz w:val="18"/>
                      <w:szCs w:val="18"/>
                    </w:rPr>
                  </w:pPr>
                </w:p>
              </w:tc>
              <w:tc>
                <w:tcPr>
                  <w:tcW w:w="406" w:type="dxa"/>
                  <w:vMerge w:val="continue"/>
                  <w:shd w:val="clear" w:color="auto" w:fill="auto"/>
                  <w:vAlign w:val="center"/>
                </w:tcPr>
                <w:p w14:paraId="567D642C">
                  <w:pPr>
                    <w:jc w:val="center"/>
                    <w:rPr>
                      <w:rFonts w:hint="default" w:ascii="Times New Roman" w:hAnsi="Times New Roman" w:eastAsia="仿宋" w:cs="Times New Roman"/>
                      <w:bCs/>
                      <w:sz w:val="18"/>
                      <w:szCs w:val="18"/>
                    </w:rPr>
                  </w:pPr>
                </w:p>
              </w:tc>
              <w:tc>
                <w:tcPr>
                  <w:tcW w:w="345" w:type="dxa"/>
                  <w:vMerge w:val="continue"/>
                  <w:shd w:val="clear" w:color="auto" w:fill="auto"/>
                  <w:vAlign w:val="center"/>
                </w:tcPr>
                <w:p w14:paraId="207EF381">
                  <w:pPr>
                    <w:jc w:val="center"/>
                    <w:rPr>
                      <w:rFonts w:hint="default" w:ascii="Times New Roman" w:hAnsi="Times New Roman" w:eastAsia="仿宋" w:cs="Times New Roman"/>
                      <w:bCs/>
                      <w:sz w:val="18"/>
                      <w:szCs w:val="18"/>
                    </w:rPr>
                  </w:pPr>
                </w:p>
              </w:tc>
              <w:tc>
                <w:tcPr>
                  <w:tcW w:w="641" w:type="dxa"/>
                  <w:vMerge w:val="continue"/>
                  <w:vAlign w:val="center"/>
                </w:tcPr>
                <w:p w14:paraId="004194C2">
                  <w:pPr>
                    <w:jc w:val="center"/>
                    <w:rPr>
                      <w:rFonts w:hint="default" w:ascii="Times New Roman" w:hAnsi="Times New Roman" w:eastAsia="仿宋" w:cs="Times New Roman"/>
                      <w:bCs/>
                      <w:sz w:val="18"/>
                      <w:szCs w:val="18"/>
                    </w:rPr>
                  </w:pPr>
                </w:p>
              </w:tc>
              <w:tc>
                <w:tcPr>
                  <w:tcW w:w="789" w:type="dxa"/>
                  <w:shd w:val="clear" w:color="auto" w:fill="auto"/>
                  <w:vAlign w:val="center"/>
                </w:tcPr>
                <w:p w14:paraId="40FEB184">
                  <w:pPr>
                    <w:jc w:val="center"/>
                    <w:rPr>
                      <w:rFonts w:hint="default" w:ascii="Times New Roman" w:hAnsi="Times New Roman" w:eastAsia="仿宋" w:cs="Times New Roman"/>
                      <w:bCs/>
                      <w:color w:val="auto"/>
                      <w:kern w:val="2"/>
                      <w:sz w:val="18"/>
                      <w:szCs w:val="18"/>
                      <w:highlight w:val="yellow"/>
                      <w:lang w:val="en-US" w:eastAsia="zh-CN" w:bidi="ar-SA"/>
                    </w:rPr>
                  </w:pPr>
                  <w:r>
                    <w:rPr>
                      <w:rFonts w:hint="default" w:ascii="Times New Roman" w:hAnsi="Times New Roman" w:eastAsia="仿宋" w:cs="Times New Roman"/>
                      <w:bCs/>
                      <w:sz w:val="18"/>
                      <w:szCs w:val="18"/>
                    </w:rPr>
                    <w:t>西，</w:t>
                  </w:r>
                  <w:r>
                    <w:rPr>
                      <w:rFonts w:hint="eastAsia" w:eastAsia="仿宋" w:cs="Times New Roman"/>
                      <w:bCs/>
                      <w:sz w:val="18"/>
                      <w:szCs w:val="18"/>
                      <w:lang w:val="en-US" w:eastAsia="zh-CN"/>
                    </w:rPr>
                    <w:t>23</w:t>
                  </w:r>
                </w:p>
              </w:tc>
              <w:tc>
                <w:tcPr>
                  <w:tcW w:w="737" w:type="dxa"/>
                  <w:shd w:val="clear" w:color="auto" w:fill="auto"/>
                  <w:vAlign w:val="center"/>
                </w:tcPr>
                <w:p w14:paraId="6A278FEC">
                  <w:pPr>
                    <w:jc w:val="center"/>
                    <w:rPr>
                      <w:rFonts w:hint="default" w:ascii="Times New Roman" w:hAnsi="Times New Roman" w:eastAsia="仿宋" w:cs="Times New Roman"/>
                      <w:bCs/>
                      <w:color w:val="auto"/>
                      <w:kern w:val="2"/>
                      <w:sz w:val="18"/>
                      <w:szCs w:val="18"/>
                      <w:lang w:val="en-US" w:eastAsia="zh-CN" w:bidi="ar-SA"/>
                    </w:rPr>
                  </w:pPr>
                  <w:r>
                    <w:rPr>
                      <w:rFonts w:hint="eastAsia" w:eastAsia="仿宋" w:cs="Times New Roman"/>
                      <w:sz w:val="18"/>
                      <w:szCs w:val="18"/>
                      <w:lang w:val="en-US" w:eastAsia="zh-CN"/>
                    </w:rPr>
                    <w:t>74.3</w:t>
                  </w:r>
                </w:p>
              </w:tc>
              <w:tc>
                <w:tcPr>
                  <w:tcW w:w="649" w:type="dxa"/>
                  <w:vMerge w:val="continue"/>
                  <w:vAlign w:val="center"/>
                </w:tcPr>
                <w:p w14:paraId="6A2B57F8">
                  <w:pPr>
                    <w:jc w:val="center"/>
                    <w:rPr>
                      <w:rFonts w:hint="default" w:ascii="Times New Roman" w:hAnsi="Times New Roman" w:eastAsia="仿宋" w:cs="Times New Roman"/>
                      <w:bCs/>
                      <w:sz w:val="18"/>
                      <w:szCs w:val="18"/>
                    </w:rPr>
                  </w:pPr>
                </w:p>
              </w:tc>
              <w:tc>
                <w:tcPr>
                  <w:tcW w:w="818" w:type="dxa"/>
                  <w:vMerge w:val="continue"/>
                  <w:vAlign w:val="center"/>
                </w:tcPr>
                <w:p w14:paraId="71AF7A8F">
                  <w:pPr>
                    <w:jc w:val="center"/>
                    <w:rPr>
                      <w:rFonts w:hint="default" w:ascii="Times New Roman" w:hAnsi="Times New Roman" w:eastAsia="仿宋" w:cs="Times New Roman"/>
                      <w:bCs/>
                      <w:sz w:val="18"/>
                      <w:szCs w:val="18"/>
                    </w:rPr>
                  </w:pPr>
                </w:p>
              </w:tc>
              <w:tc>
                <w:tcPr>
                  <w:tcW w:w="766" w:type="dxa"/>
                  <w:shd w:val="clear" w:color="auto" w:fill="auto"/>
                  <w:vAlign w:val="bottom"/>
                </w:tcPr>
                <w:p w14:paraId="5CCAB85F">
                  <w:pPr>
                    <w:jc w:val="center"/>
                    <w:rPr>
                      <w:rFonts w:hint="default" w:ascii="Times New Roman" w:hAnsi="Times New Roman" w:eastAsia="仿宋" w:cs="Times New Roman"/>
                      <w:bCs/>
                      <w:sz w:val="18"/>
                      <w:szCs w:val="18"/>
                    </w:rPr>
                  </w:pPr>
                  <w:r>
                    <w:rPr>
                      <w:rFonts w:hint="eastAsia" w:eastAsia="仿宋" w:cs="Times New Roman"/>
                      <w:bCs/>
                      <w:sz w:val="18"/>
                      <w:szCs w:val="18"/>
                      <w:lang w:val="en-US" w:eastAsia="zh-CN"/>
                    </w:rPr>
                    <w:t>43.3</w:t>
                  </w:r>
                </w:p>
              </w:tc>
              <w:tc>
                <w:tcPr>
                  <w:tcW w:w="509" w:type="dxa"/>
                  <w:shd w:val="clear" w:color="auto" w:fill="auto"/>
                  <w:vAlign w:val="center"/>
                </w:tcPr>
                <w:p w14:paraId="66DDE69A">
                  <w:pPr>
                    <w:jc w:val="center"/>
                    <w:rPr>
                      <w:rFonts w:hint="default" w:ascii="Times New Roman" w:hAnsi="Times New Roman" w:eastAsia="仿宋" w:cs="Times New Roman"/>
                      <w:bCs/>
                      <w:sz w:val="18"/>
                      <w:szCs w:val="18"/>
                    </w:rPr>
                  </w:pPr>
                  <w:r>
                    <w:rPr>
                      <w:rFonts w:hint="default" w:ascii="Times New Roman" w:hAnsi="Times New Roman" w:eastAsia="仿宋" w:cs="Times New Roman"/>
                      <w:bCs/>
                      <w:color w:val="auto"/>
                      <w:sz w:val="18"/>
                      <w:szCs w:val="18"/>
                    </w:rPr>
                    <w:t>1m</w:t>
                  </w:r>
                </w:p>
              </w:tc>
            </w:tr>
          </w:tbl>
          <w:p w14:paraId="51E3CAA7">
            <w:pPr>
              <w:adjustRightInd w:val="0"/>
              <w:snapToGrid w:val="0"/>
              <w:jc w:val="left"/>
              <w:rPr>
                <w:rFonts w:hint="default" w:ascii="Times New Roman" w:hAnsi="Times New Roman" w:eastAsia="仿宋" w:cs="Times New Roman"/>
                <w:b w:val="0"/>
                <w:bCs/>
                <w:sz w:val="18"/>
                <w:szCs w:val="18"/>
              </w:rPr>
            </w:pPr>
            <w:r>
              <w:rPr>
                <w:rFonts w:hint="default" w:ascii="Times New Roman" w:hAnsi="Times New Roman" w:eastAsia="仿宋" w:cs="Times New Roman"/>
                <w:b w:val="0"/>
                <w:bCs/>
                <w:sz w:val="18"/>
                <w:szCs w:val="18"/>
              </w:rPr>
              <w:t>注：以</w:t>
            </w:r>
            <w:r>
              <w:rPr>
                <w:rFonts w:hint="default" w:ascii="Times New Roman" w:hAnsi="Times New Roman" w:eastAsia="仿宋" w:cs="Times New Roman"/>
                <w:b w:val="0"/>
                <w:bCs/>
                <w:sz w:val="18"/>
                <w:szCs w:val="18"/>
                <w:lang w:val="en-US" w:eastAsia="zh-CN"/>
              </w:rPr>
              <w:t>D</w:t>
            </w:r>
            <w:r>
              <w:rPr>
                <w:rFonts w:hint="eastAsia" w:eastAsia="仿宋" w:cs="Times New Roman"/>
                <w:b w:val="0"/>
                <w:bCs/>
                <w:sz w:val="18"/>
                <w:szCs w:val="18"/>
                <w:lang w:val="en-US" w:eastAsia="zh-CN"/>
              </w:rPr>
              <w:t>7</w:t>
            </w:r>
            <w:r>
              <w:rPr>
                <w:rFonts w:hint="default" w:ascii="Times New Roman" w:hAnsi="Times New Roman" w:eastAsia="仿宋" w:cs="Times New Roman"/>
                <w:b w:val="0"/>
                <w:bCs/>
                <w:sz w:val="18"/>
                <w:szCs w:val="18"/>
                <w:lang w:val="en-US" w:eastAsia="zh-CN"/>
              </w:rPr>
              <w:t>车间</w:t>
            </w:r>
            <w:r>
              <w:rPr>
                <w:rFonts w:hint="default" w:ascii="Times New Roman" w:hAnsi="Times New Roman" w:eastAsia="仿宋" w:cs="Times New Roman"/>
                <w:b w:val="0"/>
                <w:bCs/>
                <w:sz w:val="18"/>
                <w:szCs w:val="18"/>
              </w:rPr>
              <w:t>西南角为坐标原点。</w:t>
            </w:r>
          </w:p>
          <w:p w14:paraId="7E479C30">
            <w:pPr>
              <w:spacing w:before="120" w:beforeLines="50"/>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表4-2</w:t>
            </w:r>
            <w:r>
              <w:rPr>
                <w:rFonts w:hint="eastAsia" w:eastAsia="仿宋" w:cs="Times New Roman"/>
                <w:b/>
                <w:color w:val="auto"/>
                <w:sz w:val="24"/>
                <w:lang w:val="en-US" w:eastAsia="zh-CN"/>
              </w:rPr>
              <w:t>7</w:t>
            </w:r>
            <w:r>
              <w:rPr>
                <w:rFonts w:hint="default" w:ascii="Times New Roman" w:hAnsi="Times New Roman" w:eastAsia="仿宋" w:cs="Times New Roman"/>
                <w:b/>
                <w:color w:val="auto"/>
                <w:sz w:val="24"/>
              </w:rPr>
              <w:t xml:space="preserve">  工业企业噪</w:t>
            </w:r>
            <w:r>
              <w:rPr>
                <w:rFonts w:hint="default" w:ascii="Times New Roman" w:hAnsi="Times New Roman" w:eastAsia="仿宋" w:cs="Times New Roman"/>
                <w:b/>
                <w:color w:val="auto"/>
                <w:sz w:val="24"/>
                <w:highlight w:val="none"/>
              </w:rPr>
              <w:t>声源强调查清单（室外声源） 单</w:t>
            </w:r>
            <w:r>
              <w:rPr>
                <w:rFonts w:hint="default" w:ascii="Times New Roman" w:hAnsi="Times New Roman" w:eastAsia="仿宋" w:cs="Times New Roman"/>
                <w:b/>
                <w:color w:val="auto"/>
                <w:sz w:val="24"/>
              </w:rPr>
              <w:t>位：dB（A）</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198"/>
              <w:gridCol w:w="1555"/>
              <w:gridCol w:w="706"/>
              <w:gridCol w:w="706"/>
              <w:gridCol w:w="702"/>
              <w:gridCol w:w="1719"/>
              <w:gridCol w:w="1128"/>
            </w:tblGrid>
            <w:tr w14:paraId="7F81B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8" w:type="pct"/>
                  <w:vMerge w:val="restart"/>
                  <w:vAlign w:val="center"/>
                </w:tcPr>
                <w:p w14:paraId="43F13E85">
                  <w:pPr>
                    <w:jc w:val="center"/>
                    <w:rPr>
                      <w:rFonts w:hint="default" w:ascii="Times New Roman" w:hAnsi="Times New Roman" w:eastAsia="仿宋" w:cs="Times New Roman"/>
                      <w:b/>
                      <w:color w:val="0000FF"/>
                      <w:sz w:val="18"/>
                      <w:szCs w:val="18"/>
                    </w:rPr>
                  </w:pPr>
                  <w:r>
                    <w:rPr>
                      <w:rFonts w:hint="default" w:ascii="Times New Roman" w:hAnsi="Times New Roman" w:eastAsia="仿宋" w:cs="Times New Roman"/>
                      <w:b/>
                      <w:color w:val="0000FF"/>
                      <w:sz w:val="18"/>
                      <w:szCs w:val="18"/>
                    </w:rPr>
                    <w:t>序号</w:t>
                  </w:r>
                </w:p>
              </w:tc>
              <w:tc>
                <w:tcPr>
                  <w:tcW w:w="713" w:type="pct"/>
                  <w:vMerge w:val="restart"/>
                  <w:vAlign w:val="center"/>
                </w:tcPr>
                <w:p w14:paraId="700B94B2">
                  <w:pPr>
                    <w:jc w:val="center"/>
                    <w:rPr>
                      <w:rFonts w:hint="default" w:ascii="Times New Roman" w:hAnsi="Times New Roman" w:eastAsia="仿宋" w:cs="Times New Roman"/>
                      <w:b/>
                      <w:color w:val="0000FF"/>
                      <w:sz w:val="18"/>
                      <w:szCs w:val="18"/>
                    </w:rPr>
                  </w:pPr>
                  <w:r>
                    <w:rPr>
                      <w:rFonts w:hint="default" w:ascii="Times New Roman" w:hAnsi="Times New Roman" w:eastAsia="仿宋" w:cs="Times New Roman"/>
                      <w:b/>
                      <w:color w:val="0000FF"/>
                      <w:sz w:val="18"/>
                      <w:szCs w:val="18"/>
                    </w:rPr>
                    <w:t>声源名称</w:t>
                  </w:r>
                </w:p>
              </w:tc>
              <w:tc>
                <w:tcPr>
                  <w:tcW w:w="925" w:type="pct"/>
                  <w:vMerge w:val="restart"/>
                  <w:vAlign w:val="center"/>
                </w:tcPr>
                <w:p w14:paraId="6AAEDE9F">
                  <w:pPr>
                    <w:jc w:val="center"/>
                    <w:rPr>
                      <w:rFonts w:hint="default" w:ascii="Times New Roman" w:hAnsi="Times New Roman" w:eastAsia="仿宋" w:cs="Times New Roman"/>
                      <w:b/>
                      <w:color w:val="0000FF"/>
                      <w:sz w:val="18"/>
                      <w:szCs w:val="18"/>
                    </w:rPr>
                  </w:pPr>
                  <w:r>
                    <w:rPr>
                      <w:rFonts w:hint="default" w:ascii="Times New Roman" w:hAnsi="Times New Roman" w:eastAsia="仿宋" w:cs="Times New Roman"/>
                      <w:b/>
                      <w:color w:val="0000FF"/>
                      <w:sz w:val="18"/>
                      <w:szCs w:val="18"/>
                    </w:rPr>
                    <w:t>声源源强（声功率级）/dB(A)</w:t>
                  </w:r>
                </w:p>
              </w:tc>
              <w:tc>
                <w:tcPr>
                  <w:tcW w:w="1258" w:type="pct"/>
                  <w:gridSpan w:val="3"/>
                  <w:vAlign w:val="center"/>
                </w:tcPr>
                <w:p w14:paraId="3DABA636">
                  <w:pPr>
                    <w:jc w:val="center"/>
                    <w:rPr>
                      <w:rFonts w:hint="default" w:ascii="Times New Roman" w:hAnsi="Times New Roman" w:eastAsia="仿宋" w:cs="Times New Roman"/>
                      <w:b/>
                      <w:color w:val="0000FF"/>
                      <w:sz w:val="18"/>
                      <w:szCs w:val="18"/>
                    </w:rPr>
                  </w:pPr>
                  <w:r>
                    <w:rPr>
                      <w:rFonts w:hint="default" w:ascii="Times New Roman" w:hAnsi="Times New Roman" w:eastAsia="仿宋" w:cs="Times New Roman"/>
                      <w:b/>
                      <w:color w:val="0000FF"/>
                      <w:sz w:val="18"/>
                      <w:szCs w:val="18"/>
                    </w:rPr>
                    <w:t>空间相对位置/m</w:t>
                  </w:r>
                </w:p>
              </w:tc>
              <w:tc>
                <w:tcPr>
                  <w:tcW w:w="1023" w:type="pct"/>
                  <w:vMerge w:val="restart"/>
                  <w:vAlign w:val="center"/>
                </w:tcPr>
                <w:p w14:paraId="4B7330D0">
                  <w:pPr>
                    <w:jc w:val="center"/>
                    <w:rPr>
                      <w:rFonts w:hint="default" w:ascii="Times New Roman" w:hAnsi="Times New Roman" w:eastAsia="仿宋" w:cs="Times New Roman"/>
                      <w:b/>
                      <w:color w:val="0000FF"/>
                      <w:sz w:val="18"/>
                      <w:szCs w:val="18"/>
                    </w:rPr>
                  </w:pPr>
                  <w:r>
                    <w:rPr>
                      <w:rFonts w:hint="default" w:ascii="Times New Roman" w:hAnsi="Times New Roman" w:eastAsia="仿宋" w:cs="Times New Roman"/>
                      <w:b/>
                      <w:color w:val="0000FF"/>
                      <w:sz w:val="18"/>
                      <w:szCs w:val="18"/>
                    </w:rPr>
                    <w:t>声源控制措施</w:t>
                  </w:r>
                </w:p>
              </w:tc>
              <w:tc>
                <w:tcPr>
                  <w:tcW w:w="671" w:type="pct"/>
                  <w:vMerge w:val="restart"/>
                  <w:vAlign w:val="center"/>
                </w:tcPr>
                <w:p w14:paraId="2754B7BA">
                  <w:pPr>
                    <w:jc w:val="center"/>
                    <w:rPr>
                      <w:rFonts w:hint="default" w:ascii="Times New Roman" w:hAnsi="Times New Roman" w:eastAsia="仿宋" w:cs="Times New Roman"/>
                      <w:b/>
                      <w:color w:val="0000FF"/>
                      <w:sz w:val="18"/>
                      <w:szCs w:val="18"/>
                    </w:rPr>
                  </w:pPr>
                  <w:r>
                    <w:rPr>
                      <w:rFonts w:hint="default" w:ascii="Times New Roman" w:hAnsi="Times New Roman" w:eastAsia="仿宋" w:cs="Times New Roman"/>
                      <w:b/>
                      <w:color w:val="0000FF"/>
                      <w:sz w:val="18"/>
                      <w:szCs w:val="18"/>
                    </w:rPr>
                    <w:t>运行时段</w:t>
                  </w:r>
                </w:p>
              </w:tc>
            </w:tr>
            <w:tr w14:paraId="7365D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08" w:type="pct"/>
                  <w:vMerge w:val="continue"/>
                  <w:vAlign w:val="center"/>
                </w:tcPr>
                <w:p w14:paraId="1362BAEB">
                  <w:pPr>
                    <w:jc w:val="center"/>
                    <w:rPr>
                      <w:rFonts w:hint="default" w:ascii="Times New Roman" w:hAnsi="Times New Roman" w:eastAsia="仿宋" w:cs="Times New Roman"/>
                      <w:b/>
                      <w:color w:val="0000FF"/>
                      <w:sz w:val="18"/>
                      <w:szCs w:val="18"/>
                    </w:rPr>
                  </w:pPr>
                </w:p>
              </w:tc>
              <w:tc>
                <w:tcPr>
                  <w:tcW w:w="713" w:type="pct"/>
                  <w:vMerge w:val="continue"/>
                  <w:vAlign w:val="center"/>
                </w:tcPr>
                <w:p w14:paraId="1BC6A3E5">
                  <w:pPr>
                    <w:jc w:val="center"/>
                    <w:rPr>
                      <w:rFonts w:hint="default" w:ascii="Times New Roman" w:hAnsi="Times New Roman" w:eastAsia="仿宋" w:cs="Times New Roman"/>
                      <w:b/>
                      <w:color w:val="0000FF"/>
                      <w:sz w:val="18"/>
                      <w:szCs w:val="18"/>
                    </w:rPr>
                  </w:pPr>
                </w:p>
              </w:tc>
              <w:tc>
                <w:tcPr>
                  <w:tcW w:w="925" w:type="pct"/>
                  <w:vMerge w:val="continue"/>
                  <w:vAlign w:val="center"/>
                </w:tcPr>
                <w:p w14:paraId="3F5A8F96">
                  <w:pPr>
                    <w:jc w:val="center"/>
                    <w:rPr>
                      <w:rFonts w:hint="default" w:ascii="Times New Roman" w:hAnsi="Times New Roman" w:eastAsia="仿宋" w:cs="Times New Roman"/>
                      <w:b/>
                      <w:color w:val="0000FF"/>
                      <w:sz w:val="18"/>
                      <w:szCs w:val="18"/>
                    </w:rPr>
                  </w:pPr>
                </w:p>
              </w:tc>
              <w:tc>
                <w:tcPr>
                  <w:tcW w:w="420" w:type="pct"/>
                  <w:vAlign w:val="center"/>
                </w:tcPr>
                <w:p w14:paraId="4D621584">
                  <w:pPr>
                    <w:jc w:val="center"/>
                    <w:rPr>
                      <w:rFonts w:hint="default" w:ascii="Times New Roman" w:hAnsi="Times New Roman" w:eastAsia="仿宋" w:cs="Times New Roman"/>
                      <w:b/>
                      <w:color w:val="0000FF"/>
                      <w:sz w:val="18"/>
                      <w:szCs w:val="18"/>
                    </w:rPr>
                  </w:pPr>
                  <w:r>
                    <w:rPr>
                      <w:rFonts w:hint="default" w:ascii="Times New Roman" w:hAnsi="Times New Roman" w:eastAsia="仿宋" w:cs="Times New Roman"/>
                      <w:b/>
                      <w:color w:val="0000FF"/>
                      <w:sz w:val="18"/>
                      <w:szCs w:val="18"/>
                    </w:rPr>
                    <w:t>X</w:t>
                  </w:r>
                </w:p>
              </w:tc>
              <w:tc>
                <w:tcPr>
                  <w:tcW w:w="420" w:type="pct"/>
                  <w:vAlign w:val="center"/>
                </w:tcPr>
                <w:p w14:paraId="0485400B">
                  <w:pPr>
                    <w:jc w:val="center"/>
                    <w:rPr>
                      <w:rFonts w:hint="default" w:ascii="Times New Roman" w:hAnsi="Times New Roman" w:eastAsia="仿宋" w:cs="Times New Roman"/>
                      <w:b/>
                      <w:color w:val="0000FF"/>
                      <w:sz w:val="18"/>
                      <w:szCs w:val="18"/>
                    </w:rPr>
                  </w:pPr>
                  <w:r>
                    <w:rPr>
                      <w:rFonts w:hint="default" w:ascii="Times New Roman" w:hAnsi="Times New Roman" w:eastAsia="仿宋" w:cs="Times New Roman"/>
                      <w:b/>
                      <w:color w:val="0000FF"/>
                      <w:sz w:val="18"/>
                      <w:szCs w:val="18"/>
                    </w:rPr>
                    <w:t>Y</w:t>
                  </w:r>
                </w:p>
              </w:tc>
              <w:tc>
                <w:tcPr>
                  <w:tcW w:w="417" w:type="pct"/>
                  <w:vAlign w:val="center"/>
                </w:tcPr>
                <w:p w14:paraId="05351728">
                  <w:pPr>
                    <w:jc w:val="center"/>
                    <w:rPr>
                      <w:rFonts w:hint="default" w:ascii="Times New Roman" w:hAnsi="Times New Roman" w:eastAsia="仿宋" w:cs="Times New Roman"/>
                      <w:b/>
                      <w:color w:val="0000FF"/>
                      <w:sz w:val="18"/>
                      <w:szCs w:val="18"/>
                    </w:rPr>
                  </w:pPr>
                  <w:r>
                    <w:rPr>
                      <w:rFonts w:hint="default" w:ascii="Times New Roman" w:hAnsi="Times New Roman" w:eastAsia="仿宋" w:cs="Times New Roman"/>
                      <w:b/>
                      <w:color w:val="0000FF"/>
                      <w:sz w:val="18"/>
                      <w:szCs w:val="18"/>
                    </w:rPr>
                    <w:t>Z</w:t>
                  </w:r>
                </w:p>
              </w:tc>
              <w:tc>
                <w:tcPr>
                  <w:tcW w:w="1023" w:type="pct"/>
                  <w:vMerge w:val="continue"/>
                  <w:vAlign w:val="center"/>
                </w:tcPr>
                <w:p w14:paraId="33E521B0">
                  <w:pPr>
                    <w:jc w:val="center"/>
                    <w:rPr>
                      <w:rFonts w:hint="default" w:ascii="Times New Roman" w:hAnsi="Times New Roman" w:eastAsia="仿宋" w:cs="Times New Roman"/>
                      <w:b/>
                      <w:color w:val="0000FF"/>
                      <w:sz w:val="18"/>
                      <w:szCs w:val="18"/>
                    </w:rPr>
                  </w:pPr>
                </w:p>
              </w:tc>
              <w:tc>
                <w:tcPr>
                  <w:tcW w:w="671" w:type="pct"/>
                  <w:vMerge w:val="continue"/>
                  <w:vAlign w:val="center"/>
                </w:tcPr>
                <w:p w14:paraId="386158C8">
                  <w:pPr>
                    <w:jc w:val="center"/>
                    <w:rPr>
                      <w:rFonts w:hint="default" w:ascii="Times New Roman" w:hAnsi="Times New Roman" w:eastAsia="仿宋" w:cs="Times New Roman"/>
                      <w:b/>
                      <w:color w:val="0000FF"/>
                      <w:sz w:val="18"/>
                      <w:szCs w:val="18"/>
                    </w:rPr>
                  </w:pPr>
                </w:p>
              </w:tc>
            </w:tr>
            <w:tr w14:paraId="5AFD9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8" w:type="pct"/>
                  <w:vAlign w:val="center"/>
                </w:tcPr>
                <w:p w14:paraId="586CDD86">
                  <w:pPr>
                    <w:jc w:val="center"/>
                    <w:rPr>
                      <w:rFonts w:hint="default" w:ascii="Times New Roman" w:hAnsi="Times New Roman" w:eastAsia="仿宋" w:cs="Times New Roman"/>
                      <w:color w:val="0000FF"/>
                      <w:sz w:val="18"/>
                      <w:szCs w:val="18"/>
                    </w:rPr>
                  </w:pPr>
                  <w:r>
                    <w:rPr>
                      <w:rFonts w:hint="default" w:ascii="Times New Roman" w:hAnsi="Times New Roman" w:eastAsia="仿宋" w:cs="Times New Roman"/>
                      <w:color w:val="0000FF"/>
                      <w:sz w:val="18"/>
                      <w:szCs w:val="18"/>
                    </w:rPr>
                    <w:t>1</w:t>
                  </w:r>
                </w:p>
              </w:tc>
              <w:tc>
                <w:tcPr>
                  <w:tcW w:w="713" w:type="pct"/>
                  <w:vAlign w:val="center"/>
                </w:tcPr>
                <w:p w14:paraId="1B73649B">
                  <w:pPr>
                    <w:jc w:val="center"/>
                    <w:rPr>
                      <w:rFonts w:hint="default" w:ascii="Times New Roman" w:hAnsi="Times New Roman" w:eastAsia="仿宋" w:cs="Times New Roman"/>
                      <w:color w:val="0000FF"/>
                      <w:sz w:val="18"/>
                      <w:szCs w:val="18"/>
                      <w:lang w:val="en-US"/>
                    </w:rPr>
                  </w:pPr>
                  <w:r>
                    <w:rPr>
                      <w:rFonts w:hint="eastAsia" w:eastAsia="仿宋" w:cs="Times New Roman"/>
                      <w:bCs/>
                      <w:color w:val="0000FF"/>
                      <w:sz w:val="18"/>
                      <w:szCs w:val="18"/>
                      <w:lang w:val="en-US" w:eastAsia="zh-CN"/>
                    </w:rPr>
                    <w:t>废气处理设施风机</w:t>
                  </w:r>
                </w:p>
              </w:tc>
              <w:tc>
                <w:tcPr>
                  <w:tcW w:w="925" w:type="pct"/>
                  <w:vAlign w:val="center"/>
                </w:tcPr>
                <w:p w14:paraId="33D1A27B">
                  <w:pPr>
                    <w:jc w:val="center"/>
                    <w:rPr>
                      <w:rFonts w:hint="default" w:ascii="Times New Roman" w:hAnsi="Times New Roman" w:eastAsia="仿宋" w:cs="Times New Roman"/>
                      <w:color w:val="0000FF"/>
                      <w:kern w:val="0"/>
                      <w:sz w:val="18"/>
                      <w:szCs w:val="18"/>
                      <w:lang w:eastAsia="zh-CN"/>
                    </w:rPr>
                  </w:pPr>
                  <w:r>
                    <w:rPr>
                      <w:rFonts w:hint="default" w:ascii="Times New Roman" w:hAnsi="Times New Roman" w:eastAsia="仿宋" w:cs="Times New Roman"/>
                      <w:color w:val="0000FF"/>
                      <w:kern w:val="0"/>
                      <w:sz w:val="18"/>
                      <w:szCs w:val="18"/>
                    </w:rPr>
                    <w:t>8</w:t>
                  </w:r>
                  <w:r>
                    <w:rPr>
                      <w:rFonts w:hint="default" w:ascii="Times New Roman" w:hAnsi="Times New Roman" w:eastAsia="仿宋" w:cs="Times New Roman"/>
                      <w:color w:val="0000FF"/>
                      <w:kern w:val="0"/>
                      <w:sz w:val="18"/>
                      <w:szCs w:val="18"/>
                      <w:lang w:val="en-US" w:eastAsia="zh-CN"/>
                    </w:rPr>
                    <w:t>5</w:t>
                  </w:r>
                </w:p>
              </w:tc>
              <w:tc>
                <w:tcPr>
                  <w:tcW w:w="420" w:type="pct"/>
                  <w:vAlign w:val="center"/>
                </w:tcPr>
                <w:p w14:paraId="5C9FA23D">
                  <w:pPr>
                    <w:jc w:val="center"/>
                    <w:rPr>
                      <w:rFonts w:hint="default" w:ascii="Times New Roman" w:hAnsi="Times New Roman" w:eastAsia="仿宋" w:cs="Times New Roman"/>
                      <w:color w:val="0000FF"/>
                      <w:kern w:val="0"/>
                      <w:sz w:val="18"/>
                      <w:szCs w:val="18"/>
                      <w:highlight w:val="yellow"/>
                      <w:lang w:val="en-US" w:eastAsia="zh-CN"/>
                    </w:rPr>
                  </w:pPr>
                  <w:r>
                    <w:rPr>
                      <w:rFonts w:hint="eastAsia" w:eastAsia="仿宋" w:cs="Times New Roman"/>
                      <w:color w:val="0000FF"/>
                      <w:kern w:val="0"/>
                      <w:sz w:val="18"/>
                      <w:szCs w:val="18"/>
                      <w:lang w:val="en-US" w:eastAsia="zh-CN"/>
                    </w:rPr>
                    <w:t>28</w:t>
                  </w:r>
                </w:p>
              </w:tc>
              <w:tc>
                <w:tcPr>
                  <w:tcW w:w="420" w:type="pct"/>
                  <w:vAlign w:val="center"/>
                </w:tcPr>
                <w:p w14:paraId="26D2ADA6">
                  <w:pPr>
                    <w:jc w:val="center"/>
                    <w:rPr>
                      <w:rFonts w:hint="default" w:ascii="Times New Roman" w:hAnsi="Times New Roman" w:eastAsia="仿宋" w:cs="Times New Roman"/>
                      <w:color w:val="0000FF"/>
                      <w:kern w:val="0"/>
                      <w:sz w:val="18"/>
                      <w:szCs w:val="18"/>
                      <w:lang w:val="en-US" w:eastAsia="zh-CN"/>
                    </w:rPr>
                  </w:pPr>
                  <w:r>
                    <w:rPr>
                      <w:rFonts w:hint="default" w:ascii="Times New Roman" w:hAnsi="Times New Roman" w:eastAsia="仿宋" w:cs="Times New Roman"/>
                      <w:color w:val="0000FF"/>
                      <w:kern w:val="0"/>
                      <w:sz w:val="18"/>
                      <w:szCs w:val="18"/>
                      <w:lang w:val="en-US" w:eastAsia="zh-CN"/>
                    </w:rPr>
                    <w:t>1</w:t>
                  </w:r>
                  <w:r>
                    <w:rPr>
                      <w:rFonts w:hint="eastAsia" w:eastAsia="仿宋" w:cs="Times New Roman"/>
                      <w:color w:val="0000FF"/>
                      <w:kern w:val="0"/>
                      <w:sz w:val="18"/>
                      <w:szCs w:val="18"/>
                      <w:lang w:val="en-US" w:eastAsia="zh-CN"/>
                    </w:rPr>
                    <w:t>0</w:t>
                  </w:r>
                </w:p>
              </w:tc>
              <w:tc>
                <w:tcPr>
                  <w:tcW w:w="417" w:type="pct"/>
                  <w:vAlign w:val="center"/>
                </w:tcPr>
                <w:p w14:paraId="00FEFED0">
                  <w:pPr>
                    <w:jc w:val="center"/>
                    <w:rPr>
                      <w:rFonts w:hint="default" w:ascii="Times New Roman" w:hAnsi="Times New Roman" w:eastAsia="仿宋" w:cs="Times New Roman"/>
                      <w:color w:val="0000FF"/>
                      <w:kern w:val="0"/>
                      <w:sz w:val="18"/>
                      <w:szCs w:val="18"/>
                      <w:lang w:val="en-US" w:eastAsia="zh-CN"/>
                    </w:rPr>
                  </w:pPr>
                  <w:r>
                    <w:rPr>
                      <w:rFonts w:hint="default" w:ascii="Times New Roman" w:hAnsi="Times New Roman" w:eastAsia="仿宋" w:cs="Times New Roman"/>
                      <w:color w:val="0000FF"/>
                      <w:kern w:val="0"/>
                      <w:sz w:val="18"/>
                      <w:szCs w:val="18"/>
                      <w:lang w:val="en-US" w:eastAsia="zh-CN"/>
                    </w:rPr>
                    <w:t>14</w:t>
                  </w:r>
                </w:p>
              </w:tc>
              <w:tc>
                <w:tcPr>
                  <w:tcW w:w="1023" w:type="pct"/>
                  <w:vAlign w:val="center"/>
                </w:tcPr>
                <w:p w14:paraId="36CD237A">
                  <w:pPr>
                    <w:jc w:val="center"/>
                    <w:rPr>
                      <w:rFonts w:hint="default" w:ascii="Times New Roman" w:hAnsi="Times New Roman" w:eastAsia="仿宋" w:cs="Times New Roman"/>
                      <w:color w:val="0000FF"/>
                      <w:sz w:val="18"/>
                      <w:szCs w:val="18"/>
                    </w:rPr>
                  </w:pPr>
                  <w:r>
                    <w:rPr>
                      <w:rFonts w:hint="default" w:ascii="Times New Roman" w:hAnsi="Times New Roman" w:eastAsia="仿宋" w:cs="Times New Roman"/>
                      <w:color w:val="0000FF"/>
                      <w:sz w:val="18"/>
                      <w:szCs w:val="18"/>
                    </w:rPr>
                    <w:t>隔声、减震、安装隔声垫、消声器</w:t>
                  </w:r>
                </w:p>
              </w:tc>
              <w:tc>
                <w:tcPr>
                  <w:tcW w:w="671" w:type="pct"/>
                  <w:vAlign w:val="center"/>
                </w:tcPr>
                <w:p w14:paraId="2E3D6C6A">
                  <w:pPr>
                    <w:jc w:val="center"/>
                    <w:rPr>
                      <w:rFonts w:hint="default" w:ascii="Times New Roman" w:hAnsi="Times New Roman" w:eastAsia="仿宋" w:cs="Times New Roman"/>
                      <w:color w:val="0000FF"/>
                      <w:sz w:val="18"/>
                      <w:szCs w:val="18"/>
                    </w:rPr>
                  </w:pPr>
                  <w:r>
                    <w:rPr>
                      <w:rFonts w:hint="default" w:ascii="Times New Roman" w:hAnsi="Times New Roman" w:eastAsia="仿宋" w:cs="Times New Roman"/>
                      <w:color w:val="0000FF"/>
                      <w:sz w:val="18"/>
                      <w:szCs w:val="18"/>
                    </w:rPr>
                    <w:t>0:00-23:59</w:t>
                  </w:r>
                </w:p>
              </w:tc>
            </w:tr>
          </w:tbl>
          <w:p w14:paraId="42215B0F">
            <w:pPr>
              <w:adjustRightInd w:val="0"/>
              <w:snapToGrid w:val="0"/>
              <w:jc w:val="left"/>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 w:val="0"/>
                <w:bCs/>
                <w:sz w:val="18"/>
                <w:szCs w:val="18"/>
              </w:rPr>
              <w:t>注：以</w:t>
            </w:r>
            <w:r>
              <w:rPr>
                <w:rFonts w:hint="default" w:ascii="Times New Roman" w:hAnsi="Times New Roman" w:eastAsia="仿宋" w:cs="Times New Roman"/>
                <w:b w:val="0"/>
                <w:bCs/>
                <w:sz w:val="18"/>
                <w:szCs w:val="18"/>
                <w:lang w:val="en-US" w:eastAsia="zh-CN"/>
              </w:rPr>
              <w:t>D</w:t>
            </w:r>
            <w:r>
              <w:rPr>
                <w:rFonts w:hint="eastAsia" w:eastAsia="仿宋" w:cs="Times New Roman"/>
                <w:b w:val="0"/>
                <w:bCs/>
                <w:sz w:val="18"/>
                <w:szCs w:val="18"/>
                <w:lang w:val="en-US" w:eastAsia="zh-CN"/>
              </w:rPr>
              <w:t>7</w:t>
            </w:r>
            <w:r>
              <w:rPr>
                <w:rFonts w:hint="default" w:ascii="Times New Roman" w:hAnsi="Times New Roman" w:eastAsia="仿宋" w:cs="Times New Roman"/>
                <w:b w:val="0"/>
                <w:bCs/>
                <w:sz w:val="18"/>
                <w:szCs w:val="18"/>
                <w:lang w:val="en-US" w:eastAsia="zh-CN"/>
              </w:rPr>
              <w:t>车间</w:t>
            </w:r>
            <w:r>
              <w:rPr>
                <w:rFonts w:hint="default" w:ascii="Times New Roman" w:hAnsi="Times New Roman" w:eastAsia="仿宋" w:cs="Times New Roman"/>
                <w:b w:val="0"/>
                <w:bCs/>
                <w:sz w:val="18"/>
                <w:szCs w:val="18"/>
              </w:rPr>
              <w:t>西南角为坐标原点。</w:t>
            </w:r>
          </w:p>
          <w:p w14:paraId="4A41C248">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2、噪声污染防治措施</w:t>
            </w:r>
          </w:p>
          <w:p w14:paraId="3F6422F7">
            <w:pPr>
              <w:adjustRightInd w:val="0"/>
              <w:snapToGrid w:val="0"/>
              <w:spacing w:line="360" w:lineRule="auto"/>
              <w:ind w:firstLine="480" w:firstLineChars="200"/>
              <w:rPr>
                <w:rFonts w:hint="eastAsia" w:eastAsia="仿宋"/>
                <w:bCs/>
                <w:sz w:val="24"/>
                <w:lang w:eastAsia="zh-CN"/>
              </w:rPr>
            </w:pPr>
            <w:r>
              <w:rPr>
                <w:rFonts w:hint="default" w:ascii="Times New Roman" w:hAnsi="Times New Roman" w:eastAsia="仿宋" w:cs="Times New Roman"/>
                <w:bCs/>
                <w:color w:val="auto"/>
                <w:sz w:val="24"/>
                <w:highlight w:val="none"/>
              </w:rPr>
              <w:t>本项目高噪声设备主要</w:t>
            </w:r>
            <w:r>
              <w:rPr>
                <w:rFonts w:hint="eastAsia" w:eastAsia="仿宋" w:cs="Times New Roman"/>
                <w:bCs/>
                <w:color w:val="auto"/>
                <w:sz w:val="24"/>
                <w:highlight w:val="none"/>
                <w:lang w:eastAsia="zh-CN"/>
              </w:rPr>
              <w:t>为</w:t>
            </w:r>
            <w:r>
              <w:rPr>
                <w:rFonts w:hint="default" w:ascii="Times New Roman" w:hAnsi="Times New Roman" w:eastAsia="仿宋" w:cs="Times New Roman"/>
                <w:sz w:val="24"/>
                <w:highlight w:val="none"/>
                <w:lang w:val="en-US" w:eastAsia="zh-CN"/>
              </w:rPr>
              <w:t>破碎机、注塑机、筛毛机、风机</w:t>
            </w:r>
            <w:r>
              <w:rPr>
                <w:rFonts w:hint="default" w:ascii="Times New Roman" w:hAnsi="Times New Roman" w:eastAsia="仿宋" w:cs="Times New Roman"/>
                <w:bCs/>
                <w:color w:val="auto"/>
                <w:sz w:val="24"/>
                <w:highlight w:val="none"/>
              </w:rPr>
              <w:t>，单台（套）设备噪声源强为</w:t>
            </w:r>
            <w:r>
              <w:rPr>
                <w:rFonts w:hint="eastAsia" w:eastAsia="仿宋" w:cs="Times New Roman"/>
                <w:bCs/>
                <w:color w:val="auto"/>
                <w:sz w:val="24"/>
                <w:highlight w:val="none"/>
                <w:lang w:val="en-US" w:eastAsia="zh-CN"/>
              </w:rPr>
              <w:t>80-</w:t>
            </w:r>
            <w:r>
              <w:rPr>
                <w:rFonts w:hint="default" w:ascii="Times New Roman" w:hAnsi="Times New Roman" w:eastAsia="仿宋" w:cs="Times New Roman"/>
                <w:bCs/>
                <w:color w:val="auto"/>
                <w:sz w:val="24"/>
                <w:highlight w:val="none"/>
              </w:rPr>
              <w:t>85dB（A）。</w:t>
            </w:r>
            <w:r>
              <w:rPr>
                <w:rFonts w:eastAsia="仿宋"/>
                <w:bCs/>
                <w:sz w:val="24"/>
              </w:rPr>
              <w:t>建设单位拟采取的降噪措施如下</w:t>
            </w:r>
            <w:r>
              <w:rPr>
                <w:rFonts w:hint="eastAsia" w:eastAsia="仿宋"/>
                <w:bCs/>
                <w:sz w:val="24"/>
                <w:lang w:eastAsia="zh-CN"/>
              </w:rPr>
              <w:t>：</w:t>
            </w:r>
          </w:p>
          <w:p w14:paraId="60E28E9D">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eastAsia" w:ascii="Times New Roman" w:hAnsi="Times New Roman" w:eastAsia="仿宋" w:cs="Times New Roman"/>
                <w:bCs/>
                <w:color w:val="auto"/>
                <w:sz w:val="24"/>
                <w:highlight w:val="none"/>
                <w:lang w:val="en-US" w:eastAsia="zh-CN"/>
              </w:rPr>
              <w:t>（1）室内声源</w:t>
            </w:r>
          </w:p>
          <w:p w14:paraId="50B62421">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eastAsia" w:ascii="Times New Roman" w:hAnsi="Times New Roman" w:eastAsia="仿宋" w:cs="Times New Roman"/>
                <w:bCs/>
                <w:color w:val="auto"/>
                <w:sz w:val="24"/>
                <w:highlight w:val="none"/>
              </w:rPr>
              <w:t>①</w:t>
            </w:r>
            <w:r>
              <w:rPr>
                <w:rFonts w:hint="default" w:ascii="Times New Roman" w:hAnsi="Times New Roman" w:eastAsia="仿宋" w:cs="Times New Roman"/>
                <w:bCs/>
                <w:color w:val="auto"/>
                <w:sz w:val="24"/>
                <w:highlight w:val="none"/>
              </w:rPr>
              <w:t>设备减振</w:t>
            </w:r>
          </w:p>
          <w:p w14:paraId="331E05C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在高噪声设备与地基之间进行减振处理，噪声源强较高的安装减振底座。</w:t>
            </w:r>
          </w:p>
          <w:p w14:paraId="189523F6">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eastAsia" w:ascii="Times New Roman" w:hAnsi="Times New Roman" w:eastAsia="仿宋" w:cs="Times New Roman"/>
                <w:bCs/>
                <w:color w:val="auto"/>
                <w:sz w:val="24"/>
                <w:highlight w:val="none"/>
              </w:rPr>
              <w:t>②</w:t>
            </w:r>
            <w:r>
              <w:rPr>
                <w:rFonts w:hint="default" w:ascii="Times New Roman" w:hAnsi="Times New Roman" w:eastAsia="仿宋" w:cs="Times New Roman"/>
                <w:bCs/>
                <w:color w:val="auto"/>
                <w:sz w:val="24"/>
                <w:highlight w:val="none"/>
              </w:rPr>
              <w:t>加强建筑物隔声措施</w:t>
            </w:r>
          </w:p>
          <w:p w14:paraId="3911D895">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项目各高噪声设备有效利用了建筑隔声，并对墙体加装隔声、吸声材料等，防止噪声的扩散和传播。</w:t>
            </w:r>
          </w:p>
          <w:p w14:paraId="49FDBE24">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eastAsia" w:ascii="Times New Roman" w:hAnsi="Times New Roman" w:eastAsia="仿宋" w:cs="Times New Roman"/>
                <w:bCs/>
                <w:color w:val="auto"/>
                <w:sz w:val="24"/>
                <w:highlight w:val="none"/>
              </w:rPr>
              <w:t>③</w:t>
            </w:r>
            <w:r>
              <w:rPr>
                <w:rFonts w:hint="default" w:ascii="Times New Roman" w:hAnsi="Times New Roman" w:eastAsia="仿宋" w:cs="Times New Roman"/>
                <w:bCs/>
                <w:color w:val="auto"/>
                <w:sz w:val="24"/>
                <w:highlight w:val="none"/>
              </w:rPr>
              <w:t>强化生产管理</w:t>
            </w:r>
          </w:p>
          <w:p w14:paraId="0E6F92EE">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提高员工环保意识，规范员工操作；确保各类噪声防治措施有效运行，各设备均保持良好运行状态，防止突发噪声。</w:t>
            </w:r>
          </w:p>
          <w:p w14:paraId="21E27E9E">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室内高噪声设备经采取以上降噪措施并经过距离衰减后，预计降噪效果可达到25dB（A）左右。</w:t>
            </w:r>
          </w:p>
          <w:p w14:paraId="385A6A23">
            <w:pPr>
              <w:adjustRightInd w:val="0"/>
              <w:snapToGrid w:val="0"/>
              <w:spacing w:line="360" w:lineRule="auto"/>
              <w:ind w:firstLine="480" w:firstLineChars="200"/>
              <w:rPr>
                <w:rFonts w:hint="eastAsia" w:ascii="Times New Roman" w:hAnsi="Times New Roman" w:eastAsia="仿宋" w:cs="Times New Roman"/>
                <w:bCs/>
                <w:color w:val="auto"/>
                <w:sz w:val="24"/>
                <w:highlight w:val="none"/>
                <w:lang w:val="en-US" w:eastAsia="zh-CN"/>
              </w:rPr>
            </w:pPr>
            <w:r>
              <w:rPr>
                <w:rFonts w:hint="eastAsia" w:ascii="Times New Roman" w:hAnsi="Times New Roman" w:eastAsia="仿宋" w:cs="Times New Roman"/>
                <w:bCs/>
                <w:color w:val="auto"/>
                <w:sz w:val="24"/>
                <w:highlight w:val="none"/>
                <w:lang w:val="en-US" w:eastAsia="zh-CN"/>
              </w:rPr>
              <w:t>（2）室外声源</w:t>
            </w:r>
          </w:p>
          <w:p w14:paraId="1D819F3E">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rPr>
              <w:t>过选用质量好、噪声低、振动低的设备，并采取安装减震垫、距离衰减等降噪措施进行降噪，预计降噪效果可达到20dB（A）左右。</w:t>
            </w:r>
          </w:p>
          <w:p w14:paraId="32C97A89">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3、噪声预测达标</w:t>
            </w:r>
            <w:r>
              <w:rPr>
                <w:rFonts w:hint="default" w:ascii="Times New Roman" w:hAnsi="Times New Roman" w:eastAsia="仿宋" w:cs="Times New Roman"/>
                <w:bCs/>
                <w:color w:val="auto"/>
                <w:sz w:val="24"/>
                <w:highlight w:val="none"/>
              </w:rPr>
              <w:t>分析</w:t>
            </w:r>
          </w:p>
          <w:p w14:paraId="7C1BBC35">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（1）预测模式</w:t>
            </w:r>
          </w:p>
          <w:p w14:paraId="7E80D47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本次预测将室内声源等效成室外声源，然后按室外声源方法计算预测点处的A声级。噪声预测采用HJ2.4-2021附录A.2基本公式及附录B工业噪声预测计算模型。</w:t>
            </w:r>
          </w:p>
          <w:p w14:paraId="157E384B">
            <w:pPr>
              <w:adjustRightInd w:val="0"/>
              <w:snapToGrid w:val="0"/>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①单个室外的点声源在预测点产生的声级计算基本公式</w:t>
            </w:r>
          </w:p>
          <w:p w14:paraId="73CC622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已知声源的倍频带声功率级，预测点位置的倍频带声压级</w:t>
            </w:r>
            <w:r>
              <w:rPr>
                <w:rFonts w:hint="default" w:ascii="Times New Roman" w:hAnsi="Times New Roman" w:eastAsia="仿宋" w:cs="Times New Roman"/>
                <w:color w:val="auto"/>
                <w:sz w:val="24"/>
                <w:highlight w:val="none"/>
              </w:rPr>
              <w:drawing>
                <wp:inline distT="0" distB="0" distL="114300" distR="114300">
                  <wp:extent cx="381635" cy="246380"/>
                  <wp:effectExtent l="0" t="0" r="18415" b="1270"/>
                  <wp:docPr id="1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7"/>
                          <pic:cNvPicPr>
                            <a:picLocks noChangeAspect="1"/>
                          </pic:cNvPicPr>
                        </pic:nvPicPr>
                        <pic:blipFill>
                          <a:blip r:embed="rId25"/>
                          <a:stretch>
                            <a:fillRect/>
                          </a:stretch>
                        </pic:blipFill>
                        <pic:spPr>
                          <a:xfrm>
                            <a:off x="0" y="0"/>
                            <a:ext cx="381635" cy="246380"/>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可按下式计算：</w:t>
            </w:r>
          </w:p>
          <w:p w14:paraId="018AF6FE">
            <w:pPr>
              <w:ind w:firstLine="420" w:firstLineChars="20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position w:val="-16"/>
                <w:highlight w:val="none"/>
              </w:rPr>
              <w:object>
                <v:shape id="_x0000_i1026" o:spt="75" type="#_x0000_t75" style="height:22.05pt;width:232.1pt;" o:ole="t" filled="f" o:preferrelative="t" stroked="f" coordsize="21600,21600">
                  <v:path/>
                  <v:fill on="f" focussize="0,0"/>
                  <v:stroke on="f"/>
                  <v:imagedata r:id="rId27" o:title=""/>
                  <o:lock v:ext="edit" aspectratio="t"/>
                  <w10:wrap type="none"/>
                  <w10:anchorlock/>
                </v:shape>
                <o:OLEObject Type="Embed" ProgID="Equation.DSMT4" ShapeID="_x0000_i1026" DrawAspect="Content" ObjectID="_1468075726" r:id="rId26">
                  <o:LockedField>false</o:LockedField>
                </o:OLEObject>
              </w:object>
            </w:r>
          </w:p>
          <w:p w14:paraId="77641816">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式中：</w:t>
            </w:r>
          </w:p>
          <w:p w14:paraId="74E3487D">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object>
                <v:shape id="_x0000_i1027" o:spt="75" type="#_x0000_t75" style="height:14.5pt;width:18.8pt;" o:ole="t" filled="f" o:preferrelative="t" stroked="f" coordsize="21600,21600">
                  <v:path/>
                  <v:fill on="f" focussize="0,0"/>
                  <v:stroke on="f"/>
                  <v:imagedata r:id="rId29" o:title=""/>
                  <o:lock v:ext="edit" aspectratio="t"/>
                  <w10:wrap type="none"/>
                  <w10:anchorlock/>
                </v:shape>
                <o:OLEObject Type="Embed" ProgID="Equation.DSMT4" ShapeID="_x0000_i1027" DrawAspect="Content" ObjectID="_1468075727" r:id="rId28">
                  <o:LockedField>false</o:LockedField>
                </o:OLEObject>
              </w:object>
            </w:r>
            <w:r>
              <w:rPr>
                <w:rFonts w:hint="default" w:ascii="Times New Roman" w:hAnsi="Times New Roman" w:eastAsia="仿宋" w:cs="Times New Roman"/>
                <w:bCs/>
                <w:color w:val="auto"/>
                <w:sz w:val="24"/>
                <w:highlight w:val="none"/>
              </w:rPr>
              <w:t>——由点声源产生的声功率级（A计权或倍频带），dB；</w:t>
            </w:r>
          </w:p>
          <w:p w14:paraId="00C132AB">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object>
                <v:shape id="_x0000_i1028" o:spt="75" type="#_x0000_t75" style="height:14.5pt;width:18.8pt;" o:ole="t" filled="f" o:preferrelative="t" stroked="f" coordsize="21600,21600">
                  <v:path/>
                  <v:fill on="f" focussize="0,0"/>
                  <v:stroke on="f"/>
                  <v:imagedata r:id="rId31" o:title=""/>
                  <o:lock v:ext="edit" aspectratio="t"/>
                  <w10:wrap type="none"/>
                  <w10:anchorlock/>
                </v:shape>
                <o:OLEObject Type="Embed" ProgID="Equation.DSMT4" ShapeID="_x0000_i1028" DrawAspect="Content" ObjectID="_1468075728" r:id="rId30">
                  <o:LockedField>false</o:LockedField>
                </o:OLEObject>
              </w:object>
            </w:r>
            <w:r>
              <w:rPr>
                <w:rFonts w:hint="default" w:ascii="Times New Roman" w:hAnsi="Times New Roman" w:eastAsia="仿宋" w:cs="Times New Roman"/>
                <w:bCs/>
                <w:color w:val="auto"/>
                <w:sz w:val="24"/>
                <w:highlight w:val="none"/>
              </w:rPr>
              <w:t>——指向性校正，dB，对辐射到自由空间的全向点声源，</w:t>
            </w:r>
            <w:r>
              <w:rPr>
                <w:rFonts w:hint="default" w:ascii="Times New Roman" w:hAnsi="Times New Roman" w:eastAsia="仿宋" w:cs="Times New Roman"/>
                <w:bCs/>
                <w:color w:val="auto"/>
                <w:sz w:val="24"/>
                <w:highlight w:val="none"/>
              </w:rPr>
              <w:object>
                <v:shape id="_x0000_i1029" o:spt="75" type="#_x0000_t75" style="height:14.5pt;width:18.8pt;" o:ole="t" filled="f" o:preferrelative="t" stroked="f" coordsize="21600,21600">
                  <v:path/>
                  <v:fill on="f" focussize="0,0"/>
                  <v:stroke on="f"/>
                  <v:imagedata r:id="rId31" o:title=""/>
                  <o:lock v:ext="edit" aspectratio="t"/>
                  <w10:wrap type="none"/>
                  <w10:anchorlock/>
                </v:shape>
                <o:OLEObject Type="Embed" ProgID="Equation.DSMT4" ShapeID="_x0000_i1029" DrawAspect="Content" ObjectID="_1468075729" r:id="rId32">
                  <o:LockedField>false</o:LockedField>
                </o:OLEObject>
              </w:object>
            </w:r>
            <w:r>
              <w:rPr>
                <w:rFonts w:hint="default" w:ascii="Times New Roman" w:hAnsi="Times New Roman" w:eastAsia="仿宋" w:cs="Times New Roman"/>
                <w:bCs/>
                <w:color w:val="auto"/>
                <w:sz w:val="24"/>
                <w:highlight w:val="none"/>
              </w:rPr>
              <w:t>=0dB；</w:t>
            </w:r>
          </w:p>
          <w:p w14:paraId="15B809CF">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object>
                <v:shape id="_x0000_i1030" o:spt="75" type="#_x0000_t75" style="height:18.8pt;width:20.4pt;" o:ole="t" filled="f" o:preferrelative="t" stroked="f" coordsize="21600,21600">
                  <v:path/>
                  <v:fill on="f" focussize="0,0"/>
                  <v:stroke on="f"/>
                  <v:imagedata r:id="rId34" o:title=""/>
                  <o:lock v:ext="edit" aspectratio="t"/>
                  <w10:wrap type="none"/>
                  <w10:anchorlock/>
                </v:shape>
                <o:OLEObject Type="Embed" ProgID="Equation.DSMT4" ShapeID="_x0000_i1030" DrawAspect="Content" ObjectID="_1468075730" r:id="rId33">
                  <o:LockedField>false</o:LockedField>
                </o:OLEObject>
              </w:objec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rPr>
              <w:object>
                <v:shape id="_x0000_i1031" o:spt="75" type="#_x0000_t75" style="height:18.25pt;width:22.55pt;" o:ole="t" filled="f" o:preferrelative="t" stroked="f" coordsize="21600,21600">
                  <v:path/>
                  <v:fill on="f" focussize="0,0"/>
                  <v:stroke on="f"/>
                  <v:imagedata r:id="rId36" o:title=""/>
                  <o:lock v:ext="edit" aspectratio="t"/>
                  <w10:wrap type="none"/>
                  <w10:anchorlock/>
                </v:shape>
                <o:OLEObject Type="Embed" ProgID="Equation.DSMT4" ShapeID="_x0000_i1031" DrawAspect="Content" ObjectID="_1468075731" r:id="rId35">
                  <o:LockedField>false</o:LockedField>
                </o:OLEObject>
              </w:objec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rPr>
              <w:object>
                <v:shape id="_x0000_i1032" o:spt="75" type="#_x0000_t75" style="height:18.8pt;width:18.8pt;" o:ole="t" filled="f" o:preferrelative="t" stroked="f" coordsize="21600,21600">
                  <v:path/>
                  <v:fill on="f" focussize="0,0"/>
                  <v:stroke on="f"/>
                  <v:imagedata r:id="rId38" o:title=""/>
                  <o:lock v:ext="edit" aspectratio="t"/>
                  <w10:wrap type="none"/>
                  <w10:anchorlock/>
                </v:shape>
                <o:OLEObject Type="Embed" ProgID="Equation.DSMT4" ShapeID="_x0000_i1032" DrawAspect="Content" ObjectID="_1468075732" r:id="rId37">
                  <o:LockedField>false</o:LockedField>
                </o:OLEObject>
              </w:objec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rPr>
              <w:object>
                <v:shape id="_x0000_i1033" o:spt="75" type="#_x0000_t75" style="height:18.8pt;width:20.4pt;" o:ole="t" filled="f" o:preferrelative="t" stroked="f" coordsize="21600,21600">
                  <v:path/>
                  <v:fill on="f" focussize="0,0"/>
                  <v:stroke on="f"/>
                  <v:imagedata r:id="rId40" o:title=""/>
                  <o:lock v:ext="edit" aspectratio="t"/>
                  <w10:wrap type="none"/>
                  <w10:anchorlock/>
                </v:shape>
                <o:OLEObject Type="Embed" ProgID="Equation.DSMT4" ShapeID="_x0000_i1033" DrawAspect="Content" ObjectID="_1468075733" r:id="rId39">
                  <o:LockedField>false</o:LockedField>
                </o:OLEObject>
              </w:objec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rPr>
              <w:object>
                <v:shape id="_x0000_i1034" o:spt="75" type="#_x0000_t75" style="height:18.75pt;width:23.65pt;" o:ole="t" filled="f" o:preferrelative="t" stroked="f" coordsize="21600,21600">
                  <v:path/>
                  <v:fill on="f" focussize="0,0"/>
                  <v:stroke on="f"/>
                  <v:imagedata r:id="rId42" o:title=""/>
                  <o:lock v:ext="edit" aspectratio="t"/>
                  <w10:wrap type="none"/>
                  <w10:anchorlock/>
                </v:shape>
                <o:OLEObject Type="Embed" ProgID="Equation.DSMT4" ShapeID="_x0000_i1034" DrawAspect="Content" ObjectID="_1468075734" r:id="rId41">
                  <o:LockedField>false</o:LockedField>
                </o:OLEObject>
              </w:object>
            </w:r>
            <w:r>
              <w:rPr>
                <w:rFonts w:hint="default" w:ascii="Times New Roman" w:hAnsi="Times New Roman" w:eastAsia="仿宋" w:cs="Times New Roman"/>
                <w:bCs/>
                <w:color w:val="auto"/>
                <w:sz w:val="24"/>
                <w:highlight w:val="none"/>
              </w:rPr>
              <w:t>——分别指几何发散、大气吸收、地面效应、障碍物屏蔽、其他多方面引起的倍频带衰减量，dB，衰减项计算按《环境影响评价技术导则 声环境》（HJ2.4-2021）A.3相关模型计算。</w:t>
            </w:r>
          </w:p>
          <w:p w14:paraId="740230C1">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在不能取得声源倍频带声功率级或倍频带声压级，只能获得A声功率级或某点的A声级时，可按下式做近似计算：</w:t>
            </w:r>
          </w:p>
          <w:p w14:paraId="65AC6D00">
            <w:pPr>
              <w:spacing w:line="360" w:lineRule="auto"/>
              <w:ind w:firstLine="420" w:firstLineChars="20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drawing>
                <wp:inline distT="0" distB="0" distL="114300" distR="114300">
                  <wp:extent cx="1288415" cy="254635"/>
                  <wp:effectExtent l="0" t="0" r="6985" b="13335"/>
                  <wp:docPr id="1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7"/>
                          <pic:cNvPicPr>
                            <a:picLocks noChangeAspect="1"/>
                          </pic:cNvPicPr>
                        </pic:nvPicPr>
                        <pic:blipFill>
                          <a:blip r:embed="rId43"/>
                          <a:stretch>
                            <a:fillRect/>
                          </a:stretch>
                        </pic:blipFill>
                        <pic:spPr>
                          <a:xfrm>
                            <a:off x="0" y="0"/>
                            <a:ext cx="1288415" cy="254635"/>
                          </a:xfrm>
                          <a:prstGeom prst="rect">
                            <a:avLst/>
                          </a:prstGeom>
                          <a:noFill/>
                          <a:ln>
                            <a:noFill/>
                          </a:ln>
                        </pic:spPr>
                      </pic:pic>
                    </a:graphicData>
                  </a:graphic>
                </wp:inline>
              </w:drawing>
            </w:r>
          </w:p>
          <w:p w14:paraId="663C681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drawing>
                <wp:inline distT="0" distB="0" distL="114300" distR="114300">
                  <wp:extent cx="142875" cy="174625"/>
                  <wp:effectExtent l="0" t="0" r="9525" b="17145"/>
                  <wp:docPr id="1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8"/>
                          <pic:cNvPicPr>
                            <a:picLocks noChangeAspect="1"/>
                          </pic:cNvPicPr>
                        </pic:nvPicPr>
                        <pic:blipFill>
                          <a:blip r:embed="rId44"/>
                          <a:stretch>
                            <a:fillRect/>
                          </a:stretch>
                        </pic:blipFill>
                        <pic:spPr>
                          <a:xfrm>
                            <a:off x="0" y="0"/>
                            <a:ext cx="142875" cy="174625"/>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可选择对</w:t>
            </w:r>
            <w:r>
              <w:rPr>
                <w:rFonts w:hint="default" w:ascii="Times New Roman" w:hAnsi="Times New Roman" w:eastAsia="仿宋" w:cs="Times New Roman"/>
                <w:bCs/>
                <w:color w:val="auto"/>
                <w:sz w:val="24"/>
                <w:highlight w:val="none"/>
              </w:rPr>
              <w:drawing>
                <wp:inline distT="0" distB="0" distL="114300" distR="114300">
                  <wp:extent cx="142875" cy="174625"/>
                  <wp:effectExtent l="0" t="0" r="9525" b="17145"/>
                  <wp:docPr id="1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9"/>
                          <pic:cNvPicPr>
                            <a:picLocks noChangeAspect="1"/>
                          </pic:cNvPicPr>
                        </pic:nvPicPr>
                        <pic:blipFill>
                          <a:blip r:embed="rId44"/>
                          <a:stretch>
                            <a:fillRect/>
                          </a:stretch>
                        </pic:blipFill>
                        <pic:spPr>
                          <a:xfrm>
                            <a:off x="0" y="0"/>
                            <a:ext cx="142875" cy="174625"/>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声级影响最大的倍频带计算，一般可选中心频率为500Hz的倍频带作估算。</w:t>
            </w:r>
          </w:p>
          <w:p w14:paraId="39453CE4">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②室内声源等效室外声源声功率级计算方法</w:t>
            </w:r>
          </w:p>
          <w:p w14:paraId="10A5469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如下图所示，声源位于室内，室内声源可采用等效室外声源声功率级法进行计算。设靠近开口处（或窗户）室内、室外某倍频带的声压级分别为</w:t>
            </w:r>
            <w:r>
              <w:rPr>
                <w:rFonts w:hint="default" w:ascii="Times New Roman" w:hAnsi="Times New Roman" w:eastAsia="仿宋" w:cs="Times New Roman"/>
                <w:bCs/>
                <w:color w:val="auto"/>
                <w:sz w:val="24"/>
                <w:highlight w:val="none"/>
              </w:rPr>
              <w:drawing>
                <wp:inline distT="0" distB="0" distL="114300" distR="114300">
                  <wp:extent cx="238760" cy="246380"/>
                  <wp:effectExtent l="0" t="0" r="0" b="1270"/>
                  <wp:docPr id="1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0"/>
                          <pic:cNvPicPr>
                            <a:picLocks noChangeAspect="1"/>
                          </pic:cNvPicPr>
                        </pic:nvPicPr>
                        <pic:blipFill>
                          <a:blip r:embed="rId45"/>
                          <a:stretch>
                            <a:fillRect/>
                          </a:stretch>
                        </pic:blipFill>
                        <pic:spPr>
                          <a:xfrm>
                            <a:off x="0" y="0"/>
                            <a:ext cx="238760" cy="246380"/>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rPr>
              <w:drawing>
                <wp:inline distT="0" distB="0" distL="114300" distR="114300">
                  <wp:extent cx="246380" cy="246380"/>
                  <wp:effectExtent l="0" t="0" r="0" b="1270"/>
                  <wp:docPr id="1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1"/>
                          <pic:cNvPicPr>
                            <a:picLocks noChangeAspect="1"/>
                          </pic:cNvPicPr>
                        </pic:nvPicPr>
                        <pic:blipFill>
                          <a:blip r:embed="rId46"/>
                          <a:stretch>
                            <a:fillRect/>
                          </a:stretch>
                        </pic:blipFill>
                        <pic:spPr>
                          <a:xfrm>
                            <a:off x="0" y="0"/>
                            <a:ext cx="246380" cy="246380"/>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。若声源所在室内声场为近似扩散声场，则室外的倍频带声压级可按下式近似求出：</w:t>
            </w:r>
          </w:p>
          <w:p w14:paraId="5C1CA81F">
            <w:pPr>
              <w:ind w:firstLine="420" w:firstLineChars="20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drawing>
                <wp:inline distT="0" distB="0" distL="114300" distR="114300">
                  <wp:extent cx="1304290" cy="278130"/>
                  <wp:effectExtent l="0" t="0" r="10160" b="6350"/>
                  <wp:docPr id="1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2"/>
                          <pic:cNvPicPr>
                            <a:picLocks noChangeAspect="1"/>
                          </pic:cNvPicPr>
                        </pic:nvPicPr>
                        <pic:blipFill>
                          <a:blip r:embed="rId47"/>
                          <a:stretch>
                            <a:fillRect/>
                          </a:stretch>
                        </pic:blipFill>
                        <pic:spPr>
                          <a:xfrm>
                            <a:off x="0" y="0"/>
                            <a:ext cx="1304290" cy="278130"/>
                          </a:xfrm>
                          <a:prstGeom prst="rect">
                            <a:avLst/>
                          </a:prstGeom>
                          <a:noFill/>
                          <a:ln>
                            <a:noFill/>
                          </a:ln>
                        </pic:spPr>
                      </pic:pic>
                    </a:graphicData>
                  </a:graphic>
                </wp:inline>
              </w:drawing>
            </w:r>
          </w:p>
          <w:p w14:paraId="21E35FBD">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式中：</w:t>
            </w:r>
          </w:p>
          <w:p w14:paraId="7D927EF6">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drawing>
                <wp:inline distT="0" distB="0" distL="114300" distR="114300">
                  <wp:extent cx="207010" cy="174625"/>
                  <wp:effectExtent l="0" t="0" r="2540" b="17145"/>
                  <wp:docPr id="1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3"/>
                          <pic:cNvPicPr>
                            <a:picLocks noChangeAspect="1"/>
                          </pic:cNvPicPr>
                        </pic:nvPicPr>
                        <pic:blipFill>
                          <a:blip r:embed="rId48"/>
                          <a:stretch>
                            <a:fillRect/>
                          </a:stretch>
                        </pic:blipFill>
                        <pic:spPr>
                          <a:xfrm>
                            <a:off x="0" y="0"/>
                            <a:ext cx="207010" cy="174625"/>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——隔墙（或窗户）倍频带的隔声量，dB。</w:t>
            </w:r>
          </w:p>
          <w:p w14:paraId="4E2A35BF">
            <w:pPr>
              <w:spacing w:line="360" w:lineRule="auto"/>
              <w:ind w:left="0" w:leftChars="0" w:right="0" w:rightChars="0" w:firstLine="0" w:firstLineChars="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drawing>
                <wp:inline distT="0" distB="0" distL="114300" distR="114300">
                  <wp:extent cx="2115185" cy="1153160"/>
                  <wp:effectExtent l="0" t="0" r="18415" b="8890"/>
                  <wp:docPr id="20" name="图片 84" descr="F:\cdd\2017环评\Application%20Data\Microsoft\Application%20Data\Microsoft\Application%20Data\Tencent\Users\869201361\QQ\WinTemp\RichOle\M)$%7b~LN%5b%5dU69NF%60@NZ%5b4P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4" descr="F:\cdd\2017环评\Application%20Data\Microsoft\Application%20Data\Microsoft\Application%20Data\Tencent\Users\869201361\QQ\WinTemp\RichOle\M)$%7b~LN%5b%5dU69NF%60@NZ%5b4PU8.jpg"/>
                          <pic:cNvPicPr>
                            <a:picLocks noChangeAspect="1"/>
                          </pic:cNvPicPr>
                        </pic:nvPicPr>
                        <pic:blipFill>
                          <a:blip r:embed="rId49"/>
                          <a:stretch>
                            <a:fillRect/>
                          </a:stretch>
                        </pic:blipFill>
                        <pic:spPr>
                          <a:xfrm>
                            <a:off x="0" y="0"/>
                            <a:ext cx="2115185" cy="1153160"/>
                          </a:xfrm>
                          <a:prstGeom prst="rect">
                            <a:avLst/>
                          </a:prstGeom>
                          <a:noFill/>
                          <a:ln>
                            <a:noFill/>
                          </a:ln>
                        </pic:spPr>
                      </pic:pic>
                    </a:graphicData>
                  </a:graphic>
                </wp:inline>
              </w:drawing>
            </w:r>
          </w:p>
          <w:p w14:paraId="476F62D8">
            <w:pPr>
              <w:adjustRightInd w:val="0"/>
              <w:snapToGrid w:val="0"/>
              <w:spacing w:line="360" w:lineRule="auto"/>
              <w:ind w:left="0" w:leftChars="0" w:right="0" w:rightChars="0" w:firstLine="0" w:firstLineChars="0"/>
              <w:jc w:val="center"/>
              <w:rPr>
                <w:rFonts w:hint="default" w:ascii="Times New Roman" w:hAnsi="Times New Roman" w:eastAsia="仿宋" w:cs="Times New Roman"/>
                <w:bCs/>
                <w:color w:val="auto"/>
                <w:sz w:val="24"/>
                <w:highlight w:val="none"/>
              </w:rPr>
            </w:pPr>
            <w:r>
              <w:rPr>
                <w:rFonts w:hint="default" w:ascii="Times New Roman" w:hAnsi="Times New Roman" w:eastAsia="仿宋" w:cs="Times New Roman"/>
                <w:b/>
                <w:color w:val="auto"/>
                <w:sz w:val="24"/>
                <w:highlight w:val="none"/>
              </w:rPr>
              <w:t>图4-4  室内声源等效为室外声源图例</w:t>
            </w:r>
          </w:p>
          <w:p w14:paraId="0D7073FD">
            <w:pPr>
              <w:adjustRightInd w:val="0"/>
              <w:snapToGrid w:val="0"/>
              <w:spacing w:line="360" w:lineRule="auto"/>
              <w:ind w:firstLine="42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1786890</wp:posOffset>
                      </wp:positionH>
                      <wp:positionV relativeFrom="paragraph">
                        <wp:posOffset>242570</wp:posOffset>
                      </wp:positionV>
                      <wp:extent cx="297815" cy="244475"/>
                      <wp:effectExtent l="0" t="0" r="0" b="0"/>
                      <wp:wrapNone/>
                      <wp:docPr id="2509" name="文本框 2509"/>
                      <wp:cNvGraphicFramePr/>
                      <a:graphic xmlns:a="http://schemas.openxmlformats.org/drawingml/2006/main">
                        <a:graphicData uri="http://schemas.microsoft.com/office/word/2010/wordprocessingShape">
                          <wps:wsp>
                            <wps:cNvSpPr txBox="1">
                              <a:spLocks noChangeArrowheads="1"/>
                            </wps:cNvSpPr>
                            <wps:spPr bwMode="auto">
                              <a:xfrm>
                                <a:off x="0" y="0"/>
                                <a:ext cx="2106930" cy="574040"/>
                              </a:xfrm>
                              <a:prstGeom prst="rect">
                                <a:avLst/>
                              </a:prstGeom>
                              <a:noFill/>
                              <a:ln>
                                <a:noFill/>
                              </a:ln>
                              <a:effectLst/>
                            </wps:spPr>
                            <wps:txbx>
                              <w:txbxContent>
                                <w:p w14:paraId="7398027F">
                                  <w:pPr>
                                    <w:jc w:val="center"/>
                                  </w:pPr>
                                </w:p>
                              </w:txbxContent>
                            </wps:txbx>
                            <wps:bodyPr rot="0" vert="horz" wrap="none" lIns="91440" tIns="45720" rIns="91440" bIns="45720" anchor="t" anchorCtr="0" upright="1">
                              <a:spAutoFit/>
                            </wps:bodyPr>
                          </wps:wsp>
                        </a:graphicData>
                      </a:graphic>
                    </wp:anchor>
                  </w:drawing>
                </mc:Choice>
                <mc:Fallback>
                  <w:pict>
                    <v:shape id="_x0000_s1026" o:spid="_x0000_s1026" o:spt="202" type="#_x0000_t202" style="position:absolute;left:0pt;margin-left:140.7pt;margin-top:19.1pt;height:19.25pt;width:23.45pt;mso-wrap-style:none;z-index:251660288;mso-width-relative:page;mso-height-relative:page;" filled="f" stroked="f" coordsize="21600,21600" o:gfxdata="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praK1gAAAAkB&#10;AAAPAAAAAAAAAAEAIAAAACIAAABkcnMvZG93bnJldi54bWxQSwECFAAUAAAACACHTuJAOCck7x0C&#10;AAAnBAAADgAAAAAAAAABACAAAAAlAQAAZHJzL2Uyb0RvYy54bWxQSwUGAAAAAAYABgBZAQAAtAUA&#10;AAAA&#10;">
                      <v:fill on="f" focussize="0,0"/>
                      <v:stroke on="f"/>
                      <v:imagedata o:title=""/>
                      <o:lock v:ext="edit" aspectratio="f"/>
                      <v:textbox style="mso-fit-shape-to-text:t;">
                        <w:txbxContent>
                          <w:p w14:paraId="7398027F">
                            <w:pPr>
                              <w:jc w:val="center"/>
                            </w:pPr>
                          </w:p>
                        </w:txbxContent>
                      </v:textbox>
                    </v:shape>
                  </w:pict>
                </mc:Fallback>
              </mc:AlternateContent>
            </w:r>
            <w:r>
              <w:rPr>
                <w:rFonts w:hint="default" w:ascii="Times New Roman" w:hAnsi="Times New Roman" w:eastAsia="仿宋" w:cs="Times New Roman"/>
                <w:bCs/>
                <w:color w:val="auto"/>
                <w:sz w:val="24"/>
                <w:highlight w:val="none"/>
              </w:rPr>
              <w:t>也可按下式计算某一室内声源靠近围护结构处产生的倍频带声压级：</w:t>
            </w:r>
          </w:p>
          <w:p w14:paraId="7E084517">
            <w:pPr>
              <w:spacing w:before="120" w:beforeLines="50"/>
              <w:jc w:val="center"/>
              <w:rPr>
                <w:rFonts w:hint="default" w:ascii="Times New Roman" w:hAnsi="Times New Roman" w:eastAsia="仿宋" w:cs="Times New Roman"/>
                <w:color w:val="auto"/>
                <w:highlight w:val="none"/>
              </w:rPr>
            </w:pPr>
            <w:r>
              <w:rPr>
                <w:rFonts w:hint="default" w:ascii="Times New Roman" w:hAnsi="Times New Roman" w:cs="Times New Roman"/>
                <w:color w:val="auto"/>
                <w:kern w:val="0"/>
                <w:sz w:val="20"/>
                <w:szCs w:val="20"/>
                <w:highlight w:val="none"/>
              </w:rPr>
              <w:drawing>
                <wp:inline distT="0" distB="0" distL="114300" distR="114300">
                  <wp:extent cx="1924050" cy="485140"/>
                  <wp:effectExtent l="0" t="0" r="0" b="10795"/>
                  <wp:docPr id="2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5"/>
                          <pic:cNvPicPr>
                            <a:picLocks noChangeAspect="1"/>
                          </pic:cNvPicPr>
                        </pic:nvPicPr>
                        <pic:blipFill>
                          <a:blip r:embed="rId50"/>
                          <a:stretch>
                            <a:fillRect/>
                          </a:stretch>
                        </pic:blipFill>
                        <pic:spPr>
                          <a:xfrm>
                            <a:off x="0" y="0"/>
                            <a:ext cx="1924050" cy="485140"/>
                          </a:xfrm>
                          <a:prstGeom prst="rect">
                            <a:avLst/>
                          </a:prstGeom>
                          <a:noFill/>
                          <a:ln>
                            <a:noFill/>
                          </a:ln>
                        </pic:spPr>
                      </pic:pic>
                    </a:graphicData>
                  </a:graphic>
                </wp:inline>
              </w:drawing>
            </w:r>
          </w:p>
          <w:p w14:paraId="145D1C4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式中：</w:t>
            </w:r>
          </w:p>
          <w:p w14:paraId="46399D53">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drawing>
                <wp:inline distT="0" distB="0" distL="114300" distR="114300">
                  <wp:extent cx="142875" cy="207010"/>
                  <wp:effectExtent l="0" t="0" r="9525" b="1905"/>
                  <wp:docPr id="2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6"/>
                          <pic:cNvPicPr>
                            <a:picLocks noChangeAspect="1"/>
                          </pic:cNvPicPr>
                        </pic:nvPicPr>
                        <pic:blipFill>
                          <a:blip r:embed="rId51"/>
                          <a:stretch>
                            <a:fillRect/>
                          </a:stretch>
                        </pic:blipFill>
                        <pic:spPr>
                          <a:xfrm>
                            <a:off x="0" y="0"/>
                            <a:ext cx="142875" cy="207010"/>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——指向性因素；通常对无指向性声源，当声源放在房间中心时，Q=1；当放在一面墙的中心时，Q=2；当放在两面墙夹角处时，Q=4；当放在三面墙夹角处时，Q=8。</w:t>
            </w:r>
          </w:p>
          <w:p w14:paraId="0B441E10">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object>
                <v:shape id="_x0000_i1035" o:spt="75" type="#_x0000_t75" style="height:12.9pt;width:11.8pt;" o:ole="t" filled="f" o:preferrelative="t" stroked="f" coordsize="21600,21600">
                  <v:path/>
                  <v:fill on="f" focussize="0,0"/>
                  <v:stroke on="f"/>
                  <v:imagedata r:id="rId53" o:title=""/>
                  <o:lock v:ext="edit" aspectratio="t"/>
                  <w10:wrap type="none"/>
                  <w10:anchorlock/>
                </v:shape>
                <o:OLEObject Type="Embed" ProgID="Equation.DSMT4" ShapeID="_x0000_i1035" DrawAspect="Content" ObjectID="_1468075735" r:id="rId52">
                  <o:LockedField>false</o:LockedField>
                </o:OLEObject>
              </w:object>
            </w:r>
            <w:r>
              <w:rPr>
                <w:rFonts w:hint="default" w:ascii="Times New Roman" w:hAnsi="Times New Roman" w:eastAsia="仿宋" w:cs="Times New Roman"/>
                <w:bCs/>
                <w:color w:val="auto"/>
                <w:sz w:val="24"/>
                <w:highlight w:val="none"/>
              </w:rPr>
              <w:t>——房间常数；</w:t>
            </w:r>
            <w:r>
              <w:rPr>
                <w:rFonts w:hint="default" w:ascii="Times New Roman" w:hAnsi="Times New Roman" w:eastAsia="仿宋" w:cs="Times New Roman"/>
                <w:bCs/>
                <w:color w:val="auto"/>
                <w:sz w:val="24"/>
                <w:highlight w:val="none"/>
              </w:rPr>
              <w:object>
                <v:shape id="_x0000_i1036" o:spt="75" type="#_x0000_t75" style="height:16.1pt;width:76.3pt;" o:ole="t" filled="f" o:preferrelative="t" stroked="f" coordsize="21600,21600">
                  <v:path/>
                  <v:fill on="f" focussize="0,0"/>
                  <v:stroke on="f"/>
                  <v:imagedata r:id="rId55" o:title=""/>
                  <o:lock v:ext="edit" aspectratio="t"/>
                  <w10:wrap type="none"/>
                  <w10:anchorlock/>
                </v:shape>
                <o:OLEObject Type="Embed" ProgID="Equation.DSMT4" ShapeID="_x0000_i1036" DrawAspect="Content" ObjectID="_1468075736" r:id="rId54">
                  <o:LockedField>false</o:LockedField>
                </o:OLEObject>
              </w:objec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rPr>
              <w:object>
                <v:shape id="_x0000_i1037" o:spt="75" type="#_x0000_t75" style="height:12.9pt;width:10.75pt;" o:ole="t" filled="f" o:preferrelative="t" stroked="f" coordsize="21600,21600">
                  <v:path/>
                  <v:fill on="f" focussize="0,0"/>
                  <v:stroke on="f"/>
                  <v:imagedata r:id="rId57" o:title=""/>
                  <o:lock v:ext="edit" aspectratio="t"/>
                  <w10:wrap type="none"/>
                  <w10:anchorlock/>
                </v:shape>
                <o:OLEObject Type="Embed" ProgID="Equation.DSMT4" ShapeID="_x0000_i1037" DrawAspect="Content" ObjectID="_1468075737" r:id="rId56">
                  <o:LockedField>false</o:LockedField>
                </o:OLEObject>
              </w:object>
            </w:r>
            <w:r>
              <w:rPr>
                <w:rFonts w:hint="default" w:ascii="Times New Roman" w:hAnsi="Times New Roman" w:eastAsia="仿宋" w:cs="Times New Roman"/>
                <w:bCs/>
                <w:color w:val="auto"/>
                <w:sz w:val="24"/>
                <w:highlight w:val="none"/>
              </w:rPr>
              <w:t>为房间内表面面积，m</w:t>
            </w:r>
            <w:r>
              <w:rPr>
                <w:rFonts w:hint="default" w:ascii="Times New Roman" w:hAnsi="Times New Roman" w:eastAsia="仿宋" w:cs="Times New Roman"/>
                <w:bCs/>
                <w:color w:val="auto"/>
                <w:sz w:val="24"/>
                <w:highlight w:val="none"/>
                <w:vertAlign w:val="superscript"/>
              </w:rPr>
              <w:t>2</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rPr>
              <w:object>
                <v:shape id="_x0000_i1038" o:spt="75" type="#_x0000_t75" style="height:10.75pt;width:11.8pt;" o:ole="t" filled="f" o:preferrelative="t" stroked="f" coordsize="21600,21600">
                  <v:path/>
                  <v:fill on="f" focussize="0,0"/>
                  <v:stroke on="f"/>
                  <v:imagedata r:id="rId59" o:title=""/>
                  <o:lock v:ext="edit" aspectratio="t"/>
                  <w10:wrap type="none"/>
                  <w10:anchorlock/>
                </v:shape>
                <o:OLEObject Type="Embed" ProgID="Equation.DSMT4" ShapeID="_x0000_i1038" DrawAspect="Content" ObjectID="_1468075738" r:id="rId58">
                  <o:LockedField>false</o:LockedField>
                </o:OLEObject>
              </w:object>
            </w:r>
            <w:r>
              <w:rPr>
                <w:rFonts w:hint="default" w:ascii="Times New Roman" w:hAnsi="Times New Roman" w:eastAsia="仿宋" w:cs="Times New Roman"/>
                <w:bCs/>
                <w:color w:val="auto"/>
                <w:sz w:val="24"/>
                <w:highlight w:val="none"/>
              </w:rPr>
              <w:t>为平均吸声系数。</w:t>
            </w:r>
          </w:p>
          <w:p w14:paraId="7B9186C9">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r——声源到靠近维护结构某点处距离，m。</w:t>
            </w:r>
          </w:p>
          <w:p w14:paraId="4846E339">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然后按下式计算出所有室内声源在围护结构处产生的i倍频带叠加声压级：</w:t>
            </w:r>
          </w:p>
          <w:p w14:paraId="0CF7C1BF">
            <w:pPr>
              <w:spacing w:line="360" w:lineRule="auto"/>
              <w:ind w:firstLine="420" w:firstLineChars="20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drawing>
                <wp:inline distT="0" distB="0" distL="114300" distR="114300">
                  <wp:extent cx="1749425" cy="501015"/>
                  <wp:effectExtent l="0" t="0" r="3175" b="13970"/>
                  <wp:docPr id="2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1"/>
                          <pic:cNvPicPr>
                            <a:picLocks noChangeAspect="1"/>
                          </pic:cNvPicPr>
                        </pic:nvPicPr>
                        <pic:blipFill>
                          <a:blip r:embed="rId60"/>
                          <a:stretch>
                            <a:fillRect/>
                          </a:stretch>
                        </pic:blipFill>
                        <pic:spPr>
                          <a:xfrm>
                            <a:off x="0" y="0"/>
                            <a:ext cx="1749425" cy="501015"/>
                          </a:xfrm>
                          <a:prstGeom prst="rect">
                            <a:avLst/>
                          </a:prstGeom>
                          <a:noFill/>
                          <a:ln>
                            <a:noFill/>
                          </a:ln>
                        </pic:spPr>
                      </pic:pic>
                    </a:graphicData>
                  </a:graphic>
                </wp:inline>
              </w:drawing>
            </w:r>
          </w:p>
          <w:p w14:paraId="1D17744C">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式中：</w:t>
            </w:r>
          </w:p>
          <w:p w14:paraId="67307131">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drawing>
                <wp:inline distT="0" distB="0" distL="114300" distR="114300">
                  <wp:extent cx="476885" cy="246380"/>
                  <wp:effectExtent l="0" t="0" r="18415" b="1270"/>
                  <wp:docPr id="2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2"/>
                          <pic:cNvPicPr>
                            <a:picLocks noChangeAspect="1"/>
                          </pic:cNvPicPr>
                        </pic:nvPicPr>
                        <pic:blipFill>
                          <a:blip r:embed="rId61"/>
                          <a:stretch>
                            <a:fillRect/>
                          </a:stretch>
                        </pic:blipFill>
                        <pic:spPr>
                          <a:xfrm>
                            <a:off x="0" y="0"/>
                            <a:ext cx="476885" cy="246380"/>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——靠近围护结构处室内N个声源i倍频带的叠加声压级，dB；</w:t>
            </w:r>
          </w:p>
          <w:p w14:paraId="018E3799">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drawing>
                <wp:inline distT="0" distB="0" distL="114300" distR="114300">
                  <wp:extent cx="302260" cy="246380"/>
                  <wp:effectExtent l="0" t="0" r="2540" b="1270"/>
                  <wp:docPr id="2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3"/>
                          <pic:cNvPicPr>
                            <a:picLocks noChangeAspect="1"/>
                          </pic:cNvPicPr>
                        </pic:nvPicPr>
                        <pic:blipFill>
                          <a:blip r:embed="rId62"/>
                          <a:stretch>
                            <a:fillRect/>
                          </a:stretch>
                        </pic:blipFill>
                        <pic:spPr>
                          <a:xfrm>
                            <a:off x="0" y="0"/>
                            <a:ext cx="302260" cy="246380"/>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——室内j声源i倍频带的声压级，dB；</w:t>
            </w:r>
          </w:p>
          <w:p w14:paraId="7C211995">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drawing>
                <wp:inline distT="0" distB="0" distL="114300" distR="114300">
                  <wp:extent cx="182880" cy="182880"/>
                  <wp:effectExtent l="0" t="0" r="7620" b="6985"/>
                  <wp:docPr id="2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4"/>
                          <pic:cNvPicPr>
                            <a:picLocks noChangeAspect="1"/>
                          </pic:cNvPicPr>
                        </pic:nvPicPr>
                        <pic:blipFill>
                          <a:blip r:embed="rId63"/>
                          <a:stretch>
                            <a:fillRect/>
                          </a:stretch>
                        </pic:blipFill>
                        <pic:spPr>
                          <a:xfrm>
                            <a:off x="0" y="0"/>
                            <a:ext cx="182880" cy="182880"/>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——室内声源总数。</w:t>
            </w:r>
          </w:p>
          <w:p w14:paraId="674DB2DA">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在室内近似为扩散声场时，按下式计算出靠近室外围护结构处的声压级：</w:t>
            </w:r>
          </w:p>
          <w:p w14:paraId="456067BE">
            <w:pPr>
              <w:ind w:firstLine="420" w:firstLineChars="20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drawing>
                <wp:inline distT="0" distB="0" distL="114300" distR="114300">
                  <wp:extent cx="1781175" cy="254635"/>
                  <wp:effectExtent l="0" t="0" r="9525" b="13335"/>
                  <wp:docPr id="2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5"/>
                          <pic:cNvPicPr>
                            <a:picLocks noChangeAspect="1"/>
                          </pic:cNvPicPr>
                        </pic:nvPicPr>
                        <pic:blipFill>
                          <a:blip r:embed="rId64"/>
                          <a:stretch>
                            <a:fillRect/>
                          </a:stretch>
                        </pic:blipFill>
                        <pic:spPr>
                          <a:xfrm>
                            <a:off x="0" y="0"/>
                            <a:ext cx="1781175" cy="254635"/>
                          </a:xfrm>
                          <a:prstGeom prst="rect">
                            <a:avLst/>
                          </a:prstGeom>
                          <a:noFill/>
                          <a:ln>
                            <a:noFill/>
                          </a:ln>
                        </pic:spPr>
                      </pic:pic>
                    </a:graphicData>
                  </a:graphic>
                </wp:inline>
              </w:drawing>
            </w:r>
          </w:p>
          <w:p w14:paraId="011B8404">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式中：</w:t>
            </w:r>
          </w:p>
          <w:p w14:paraId="37719601">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drawing>
                <wp:inline distT="0" distB="0" distL="114300" distR="114300">
                  <wp:extent cx="492760" cy="246380"/>
                  <wp:effectExtent l="0" t="0" r="2540" b="1270"/>
                  <wp:docPr id="2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6"/>
                          <pic:cNvPicPr>
                            <a:picLocks noChangeAspect="1"/>
                          </pic:cNvPicPr>
                        </pic:nvPicPr>
                        <pic:blipFill>
                          <a:blip r:embed="rId65"/>
                          <a:stretch>
                            <a:fillRect/>
                          </a:stretch>
                        </pic:blipFill>
                        <pic:spPr>
                          <a:xfrm>
                            <a:off x="0" y="0"/>
                            <a:ext cx="492760" cy="246380"/>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——靠近围护结构处室外N个声源i倍频带的叠加声压级，dB；</w:t>
            </w:r>
          </w:p>
          <w:p w14:paraId="0C648AD8">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drawing>
                <wp:inline distT="0" distB="0" distL="114300" distR="114300">
                  <wp:extent cx="238760" cy="238760"/>
                  <wp:effectExtent l="0" t="0" r="8890" b="7620"/>
                  <wp:docPr id="2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7"/>
                          <pic:cNvPicPr>
                            <a:picLocks noChangeAspect="1"/>
                          </pic:cNvPicPr>
                        </pic:nvPicPr>
                        <pic:blipFill>
                          <a:blip r:embed="rId66"/>
                          <a:stretch>
                            <a:fillRect/>
                          </a:stretch>
                        </pic:blipFill>
                        <pic:spPr>
                          <a:xfrm>
                            <a:off x="0" y="0"/>
                            <a:ext cx="238760" cy="238760"/>
                          </a:xfrm>
                          <a:prstGeom prst="rect">
                            <a:avLst/>
                          </a:prstGeom>
                          <a:noFill/>
                          <a:ln>
                            <a:noFill/>
                          </a:ln>
                        </pic:spPr>
                      </pic:pic>
                    </a:graphicData>
                  </a:graphic>
                </wp:inline>
              </w:drawing>
            </w:r>
            <w:r>
              <w:rPr>
                <w:rFonts w:hint="default" w:ascii="Times New Roman" w:hAnsi="Times New Roman" w:eastAsia="仿宋" w:cs="Times New Roman"/>
                <w:bCs/>
                <w:color w:val="auto"/>
                <w:sz w:val="24"/>
                <w:highlight w:val="none"/>
              </w:rPr>
              <w:t>——围护结构i倍频带的隔声量，dB。</w:t>
            </w:r>
          </w:p>
          <w:p w14:paraId="7240D804">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然后按下式将室外声源的声压级和透过面积换算成等效的室外声源，计算出中心位置位于透声面积（S）处的等效声源的倍频带声功率级：</w:t>
            </w:r>
          </w:p>
          <w:p w14:paraId="545CE0D9">
            <w:pPr>
              <w:spacing w:line="360" w:lineRule="auto"/>
              <w:ind w:firstLine="420" w:firstLineChars="20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drawing>
                <wp:inline distT="0" distB="0" distL="114300" distR="114300">
                  <wp:extent cx="1526540" cy="286385"/>
                  <wp:effectExtent l="0" t="0" r="0" b="0"/>
                  <wp:docPr id="3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8"/>
                          <pic:cNvPicPr>
                            <a:picLocks noChangeAspect="1"/>
                          </pic:cNvPicPr>
                        </pic:nvPicPr>
                        <pic:blipFill>
                          <a:blip r:embed="rId67"/>
                          <a:stretch>
                            <a:fillRect/>
                          </a:stretch>
                        </pic:blipFill>
                        <pic:spPr>
                          <a:xfrm>
                            <a:off x="0" y="0"/>
                            <a:ext cx="1526540" cy="286385"/>
                          </a:xfrm>
                          <a:prstGeom prst="rect">
                            <a:avLst/>
                          </a:prstGeom>
                          <a:noFill/>
                          <a:ln>
                            <a:noFill/>
                          </a:ln>
                        </pic:spPr>
                      </pic:pic>
                    </a:graphicData>
                  </a:graphic>
                </wp:inline>
              </w:drawing>
            </w:r>
          </w:p>
          <w:p w14:paraId="222EC12D">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然后按室外声源预测方法计算预测点处的A声级。</w:t>
            </w:r>
          </w:p>
          <w:p w14:paraId="18F78440">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（2）预测结果</w:t>
            </w:r>
          </w:p>
          <w:p w14:paraId="1EBFFB60">
            <w:pPr>
              <w:adjustRightInd w:val="0"/>
              <w:snapToGrid w:val="0"/>
              <w:spacing w:line="360" w:lineRule="auto"/>
              <w:ind w:firstLine="480" w:firstLineChars="200"/>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Cs/>
                <w:color w:val="auto"/>
                <w:sz w:val="24"/>
                <w:highlight w:val="none"/>
              </w:rPr>
              <w:t>选择项目东、南、西、北四个厂界以及敏感目标作为预测点进行噪声影响预测，预测结果见下表。</w:t>
            </w:r>
          </w:p>
          <w:p w14:paraId="02DAD154">
            <w:pPr>
              <w:adjustRightInd w:val="0"/>
              <w:snapToGrid w:val="0"/>
              <w:jc w:val="right"/>
              <w:rPr>
                <w:rFonts w:hint="default" w:ascii="Times New Roman" w:hAnsi="Times New Roman" w:eastAsia="仿宋" w:cs="Times New Roman"/>
                <w:b/>
                <w:bCs/>
                <w:color w:val="auto"/>
                <w:szCs w:val="28"/>
                <w:highlight w:val="none"/>
              </w:rPr>
            </w:pPr>
            <w:r>
              <w:rPr>
                <w:rFonts w:hint="default" w:ascii="Times New Roman" w:hAnsi="Times New Roman" w:eastAsia="仿宋" w:cs="Times New Roman"/>
                <w:b/>
                <w:bCs/>
                <w:color w:val="auto"/>
                <w:sz w:val="24"/>
                <w:highlight w:val="none"/>
              </w:rPr>
              <w:t>表4-</w:t>
            </w:r>
            <w:r>
              <w:rPr>
                <w:rFonts w:hint="default" w:ascii="Times New Roman" w:hAnsi="Times New Roman" w:eastAsia="仿宋" w:cs="Times New Roman"/>
                <w:b/>
                <w:bCs/>
                <w:color w:val="auto"/>
                <w:sz w:val="24"/>
                <w:highlight w:val="none"/>
                <w:lang w:val="en-US" w:eastAsia="zh-CN"/>
              </w:rPr>
              <w:t>2</w:t>
            </w:r>
            <w:r>
              <w:rPr>
                <w:rFonts w:hint="eastAsia" w:eastAsia="仿宋" w:cs="Times New Roman"/>
                <w:b/>
                <w:bCs/>
                <w:color w:val="auto"/>
                <w:sz w:val="24"/>
                <w:highlight w:val="none"/>
                <w:lang w:val="en-US" w:eastAsia="zh-CN"/>
              </w:rPr>
              <w:t>8</w:t>
            </w:r>
            <w:r>
              <w:rPr>
                <w:rFonts w:hint="default" w:ascii="Times New Roman" w:hAnsi="Times New Roman" w:eastAsia="仿宋" w:cs="Times New Roman"/>
                <w:b/>
                <w:bCs/>
                <w:color w:val="auto"/>
                <w:sz w:val="24"/>
                <w:highlight w:val="none"/>
              </w:rPr>
              <w:t xml:space="preserve">  噪声影响预测结果表</w:t>
            </w:r>
            <w:r>
              <w:rPr>
                <w:rFonts w:hint="default" w:ascii="Times New Roman" w:hAnsi="Times New Roman" w:eastAsia="仿宋" w:cs="Times New Roman"/>
                <w:b/>
                <w:bCs/>
                <w:color w:val="auto"/>
                <w:sz w:val="28"/>
                <w:szCs w:val="28"/>
                <w:highlight w:val="none"/>
              </w:rPr>
              <w:t xml:space="preserve">     </w:t>
            </w:r>
            <w:r>
              <w:rPr>
                <w:rFonts w:hint="default" w:ascii="Times New Roman" w:hAnsi="Times New Roman" w:eastAsia="仿宋" w:cs="Times New Roman"/>
                <w:b/>
                <w:bCs/>
                <w:color w:val="auto"/>
                <w:sz w:val="28"/>
                <w:szCs w:val="28"/>
                <w:highlight w:val="none"/>
                <w:lang w:val="en-US" w:eastAsia="zh-CN"/>
              </w:rPr>
              <w:t xml:space="preserve">   </w:t>
            </w:r>
            <w:r>
              <w:rPr>
                <w:rFonts w:hint="default" w:ascii="Times New Roman" w:hAnsi="Times New Roman" w:eastAsia="仿宋" w:cs="Times New Roman"/>
                <w:b/>
                <w:bCs/>
                <w:color w:val="auto"/>
                <w:sz w:val="28"/>
                <w:szCs w:val="28"/>
                <w:highlight w:val="none"/>
              </w:rPr>
              <w:t xml:space="preserve">     </w:t>
            </w:r>
            <w:r>
              <w:rPr>
                <w:rFonts w:hint="default" w:ascii="Times New Roman" w:hAnsi="Times New Roman" w:eastAsia="仿宋" w:cs="Times New Roman"/>
                <w:b/>
                <w:bCs/>
                <w:color w:val="auto"/>
                <w:szCs w:val="28"/>
                <w:highlight w:val="none"/>
              </w:rPr>
              <w:t>单位：dB（A）</w:t>
            </w:r>
          </w:p>
          <w:tbl>
            <w:tblPr>
              <w:tblStyle w:val="3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79"/>
              <w:gridCol w:w="648"/>
              <w:gridCol w:w="659"/>
              <w:gridCol w:w="650"/>
              <w:gridCol w:w="659"/>
              <w:gridCol w:w="650"/>
              <w:gridCol w:w="743"/>
              <w:gridCol w:w="746"/>
              <w:gridCol w:w="744"/>
              <w:gridCol w:w="746"/>
              <w:gridCol w:w="744"/>
            </w:tblGrid>
            <w:tr w14:paraId="76935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restart"/>
                  <w:vAlign w:val="center"/>
                </w:tcPr>
                <w:p w14:paraId="6C8C9DB4">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序号</w:t>
                  </w:r>
                </w:p>
              </w:tc>
              <w:tc>
                <w:tcPr>
                  <w:tcW w:w="583" w:type="pct"/>
                  <w:vMerge w:val="restart"/>
                  <w:vAlign w:val="center"/>
                </w:tcPr>
                <w:p w14:paraId="348BC7F2">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关心点</w:t>
                  </w:r>
                </w:p>
              </w:tc>
              <w:tc>
                <w:tcPr>
                  <w:tcW w:w="778" w:type="pct"/>
                  <w:gridSpan w:val="2"/>
                  <w:vAlign w:val="center"/>
                </w:tcPr>
                <w:p w14:paraId="7EEF7265">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背景值</w:t>
                  </w:r>
                </w:p>
              </w:tc>
              <w:tc>
                <w:tcPr>
                  <w:tcW w:w="779" w:type="pct"/>
                  <w:gridSpan w:val="2"/>
                  <w:vAlign w:val="center"/>
                </w:tcPr>
                <w:p w14:paraId="3EE9A1D0">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标准值</w:t>
                  </w:r>
                </w:p>
              </w:tc>
              <w:tc>
                <w:tcPr>
                  <w:tcW w:w="387" w:type="pct"/>
                  <w:vMerge w:val="restart"/>
                  <w:vAlign w:val="center"/>
                </w:tcPr>
                <w:p w14:paraId="2072B89D">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贡献值</w:t>
                  </w:r>
                </w:p>
              </w:tc>
              <w:tc>
                <w:tcPr>
                  <w:tcW w:w="886" w:type="pct"/>
                  <w:gridSpan w:val="2"/>
                  <w:vAlign w:val="center"/>
                </w:tcPr>
                <w:p w14:paraId="60023C52">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噪声预测值</w:t>
                  </w:r>
                </w:p>
              </w:tc>
              <w:tc>
                <w:tcPr>
                  <w:tcW w:w="887" w:type="pct"/>
                  <w:gridSpan w:val="2"/>
                  <w:vAlign w:val="center"/>
                </w:tcPr>
                <w:p w14:paraId="567CFA56">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较现状增量</w:t>
                  </w:r>
                </w:p>
              </w:tc>
              <w:tc>
                <w:tcPr>
                  <w:tcW w:w="443" w:type="pct"/>
                  <w:vMerge w:val="restart"/>
                  <w:vAlign w:val="center"/>
                </w:tcPr>
                <w:p w14:paraId="58F781E8">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超标和达标情况</w:t>
                  </w:r>
                </w:p>
              </w:tc>
            </w:tr>
            <w:tr w14:paraId="4DD10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vAlign w:val="center"/>
                </w:tcPr>
                <w:p w14:paraId="5045ACAD">
                  <w:pPr>
                    <w:widowControl/>
                    <w:adjustRightInd w:val="0"/>
                    <w:snapToGrid w:val="0"/>
                    <w:jc w:val="left"/>
                    <w:rPr>
                      <w:rFonts w:hint="default" w:ascii="Times New Roman" w:hAnsi="Times New Roman" w:eastAsia="仿宋" w:cs="Times New Roman"/>
                      <w:kern w:val="0"/>
                      <w:szCs w:val="21"/>
                    </w:rPr>
                  </w:pPr>
                </w:p>
              </w:tc>
              <w:tc>
                <w:tcPr>
                  <w:tcW w:w="583" w:type="pct"/>
                  <w:vMerge w:val="continue"/>
                  <w:vAlign w:val="center"/>
                </w:tcPr>
                <w:p w14:paraId="51048D7C">
                  <w:pPr>
                    <w:widowControl/>
                    <w:adjustRightInd w:val="0"/>
                    <w:snapToGrid w:val="0"/>
                    <w:jc w:val="left"/>
                    <w:rPr>
                      <w:rFonts w:hint="default" w:ascii="Times New Roman" w:hAnsi="Times New Roman" w:eastAsia="仿宋" w:cs="Times New Roman"/>
                      <w:kern w:val="0"/>
                      <w:szCs w:val="21"/>
                    </w:rPr>
                  </w:pPr>
                </w:p>
              </w:tc>
              <w:tc>
                <w:tcPr>
                  <w:tcW w:w="386" w:type="pct"/>
                  <w:vAlign w:val="center"/>
                </w:tcPr>
                <w:p w14:paraId="22E838B0">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昼间</w:t>
                  </w:r>
                </w:p>
              </w:tc>
              <w:tc>
                <w:tcPr>
                  <w:tcW w:w="391" w:type="pct"/>
                  <w:vAlign w:val="center"/>
                </w:tcPr>
                <w:p w14:paraId="7EDBC290">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夜间</w:t>
                  </w:r>
                </w:p>
              </w:tc>
              <w:tc>
                <w:tcPr>
                  <w:tcW w:w="387" w:type="pct"/>
                  <w:vAlign w:val="center"/>
                </w:tcPr>
                <w:p w14:paraId="5591E4E2">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昼间</w:t>
                  </w:r>
                </w:p>
              </w:tc>
              <w:tc>
                <w:tcPr>
                  <w:tcW w:w="392" w:type="pct"/>
                  <w:vAlign w:val="center"/>
                </w:tcPr>
                <w:p w14:paraId="513862B8">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夜间</w:t>
                  </w:r>
                </w:p>
              </w:tc>
              <w:tc>
                <w:tcPr>
                  <w:tcW w:w="387" w:type="pct"/>
                  <w:vMerge w:val="continue"/>
                  <w:vAlign w:val="center"/>
                </w:tcPr>
                <w:p w14:paraId="561EFCD3">
                  <w:pPr>
                    <w:widowControl/>
                    <w:adjustRightInd w:val="0"/>
                    <w:snapToGrid w:val="0"/>
                    <w:jc w:val="center"/>
                    <w:rPr>
                      <w:rFonts w:hint="default" w:ascii="Times New Roman" w:hAnsi="Times New Roman" w:eastAsia="仿宋" w:cs="Times New Roman"/>
                      <w:b/>
                      <w:bCs/>
                      <w:kern w:val="0"/>
                      <w:szCs w:val="21"/>
                    </w:rPr>
                  </w:pPr>
                </w:p>
              </w:tc>
              <w:tc>
                <w:tcPr>
                  <w:tcW w:w="442" w:type="pct"/>
                  <w:vAlign w:val="center"/>
                </w:tcPr>
                <w:p w14:paraId="3AC19A00">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昼间噪声</w:t>
                  </w:r>
                </w:p>
              </w:tc>
              <w:tc>
                <w:tcPr>
                  <w:tcW w:w="444" w:type="pct"/>
                  <w:vAlign w:val="center"/>
                </w:tcPr>
                <w:p w14:paraId="7996B1FC">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夜间噪声</w:t>
                  </w:r>
                </w:p>
              </w:tc>
              <w:tc>
                <w:tcPr>
                  <w:tcW w:w="443" w:type="pct"/>
                  <w:vAlign w:val="center"/>
                </w:tcPr>
                <w:p w14:paraId="3E14D01D">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昼间噪声</w:t>
                  </w:r>
                </w:p>
              </w:tc>
              <w:tc>
                <w:tcPr>
                  <w:tcW w:w="444" w:type="pct"/>
                  <w:vAlign w:val="center"/>
                </w:tcPr>
                <w:p w14:paraId="5BEB37B0">
                  <w:pPr>
                    <w:widowControl/>
                    <w:adjustRightInd w:val="0"/>
                    <w:snapToGrid w:val="0"/>
                    <w:jc w:val="center"/>
                    <w:rPr>
                      <w:rFonts w:hint="default" w:ascii="Times New Roman" w:hAnsi="Times New Roman" w:eastAsia="仿宋" w:cs="Times New Roman"/>
                      <w:b/>
                      <w:bCs/>
                      <w:kern w:val="0"/>
                      <w:szCs w:val="21"/>
                    </w:rPr>
                  </w:pPr>
                  <w:r>
                    <w:rPr>
                      <w:rFonts w:hint="default" w:ascii="Times New Roman" w:hAnsi="Times New Roman" w:eastAsia="仿宋" w:cs="Times New Roman"/>
                      <w:b/>
                      <w:bCs/>
                      <w:kern w:val="0"/>
                      <w:szCs w:val="21"/>
                    </w:rPr>
                    <w:t>夜间噪声</w:t>
                  </w:r>
                </w:p>
              </w:tc>
              <w:tc>
                <w:tcPr>
                  <w:tcW w:w="443" w:type="pct"/>
                  <w:vMerge w:val="continue"/>
                  <w:vAlign w:val="center"/>
                </w:tcPr>
                <w:p w14:paraId="04F84CF8">
                  <w:pPr>
                    <w:widowControl/>
                    <w:adjustRightInd w:val="0"/>
                    <w:snapToGrid w:val="0"/>
                    <w:jc w:val="center"/>
                    <w:rPr>
                      <w:rFonts w:hint="default" w:ascii="Times New Roman" w:hAnsi="Times New Roman" w:eastAsia="仿宋" w:cs="Times New Roman"/>
                      <w:kern w:val="0"/>
                      <w:szCs w:val="21"/>
                    </w:rPr>
                  </w:pPr>
                </w:p>
              </w:tc>
            </w:tr>
            <w:tr w14:paraId="0DF21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14:paraId="2A85AE6C">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1</w:t>
                  </w:r>
                </w:p>
              </w:tc>
              <w:tc>
                <w:tcPr>
                  <w:tcW w:w="583" w:type="pct"/>
                  <w:vAlign w:val="center"/>
                </w:tcPr>
                <w:p w14:paraId="08836AA6">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东厂界</w:t>
                  </w:r>
                </w:p>
              </w:tc>
              <w:tc>
                <w:tcPr>
                  <w:tcW w:w="386" w:type="pct"/>
                  <w:vAlign w:val="center"/>
                </w:tcPr>
                <w:p w14:paraId="42FABF18">
                  <w:pPr>
                    <w:widowControl/>
                    <w:adjustRightInd w:val="0"/>
                    <w:snapToGrid w:val="0"/>
                    <w:jc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5</w:t>
                  </w:r>
                  <w:r>
                    <w:rPr>
                      <w:rFonts w:hint="eastAsia" w:eastAsia="仿宋" w:cs="Times New Roman"/>
                      <w:kern w:val="0"/>
                      <w:szCs w:val="21"/>
                      <w:lang w:val="en-US" w:eastAsia="zh-CN"/>
                    </w:rPr>
                    <w:t>6</w:t>
                  </w:r>
                </w:p>
              </w:tc>
              <w:tc>
                <w:tcPr>
                  <w:tcW w:w="391" w:type="pct"/>
                  <w:vAlign w:val="center"/>
                </w:tcPr>
                <w:p w14:paraId="40289359">
                  <w:pPr>
                    <w:widowControl/>
                    <w:adjustRightInd w:val="0"/>
                    <w:snapToGrid w:val="0"/>
                    <w:jc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4</w:t>
                  </w:r>
                  <w:r>
                    <w:rPr>
                      <w:rFonts w:hint="eastAsia" w:eastAsia="仿宋" w:cs="Times New Roman"/>
                      <w:kern w:val="0"/>
                      <w:szCs w:val="21"/>
                      <w:lang w:val="en-US" w:eastAsia="zh-CN"/>
                    </w:rPr>
                    <w:t>7</w:t>
                  </w:r>
                </w:p>
              </w:tc>
              <w:tc>
                <w:tcPr>
                  <w:tcW w:w="387" w:type="pct"/>
                  <w:vAlign w:val="center"/>
                </w:tcPr>
                <w:p w14:paraId="0E697414">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65</w:t>
                  </w:r>
                </w:p>
              </w:tc>
              <w:tc>
                <w:tcPr>
                  <w:tcW w:w="392" w:type="pct"/>
                  <w:vAlign w:val="center"/>
                </w:tcPr>
                <w:p w14:paraId="18E71D91">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55</w:t>
                  </w:r>
                </w:p>
              </w:tc>
              <w:tc>
                <w:tcPr>
                  <w:tcW w:w="387" w:type="pct"/>
                  <w:vAlign w:val="center"/>
                </w:tcPr>
                <w:p w14:paraId="4C0721D5">
                  <w:pPr>
                    <w:widowControl/>
                    <w:adjustRightInd w:val="0"/>
                    <w:snapToGrid w:val="0"/>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51.4</w:t>
                  </w:r>
                </w:p>
              </w:tc>
              <w:tc>
                <w:tcPr>
                  <w:tcW w:w="442" w:type="pct"/>
                  <w:vAlign w:val="center"/>
                </w:tcPr>
                <w:p w14:paraId="77CD8AAB">
                  <w:pPr>
                    <w:widowControl/>
                    <w:adjustRightInd w:val="0"/>
                    <w:snapToGrid w:val="0"/>
                    <w:jc w:val="center"/>
                    <w:rPr>
                      <w:rFonts w:hint="default" w:ascii="Times New Roman" w:hAnsi="Times New Roman" w:eastAsia="仿宋" w:cs="Times New Roman"/>
                      <w:kern w:val="0"/>
                      <w:szCs w:val="21"/>
                      <w:lang w:val="en-US"/>
                    </w:rPr>
                  </w:pPr>
                  <w:r>
                    <w:rPr>
                      <w:rFonts w:hint="eastAsia" w:ascii="Times New Roman" w:hAnsi="Times New Roman" w:eastAsia="仿宋" w:cs="Times New Roman"/>
                      <w:kern w:val="0"/>
                      <w:szCs w:val="21"/>
                      <w:lang w:val="en-US" w:eastAsia="zh-CN"/>
                    </w:rPr>
                    <w:t>56.5</w:t>
                  </w:r>
                </w:p>
              </w:tc>
              <w:tc>
                <w:tcPr>
                  <w:tcW w:w="444" w:type="pct"/>
                  <w:vAlign w:val="center"/>
                </w:tcPr>
                <w:p w14:paraId="1EA7B297">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52.7</w:t>
                  </w:r>
                </w:p>
              </w:tc>
              <w:tc>
                <w:tcPr>
                  <w:tcW w:w="744" w:type="dxa"/>
                  <w:vAlign w:val="center"/>
                </w:tcPr>
                <w:p w14:paraId="6FA097AA">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+0.5</w:t>
                  </w:r>
                </w:p>
              </w:tc>
              <w:tc>
                <w:tcPr>
                  <w:tcW w:w="746" w:type="dxa"/>
                  <w:vAlign w:val="center"/>
                </w:tcPr>
                <w:p w14:paraId="72D9F06A">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+5.7</w:t>
                  </w:r>
                </w:p>
              </w:tc>
              <w:tc>
                <w:tcPr>
                  <w:tcW w:w="443" w:type="pct"/>
                  <w:vAlign w:val="center"/>
                </w:tcPr>
                <w:p w14:paraId="113B7C44">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达标</w:t>
                  </w:r>
                </w:p>
              </w:tc>
            </w:tr>
            <w:tr w14:paraId="79A14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14:paraId="0F4B88AC">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2</w:t>
                  </w:r>
                </w:p>
              </w:tc>
              <w:tc>
                <w:tcPr>
                  <w:tcW w:w="583" w:type="pct"/>
                  <w:vAlign w:val="center"/>
                </w:tcPr>
                <w:p w14:paraId="472C5A24">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南厂界</w:t>
                  </w:r>
                </w:p>
              </w:tc>
              <w:tc>
                <w:tcPr>
                  <w:tcW w:w="386" w:type="pct"/>
                  <w:vAlign w:val="center"/>
                </w:tcPr>
                <w:p w14:paraId="600D2A77">
                  <w:pPr>
                    <w:widowControl/>
                    <w:adjustRightInd w:val="0"/>
                    <w:snapToGrid w:val="0"/>
                    <w:jc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5</w:t>
                  </w:r>
                  <w:r>
                    <w:rPr>
                      <w:rFonts w:hint="eastAsia" w:eastAsia="仿宋" w:cs="Times New Roman"/>
                      <w:kern w:val="0"/>
                      <w:szCs w:val="21"/>
                      <w:lang w:val="en-US" w:eastAsia="zh-CN"/>
                    </w:rPr>
                    <w:t>9</w:t>
                  </w:r>
                </w:p>
              </w:tc>
              <w:tc>
                <w:tcPr>
                  <w:tcW w:w="391" w:type="pct"/>
                  <w:vAlign w:val="center"/>
                </w:tcPr>
                <w:p w14:paraId="4B61A19F">
                  <w:pPr>
                    <w:widowControl/>
                    <w:adjustRightInd w:val="0"/>
                    <w:snapToGrid w:val="0"/>
                    <w:jc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4</w:t>
                  </w:r>
                  <w:r>
                    <w:rPr>
                      <w:rFonts w:hint="eastAsia" w:eastAsia="仿宋" w:cs="Times New Roman"/>
                      <w:kern w:val="0"/>
                      <w:szCs w:val="21"/>
                      <w:lang w:val="en-US" w:eastAsia="zh-CN"/>
                    </w:rPr>
                    <w:t>7</w:t>
                  </w:r>
                </w:p>
              </w:tc>
              <w:tc>
                <w:tcPr>
                  <w:tcW w:w="387" w:type="pct"/>
                  <w:vAlign w:val="center"/>
                </w:tcPr>
                <w:p w14:paraId="75ACE69A">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65</w:t>
                  </w:r>
                </w:p>
              </w:tc>
              <w:tc>
                <w:tcPr>
                  <w:tcW w:w="392" w:type="pct"/>
                  <w:vAlign w:val="center"/>
                </w:tcPr>
                <w:p w14:paraId="59A9160C">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55</w:t>
                  </w:r>
                </w:p>
              </w:tc>
              <w:tc>
                <w:tcPr>
                  <w:tcW w:w="387" w:type="pct"/>
                  <w:vAlign w:val="center"/>
                </w:tcPr>
                <w:p w14:paraId="25A76526">
                  <w:pPr>
                    <w:widowControl/>
                    <w:adjustRightInd w:val="0"/>
                    <w:snapToGrid w:val="0"/>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46.9</w:t>
                  </w:r>
                </w:p>
              </w:tc>
              <w:tc>
                <w:tcPr>
                  <w:tcW w:w="442" w:type="pct"/>
                  <w:vAlign w:val="center"/>
                </w:tcPr>
                <w:p w14:paraId="06D66940">
                  <w:pPr>
                    <w:widowControl/>
                    <w:adjustRightInd w:val="0"/>
                    <w:snapToGrid w:val="0"/>
                    <w:jc w:val="center"/>
                    <w:rPr>
                      <w:rFonts w:hint="default" w:ascii="Times New Roman" w:hAnsi="Times New Roman" w:eastAsia="仿宋" w:cs="Times New Roman"/>
                      <w:kern w:val="0"/>
                      <w:szCs w:val="21"/>
                      <w:lang w:val="en-US"/>
                    </w:rPr>
                  </w:pPr>
                  <w:r>
                    <w:rPr>
                      <w:rFonts w:hint="eastAsia" w:ascii="Times New Roman" w:hAnsi="Times New Roman" w:eastAsia="仿宋" w:cs="Times New Roman"/>
                      <w:kern w:val="0"/>
                      <w:szCs w:val="21"/>
                      <w:lang w:val="en-US" w:eastAsia="zh-CN"/>
                    </w:rPr>
                    <w:t>59.3</w:t>
                  </w:r>
                </w:p>
              </w:tc>
              <w:tc>
                <w:tcPr>
                  <w:tcW w:w="444" w:type="pct"/>
                  <w:vAlign w:val="center"/>
                </w:tcPr>
                <w:p w14:paraId="5EC82A95">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50.0</w:t>
                  </w:r>
                </w:p>
              </w:tc>
              <w:tc>
                <w:tcPr>
                  <w:tcW w:w="744" w:type="dxa"/>
                  <w:vAlign w:val="center"/>
                </w:tcPr>
                <w:p w14:paraId="2FC5152A">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+0.3</w:t>
                  </w:r>
                </w:p>
              </w:tc>
              <w:tc>
                <w:tcPr>
                  <w:tcW w:w="746" w:type="dxa"/>
                  <w:vAlign w:val="center"/>
                </w:tcPr>
                <w:p w14:paraId="52E902A4">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3.0</w:t>
                  </w:r>
                </w:p>
              </w:tc>
              <w:tc>
                <w:tcPr>
                  <w:tcW w:w="443" w:type="pct"/>
                  <w:vAlign w:val="center"/>
                </w:tcPr>
                <w:p w14:paraId="32507026">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达标</w:t>
                  </w:r>
                </w:p>
              </w:tc>
            </w:tr>
            <w:tr w14:paraId="67900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14:paraId="12E8AD66">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3</w:t>
                  </w:r>
                </w:p>
              </w:tc>
              <w:tc>
                <w:tcPr>
                  <w:tcW w:w="583" w:type="pct"/>
                  <w:vAlign w:val="center"/>
                </w:tcPr>
                <w:p w14:paraId="182E5940">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西厂界</w:t>
                  </w:r>
                </w:p>
              </w:tc>
              <w:tc>
                <w:tcPr>
                  <w:tcW w:w="386" w:type="pct"/>
                  <w:vAlign w:val="center"/>
                </w:tcPr>
                <w:p w14:paraId="59627B95">
                  <w:pPr>
                    <w:widowControl/>
                    <w:adjustRightInd w:val="0"/>
                    <w:snapToGrid w:val="0"/>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58</w:t>
                  </w:r>
                </w:p>
              </w:tc>
              <w:tc>
                <w:tcPr>
                  <w:tcW w:w="391" w:type="pct"/>
                  <w:vAlign w:val="center"/>
                </w:tcPr>
                <w:p w14:paraId="4358A897">
                  <w:pPr>
                    <w:widowControl/>
                    <w:adjustRightInd w:val="0"/>
                    <w:snapToGrid w:val="0"/>
                    <w:jc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49</w:t>
                  </w:r>
                </w:p>
              </w:tc>
              <w:tc>
                <w:tcPr>
                  <w:tcW w:w="387" w:type="pct"/>
                  <w:vAlign w:val="center"/>
                </w:tcPr>
                <w:p w14:paraId="7BA4189B">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65</w:t>
                  </w:r>
                </w:p>
              </w:tc>
              <w:tc>
                <w:tcPr>
                  <w:tcW w:w="392" w:type="pct"/>
                  <w:vAlign w:val="center"/>
                </w:tcPr>
                <w:p w14:paraId="57E94AEF">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55</w:t>
                  </w:r>
                </w:p>
              </w:tc>
              <w:tc>
                <w:tcPr>
                  <w:tcW w:w="387" w:type="pct"/>
                  <w:vAlign w:val="center"/>
                </w:tcPr>
                <w:p w14:paraId="394E4231">
                  <w:pPr>
                    <w:widowControl/>
                    <w:adjustRightInd w:val="0"/>
                    <w:snapToGrid w:val="0"/>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39.5</w:t>
                  </w:r>
                </w:p>
              </w:tc>
              <w:tc>
                <w:tcPr>
                  <w:tcW w:w="442" w:type="pct"/>
                  <w:vAlign w:val="center"/>
                </w:tcPr>
                <w:p w14:paraId="7BC808DA">
                  <w:pPr>
                    <w:widowControl/>
                    <w:adjustRightInd w:val="0"/>
                    <w:snapToGrid w:val="0"/>
                    <w:jc w:val="center"/>
                    <w:rPr>
                      <w:rFonts w:hint="default" w:ascii="Times New Roman" w:hAnsi="Times New Roman" w:eastAsia="仿宋" w:cs="Times New Roman"/>
                      <w:kern w:val="0"/>
                      <w:szCs w:val="21"/>
                      <w:lang w:val="en-US"/>
                    </w:rPr>
                  </w:pPr>
                  <w:r>
                    <w:rPr>
                      <w:rFonts w:hint="eastAsia" w:ascii="Times New Roman" w:hAnsi="Times New Roman" w:eastAsia="仿宋" w:cs="Times New Roman"/>
                      <w:kern w:val="0"/>
                      <w:szCs w:val="21"/>
                      <w:lang w:val="en-US" w:eastAsia="zh-CN"/>
                    </w:rPr>
                    <w:t>58.5</w:t>
                  </w:r>
                </w:p>
              </w:tc>
              <w:tc>
                <w:tcPr>
                  <w:tcW w:w="444" w:type="pct"/>
                  <w:vAlign w:val="center"/>
                </w:tcPr>
                <w:p w14:paraId="5EEAA5C8">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49.5</w:t>
                  </w:r>
                </w:p>
              </w:tc>
              <w:tc>
                <w:tcPr>
                  <w:tcW w:w="744" w:type="dxa"/>
                  <w:vAlign w:val="center"/>
                </w:tcPr>
                <w:p w14:paraId="68E83326">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+0.5</w:t>
                  </w:r>
                </w:p>
              </w:tc>
              <w:tc>
                <w:tcPr>
                  <w:tcW w:w="746" w:type="dxa"/>
                  <w:vAlign w:val="center"/>
                </w:tcPr>
                <w:p w14:paraId="4BBB6E32">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+0.5</w:t>
                  </w:r>
                </w:p>
              </w:tc>
              <w:tc>
                <w:tcPr>
                  <w:tcW w:w="443" w:type="pct"/>
                  <w:vAlign w:val="center"/>
                </w:tcPr>
                <w:p w14:paraId="5283BA08">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达标</w:t>
                  </w:r>
                </w:p>
              </w:tc>
            </w:tr>
            <w:tr w14:paraId="05205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14:paraId="74D8F889">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4</w:t>
                  </w:r>
                </w:p>
              </w:tc>
              <w:tc>
                <w:tcPr>
                  <w:tcW w:w="583" w:type="pct"/>
                  <w:vAlign w:val="center"/>
                </w:tcPr>
                <w:p w14:paraId="58707C77">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北厂界</w:t>
                  </w:r>
                </w:p>
              </w:tc>
              <w:tc>
                <w:tcPr>
                  <w:tcW w:w="386" w:type="pct"/>
                  <w:vAlign w:val="center"/>
                </w:tcPr>
                <w:p w14:paraId="3C770DC0">
                  <w:pPr>
                    <w:widowControl/>
                    <w:adjustRightInd w:val="0"/>
                    <w:snapToGrid w:val="0"/>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58</w:t>
                  </w:r>
                </w:p>
              </w:tc>
              <w:tc>
                <w:tcPr>
                  <w:tcW w:w="391" w:type="pct"/>
                  <w:vAlign w:val="center"/>
                </w:tcPr>
                <w:p w14:paraId="524C3064">
                  <w:pPr>
                    <w:widowControl/>
                    <w:adjustRightInd w:val="0"/>
                    <w:snapToGrid w:val="0"/>
                    <w:jc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4</w:t>
                  </w:r>
                  <w:r>
                    <w:rPr>
                      <w:rFonts w:hint="eastAsia" w:eastAsia="仿宋" w:cs="Times New Roman"/>
                      <w:kern w:val="0"/>
                      <w:szCs w:val="21"/>
                      <w:lang w:val="en-US" w:eastAsia="zh-CN"/>
                    </w:rPr>
                    <w:t>8</w:t>
                  </w:r>
                </w:p>
              </w:tc>
              <w:tc>
                <w:tcPr>
                  <w:tcW w:w="387" w:type="pct"/>
                  <w:vAlign w:val="center"/>
                </w:tcPr>
                <w:p w14:paraId="6F53BE9F">
                  <w:pPr>
                    <w:widowControl/>
                    <w:adjustRightInd w:val="0"/>
                    <w:snapToGrid w:val="0"/>
                    <w:jc w:val="center"/>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en-US" w:eastAsia="zh-CN"/>
                    </w:rPr>
                    <w:t>70</w:t>
                  </w:r>
                </w:p>
              </w:tc>
              <w:tc>
                <w:tcPr>
                  <w:tcW w:w="392" w:type="pct"/>
                  <w:vAlign w:val="center"/>
                </w:tcPr>
                <w:p w14:paraId="398B2265">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55</w:t>
                  </w:r>
                </w:p>
              </w:tc>
              <w:tc>
                <w:tcPr>
                  <w:tcW w:w="387" w:type="pct"/>
                  <w:vAlign w:val="center"/>
                </w:tcPr>
                <w:p w14:paraId="5503AA41">
                  <w:pPr>
                    <w:widowControl/>
                    <w:adjustRightInd w:val="0"/>
                    <w:snapToGrid w:val="0"/>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48.3</w:t>
                  </w:r>
                </w:p>
              </w:tc>
              <w:tc>
                <w:tcPr>
                  <w:tcW w:w="442" w:type="pct"/>
                  <w:vAlign w:val="center"/>
                </w:tcPr>
                <w:p w14:paraId="3517436C">
                  <w:pPr>
                    <w:widowControl/>
                    <w:adjustRightInd w:val="0"/>
                    <w:snapToGrid w:val="0"/>
                    <w:jc w:val="center"/>
                    <w:rPr>
                      <w:rFonts w:hint="default" w:ascii="Times New Roman" w:hAnsi="Times New Roman" w:eastAsia="仿宋" w:cs="Times New Roman"/>
                      <w:kern w:val="0"/>
                      <w:szCs w:val="21"/>
                      <w:lang w:val="en-US"/>
                    </w:rPr>
                  </w:pPr>
                  <w:r>
                    <w:rPr>
                      <w:rFonts w:hint="eastAsia" w:ascii="Times New Roman" w:hAnsi="Times New Roman" w:eastAsia="仿宋" w:cs="Times New Roman"/>
                      <w:kern w:val="0"/>
                      <w:szCs w:val="21"/>
                      <w:lang w:val="en-US" w:eastAsia="zh-CN"/>
                    </w:rPr>
                    <w:t>58.4</w:t>
                  </w:r>
                </w:p>
              </w:tc>
              <w:tc>
                <w:tcPr>
                  <w:tcW w:w="444" w:type="pct"/>
                  <w:vAlign w:val="center"/>
                </w:tcPr>
                <w:p w14:paraId="6908C36B">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51.2</w:t>
                  </w:r>
                </w:p>
              </w:tc>
              <w:tc>
                <w:tcPr>
                  <w:tcW w:w="744" w:type="dxa"/>
                  <w:vAlign w:val="center"/>
                </w:tcPr>
                <w:p w14:paraId="3FF196DF">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+0.4</w:t>
                  </w:r>
                </w:p>
              </w:tc>
              <w:tc>
                <w:tcPr>
                  <w:tcW w:w="746" w:type="dxa"/>
                  <w:vAlign w:val="center"/>
                </w:tcPr>
                <w:p w14:paraId="1911208D">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+3.2</w:t>
                  </w:r>
                </w:p>
              </w:tc>
              <w:tc>
                <w:tcPr>
                  <w:tcW w:w="443" w:type="pct"/>
                  <w:vAlign w:val="center"/>
                </w:tcPr>
                <w:p w14:paraId="6882C597">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达标</w:t>
                  </w:r>
                </w:p>
              </w:tc>
            </w:tr>
          </w:tbl>
          <w:p w14:paraId="7A3AF38D">
            <w:pPr>
              <w:adjustRightInd w:val="0"/>
              <w:snapToGrid w:val="0"/>
              <w:spacing w:before="120" w:beforeLines="50"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由预测结果可见，本项目高噪声设备经合理布局、消声、减振及距离衰减后，各厂界昼</w:t>
            </w:r>
            <w:r>
              <w:rPr>
                <w:rFonts w:hint="eastAsia" w:eastAsia="仿宋" w:cs="Times New Roman"/>
                <w:bCs/>
                <w:color w:val="auto"/>
                <w:sz w:val="24"/>
                <w:highlight w:val="none"/>
                <w:lang w:val="en-US" w:eastAsia="zh-CN"/>
              </w:rPr>
              <w:t>夜</w:t>
            </w:r>
            <w:r>
              <w:rPr>
                <w:rFonts w:hint="default" w:ascii="Times New Roman" w:hAnsi="Times New Roman" w:eastAsia="仿宋" w:cs="Times New Roman"/>
                <w:bCs/>
                <w:color w:val="auto"/>
                <w:sz w:val="24"/>
                <w:highlight w:val="none"/>
              </w:rPr>
              <w:t>间噪声排放满足《工业企业厂界环境噪声排放标准》（GB12348-2008）表1中3类功能区对应标准限值，即：昼间噪声值≤65dB（A）</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lang w:val="en-US" w:eastAsia="zh-CN"/>
              </w:rPr>
              <w:t>夜</w:t>
            </w:r>
            <w:r>
              <w:rPr>
                <w:rFonts w:hint="default" w:ascii="Times New Roman" w:hAnsi="Times New Roman" w:eastAsia="仿宋" w:cs="Times New Roman"/>
                <w:bCs/>
                <w:color w:val="auto"/>
                <w:sz w:val="24"/>
                <w:highlight w:val="none"/>
              </w:rPr>
              <w:t>间噪声值≤</w:t>
            </w:r>
            <w:r>
              <w:rPr>
                <w:rFonts w:hint="default" w:ascii="Times New Roman" w:hAnsi="Times New Roman" w:eastAsia="仿宋" w:cs="Times New Roman"/>
                <w:bCs/>
                <w:color w:val="auto"/>
                <w:sz w:val="24"/>
                <w:highlight w:val="none"/>
                <w:lang w:val="en-US" w:eastAsia="zh-CN"/>
              </w:rPr>
              <w:t>5</w:t>
            </w:r>
            <w:r>
              <w:rPr>
                <w:rFonts w:hint="default" w:ascii="Times New Roman" w:hAnsi="Times New Roman" w:eastAsia="仿宋" w:cs="Times New Roman"/>
                <w:bCs/>
                <w:color w:val="auto"/>
                <w:sz w:val="24"/>
                <w:highlight w:val="none"/>
              </w:rPr>
              <w:t>5dB（A）。</w:t>
            </w:r>
          </w:p>
          <w:p w14:paraId="488597A5">
            <w:pPr>
              <w:numPr>
                <w:ilvl w:val="0"/>
                <w:numId w:val="0"/>
              </w:numPr>
              <w:adjustRightInd w:val="0"/>
              <w:snapToGrid w:val="0"/>
              <w:spacing w:line="360" w:lineRule="auto"/>
              <w:ind w:left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4、</w:t>
            </w:r>
            <w:r>
              <w:rPr>
                <w:rFonts w:hint="default" w:ascii="Times New Roman" w:hAnsi="Times New Roman" w:eastAsia="仿宋" w:cs="Times New Roman"/>
                <w:bCs/>
                <w:color w:val="auto"/>
                <w:sz w:val="24"/>
                <w:highlight w:val="none"/>
              </w:rPr>
              <w:t>监测计划</w:t>
            </w:r>
          </w:p>
          <w:p w14:paraId="4130CF5A">
            <w:pPr>
              <w:adjustRightInd w:val="0"/>
              <w:snapToGrid w:val="0"/>
              <w:spacing w:before="120" w:beforeLines="50"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根据参考《排污单位自行监测技术指南 橡胶和塑料制品》（HJ1207-2021），本项目</w:t>
            </w:r>
            <w:r>
              <w:rPr>
                <w:rFonts w:hint="default" w:ascii="Times New Roman" w:hAnsi="Times New Roman" w:eastAsia="仿宋" w:cs="Times New Roman"/>
                <w:bCs/>
                <w:color w:val="auto"/>
                <w:sz w:val="24"/>
                <w:highlight w:val="none"/>
                <w:lang w:val="en-US" w:eastAsia="zh-CN"/>
              </w:rPr>
              <w:t>噪声</w:t>
            </w:r>
            <w:r>
              <w:rPr>
                <w:rFonts w:hint="default" w:ascii="Times New Roman" w:hAnsi="Times New Roman" w:eastAsia="仿宋" w:cs="Times New Roman"/>
                <w:bCs/>
                <w:color w:val="auto"/>
                <w:sz w:val="24"/>
                <w:highlight w:val="none"/>
              </w:rPr>
              <w:t>监测计划见下表。</w:t>
            </w:r>
          </w:p>
          <w:p w14:paraId="2B6B9887">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default" w:ascii="Times New Roman" w:hAnsi="Times New Roman" w:eastAsia="仿宋" w:cs="Times New Roman"/>
                <w:b/>
                <w:bCs/>
                <w:color w:val="auto"/>
                <w:sz w:val="24"/>
                <w:highlight w:val="none"/>
                <w:lang w:val="en-US" w:eastAsia="zh-CN"/>
              </w:rPr>
              <w:t>2</w:t>
            </w:r>
            <w:r>
              <w:rPr>
                <w:rFonts w:hint="eastAsia" w:eastAsia="仿宋" w:cs="Times New Roman"/>
                <w:b/>
                <w:bCs/>
                <w:color w:val="auto"/>
                <w:sz w:val="24"/>
                <w:highlight w:val="none"/>
                <w:lang w:val="en-US" w:eastAsia="zh-CN"/>
              </w:rPr>
              <w:t>9</w:t>
            </w:r>
            <w:r>
              <w:rPr>
                <w:rFonts w:hint="default" w:ascii="Times New Roman" w:hAnsi="Times New Roman" w:eastAsia="仿宋" w:cs="Times New Roman"/>
                <w:b/>
                <w:bCs/>
                <w:color w:val="auto"/>
                <w:sz w:val="24"/>
                <w:highlight w:val="none"/>
              </w:rPr>
              <w:t xml:space="preserve">  建设项目运营期噪声监测计划表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47"/>
              <w:gridCol w:w="563"/>
              <w:gridCol w:w="873"/>
              <w:gridCol w:w="868"/>
              <w:gridCol w:w="1049"/>
              <w:gridCol w:w="2136"/>
              <w:gridCol w:w="1465"/>
              <w:gridCol w:w="999"/>
            </w:tblGrid>
            <w:tr w14:paraId="2E838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66" w:type="pct"/>
                  <w:tcBorders>
                    <w:top w:val="single" w:color="auto" w:sz="12" w:space="0"/>
                    <w:left w:val="nil"/>
                    <w:bottom w:val="single" w:color="auto" w:sz="4" w:space="0"/>
                    <w:right w:val="single" w:color="auto" w:sz="4" w:space="0"/>
                  </w:tcBorders>
                  <w:noWrap w:val="0"/>
                  <w:vAlign w:val="center"/>
                </w:tcPr>
                <w:p w14:paraId="329F9C12">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时段</w:t>
                  </w:r>
                </w:p>
              </w:tc>
              <w:tc>
                <w:tcPr>
                  <w:tcW w:w="335" w:type="pct"/>
                  <w:tcBorders>
                    <w:top w:val="single" w:color="auto" w:sz="12" w:space="0"/>
                    <w:left w:val="single" w:color="auto" w:sz="4" w:space="0"/>
                    <w:bottom w:val="single" w:color="auto" w:sz="4" w:space="0"/>
                    <w:right w:val="single" w:color="auto" w:sz="4" w:space="0"/>
                  </w:tcBorders>
                  <w:noWrap w:val="0"/>
                  <w:vAlign w:val="center"/>
                </w:tcPr>
                <w:p w14:paraId="218BB83B">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类别</w:t>
                  </w:r>
                </w:p>
              </w:tc>
              <w:tc>
                <w:tcPr>
                  <w:tcW w:w="519" w:type="pct"/>
                  <w:tcBorders>
                    <w:top w:val="single" w:color="auto" w:sz="12" w:space="0"/>
                    <w:left w:val="single" w:color="auto" w:sz="4" w:space="0"/>
                    <w:bottom w:val="single" w:color="auto" w:sz="4" w:space="0"/>
                    <w:right w:val="single" w:color="auto" w:sz="4" w:space="0"/>
                  </w:tcBorders>
                  <w:noWrap w:val="0"/>
                  <w:vAlign w:val="center"/>
                </w:tcPr>
                <w:p w14:paraId="12B8ABBA">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w:t>
                  </w:r>
                </w:p>
                <w:p w14:paraId="28BF999A">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位置</w:t>
                  </w:r>
                </w:p>
              </w:tc>
              <w:tc>
                <w:tcPr>
                  <w:tcW w:w="516" w:type="pct"/>
                  <w:tcBorders>
                    <w:top w:val="single" w:color="auto" w:sz="12" w:space="0"/>
                    <w:left w:val="single" w:color="auto" w:sz="4" w:space="0"/>
                    <w:bottom w:val="single" w:color="auto" w:sz="4" w:space="0"/>
                    <w:right w:val="single" w:color="auto" w:sz="4" w:space="0"/>
                  </w:tcBorders>
                  <w:noWrap w:val="0"/>
                  <w:vAlign w:val="center"/>
                </w:tcPr>
                <w:p w14:paraId="3EA5932B">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w:t>
                  </w:r>
                </w:p>
                <w:p w14:paraId="7DA4BF58">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项目</w:t>
                  </w:r>
                </w:p>
              </w:tc>
              <w:tc>
                <w:tcPr>
                  <w:tcW w:w="624" w:type="pct"/>
                  <w:tcBorders>
                    <w:top w:val="single" w:color="auto" w:sz="12" w:space="0"/>
                    <w:left w:val="single" w:color="auto" w:sz="4" w:space="0"/>
                    <w:bottom w:val="single" w:color="auto" w:sz="4" w:space="0"/>
                    <w:right w:val="single" w:color="auto" w:sz="4" w:space="0"/>
                  </w:tcBorders>
                  <w:noWrap w:val="0"/>
                  <w:vAlign w:val="center"/>
                </w:tcPr>
                <w:p w14:paraId="3D2A5B1E">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监测频率</w:t>
                  </w:r>
                </w:p>
              </w:tc>
              <w:tc>
                <w:tcPr>
                  <w:tcW w:w="1270" w:type="pct"/>
                  <w:tcBorders>
                    <w:top w:val="single" w:color="auto" w:sz="12" w:space="0"/>
                    <w:left w:val="single" w:color="auto" w:sz="4" w:space="0"/>
                    <w:bottom w:val="single" w:color="auto" w:sz="4" w:space="0"/>
                    <w:right w:val="single" w:color="auto" w:sz="4" w:space="0"/>
                  </w:tcBorders>
                  <w:noWrap w:val="0"/>
                  <w:vAlign w:val="center"/>
                </w:tcPr>
                <w:p w14:paraId="21A81985">
                  <w:pPr>
                    <w:spacing w:line="24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执行标准</w:t>
                  </w:r>
                </w:p>
              </w:tc>
              <w:tc>
                <w:tcPr>
                  <w:tcW w:w="871" w:type="pct"/>
                  <w:tcBorders>
                    <w:top w:val="single" w:color="auto" w:sz="12" w:space="0"/>
                    <w:left w:val="single" w:color="auto" w:sz="4" w:space="0"/>
                    <w:bottom w:val="single" w:color="auto" w:sz="4" w:space="0"/>
                    <w:right w:val="single" w:color="auto" w:sz="4" w:space="0"/>
                  </w:tcBorders>
                  <w:noWrap w:val="0"/>
                  <w:vAlign w:val="center"/>
                </w:tcPr>
                <w:p w14:paraId="34433219">
                  <w:pPr>
                    <w:spacing w:line="24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监测方法</w:t>
                  </w:r>
                </w:p>
              </w:tc>
              <w:tc>
                <w:tcPr>
                  <w:tcW w:w="594" w:type="pct"/>
                  <w:tcBorders>
                    <w:top w:val="single" w:color="auto" w:sz="12" w:space="0"/>
                    <w:left w:val="single" w:color="auto" w:sz="4" w:space="0"/>
                    <w:bottom w:val="single" w:color="auto" w:sz="4" w:space="0"/>
                    <w:right w:val="nil"/>
                  </w:tcBorders>
                  <w:noWrap w:val="0"/>
                  <w:vAlign w:val="center"/>
                </w:tcPr>
                <w:p w14:paraId="78F76325">
                  <w:pPr>
                    <w:spacing w:line="24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依据</w:t>
                  </w:r>
                </w:p>
              </w:tc>
            </w:tr>
            <w:tr w14:paraId="321D1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66" w:type="pct"/>
                  <w:tcBorders>
                    <w:top w:val="single" w:color="auto" w:sz="4" w:space="0"/>
                    <w:left w:val="nil"/>
                    <w:bottom w:val="single" w:color="auto" w:sz="12" w:space="0"/>
                    <w:right w:val="single" w:color="auto" w:sz="4" w:space="0"/>
                  </w:tcBorders>
                  <w:noWrap w:val="0"/>
                  <w:vAlign w:val="center"/>
                </w:tcPr>
                <w:p w14:paraId="5A648916">
                  <w:pPr>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szCs w:val="21"/>
                      <w:highlight w:val="none"/>
                    </w:rPr>
                    <w:t>营运期</w:t>
                  </w:r>
                </w:p>
              </w:tc>
              <w:tc>
                <w:tcPr>
                  <w:tcW w:w="335" w:type="pct"/>
                  <w:tcBorders>
                    <w:top w:val="single" w:color="auto" w:sz="4" w:space="0"/>
                    <w:left w:val="single" w:color="auto" w:sz="4" w:space="0"/>
                    <w:bottom w:val="single" w:color="auto" w:sz="12" w:space="0"/>
                    <w:right w:val="single" w:color="auto" w:sz="4" w:space="0"/>
                  </w:tcBorders>
                  <w:noWrap w:val="0"/>
                  <w:vAlign w:val="center"/>
                </w:tcPr>
                <w:p w14:paraId="15321577">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噪声</w:t>
                  </w:r>
                </w:p>
              </w:tc>
              <w:tc>
                <w:tcPr>
                  <w:tcW w:w="519" w:type="pct"/>
                  <w:tcBorders>
                    <w:top w:val="single" w:color="auto" w:sz="4" w:space="0"/>
                    <w:left w:val="single" w:color="auto" w:sz="4" w:space="0"/>
                    <w:bottom w:val="single" w:color="auto" w:sz="12" w:space="0"/>
                    <w:right w:val="single" w:color="auto" w:sz="4" w:space="0"/>
                  </w:tcBorders>
                  <w:noWrap w:val="0"/>
                  <w:vAlign w:val="center"/>
                </w:tcPr>
                <w:p w14:paraId="2E6AD49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厂界外1m处</w:t>
                  </w:r>
                </w:p>
              </w:tc>
              <w:tc>
                <w:tcPr>
                  <w:tcW w:w="516" w:type="pct"/>
                  <w:tcBorders>
                    <w:top w:val="single" w:color="auto" w:sz="4" w:space="0"/>
                    <w:left w:val="single" w:color="auto" w:sz="4" w:space="0"/>
                    <w:bottom w:val="single" w:color="auto" w:sz="12" w:space="0"/>
                    <w:right w:val="single" w:color="auto" w:sz="4" w:space="0"/>
                  </w:tcBorders>
                  <w:noWrap w:val="0"/>
                  <w:vAlign w:val="center"/>
                </w:tcPr>
                <w:p w14:paraId="3E15EEB2">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等效连续A声级</w:t>
                  </w:r>
                </w:p>
              </w:tc>
              <w:tc>
                <w:tcPr>
                  <w:tcW w:w="624" w:type="pct"/>
                  <w:tcBorders>
                    <w:top w:val="single" w:color="auto" w:sz="4" w:space="0"/>
                    <w:left w:val="single" w:color="auto" w:sz="4" w:space="0"/>
                    <w:bottom w:val="single" w:color="auto" w:sz="12" w:space="0"/>
                    <w:right w:val="single" w:color="auto" w:sz="4" w:space="0"/>
                  </w:tcBorders>
                  <w:noWrap w:val="0"/>
                  <w:vAlign w:val="center"/>
                </w:tcPr>
                <w:p w14:paraId="6ECADB99">
                  <w:pPr>
                    <w:spacing w:line="240" w:lineRule="exact"/>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1次/季度</w:t>
                  </w:r>
                </w:p>
                <w:p w14:paraId="75F6FB0B">
                  <w:pPr>
                    <w:spacing w:line="240" w:lineRule="exact"/>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r>
                    <w:rPr>
                      <w:rFonts w:hint="default" w:ascii="Times New Roman" w:hAnsi="Times New Roman" w:eastAsia="仿宋" w:cs="Times New Roman"/>
                      <w:color w:val="auto"/>
                      <w:szCs w:val="21"/>
                      <w:highlight w:val="none"/>
                      <w:lang w:val="en-US" w:eastAsia="zh-CN"/>
                    </w:rPr>
                    <w:t>昼夜各一次</w:t>
                  </w:r>
                  <w:r>
                    <w:rPr>
                      <w:rFonts w:hint="default" w:ascii="Times New Roman" w:hAnsi="Times New Roman" w:eastAsia="仿宋" w:cs="Times New Roman"/>
                      <w:color w:val="auto"/>
                      <w:szCs w:val="21"/>
                      <w:highlight w:val="none"/>
                    </w:rPr>
                    <w:t>）</w:t>
                  </w:r>
                </w:p>
              </w:tc>
              <w:tc>
                <w:tcPr>
                  <w:tcW w:w="1270" w:type="pct"/>
                  <w:tcBorders>
                    <w:top w:val="single" w:color="auto" w:sz="4" w:space="0"/>
                    <w:left w:val="single" w:color="auto" w:sz="4" w:space="0"/>
                    <w:bottom w:val="single" w:color="auto" w:sz="12" w:space="0"/>
                    <w:right w:val="single" w:color="auto" w:sz="4" w:space="0"/>
                  </w:tcBorders>
                  <w:noWrap w:val="0"/>
                  <w:vAlign w:val="center"/>
                </w:tcPr>
                <w:p w14:paraId="22E24E77">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bidi="ar"/>
                    </w:rPr>
                    <w:t>《工业企业厂界环境噪声排放标准》（GB12348-2008）表1中3类功能区对应标准限值</w:t>
                  </w:r>
                </w:p>
              </w:tc>
              <w:tc>
                <w:tcPr>
                  <w:tcW w:w="871" w:type="pct"/>
                  <w:tcBorders>
                    <w:top w:val="single" w:color="auto" w:sz="4" w:space="0"/>
                    <w:left w:val="single" w:color="auto" w:sz="4" w:space="0"/>
                    <w:bottom w:val="single" w:color="auto" w:sz="12" w:space="0"/>
                    <w:right w:val="single" w:color="auto" w:sz="4" w:space="0"/>
                  </w:tcBorders>
                  <w:noWrap w:val="0"/>
                  <w:vAlign w:val="center"/>
                </w:tcPr>
                <w:p w14:paraId="0F4E53C7">
                  <w:pPr>
                    <w:spacing w:line="24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Cs/>
                      <w:color w:val="auto"/>
                      <w:szCs w:val="21"/>
                      <w:highlight w:val="none"/>
                    </w:rPr>
                    <w:t>《工业企业厂界环境噪声排放标准》（GB12348-2008）</w:t>
                  </w:r>
                </w:p>
              </w:tc>
              <w:tc>
                <w:tcPr>
                  <w:tcW w:w="594" w:type="pct"/>
                  <w:tcBorders>
                    <w:top w:val="single" w:color="auto" w:sz="4" w:space="0"/>
                    <w:left w:val="single" w:color="auto" w:sz="4" w:space="0"/>
                    <w:bottom w:val="single" w:color="auto" w:sz="12" w:space="0"/>
                    <w:right w:val="nil"/>
                  </w:tcBorders>
                  <w:noWrap w:val="0"/>
                  <w:vAlign w:val="center"/>
                </w:tcPr>
                <w:p w14:paraId="1E2EDE73">
                  <w:pPr>
                    <w:spacing w:line="240" w:lineRule="exact"/>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Cs/>
                      <w:color w:val="auto"/>
                      <w:szCs w:val="21"/>
                      <w:highlight w:val="none"/>
                    </w:rPr>
                    <w:t>委托环境检测单位实施检测</w:t>
                  </w:r>
                </w:p>
              </w:tc>
            </w:tr>
          </w:tbl>
          <w:p w14:paraId="621DA1B7">
            <w:pPr>
              <w:adjustRightInd w:val="0"/>
              <w:snapToGrid w:val="0"/>
              <w:spacing w:before="120" w:beforeLines="50" w:line="360" w:lineRule="auto"/>
              <w:ind w:firstLine="482" w:firstLineChars="200"/>
              <w:jc w:val="left"/>
              <w:rPr>
                <w:rFonts w:hint="default" w:ascii="Times New Roman" w:hAnsi="Times New Roman" w:eastAsia="仿宋" w:cs="Times New Roman"/>
                <w:b/>
                <w:bCs/>
                <w:color w:val="auto"/>
                <w:sz w:val="24"/>
                <w:szCs w:val="28"/>
                <w:highlight w:val="none"/>
              </w:rPr>
            </w:pPr>
            <w:r>
              <w:rPr>
                <w:rFonts w:hint="default" w:ascii="Times New Roman" w:hAnsi="Times New Roman" w:eastAsia="仿宋" w:cs="Times New Roman"/>
                <w:b/>
                <w:bCs/>
                <w:color w:val="auto"/>
                <w:sz w:val="24"/>
                <w:szCs w:val="28"/>
                <w:highlight w:val="none"/>
              </w:rPr>
              <w:t>四、固废</w:t>
            </w:r>
          </w:p>
          <w:p w14:paraId="6F8A0D28">
            <w:pPr>
              <w:spacing w:line="348"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1、固废产生量核算</w:t>
            </w:r>
          </w:p>
          <w:p w14:paraId="02E77D3E">
            <w:pPr>
              <w:spacing w:line="348"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本项目固废产生源强如下：</w:t>
            </w:r>
          </w:p>
          <w:p w14:paraId="78A08103">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①</w:t>
            </w:r>
            <w:r>
              <w:rPr>
                <w:rFonts w:hint="default" w:ascii="Times New Roman" w:hAnsi="Times New Roman" w:eastAsia="仿宋" w:cs="Times New Roman"/>
                <w:color w:val="auto"/>
                <w:sz w:val="24"/>
                <w:highlight w:val="none"/>
                <w:lang w:val="en-US" w:eastAsia="zh-CN"/>
              </w:rPr>
              <w:t>废</w:t>
            </w:r>
            <w:r>
              <w:rPr>
                <w:rFonts w:hint="eastAsia" w:eastAsia="仿宋" w:cs="Times New Roman"/>
                <w:color w:val="auto"/>
                <w:sz w:val="24"/>
                <w:highlight w:val="none"/>
                <w:lang w:val="en-US" w:eastAsia="zh-CN"/>
              </w:rPr>
              <w:t>包装桶</w:t>
            </w:r>
            <w:r>
              <w:rPr>
                <w:rFonts w:hint="default" w:ascii="Times New Roman" w:hAnsi="Times New Roman" w:eastAsia="仿宋" w:cs="Times New Roman"/>
                <w:color w:val="auto"/>
                <w:sz w:val="24"/>
                <w:highlight w:val="none"/>
                <w:lang w:val="en-US" w:eastAsia="zh-CN"/>
              </w:rPr>
              <w:t>S1</w:t>
            </w:r>
          </w:p>
          <w:p w14:paraId="6B0747C1">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color w:val="auto"/>
                <w:sz w:val="24"/>
                <w:highlight w:val="none"/>
                <w:lang w:val="en-US" w:eastAsia="zh-CN"/>
              </w:rPr>
              <w:t>本项目润滑油、液压油、胶粘剂使用过程中有废包装桶产生，根据原材料损耗情况，本项目将产生50kg/桶的润滑油包装桶40个，包装桶按0.003t/个计，则废润滑油包装桶产生量为0.12t/a；200L/桶的包装桶3个，包装桶按0.02t/个计，则废液压油包装桶0.06t/a；1kg/桶的胶粘剂包装桶900个，包装桶按0.0002t/个，则废胶粘剂包装桶产生量为0.18t/a。综上废包装桶产生量为0.36t/a。</w:t>
            </w:r>
          </w:p>
          <w:p w14:paraId="32013A1E">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bCs/>
                <w:color w:val="auto"/>
                <w:sz w:val="24"/>
                <w:highlight w:val="none"/>
              </w:rPr>
              <w:t>③</w:t>
            </w:r>
            <w:r>
              <w:rPr>
                <w:rFonts w:hint="default" w:ascii="Times New Roman" w:hAnsi="Times New Roman" w:eastAsia="仿宋" w:cs="Times New Roman"/>
                <w:color w:val="auto"/>
                <w:sz w:val="24"/>
                <w:highlight w:val="none"/>
                <w:lang w:val="en-US" w:eastAsia="zh-CN"/>
              </w:rPr>
              <w:t>废包装材料S2</w:t>
            </w:r>
          </w:p>
          <w:p w14:paraId="51009600">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本项目塑料粒子、绒毛、手柄使用过程中会有废包装材料产生，根据其消耗情况，废包装材料产生量约为0.</w:t>
            </w:r>
            <w:r>
              <w:rPr>
                <w:rFonts w:hint="eastAsia" w:eastAsia="仿宋" w:cs="Times New Roman"/>
                <w:color w:val="auto"/>
                <w:sz w:val="24"/>
                <w:highlight w:val="none"/>
                <w:lang w:val="en-US" w:eastAsia="zh-CN"/>
              </w:rPr>
              <w:t>26</w:t>
            </w:r>
            <w:r>
              <w:rPr>
                <w:rFonts w:hint="default" w:ascii="Times New Roman" w:hAnsi="Times New Roman" w:eastAsia="仿宋" w:cs="Times New Roman"/>
                <w:color w:val="auto"/>
                <w:sz w:val="24"/>
                <w:highlight w:val="none"/>
                <w:lang w:val="en-US" w:eastAsia="zh-CN"/>
              </w:rPr>
              <w:t>t/a。</w:t>
            </w:r>
          </w:p>
          <w:p w14:paraId="1B286C8E">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④废布袋S4</w:t>
            </w:r>
          </w:p>
          <w:p w14:paraId="489EF209">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设1台布袋除尘装置对植绒、筛毛产生的颗粒物进行处理，其中的布袋需要一年更换一次，产生量约为0.01t/a。</w:t>
            </w:r>
          </w:p>
          <w:p w14:paraId="3CD2462B">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⑤</w:t>
            </w:r>
            <w:r>
              <w:rPr>
                <w:rFonts w:hint="default" w:ascii="Times New Roman" w:hAnsi="Times New Roman" w:eastAsia="仿宋" w:cs="Times New Roman"/>
                <w:bCs/>
                <w:color w:val="auto"/>
                <w:sz w:val="24"/>
                <w:highlight w:val="none"/>
              </w:rPr>
              <w:t>废</w:t>
            </w:r>
            <w:r>
              <w:rPr>
                <w:rFonts w:hint="default" w:ascii="Times New Roman" w:hAnsi="Times New Roman" w:eastAsia="仿宋" w:cs="Times New Roman"/>
                <w:bCs/>
                <w:color w:val="auto"/>
                <w:sz w:val="24"/>
                <w:highlight w:val="none"/>
                <w:lang w:val="en-US" w:eastAsia="zh-CN"/>
              </w:rPr>
              <w:t>活性炭S5</w:t>
            </w:r>
          </w:p>
          <w:p w14:paraId="5D5F53C4">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设1</w:t>
            </w:r>
            <w:r>
              <w:rPr>
                <w:rFonts w:hint="default" w:ascii="Times New Roman" w:hAnsi="Times New Roman" w:eastAsia="仿宋" w:cs="Times New Roman"/>
                <w:bCs/>
                <w:color w:val="auto"/>
                <w:sz w:val="24"/>
                <w:highlight w:val="none"/>
              </w:rPr>
              <w:t>套两级活性炭吸附装置</w:t>
            </w:r>
            <w:r>
              <w:rPr>
                <w:rFonts w:hint="default" w:ascii="Times New Roman" w:hAnsi="Times New Roman" w:eastAsia="仿宋" w:cs="Times New Roman"/>
                <w:bCs/>
                <w:color w:val="auto"/>
                <w:sz w:val="24"/>
                <w:highlight w:val="none"/>
                <w:lang w:val="en-US" w:eastAsia="zh-CN"/>
              </w:rPr>
              <w:t>注塑、上胶、烘干、固化产生的有机废气进行处理，装置内填装的</w:t>
            </w:r>
            <w:r>
              <w:rPr>
                <w:rFonts w:hint="default" w:ascii="Times New Roman" w:hAnsi="Times New Roman" w:eastAsia="仿宋" w:cs="Times New Roman"/>
                <w:bCs/>
                <w:color w:val="auto"/>
                <w:sz w:val="24"/>
                <w:highlight w:val="none"/>
              </w:rPr>
              <w:t>活性炭</w:t>
            </w:r>
            <w:r>
              <w:rPr>
                <w:rFonts w:hint="default" w:ascii="Times New Roman" w:hAnsi="Times New Roman" w:eastAsia="仿宋" w:cs="Times New Roman"/>
                <w:color w:val="auto"/>
                <w:sz w:val="24"/>
              </w:rPr>
              <w:t>更换周期</w:t>
            </w:r>
            <w:r>
              <w:rPr>
                <w:rFonts w:hint="default" w:ascii="Times New Roman" w:hAnsi="Times New Roman" w:eastAsia="仿宋" w:cs="Times New Roman"/>
                <w:color w:val="auto"/>
                <w:sz w:val="24"/>
                <w:lang w:val="en-US" w:eastAsia="zh-CN"/>
              </w:rPr>
              <w:t>计算结果如下：</w:t>
            </w:r>
          </w:p>
          <w:p w14:paraId="11DBBF54">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根据活性炭更换周期计算公式：</w:t>
            </w:r>
          </w:p>
          <w:p w14:paraId="4749E502">
            <w:pPr>
              <w:spacing w:line="360" w:lineRule="auto"/>
              <w:ind w:firstLine="480" w:firstLineChars="200"/>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T=m×s÷（c×10</w:t>
            </w:r>
            <w:r>
              <w:rPr>
                <w:rFonts w:hint="default" w:ascii="Times New Roman" w:hAnsi="Times New Roman" w:eastAsia="仿宋" w:cs="Times New Roman"/>
                <w:color w:val="auto"/>
                <w:sz w:val="24"/>
                <w:vertAlign w:val="superscript"/>
              </w:rPr>
              <w:t>-6</w:t>
            </w:r>
            <w:r>
              <w:rPr>
                <w:rFonts w:hint="default" w:ascii="Times New Roman" w:hAnsi="Times New Roman" w:eastAsia="仿宋" w:cs="Times New Roman"/>
                <w:color w:val="auto"/>
                <w:sz w:val="24"/>
              </w:rPr>
              <w:t>×Q×t）</w:t>
            </w:r>
          </w:p>
          <w:p w14:paraId="7B534F71">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式中：</w:t>
            </w:r>
          </w:p>
          <w:p w14:paraId="0124BCDF">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T—更换周期，天；</w:t>
            </w:r>
          </w:p>
          <w:p w14:paraId="4F5BCEFA">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m—活性炭的用量，kg；</w:t>
            </w:r>
          </w:p>
          <w:p w14:paraId="5C6C3976">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s—动态吸附量，%；（一般取值10%）；</w:t>
            </w:r>
          </w:p>
          <w:p w14:paraId="3A7FABBD">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c—活性炭削减的VOCs 浓度，mg/m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w:t>
            </w:r>
          </w:p>
          <w:p w14:paraId="42A765AB">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Q—风量，单位m</w:t>
            </w:r>
            <w:r>
              <w:rPr>
                <w:rFonts w:hint="default" w:ascii="Times New Roman" w:hAnsi="Times New Roman" w:eastAsia="仿宋" w:cs="Times New Roman"/>
                <w:color w:val="auto"/>
                <w:sz w:val="24"/>
                <w:vertAlign w:val="superscript"/>
              </w:rPr>
              <w:t>3</w:t>
            </w:r>
            <w:r>
              <w:rPr>
                <w:rFonts w:hint="default" w:ascii="Times New Roman" w:hAnsi="Times New Roman" w:eastAsia="仿宋" w:cs="Times New Roman"/>
                <w:color w:val="auto"/>
                <w:sz w:val="24"/>
              </w:rPr>
              <w:t>/h；</w:t>
            </w:r>
          </w:p>
          <w:p w14:paraId="323A0762">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t—运行时间，单位h/d。</w:t>
            </w:r>
          </w:p>
          <w:p w14:paraId="1BB1471F">
            <w:pPr>
              <w:adjustRightInd w:val="0"/>
              <w:jc w:val="center"/>
              <w:rPr>
                <w:rFonts w:hint="default" w:ascii="Times New Roman" w:hAnsi="Times New Roman" w:eastAsia="仿宋" w:cs="Times New Roman"/>
                <w:b/>
                <w:color w:val="auto"/>
                <w:sz w:val="24"/>
              </w:rPr>
            </w:pPr>
          </w:p>
          <w:p w14:paraId="08580B86">
            <w:pPr>
              <w:adjustRightInd w:val="0"/>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eastAsia" w:eastAsia="仿宋" w:cs="Times New Roman"/>
                <w:b/>
                <w:color w:val="auto"/>
                <w:sz w:val="24"/>
                <w:lang w:val="en-US" w:eastAsia="zh-CN"/>
              </w:rPr>
              <w:t>30</w:t>
            </w:r>
            <w:r>
              <w:rPr>
                <w:rFonts w:hint="default" w:ascii="Times New Roman" w:hAnsi="Times New Roman" w:eastAsia="仿宋" w:cs="Times New Roman"/>
                <w:b/>
                <w:color w:val="auto"/>
                <w:sz w:val="24"/>
              </w:rPr>
              <w:t xml:space="preserve">  活性炭更换周期表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921"/>
              <w:gridCol w:w="954"/>
              <w:gridCol w:w="1697"/>
              <w:gridCol w:w="936"/>
              <w:gridCol w:w="1025"/>
              <w:gridCol w:w="1121"/>
            </w:tblGrid>
            <w:tr w14:paraId="711E0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noWrap w:val="0"/>
                  <w:vAlign w:val="center"/>
                </w:tcPr>
                <w:p w14:paraId="7204288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废气产生环节</w:t>
                  </w:r>
                </w:p>
              </w:tc>
              <w:tc>
                <w:tcPr>
                  <w:tcW w:w="548" w:type="pct"/>
                  <w:noWrap w:val="0"/>
                  <w:vAlign w:val="center"/>
                </w:tcPr>
                <w:p w14:paraId="4F353D3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活性炭仓一次性装填量(kg)</w:t>
                  </w:r>
                </w:p>
              </w:tc>
              <w:tc>
                <w:tcPr>
                  <w:tcW w:w="568" w:type="pct"/>
                  <w:noWrap w:val="0"/>
                  <w:vAlign w:val="center"/>
                </w:tcPr>
                <w:p w14:paraId="240228B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动态吸附量(%)</w:t>
                  </w:r>
                </w:p>
              </w:tc>
              <w:tc>
                <w:tcPr>
                  <w:tcW w:w="1010" w:type="pct"/>
                  <w:noWrap w:val="0"/>
                  <w:vAlign w:val="center"/>
                </w:tcPr>
                <w:p w14:paraId="3722A17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活性炭削减VOCs浓度(mg/m</w:t>
                  </w:r>
                  <w:r>
                    <w:rPr>
                      <w:rFonts w:hint="default" w:ascii="Times New Roman" w:hAnsi="Times New Roman" w:eastAsia="仿宋" w:cs="Times New Roman"/>
                      <w:b/>
                      <w:color w:val="auto"/>
                      <w:sz w:val="21"/>
                      <w:szCs w:val="21"/>
                      <w:vertAlign w:val="superscript"/>
                    </w:rPr>
                    <w:t>3</w:t>
                  </w:r>
                  <w:r>
                    <w:rPr>
                      <w:rFonts w:hint="default" w:ascii="Times New Roman" w:hAnsi="Times New Roman" w:eastAsia="仿宋" w:cs="Times New Roman"/>
                      <w:b/>
                      <w:color w:val="auto"/>
                      <w:sz w:val="21"/>
                      <w:szCs w:val="21"/>
                    </w:rPr>
                    <w:t>)</w:t>
                  </w:r>
                </w:p>
              </w:tc>
              <w:tc>
                <w:tcPr>
                  <w:tcW w:w="557" w:type="pct"/>
                  <w:noWrap w:val="0"/>
                  <w:vAlign w:val="center"/>
                </w:tcPr>
                <w:p w14:paraId="419AC99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风量(m</w:t>
                  </w:r>
                  <w:r>
                    <w:rPr>
                      <w:rFonts w:hint="default" w:ascii="Times New Roman" w:hAnsi="Times New Roman" w:eastAsia="仿宋" w:cs="Times New Roman"/>
                      <w:b/>
                      <w:color w:val="auto"/>
                      <w:sz w:val="21"/>
                      <w:szCs w:val="21"/>
                      <w:vertAlign w:val="subscript"/>
                    </w:rPr>
                    <w:softHyphen/>
                  </w:r>
                  <w:r>
                    <w:rPr>
                      <w:rFonts w:hint="default" w:ascii="Times New Roman" w:hAnsi="Times New Roman" w:eastAsia="仿宋" w:cs="Times New Roman"/>
                      <w:b/>
                      <w:color w:val="auto"/>
                      <w:sz w:val="21"/>
                      <w:szCs w:val="21"/>
                      <w:vertAlign w:val="superscript"/>
                    </w:rPr>
                    <w:t>3</w:t>
                  </w:r>
                  <w:r>
                    <w:rPr>
                      <w:rFonts w:hint="default" w:ascii="Times New Roman" w:hAnsi="Times New Roman" w:eastAsia="仿宋" w:cs="Times New Roman"/>
                      <w:b/>
                      <w:color w:val="auto"/>
                      <w:sz w:val="21"/>
                      <w:szCs w:val="21"/>
                    </w:rPr>
                    <w:t>/h)</w:t>
                  </w:r>
                </w:p>
              </w:tc>
              <w:tc>
                <w:tcPr>
                  <w:tcW w:w="610" w:type="pct"/>
                  <w:noWrap w:val="0"/>
                  <w:vAlign w:val="center"/>
                </w:tcPr>
                <w:p w14:paraId="4CA0212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运行时间(h/d)</w:t>
                  </w:r>
                </w:p>
              </w:tc>
              <w:tc>
                <w:tcPr>
                  <w:tcW w:w="667" w:type="pct"/>
                  <w:noWrap w:val="0"/>
                  <w:vAlign w:val="center"/>
                </w:tcPr>
                <w:p w14:paraId="3130B53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计算结果(天)</w:t>
                  </w:r>
                </w:p>
              </w:tc>
            </w:tr>
            <w:tr w14:paraId="61603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noWrap w:val="0"/>
                  <w:vAlign w:val="center"/>
                </w:tcPr>
                <w:p w14:paraId="3896E575">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注塑、上胶、烘干、固化</w:t>
                  </w:r>
                </w:p>
              </w:tc>
              <w:tc>
                <w:tcPr>
                  <w:tcW w:w="548" w:type="pct"/>
                  <w:noWrap w:val="0"/>
                  <w:vAlign w:val="center"/>
                </w:tcPr>
                <w:p w14:paraId="173E5DAD">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500</w:t>
                  </w:r>
                </w:p>
              </w:tc>
              <w:tc>
                <w:tcPr>
                  <w:tcW w:w="568" w:type="pct"/>
                  <w:noWrap w:val="0"/>
                  <w:vAlign w:val="center"/>
                </w:tcPr>
                <w:p w14:paraId="45E62373">
                  <w:pPr>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10%</w:t>
                  </w:r>
                </w:p>
              </w:tc>
              <w:tc>
                <w:tcPr>
                  <w:tcW w:w="1010" w:type="pct"/>
                  <w:noWrap w:val="0"/>
                  <w:vAlign w:val="center"/>
                </w:tcPr>
                <w:p w14:paraId="078DEC7F">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3.38</w:t>
                  </w:r>
                  <w:r>
                    <w:rPr>
                      <w:rFonts w:hint="eastAsia" w:eastAsia="仿宋" w:cs="Times New Roman"/>
                      <w:bCs/>
                      <w:color w:val="auto"/>
                      <w:sz w:val="21"/>
                      <w:szCs w:val="21"/>
                      <w:lang w:val="en-US" w:eastAsia="zh-CN"/>
                    </w:rPr>
                    <w:t>6</w:t>
                  </w:r>
                </w:p>
              </w:tc>
              <w:tc>
                <w:tcPr>
                  <w:tcW w:w="557" w:type="pct"/>
                  <w:noWrap w:val="0"/>
                  <w:vAlign w:val="center"/>
                </w:tcPr>
                <w:p w14:paraId="73A19F6B">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12000</w:t>
                  </w:r>
                </w:p>
              </w:tc>
              <w:tc>
                <w:tcPr>
                  <w:tcW w:w="610" w:type="pct"/>
                  <w:noWrap w:val="0"/>
                  <w:vAlign w:val="center"/>
                </w:tcPr>
                <w:p w14:paraId="30C0B613">
                  <w:pPr>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24</w:t>
                  </w:r>
                </w:p>
              </w:tc>
              <w:tc>
                <w:tcPr>
                  <w:tcW w:w="667" w:type="pct"/>
                  <w:noWrap w:val="0"/>
                  <w:vAlign w:val="center"/>
                </w:tcPr>
                <w:p w14:paraId="297143D9">
                  <w:pPr>
                    <w:jc w:val="center"/>
                    <w:rPr>
                      <w:rFonts w:hint="default" w:ascii="Times New Roman" w:hAnsi="Times New Roman" w:eastAsia="仿宋" w:cs="Times New Roman"/>
                      <w:bCs/>
                      <w:color w:val="auto"/>
                      <w:sz w:val="21"/>
                      <w:szCs w:val="21"/>
                      <w:lang w:val="en-US" w:eastAsia="zh-CN"/>
                    </w:rPr>
                  </w:pPr>
                  <w:r>
                    <w:rPr>
                      <w:rFonts w:hint="eastAsia" w:eastAsia="仿宋" w:cs="Times New Roman"/>
                      <w:bCs/>
                      <w:color w:val="auto"/>
                      <w:sz w:val="21"/>
                      <w:szCs w:val="21"/>
                      <w:lang w:val="en-US" w:eastAsia="zh-CN"/>
                    </w:rPr>
                    <w:t>51</w:t>
                  </w:r>
                </w:p>
              </w:tc>
            </w:tr>
          </w:tbl>
          <w:p w14:paraId="131EA313">
            <w:pPr>
              <w:keepNext w:val="0"/>
              <w:keepLines w:val="0"/>
              <w:pageBreakBefore w:val="0"/>
              <w:widowControl w:val="0"/>
              <w:kinsoku/>
              <w:wordWrap/>
              <w:overflowPunct/>
              <w:topLinePunct w:val="0"/>
              <w:autoSpaceDE/>
              <w:autoSpaceDN/>
              <w:bidi w:val="0"/>
              <w:adjustRightInd w:val="0"/>
              <w:snapToGrid w:val="0"/>
              <w:spacing w:line="240" w:lineRule="auto"/>
              <w:ind w:firstLine="200" w:firstLineChars="200"/>
              <w:textAlignment w:val="auto"/>
              <w:rPr>
                <w:rFonts w:hint="default" w:ascii="Times New Roman" w:hAnsi="Times New Roman" w:eastAsia="仿宋" w:cs="Times New Roman"/>
                <w:bCs/>
                <w:color w:val="auto"/>
                <w:sz w:val="10"/>
                <w:szCs w:val="10"/>
                <w:highlight w:val="none"/>
                <w:lang w:val="en-US" w:eastAsia="zh-CN"/>
              </w:rPr>
            </w:pPr>
          </w:p>
          <w:p w14:paraId="3BB9BE70">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上表计算的活性炭更换周期最短为51天，</w:t>
            </w:r>
            <w:r>
              <w:rPr>
                <w:rFonts w:hint="default" w:ascii="Times New Roman" w:hAnsi="Times New Roman" w:eastAsia="仿宋" w:cs="Times New Roman"/>
                <w:bCs/>
                <w:color w:val="auto"/>
                <w:sz w:val="24"/>
                <w:highlight w:val="none"/>
              </w:rPr>
              <w:t>根据《省生态环境厅关于开展涉VOCs治理重点工作核查的通知》（苏环办</w:t>
            </w:r>
            <w:r>
              <w:rPr>
                <w:rFonts w:hint="eastAsia" w:eastAsia="仿宋" w:cs="Times New Roman"/>
                <w:bCs/>
                <w:color w:val="auto"/>
                <w:sz w:val="24"/>
                <w:highlight w:val="none"/>
                <w:lang w:eastAsia="zh-CN"/>
              </w:rPr>
              <w:t>〔2022〕218号</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要求</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0000FF"/>
                <w:sz w:val="24"/>
                <w:highlight w:val="none"/>
                <w:lang w:val="en-US" w:eastAsia="zh-CN"/>
              </w:rPr>
              <w:t>年更换次数为</w:t>
            </w:r>
            <w:r>
              <w:rPr>
                <w:rFonts w:hint="eastAsia" w:eastAsia="仿宋" w:cs="Times New Roman"/>
                <w:bCs/>
                <w:color w:val="0000FF"/>
                <w:sz w:val="24"/>
                <w:highlight w:val="none"/>
                <w:lang w:val="en-US" w:eastAsia="zh-CN"/>
              </w:rPr>
              <w:t>6</w:t>
            </w:r>
            <w:r>
              <w:rPr>
                <w:rFonts w:hint="default" w:ascii="Times New Roman" w:hAnsi="Times New Roman" w:eastAsia="仿宋" w:cs="Times New Roman"/>
                <w:bCs/>
                <w:color w:val="0000FF"/>
                <w:sz w:val="24"/>
                <w:highlight w:val="none"/>
                <w:lang w:val="en-US" w:eastAsia="zh-CN"/>
              </w:rPr>
              <w:t>次</w:t>
            </w:r>
            <w:r>
              <w:rPr>
                <w:rFonts w:hint="default" w:ascii="Times New Roman" w:hAnsi="Times New Roman" w:eastAsia="仿宋" w:cs="Times New Roman"/>
                <w:bCs/>
                <w:color w:val="0000FF"/>
                <w:sz w:val="24"/>
                <w:highlight w:val="none"/>
              </w:rPr>
              <w:t>，故活性炭年使用量约为</w:t>
            </w:r>
            <w:r>
              <w:rPr>
                <w:rFonts w:hint="eastAsia" w:eastAsia="仿宋" w:cs="Times New Roman"/>
                <w:bCs/>
                <w:color w:val="0000FF"/>
                <w:sz w:val="24"/>
                <w:highlight w:val="none"/>
                <w:lang w:val="en-US" w:eastAsia="zh-CN"/>
              </w:rPr>
              <w:t>3</w:t>
            </w:r>
            <w:r>
              <w:rPr>
                <w:rFonts w:hint="default" w:ascii="Times New Roman" w:hAnsi="Times New Roman" w:eastAsia="仿宋" w:cs="Times New Roman"/>
                <w:bCs/>
                <w:color w:val="0000FF"/>
                <w:sz w:val="24"/>
                <w:highlight w:val="none"/>
              </w:rPr>
              <w:t>t/a，活性炭吸附装置共吸附有机废气约</w:t>
            </w:r>
            <w:r>
              <w:rPr>
                <w:rFonts w:hint="default" w:ascii="Times New Roman" w:hAnsi="Times New Roman" w:eastAsia="仿宋" w:cs="Times New Roman"/>
                <w:bCs/>
                <w:color w:val="0000FF"/>
                <w:sz w:val="24"/>
                <w:highlight w:val="none"/>
                <w:lang w:val="en-US" w:eastAsia="zh-CN"/>
              </w:rPr>
              <w:t>0.29</w:t>
            </w:r>
            <w:r>
              <w:rPr>
                <w:rFonts w:hint="eastAsia" w:eastAsia="仿宋" w:cs="Times New Roman"/>
                <w:bCs/>
                <w:color w:val="0000FF"/>
                <w:sz w:val="24"/>
                <w:highlight w:val="none"/>
                <w:lang w:val="en-US" w:eastAsia="zh-CN"/>
              </w:rPr>
              <w:t>2</w:t>
            </w:r>
            <w:r>
              <w:rPr>
                <w:rFonts w:hint="default" w:ascii="Times New Roman" w:hAnsi="Times New Roman" w:eastAsia="仿宋" w:cs="Times New Roman"/>
                <w:bCs/>
                <w:color w:val="0000FF"/>
                <w:sz w:val="24"/>
                <w:highlight w:val="none"/>
              </w:rPr>
              <w:t>t/a，故本项目废活性炭产生量为</w:t>
            </w:r>
            <w:r>
              <w:rPr>
                <w:rFonts w:hint="eastAsia" w:eastAsia="仿宋" w:cs="Times New Roman"/>
                <w:bCs/>
                <w:color w:val="0000FF"/>
                <w:sz w:val="24"/>
                <w:highlight w:val="none"/>
                <w:lang w:val="en-US" w:eastAsia="zh-CN"/>
              </w:rPr>
              <w:t>3.292</w:t>
            </w:r>
            <w:r>
              <w:rPr>
                <w:rFonts w:hint="default" w:ascii="Times New Roman" w:hAnsi="Times New Roman" w:eastAsia="仿宋" w:cs="Times New Roman"/>
                <w:bCs/>
                <w:color w:val="0000FF"/>
                <w:sz w:val="24"/>
                <w:highlight w:val="none"/>
              </w:rPr>
              <w:t>t/a（活性炭总用量+被吸附的非甲烷总烃总量）。</w:t>
            </w:r>
          </w:p>
          <w:p w14:paraId="739D6BA0">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⑥废绒毛S3</w:t>
            </w:r>
          </w:p>
          <w:p w14:paraId="44BD9196">
            <w:pPr>
              <w:adjustRightInd w:val="0"/>
              <w:snapToGrid w:val="0"/>
              <w:spacing w:line="360" w:lineRule="auto"/>
              <w:ind w:firstLine="480" w:firstLineChars="200"/>
              <w:rPr>
                <w:rFonts w:hint="default" w:ascii="Times New Roman" w:hAnsi="Times New Roman" w:eastAsia="仿宋" w:cs="Times New Roman"/>
                <w:bCs/>
                <w:color w:val="0000FF"/>
                <w:sz w:val="24"/>
                <w:highlight w:val="none"/>
              </w:rPr>
            </w:pPr>
            <w:r>
              <w:rPr>
                <w:rFonts w:hint="default" w:ascii="Times New Roman" w:hAnsi="Times New Roman" w:eastAsia="仿宋" w:cs="Times New Roman"/>
                <w:bCs/>
                <w:color w:val="0000FF"/>
                <w:sz w:val="24"/>
                <w:highlight w:val="none"/>
                <w:lang w:val="en-US" w:eastAsia="zh-CN"/>
              </w:rPr>
              <w:t>本植绒</w:t>
            </w:r>
            <w:r>
              <w:rPr>
                <w:rFonts w:hint="default" w:ascii="Times New Roman" w:hAnsi="Times New Roman" w:eastAsia="仿宋" w:cs="Times New Roman"/>
                <w:bCs/>
                <w:color w:val="0000FF"/>
                <w:sz w:val="24"/>
                <w:highlight w:val="none"/>
              </w:rPr>
              <w:t>过程产生的</w:t>
            </w:r>
            <w:r>
              <w:rPr>
                <w:rFonts w:hint="default" w:ascii="Times New Roman" w:hAnsi="Times New Roman" w:eastAsia="仿宋" w:cs="Times New Roman"/>
                <w:bCs/>
                <w:color w:val="0000FF"/>
                <w:sz w:val="24"/>
                <w:highlight w:val="none"/>
                <w:lang w:val="en-US" w:eastAsia="zh-CN"/>
              </w:rPr>
              <w:t>绒尘</w:t>
            </w:r>
            <w:r>
              <w:rPr>
                <w:rFonts w:hint="default" w:ascii="Times New Roman" w:hAnsi="Times New Roman" w:eastAsia="仿宋" w:cs="Times New Roman"/>
                <w:bCs/>
                <w:color w:val="0000FF"/>
                <w:sz w:val="24"/>
                <w:highlight w:val="none"/>
              </w:rPr>
              <w:t>经布袋除尘</w:t>
            </w:r>
            <w:r>
              <w:rPr>
                <w:rFonts w:hint="default" w:ascii="Times New Roman" w:hAnsi="Times New Roman" w:eastAsia="仿宋" w:cs="Times New Roman"/>
                <w:bCs/>
                <w:color w:val="0000FF"/>
                <w:sz w:val="24"/>
                <w:highlight w:val="none"/>
                <w:lang w:val="en-US" w:eastAsia="zh-CN"/>
              </w:rPr>
              <w:t>装置</w:t>
            </w:r>
            <w:r>
              <w:rPr>
                <w:rFonts w:hint="default" w:ascii="Times New Roman" w:hAnsi="Times New Roman" w:eastAsia="仿宋" w:cs="Times New Roman"/>
                <w:bCs/>
                <w:color w:val="0000FF"/>
                <w:sz w:val="24"/>
                <w:highlight w:val="none"/>
              </w:rPr>
              <w:t>处理，</w:t>
            </w:r>
            <w:r>
              <w:rPr>
                <w:rFonts w:hint="default" w:ascii="Times New Roman" w:hAnsi="Times New Roman" w:eastAsia="仿宋" w:cs="Times New Roman"/>
                <w:bCs/>
                <w:color w:val="0000FF"/>
                <w:sz w:val="24"/>
                <w:highlight w:val="none"/>
                <w:lang w:val="en-US" w:eastAsia="zh-CN"/>
              </w:rPr>
              <w:t>绒尘有组织</w:t>
            </w:r>
            <w:r>
              <w:rPr>
                <w:rFonts w:hint="default" w:ascii="Times New Roman" w:hAnsi="Times New Roman" w:eastAsia="仿宋" w:cs="Times New Roman"/>
                <w:bCs/>
                <w:color w:val="0000FF"/>
                <w:sz w:val="24"/>
                <w:highlight w:val="none"/>
              </w:rPr>
              <w:t>产生量为0.</w:t>
            </w:r>
            <w:r>
              <w:rPr>
                <w:rFonts w:hint="eastAsia" w:eastAsia="仿宋" w:cs="Times New Roman"/>
                <w:bCs/>
                <w:color w:val="0000FF"/>
                <w:sz w:val="24"/>
                <w:highlight w:val="none"/>
                <w:lang w:val="en-US" w:eastAsia="zh-CN"/>
              </w:rPr>
              <w:t>752</w:t>
            </w:r>
            <w:r>
              <w:rPr>
                <w:rFonts w:hint="default" w:ascii="Times New Roman" w:hAnsi="Times New Roman" w:eastAsia="仿宋" w:cs="Times New Roman"/>
                <w:bCs/>
                <w:color w:val="0000FF"/>
                <w:sz w:val="24"/>
                <w:highlight w:val="none"/>
              </w:rPr>
              <w:t>t/a，</w:t>
            </w:r>
            <w:r>
              <w:rPr>
                <w:rFonts w:hint="eastAsia" w:eastAsia="仿宋" w:cs="Times New Roman"/>
                <w:bCs/>
                <w:color w:val="0000FF"/>
                <w:sz w:val="24"/>
                <w:highlight w:val="none"/>
                <w:lang w:val="en-US" w:eastAsia="zh-CN"/>
              </w:rPr>
              <w:t>布袋</w:t>
            </w:r>
            <w:r>
              <w:rPr>
                <w:rFonts w:hint="default" w:ascii="Times New Roman" w:hAnsi="Times New Roman" w:eastAsia="仿宋" w:cs="Times New Roman"/>
                <w:bCs/>
                <w:color w:val="0000FF"/>
                <w:sz w:val="24"/>
                <w:highlight w:val="none"/>
              </w:rPr>
              <w:t>除尘</w:t>
            </w:r>
            <w:r>
              <w:rPr>
                <w:rFonts w:hint="eastAsia" w:eastAsia="仿宋" w:cs="Times New Roman"/>
                <w:bCs/>
                <w:color w:val="0000FF"/>
                <w:sz w:val="24"/>
                <w:highlight w:val="none"/>
                <w:lang w:val="en-US" w:eastAsia="zh-CN"/>
              </w:rPr>
              <w:t>装置</w:t>
            </w:r>
            <w:r>
              <w:rPr>
                <w:rFonts w:hint="default" w:ascii="Times New Roman" w:hAnsi="Times New Roman" w:eastAsia="仿宋" w:cs="Times New Roman"/>
                <w:bCs/>
                <w:color w:val="0000FF"/>
                <w:sz w:val="24"/>
                <w:highlight w:val="none"/>
              </w:rPr>
              <w:t>处理效率为9</w:t>
            </w:r>
            <w:r>
              <w:rPr>
                <w:rFonts w:hint="eastAsia" w:eastAsia="仿宋" w:cs="Times New Roman"/>
                <w:bCs/>
                <w:color w:val="0000FF"/>
                <w:sz w:val="24"/>
                <w:highlight w:val="none"/>
                <w:lang w:val="en-US" w:eastAsia="zh-CN"/>
              </w:rPr>
              <w:t>5</w:t>
            </w:r>
            <w:r>
              <w:rPr>
                <w:rFonts w:hint="default" w:ascii="Times New Roman" w:hAnsi="Times New Roman" w:eastAsia="仿宋" w:cs="Times New Roman"/>
                <w:bCs/>
                <w:color w:val="0000FF"/>
                <w:sz w:val="24"/>
                <w:highlight w:val="none"/>
              </w:rPr>
              <w:t>%，则收集至于布袋的</w:t>
            </w:r>
            <w:r>
              <w:rPr>
                <w:rFonts w:hint="default" w:ascii="Times New Roman" w:hAnsi="Times New Roman" w:eastAsia="仿宋" w:cs="Times New Roman"/>
                <w:bCs/>
                <w:color w:val="0000FF"/>
                <w:sz w:val="24"/>
                <w:highlight w:val="none"/>
                <w:lang w:val="en-US" w:eastAsia="zh-CN"/>
              </w:rPr>
              <w:t>废绒毛</w:t>
            </w:r>
            <w:r>
              <w:rPr>
                <w:rFonts w:hint="default" w:ascii="Times New Roman" w:hAnsi="Times New Roman" w:eastAsia="仿宋" w:cs="Times New Roman"/>
                <w:bCs/>
                <w:color w:val="0000FF"/>
                <w:sz w:val="24"/>
                <w:highlight w:val="none"/>
              </w:rPr>
              <w:t>约0.</w:t>
            </w:r>
            <w:r>
              <w:rPr>
                <w:rFonts w:hint="eastAsia" w:eastAsia="仿宋" w:cs="Times New Roman"/>
                <w:bCs/>
                <w:color w:val="0000FF"/>
                <w:sz w:val="24"/>
                <w:highlight w:val="none"/>
                <w:lang w:val="en-US" w:eastAsia="zh-CN"/>
              </w:rPr>
              <w:t>714</w:t>
            </w:r>
            <w:r>
              <w:rPr>
                <w:rFonts w:hint="default" w:ascii="Times New Roman" w:hAnsi="Times New Roman" w:eastAsia="仿宋" w:cs="Times New Roman"/>
                <w:bCs/>
                <w:color w:val="0000FF"/>
                <w:sz w:val="24"/>
                <w:highlight w:val="none"/>
              </w:rPr>
              <w:t>t/a。</w:t>
            </w:r>
          </w:p>
          <w:p w14:paraId="310235AD">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⑦含油废抹布手套S6</w:t>
            </w:r>
          </w:p>
          <w:p w14:paraId="01EDAC56">
            <w:pPr>
              <w:adjustRightInd w:val="0"/>
              <w:snapToGrid w:val="0"/>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lang w:val="en-US" w:eastAsia="zh-CN"/>
              </w:rPr>
              <w:t>本项目设备维护操作过程中会产生沾有油的含油废抹布手套，产生量约0.05t/a。</w:t>
            </w:r>
          </w:p>
          <w:p w14:paraId="64AEE3EF">
            <w:pPr>
              <w:adjustRightInd w:val="0"/>
              <w:snapToGrid w:val="0"/>
              <w:spacing w:line="360" w:lineRule="auto"/>
              <w:ind w:firstLine="480" w:firstLineChars="200"/>
              <w:rPr>
                <w:rFonts w:hint="default" w:eastAsia="仿宋" w:cs="Times New Roman"/>
                <w:bCs/>
                <w:color w:val="0000FF"/>
                <w:sz w:val="24"/>
                <w:highlight w:val="none"/>
                <w:lang w:val="en-US" w:eastAsia="zh-CN"/>
              </w:rPr>
            </w:pPr>
            <w:r>
              <w:rPr>
                <w:rFonts w:hint="default" w:ascii="Times New Roman" w:hAnsi="Times New Roman" w:eastAsia="仿宋" w:cs="Times New Roman"/>
                <w:bCs/>
                <w:color w:val="0000FF"/>
                <w:sz w:val="24"/>
                <w:highlight w:val="none"/>
                <w:lang w:val="en-US" w:eastAsia="zh-CN"/>
              </w:rPr>
              <w:t>⑧</w:t>
            </w:r>
            <w:r>
              <w:rPr>
                <w:rFonts w:hint="eastAsia" w:eastAsia="仿宋" w:cs="Times New Roman"/>
                <w:bCs/>
                <w:color w:val="0000FF"/>
                <w:sz w:val="24"/>
                <w:highlight w:val="none"/>
                <w:lang w:val="en-US" w:eastAsia="zh-CN"/>
              </w:rPr>
              <w:t>废过滤棉和杂质</w:t>
            </w:r>
          </w:p>
          <w:p w14:paraId="05611F2C">
            <w:pPr>
              <w:adjustRightInd w:val="0"/>
              <w:snapToGrid w:val="0"/>
              <w:spacing w:line="360" w:lineRule="auto"/>
              <w:ind w:firstLine="480" w:firstLineChars="200"/>
              <w:rPr>
                <w:rFonts w:hint="default" w:eastAsia="仿宋" w:cs="Times New Roman"/>
                <w:bCs/>
                <w:color w:val="0000FF"/>
                <w:sz w:val="24"/>
                <w:highlight w:val="none"/>
                <w:lang w:val="en-US" w:eastAsia="zh-CN"/>
              </w:rPr>
            </w:pPr>
            <w:r>
              <w:rPr>
                <w:rFonts w:hint="eastAsia" w:eastAsia="仿宋" w:cs="Times New Roman"/>
                <w:bCs/>
                <w:color w:val="0000FF"/>
                <w:sz w:val="24"/>
                <w:highlight w:val="none"/>
                <w:lang w:val="en-US" w:eastAsia="zh-CN"/>
              </w:rPr>
              <w:t>本项目水旋除尘器配备了废水过滤装置处理水旋的水，其中的过滤棉需要定期更换，更换过滤棉的量约为0.01t/a。更换过滤棉时顺便清理过滤物质及水中杂质，其主要成分为废绒毛，筛毛</w:t>
            </w:r>
            <w:r>
              <w:rPr>
                <w:rFonts w:hint="default" w:ascii="Times New Roman" w:hAnsi="Times New Roman" w:eastAsia="仿宋" w:cs="Times New Roman"/>
                <w:bCs/>
                <w:color w:val="0000FF"/>
                <w:sz w:val="24"/>
                <w:highlight w:val="none"/>
              </w:rPr>
              <w:t>过程产生的</w:t>
            </w:r>
            <w:r>
              <w:rPr>
                <w:rFonts w:hint="default" w:ascii="Times New Roman" w:hAnsi="Times New Roman" w:eastAsia="仿宋" w:cs="Times New Roman"/>
                <w:bCs/>
                <w:color w:val="0000FF"/>
                <w:sz w:val="24"/>
                <w:highlight w:val="none"/>
                <w:lang w:val="en-US" w:eastAsia="zh-CN"/>
              </w:rPr>
              <w:t>绒尘</w:t>
            </w:r>
            <w:r>
              <w:rPr>
                <w:rFonts w:hint="default" w:ascii="Times New Roman" w:hAnsi="Times New Roman" w:eastAsia="仿宋" w:cs="Times New Roman"/>
                <w:bCs/>
                <w:color w:val="0000FF"/>
                <w:sz w:val="24"/>
                <w:highlight w:val="none"/>
              </w:rPr>
              <w:t>经</w:t>
            </w:r>
            <w:r>
              <w:rPr>
                <w:rFonts w:hint="eastAsia" w:eastAsia="仿宋" w:cs="Times New Roman"/>
                <w:bCs/>
                <w:color w:val="0000FF"/>
                <w:sz w:val="24"/>
                <w:highlight w:val="none"/>
                <w:lang w:val="en-US" w:eastAsia="zh-CN"/>
              </w:rPr>
              <w:t>水旋除尘器处理</w:t>
            </w:r>
            <w:r>
              <w:rPr>
                <w:rFonts w:hint="default" w:ascii="Times New Roman" w:hAnsi="Times New Roman" w:eastAsia="仿宋" w:cs="Times New Roman"/>
                <w:bCs/>
                <w:color w:val="0000FF"/>
                <w:sz w:val="24"/>
                <w:highlight w:val="none"/>
              </w:rPr>
              <w:t>，</w:t>
            </w:r>
            <w:r>
              <w:rPr>
                <w:rFonts w:hint="default" w:ascii="Times New Roman" w:hAnsi="Times New Roman" w:eastAsia="仿宋" w:cs="Times New Roman"/>
                <w:bCs/>
                <w:color w:val="0000FF"/>
                <w:sz w:val="24"/>
                <w:highlight w:val="none"/>
                <w:lang w:val="en-US" w:eastAsia="zh-CN"/>
              </w:rPr>
              <w:t>绒尘有组织</w:t>
            </w:r>
            <w:r>
              <w:rPr>
                <w:rFonts w:hint="default" w:ascii="Times New Roman" w:hAnsi="Times New Roman" w:eastAsia="仿宋" w:cs="Times New Roman"/>
                <w:bCs/>
                <w:color w:val="0000FF"/>
                <w:sz w:val="24"/>
                <w:highlight w:val="none"/>
              </w:rPr>
              <w:t>产生量为0.</w:t>
            </w:r>
            <w:r>
              <w:rPr>
                <w:rFonts w:hint="eastAsia" w:eastAsia="仿宋" w:cs="Times New Roman"/>
                <w:bCs/>
                <w:color w:val="0000FF"/>
                <w:sz w:val="24"/>
                <w:highlight w:val="none"/>
                <w:lang w:val="en-US" w:eastAsia="zh-CN"/>
              </w:rPr>
              <w:t>04</w:t>
            </w:r>
            <w:r>
              <w:rPr>
                <w:rFonts w:hint="default" w:ascii="Times New Roman" w:hAnsi="Times New Roman" w:eastAsia="仿宋" w:cs="Times New Roman"/>
                <w:bCs/>
                <w:color w:val="0000FF"/>
                <w:sz w:val="24"/>
                <w:highlight w:val="none"/>
              </w:rPr>
              <w:t>t/a，</w:t>
            </w:r>
            <w:r>
              <w:rPr>
                <w:rFonts w:hint="eastAsia" w:eastAsia="仿宋" w:cs="Times New Roman"/>
                <w:bCs/>
                <w:color w:val="0000FF"/>
                <w:sz w:val="24"/>
                <w:highlight w:val="none"/>
                <w:lang w:val="en-US" w:eastAsia="zh-CN"/>
              </w:rPr>
              <w:t>布袋</w:t>
            </w:r>
            <w:r>
              <w:rPr>
                <w:rFonts w:hint="default" w:ascii="Times New Roman" w:hAnsi="Times New Roman" w:eastAsia="仿宋" w:cs="Times New Roman"/>
                <w:bCs/>
                <w:color w:val="0000FF"/>
                <w:sz w:val="24"/>
                <w:highlight w:val="none"/>
              </w:rPr>
              <w:t>除尘</w:t>
            </w:r>
            <w:r>
              <w:rPr>
                <w:rFonts w:hint="eastAsia" w:eastAsia="仿宋" w:cs="Times New Roman"/>
                <w:bCs/>
                <w:color w:val="0000FF"/>
                <w:sz w:val="24"/>
                <w:highlight w:val="none"/>
                <w:lang w:val="en-US" w:eastAsia="zh-CN"/>
              </w:rPr>
              <w:t>装置</w:t>
            </w:r>
            <w:r>
              <w:rPr>
                <w:rFonts w:hint="default" w:ascii="Times New Roman" w:hAnsi="Times New Roman" w:eastAsia="仿宋" w:cs="Times New Roman"/>
                <w:bCs/>
                <w:color w:val="0000FF"/>
                <w:sz w:val="24"/>
                <w:highlight w:val="none"/>
              </w:rPr>
              <w:t>处理效率为</w:t>
            </w:r>
            <w:r>
              <w:rPr>
                <w:rFonts w:hint="eastAsia" w:eastAsia="仿宋" w:cs="Times New Roman"/>
                <w:bCs/>
                <w:color w:val="0000FF"/>
                <w:sz w:val="24"/>
                <w:highlight w:val="none"/>
                <w:lang w:val="en-US" w:eastAsia="zh-CN"/>
              </w:rPr>
              <w:t>80</w:t>
            </w:r>
            <w:r>
              <w:rPr>
                <w:rFonts w:hint="default" w:ascii="Times New Roman" w:hAnsi="Times New Roman" w:eastAsia="仿宋" w:cs="Times New Roman"/>
                <w:bCs/>
                <w:color w:val="0000FF"/>
                <w:sz w:val="24"/>
                <w:highlight w:val="none"/>
              </w:rPr>
              <w:t>%，则收集至布袋的</w:t>
            </w:r>
            <w:r>
              <w:rPr>
                <w:rFonts w:hint="default" w:ascii="Times New Roman" w:hAnsi="Times New Roman" w:eastAsia="仿宋" w:cs="Times New Roman"/>
                <w:bCs/>
                <w:color w:val="0000FF"/>
                <w:sz w:val="24"/>
                <w:highlight w:val="none"/>
                <w:lang w:val="en-US" w:eastAsia="zh-CN"/>
              </w:rPr>
              <w:t>废绒毛</w:t>
            </w:r>
            <w:r>
              <w:rPr>
                <w:rFonts w:hint="default" w:ascii="Times New Roman" w:hAnsi="Times New Roman" w:eastAsia="仿宋" w:cs="Times New Roman"/>
                <w:bCs/>
                <w:color w:val="0000FF"/>
                <w:sz w:val="24"/>
                <w:highlight w:val="none"/>
              </w:rPr>
              <w:t>约0.</w:t>
            </w:r>
            <w:r>
              <w:rPr>
                <w:rFonts w:hint="eastAsia" w:eastAsia="仿宋" w:cs="Times New Roman"/>
                <w:bCs/>
                <w:color w:val="0000FF"/>
                <w:sz w:val="24"/>
                <w:highlight w:val="none"/>
                <w:lang w:val="en-US" w:eastAsia="zh-CN"/>
              </w:rPr>
              <w:t>032</w:t>
            </w:r>
            <w:r>
              <w:rPr>
                <w:rFonts w:hint="default" w:ascii="Times New Roman" w:hAnsi="Times New Roman" w:eastAsia="仿宋" w:cs="Times New Roman"/>
                <w:bCs/>
                <w:color w:val="0000FF"/>
                <w:sz w:val="24"/>
                <w:highlight w:val="none"/>
              </w:rPr>
              <w:t>t/a</w:t>
            </w:r>
            <w:r>
              <w:rPr>
                <w:rFonts w:hint="eastAsia" w:eastAsia="仿宋" w:cs="Times New Roman"/>
                <w:bCs/>
                <w:color w:val="0000FF"/>
                <w:sz w:val="24"/>
                <w:highlight w:val="none"/>
                <w:lang w:eastAsia="zh-CN"/>
              </w:rPr>
              <w:t>。</w:t>
            </w:r>
            <w:r>
              <w:rPr>
                <w:rFonts w:hint="eastAsia" w:eastAsia="仿宋" w:cs="Times New Roman"/>
                <w:bCs/>
                <w:color w:val="0000FF"/>
                <w:sz w:val="24"/>
                <w:highlight w:val="none"/>
                <w:lang w:val="en-US" w:eastAsia="zh-CN"/>
              </w:rPr>
              <w:t>综废过滤棉和杂质产生量约为0.042t/a。</w:t>
            </w:r>
          </w:p>
          <w:p w14:paraId="62B8E7B6">
            <w:pPr>
              <w:adjustRightInd w:val="0"/>
              <w:snapToGrid w:val="0"/>
              <w:spacing w:line="360" w:lineRule="auto"/>
              <w:ind w:firstLine="480" w:firstLineChars="200"/>
              <w:rPr>
                <w:rFonts w:hint="eastAsia" w:eastAsia="仿宋" w:cs="Times New Roman"/>
                <w:bCs/>
                <w:color w:val="0000FF"/>
                <w:sz w:val="24"/>
                <w:highlight w:val="none"/>
                <w:lang w:val="en-US" w:eastAsia="zh-CN"/>
              </w:rPr>
            </w:pPr>
            <w:r>
              <w:rPr>
                <w:rFonts w:hint="eastAsia" w:eastAsia="仿宋" w:cs="Times New Roman"/>
                <w:bCs/>
                <w:color w:val="0000FF"/>
                <w:sz w:val="24"/>
                <w:highlight w:val="none"/>
                <w:lang w:val="en-US" w:eastAsia="zh-CN"/>
              </w:rPr>
              <w:t>⑨水旋废液</w:t>
            </w:r>
          </w:p>
          <w:p w14:paraId="29F48355">
            <w:pPr>
              <w:adjustRightInd w:val="0"/>
              <w:snapToGrid w:val="0"/>
              <w:spacing w:line="360" w:lineRule="auto"/>
              <w:ind w:firstLine="480" w:firstLineChars="200"/>
              <w:rPr>
                <w:rFonts w:hint="default" w:eastAsia="仿宋" w:cs="Times New Roman"/>
                <w:bCs/>
                <w:color w:val="0000FF"/>
                <w:sz w:val="24"/>
                <w:highlight w:val="none"/>
                <w:lang w:val="en-US" w:eastAsia="zh-CN"/>
              </w:rPr>
            </w:pPr>
            <w:r>
              <w:rPr>
                <w:rFonts w:hint="eastAsia" w:eastAsia="仿宋" w:cs="Times New Roman"/>
                <w:bCs/>
                <w:color w:val="0000FF"/>
                <w:sz w:val="24"/>
                <w:highlight w:val="none"/>
                <w:lang w:val="en-US" w:eastAsia="zh-CN"/>
              </w:rPr>
              <w:t>本项目使用水旋除尘器处理筛毛废气，除尘器使用的水每季度更换一次，根据上文计算水旋废液产生量约为2t/a。</w:t>
            </w:r>
          </w:p>
          <w:p w14:paraId="034E4CC8">
            <w:pPr>
              <w:wordWrap w:val="0"/>
              <w:spacing w:line="360" w:lineRule="auto"/>
              <w:ind w:firstLine="482"/>
              <w:rPr>
                <w:rFonts w:hint="default" w:ascii="Times New Roman" w:hAnsi="Times New Roman" w:eastAsia="仿宋" w:cs="Times New Roman"/>
                <w:color w:val="auto"/>
                <w:sz w:val="24"/>
                <w:highlight w:val="none"/>
              </w:rPr>
            </w:pPr>
            <w:r>
              <w:rPr>
                <w:rFonts w:hint="eastAsia" w:eastAsia="仿宋" w:cs="Times New Roman"/>
                <w:color w:val="auto"/>
                <w:sz w:val="24"/>
                <w:highlight w:val="none"/>
                <w:lang w:val="en-US" w:eastAsia="zh-CN"/>
              </w:rPr>
              <w:t>⑩</w:t>
            </w:r>
            <w:r>
              <w:rPr>
                <w:rFonts w:hint="default" w:ascii="Times New Roman" w:hAnsi="Times New Roman" w:eastAsia="仿宋" w:cs="Times New Roman"/>
                <w:color w:val="auto"/>
                <w:sz w:val="24"/>
                <w:highlight w:val="none"/>
              </w:rPr>
              <w:t>生活垃圾：职工办公生活产生的生活垃圾按0.5kg/人•d计，本项目</w:t>
            </w:r>
            <w:r>
              <w:rPr>
                <w:rFonts w:hint="default" w:ascii="Times New Roman" w:hAnsi="Times New Roman" w:eastAsia="仿宋" w:cs="Times New Roman"/>
                <w:color w:val="auto"/>
                <w:sz w:val="24"/>
                <w:highlight w:val="none"/>
                <w:lang w:val="en-US" w:eastAsia="zh-CN"/>
              </w:rPr>
              <w:t>新增</w:t>
            </w:r>
            <w:r>
              <w:rPr>
                <w:rFonts w:hint="default" w:ascii="Times New Roman" w:hAnsi="Times New Roman" w:eastAsia="仿宋" w:cs="Times New Roman"/>
                <w:color w:val="auto"/>
                <w:sz w:val="24"/>
                <w:highlight w:val="none"/>
              </w:rPr>
              <w:t>员工</w:t>
            </w:r>
            <w:r>
              <w:rPr>
                <w:rFonts w:hint="default" w:ascii="Times New Roman" w:hAnsi="Times New Roman" w:eastAsia="仿宋" w:cs="Times New Roman"/>
                <w:color w:val="auto"/>
                <w:sz w:val="24"/>
                <w:highlight w:val="none"/>
                <w:lang w:val="en-US" w:eastAsia="zh-CN"/>
              </w:rPr>
              <w:t>8</w:t>
            </w:r>
            <w:r>
              <w:rPr>
                <w:rFonts w:hint="default" w:ascii="Times New Roman" w:hAnsi="Times New Roman" w:eastAsia="仿宋" w:cs="Times New Roman"/>
                <w:color w:val="auto"/>
                <w:sz w:val="24"/>
                <w:highlight w:val="none"/>
              </w:rPr>
              <w:t>人，年运行时间</w:t>
            </w:r>
            <w:r>
              <w:rPr>
                <w:rFonts w:hint="default" w:ascii="Times New Roman" w:hAnsi="Times New Roman" w:eastAsia="仿宋" w:cs="Times New Roman"/>
                <w:color w:val="auto"/>
                <w:sz w:val="24"/>
                <w:highlight w:val="none"/>
                <w:lang w:val="en-US" w:eastAsia="zh-CN"/>
              </w:rPr>
              <w:t>300</w:t>
            </w:r>
            <w:r>
              <w:rPr>
                <w:rFonts w:hint="default" w:ascii="Times New Roman" w:hAnsi="Times New Roman" w:eastAsia="仿宋" w:cs="Times New Roman"/>
                <w:color w:val="auto"/>
                <w:sz w:val="24"/>
                <w:highlight w:val="none"/>
              </w:rPr>
              <w:t>天，则生活垃圾产生量约为</w:t>
            </w:r>
            <w:r>
              <w:rPr>
                <w:rFonts w:hint="default" w:ascii="Times New Roman" w:hAnsi="Times New Roman" w:eastAsia="仿宋" w:cs="Times New Roman"/>
                <w:color w:val="auto"/>
                <w:sz w:val="24"/>
                <w:highlight w:val="none"/>
                <w:lang w:val="en-US" w:eastAsia="zh-CN"/>
              </w:rPr>
              <w:t>1.2</w:t>
            </w:r>
            <w:r>
              <w:rPr>
                <w:rFonts w:hint="default" w:ascii="Times New Roman" w:hAnsi="Times New Roman" w:eastAsia="仿宋" w:cs="Times New Roman"/>
                <w:color w:val="auto"/>
                <w:sz w:val="24"/>
                <w:highlight w:val="none"/>
              </w:rPr>
              <w:t>t/a。</w:t>
            </w:r>
          </w:p>
          <w:p w14:paraId="0CC83BB2">
            <w:pPr>
              <w:wordWrap w:val="0"/>
              <w:spacing w:line="360" w:lineRule="auto"/>
              <w:ind w:firstLine="482"/>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2、固体废物属性判定</w:t>
            </w:r>
          </w:p>
          <w:p w14:paraId="6485B8C3">
            <w:pPr>
              <w:wordWrap w:val="0"/>
              <w:spacing w:line="360" w:lineRule="auto"/>
              <w:ind w:firstLine="482"/>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根据《中华人民共和国固体废物污染环境防治法》、《固体废物鉴别标准 通则》（</w:t>
            </w:r>
            <w:r>
              <w:rPr>
                <w:rFonts w:hint="default" w:ascii="Times New Roman" w:hAnsi="Times New Roman" w:eastAsia="仿宋" w:cs="Times New Roman"/>
                <w:color w:val="auto"/>
                <w:sz w:val="24"/>
                <w:highlight w:val="none"/>
                <w:lang w:eastAsia="zh-CN"/>
              </w:rPr>
              <w:t>GB 34330-2025</w:t>
            </w:r>
            <w:r>
              <w:rPr>
                <w:rFonts w:hint="default" w:ascii="Times New Roman" w:hAnsi="Times New Roman" w:eastAsia="仿宋" w:cs="Times New Roman"/>
                <w:color w:val="auto"/>
                <w:sz w:val="24"/>
                <w:highlight w:val="none"/>
              </w:rPr>
              <w:t>）、《建设项目危险废物环境影响评价指南》（环保部公告2017年第43号）和《关于贯彻落实建设项目危险废物环境影响评价指南要求的通知》（苏环办</w:t>
            </w:r>
            <w:r>
              <w:rPr>
                <w:rFonts w:hint="default" w:ascii="Times New Roman" w:hAnsi="Times New Roman" w:eastAsia="仿宋" w:cs="Times New Roman"/>
                <w:color w:val="auto"/>
                <w:sz w:val="24"/>
                <w:highlight w:val="none"/>
                <w:lang w:eastAsia="zh-CN"/>
              </w:rPr>
              <w:t>〔2018〕18号</w:t>
            </w:r>
            <w:r>
              <w:rPr>
                <w:rFonts w:hint="default" w:ascii="Times New Roman" w:hAnsi="Times New Roman" w:eastAsia="仿宋" w:cs="Times New Roman"/>
                <w:color w:val="auto"/>
                <w:sz w:val="24"/>
                <w:highlight w:val="none"/>
              </w:rPr>
              <w:t>）的规定，判断建设项目生产过程中产生的副产物是否属于固体废物，判定依据及结果见下表。</w:t>
            </w:r>
          </w:p>
          <w:p w14:paraId="1E949EAD">
            <w:pPr>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eastAsia" w:eastAsia="仿宋" w:cs="Times New Roman"/>
                <w:b/>
                <w:color w:val="auto"/>
                <w:sz w:val="24"/>
                <w:highlight w:val="none"/>
                <w:lang w:val="en-US" w:eastAsia="zh-CN"/>
              </w:rPr>
              <w:t>31</w:t>
            </w:r>
            <w:r>
              <w:rPr>
                <w:rFonts w:hint="default" w:ascii="Times New Roman" w:hAnsi="Times New Roman" w:eastAsia="仿宋" w:cs="Times New Roman"/>
                <w:b/>
                <w:color w:val="auto"/>
                <w:sz w:val="24"/>
                <w:highlight w:val="none"/>
              </w:rPr>
              <w:t xml:space="preserve">  建设项目副产物产生情况汇总表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84"/>
              <w:gridCol w:w="1196"/>
              <w:gridCol w:w="630"/>
              <w:gridCol w:w="1394"/>
              <w:gridCol w:w="852"/>
              <w:gridCol w:w="778"/>
              <w:gridCol w:w="778"/>
              <w:gridCol w:w="1460"/>
            </w:tblGrid>
            <w:tr w14:paraId="0BD59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restart"/>
                  <w:noWrap w:val="0"/>
                  <w:vAlign w:val="center"/>
                </w:tcPr>
                <w:p w14:paraId="6D76355F">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序号</w:t>
                  </w:r>
                </w:p>
              </w:tc>
              <w:tc>
                <w:tcPr>
                  <w:tcW w:w="526" w:type="pct"/>
                  <w:vMerge w:val="restart"/>
                  <w:noWrap w:val="0"/>
                  <w:vAlign w:val="center"/>
                </w:tcPr>
                <w:p w14:paraId="535E9129">
                  <w:pPr>
                    <w:adjustRightInd w:val="0"/>
                    <w:snapToGrid w:val="0"/>
                    <w:spacing w:line="276" w:lineRule="auto"/>
                    <w:ind w:left="-105" w:leftChars="-50" w:right="-105" w:rightChars="-5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副产物名称</w:t>
                  </w:r>
                </w:p>
              </w:tc>
              <w:tc>
                <w:tcPr>
                  <w:tcW w:w="712" w:type="pct"/>
                  <w:vMerge w:val="restart"/>
                  <w:noWrap w:val="0"/>
                  <w:vAlign w:val="center"/>
                </w:tcPr>
                <w:p w14:paraId="2DD3BEEB">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产生来源</w:t>
                  </w:r>
                </w:p>
              </w:tc>
              <w:tc>
                <w:tcPr>
                  <w:tcW w:w="375" w:type="pct"/>
                  <w:vMerge w:val="restart"/>
                  <w:noWrap w:val="0"/>
                  <w:vAlign w:val="center"/>
                </w:tcPr>
                <w:p w14:paraId="0C08BBE5">
                  <w:pPr>
                    <w:adjustRightInd w:val="0"/>
                    <w:snapToGrid w:val="0"/>
                    <w:spacing w:line="276" w:lineRule="auto"/>
                    <w:ind w:left="-105" w:leftChars="-50" w:right="-105" w:rightChars="-5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形态</w:t>
                  </w:r>
                </w:p>
              </w:tc>
              <w:tc>
                <w:tcPr>
                  <w:tcW w:w="830" w:type="pct"/>
                  <w:vMerge w:val="restart"/>
                  <w:noWrap w:val="0"/>
                  <w:vAlign w:val="center"/>
                </w:tcPr>
                <w:p w14:paraId="11CC565B">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主要成分</w:t>
                  </w:r>
                </w:p>
              </w:tc>
              <w:tc>
                <w:tcPr>
                  <w:tcW w:w="507" w:type="pct"/>
                  <w:vMerge w:val="restart"/>
                  <w:noWrap w:val="0"/>
                  <w:vAlign w:val="center"/>
                </w:tcPr>
                <w:p w14:paraId="7EA6C8D6">
                  <w:pPr>
                    <w:adjustRightInd w:val="0"/>
                    <w:snapToGrid w:val="0"/>
                    <w:spacing w:line="276" w:lineRule="auto"/>
                    <w:ind w:left="-105" w:leftChars="-50" w:right="-105" w:rightChars="-5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预测产生量(t/a)</w:t>
                  </w:r>
                </w:p>
              </w:tc>
              <w:tc>
                <w:tcPr>
                  <w:tcW w:w="1795" w:type="pct"/>
                  <w:gridSpan w:val="3"/>
                  <w:noWrap w:val="0"/>
                  <w:vAlign w:val="center"/>
                </w:tcPr>
                <w:p w14:paraId="5AAA0485">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种类判断</w:t>
                  </w:r>
                </w:p>
              </w:tc>
            </w:tr>
            <w:tr w14:paraId="1AFDB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noWrap w:val="0"/>
                  <w:vAlign w:val="center"/>
                </w:tcPr>
                <w:p w14:paraId="34F6D422">
                  <w:pPr>
                    <w:adjustRightInd w:val="0"/>
                    <w:snapToGrid w:val="0"/>
                    <w:spacing w:line="276" w:lineRule="auto"/>
                    <w:jc w:val="center"/>
                    <w:rPr>
                      <w:rFonts w:hint="default" w:ascii="Times New Roman" w:hAnsi="Times New Roman" w:eastAsia="仿宋" w:cs="Times New Roman"/>
                      <w:b/>
                      <w:color w:val="auto"/>
                      <w:sz w:val="18"/>
                      <w:szCs w:val="18"/>
                      <w:highlight w:val="none"/>
                    </w:rPr>
                  </w:pPr>
                </w:p>
              </w:tc>
              <w:tc>
                <w:tcPr>
                  <w:tcW w:w="526" w:type="pct"/>
                  <w:vMerge w:val="continue"/>
                  <w:noWrap w:val="0"/>
                  <w:vAlign w:val="center"/>
                </w:tcPr>
                <w:p w14:paraId="7DF76457">
                  <w:pPr>
                    <w:adjustRightInd w:val="0"/>
                    <w:snapToGrid w:val="0"/>
                    <w:spacing w:line="276" w:lineRule="auto"/>
                    <w:jc w:val="center"/>
                    <w:rPr>
                      <w:rFonts w:hint="default" w:ascii="Times New Roman" w:hAnsi="Times New Roman" w:eastAsia="仿宋" w:cs="Times New Roman"/>
                      <w:b/>
                      <w:color w:val="auto"/>
                      <w:sz w:val="18"/>
                      <w:szCs w:val="18"/>
                      <w:highlight w:val="none"/>
                    </w:rPr>
                  </w:pPr>
                </w:p>
              </w:tc>
              <w:tc>
                <w:tcPr>
                  <w:tcW w:w="712" w:type="pct"/>
                  <w:vMerge w:val="continue"/>
                  <w:noWrap w:val="0"/>
                  <w:vAlign w:val="center"/>
                </w:tcPr>
                <w:p w14:paraId="3E14DBA9">
                  <w:pPr>
                    <w:adjustRightInd w:val="0"/>
                    <w:snapToGrid w:val="0"/>
                    <w:spacing w:line="276" w:lineRule="auto"/>
                    <w:jc w:val="center"/>
                    <w:rPr>
                      <w:rFonts w:hint="default" w:ascii="Times New Roman" w:hAnsi="Times New Roman" w:eastAsia="仿宋" w:cs="Times New Roman"/>
                      <w:b/>
                      <w:color w:val="auto"/>
                      <w:sz w:val="18"/>
                      <w:szCs w:val="18"/>
                      <w:highlight w:val="none"/>
                    </w:rPr>
                  </w:pPr>
                </w:p>
              </w:tc>
              <w:tc>
                <w:tcPr>
                  <w:tcW w:w="375" w:type="pct"/>
                  <w:vMerge w:val="continue"/>
                  <w:noWrap w:val="0"/>
                  <w:vAlign w:val="center"/>
                </w:tcPr>
                <w:p w14:paraId="55CE286D">
                  <w:pPr>
                    <w:adjustRightInd w:val="0"/>
                    <w:snapToGrid w:val="0"/>
                    <w:spacing w:line="276" w:lineRule="auto"/>
                    <w:jc w:val="center"/>
                    <w:rPr>
                      <w:rFonts w:hint="default" w:ascii="Times New Roman" w:hAnsi="Times New Roman" w:eastAsia="仿宋" w:cs="Times New Roman"/>
                      <w:b/>
                      <w:color w:val="auto"/>
                      <w:sz w:val="18"/>
                      <w:szCs w:val="18"/>
                      <w:highlight w:val="none"/>
                    </w:rPr>
                  </w:pPr>
                </w:p>
              </w:tc>
              <w:tc>
                <w:tcPr>
                  <w:tcW w:w="830" w:type="pct"/>
                  <w:vMerge w:val="continue"/>
                  <w:noWrap w:val="0"/>
                  <w:vAlign w:val="center"/>
                </w:tcPr>
                <w:p w14:paraId="598BEF53">
                  <w:pPr>
                    <w:adjustRightInd w:val="0"/>
                    <w:snapToGrid w:val="0"/>
                    <w:spacing w:line="276" w:lineRule="auto"/>
                    <w:jc w:val="center"/>
                    <w:rPr>
                      <w:rFonts w:hint="default" w:ascii="Times New Roman" w:hAnsi="Times New Roman" w:eastAsia="仿宋" w:cs="Times New Roman"/>
                      <w:b/>
                      <w:color w:val="auto"/>
                      <w:sz w:val="18"/>
                      <w:szCs w:val="18"/>
                      <w:highlight w:val="none"/>
                    </w:rPr>
                  </w:pPr>
                </w:p>
              </w:tc>
              <w:tc>
                <w:tcPr>
                  <w:tcW w:w="507" w:type="pct"/>
                  <w:vMerge w:val="continue"/>
                  <w:noWrap w:val="0"/>
                  <w:vAlign w:val="center"/>
                </w:tcPr>
                <w:p w14:paraId="6FA81A34">
                  <w:pPr>
                    <w:adjustRightInd w:val="0"/>
                    <w:snapToGrid w:val="0"/>
                    <w:spacing w:line="276" w:lineRule="auto"/>
                    <w:jc w:val="center"/>
                    <w:rPr>
                      <w:rFonts w:hint="default" w:ascii="Times New Roman" w:hAnsi="Times New Roman" w:eastAsia="仿宋" w:cs="Times New Roman"/>
                      <w:b/>
                      <w:color w:val="auto"/>
                      <w:sz w:val="18"/>
                      <w:szCs w:val="18"/>
                      <w:highlight w:val="none"/>
                    </w:rPr>
                  </w:pPr>
                </w:p>
              </w:tc>
              <w:tc>
                <w:tcPr>
                  <w:tcW w:w="463" w:type="pct"/>
                  <w:noWrap w:val="0"/>
                  <w:vAlign w:val="center"/>
                </w:tcPr>
                <w:p w14:paraId="5569755E">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固体</w:t>
                  </w:r>
                </w:p>
                <w:p w14:paraId="1697404E">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废物</w:t>
                  </w:r>
                </w:p>
              </w:tc>
              <w:tc>
                <w:tcPr>
                  <w:tcW w:w="463" w:type="pct"/>
                  <w:noWrap w:val="0"/>
                  <w:vAlign w:val="center"/>
                </w:tcPr>
                <w:p w14:paraId="0988D41A">
                  <w:pPr>
                    <w:adjustRightInd w:val="0"/>
                    <w:snapToGrid w:val="0"/>
                    <w:spacing w:line="276" w:lineRule="auto"/>
                    <w:ind w:left="-105" w:leftChars="-50" w:right="-105" w:rightChars="-5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副产品</w:t>
                  </w:r>
                </w:p>
              </w:tc>
              <w:tc>
                <w:tcPr>
                  <w:tcW w:w="869" w:type="pct"/>
                  <w:noWrap w:val="0"/>
                  <w:vAlign w:val="center"/>
                </w:tcPr>
                <w:p w14:paraId="7AA1999C">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判定依据</w:t>
                  </w:r>
                </w:p>
              </w:tc>
            </w:tr>
            <w:tr w14:paraId="3401A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noWrap w:val="0"/>
                  <w:vAlign w:val="center"/>
                </w:tcPr>
                <w:p w14:paraId="369FEC77">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1</w:t>
                  </w:r>
                </w:p>
              </w:tc>
              <w:tc>
                <w:tcPr>
                  <w:tcW w:w="526" w:type="pct"/>
                  <w:noWrap w:val="0"/>
                  <w:vAlign w:val="center"/>
                </w:tcPr>
                <w:p w14:paraId="281B8D11">
                  <w:pPr>
                    <w:adjustRightInd w:val="0"/>
                    <w:snapToGrid w:val="0"/>
                    <w:spacing w:line="276" w:lineRule="auto"/>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lang w:val="en-US" w:eastAsia="zh-CN"/>
                    </w:rPr>
                    <w:t>废绒毛</w:t>
                  </w:r>
                </w:p>
              </w:tc>
              <w:tc>
                <w:tcPr>
                  <w:tcW w:w="712" w:type="pct"/>
                  <w:vMerge w:val="restart"/>
                  <w:noWrap w:val="0"/>
                  <w:vAlign w:val="center"/>
                </w:tcPr>
                <w:p w14:paraId="4070C094">
                  <w:pPr>
                    <w:adjustRightInd w:val="0"/>
                    <w:snapToGrid w:val="0"/>
                    <w:spacing w:line="276" w:lineRule="auto"/>
                    <w:jc w:val="center"/>
                    <w:rPr>
                      <w:rFonts w:hint="default" w:ascii="Times New Roman" w:hAnsi="Times New Roman" w:eastAsia="仿宋" w:cs="Times New Roman"/>
                      <w:color w:val="0000FF"/>
                      <w:sz w:val="18"/>
                      <w:szCs w:val="18"/>
                      <w:highlight w:val="none"/>
                      <w:lang w:eastAsia="zh-CN"/>
                    </w:rPr>
                  </w:pPr>
                  <w:r>
                    <w:rPr>
                      <w:rFonts w:hint="default" w:ascii="Times New Roman" w:hAnsi="Times New Roman" w:eastAsia="仿宋" w:cs="Times New Roman"/>
                      <w:color w:val="0000FF"/>
                      <w:sz w:val="18"/>
                      <w:szCs w:val="18"/>
                      <w:highlight w:val="none"/>
                      <w:lang w:val="en-US" w:eastAsia="zh-CN"/>
                    </w:rPr>
                    <w:t>废气治理</w:t>
                  </w:r>
                </w:p>
              </w:tc>
              <w:tc>
                <w:tcPr>
                  <w:tcW w:w="375" w:type="pct"/>
                  <w:noWrap w:val="0"/>
                  <w:vAlign w:val="center"/>
                </w:tcPr>
                <w:p w14:paraId="4E22A3DC">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lang w:val="en-US" w:eastAsia="zh-CN"/>
                    </w:rPr>
                    <w:t>固</w:t>
                  </w:r>
                  <w:r>
                    <w:rPr>
                      <w:rFonts w:hint="default" w:ascii="Times New Roman" w:hAnsi="Times New Roman" w:eastAsia="仿宋" w:cs="Times New Roman"/>
                      <w:color w:val="0000FF"/>
                      <w:sz w:val="18"/>
                      <w:szCs w:val="18"/>
                      <w:highlight w:val="none"/>
                    </w:rPr>
                    <w:t>态</w:t>
                  </w:r>
                </w:p>
              </w:tc>
              <w:tc>
                <w:tcPr>
                  <w:tcW w:w="830" w:type="pct"/>
                  <w:noWrap w:val="0"/>
                  <w:vAlign w:val="center"/>
                </w:tcPr>
                <w:p w14:paraId="279AA4B1">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lang w:val="en-US" w:eastAsia="zh-CN"/>
                    </w:rPr>
                  </w:pPr>
                  <w:r>
                    <w:rPr>
                      <w:rFonts w:hint="default" w:ascii="Times New Roman" w:hAnsi="Times New Roman" w:eastAsia="仿宋" w:cs="Times New Roman"/>
                      <w:color w:val="0000FF"/>
                      <w:sz w:val="18"/>
                      <w:szCs w:val="18"/>
                      <w:highlight w:val="none"/>
                      <w:lang w:val="en-US" w:eastAsia="zh-CN"/>
                    </w:rPr>
                    <w:t>尼龙</w:t>
                  </w:r>
                </w:p>
              </w:tc>
              <w:tc>
                <w:tcPr>
                  <w:tcW w:w="507" w:type="pct"/>
                  <w:noWrap w:val="0"/>
                  <w:vAlign w:val="center"/>
                </w:tcPr>
                <w:p w14:paraId="74A0667A">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r>
                    <w:rPr>
                      <w:rFonts w:hint="default" w:ascii="Times New Roman" w:hAnsi="Times New Roman" w:eastAsia="仿宋" w:cs="Times New Roman"/>
                      <w:color w:val="0000FF"/>
                      <w:sz w:val="18"/>
                      <w:szCs w:val="18"/>
                      <w:highlight w:val="none"/>
                      <w:lang w:val="en-US" w:eastAsia="zh-CN"/>
                    </w:rPr>
                    <w:t>0.</w:t>
                  </w:r>
                  <w:r>
                    <w:rPr>
                      <w:rFonts w:hint="eastAsia" w:eastAsia="仿宋" w:cs="Times New Roman"/>
                      <w:color w:val="0000FF"/>
                      <w:sz w:val="18"/>
                      <w:szCs w:val="18"/>
                      <w:highlight w:val="none"/>
                      <w:lang w:val="en-US" w:eastAsia="zh-CN"/>
                    </w:rPr>
                    <w:t>714</w:t>
                  </w:r>
                </w:p>
              </w:tc>
              <w:tc>
                <w:tcPr>
                  <w:tcW w:w="463" w:type="pct"/>
                  <w:noWrap w:val="0"/>
                  <w:vAlign w:val="center"/>
                </w:tcPr>
                <w:p w14:paraId="4DA22144">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w:t>
                  </w:r>
                </w:p>
              </w:tc>
              <w:tc>
                <w:tcPr>
                  <w:tcW w:w="463" w:type="pct"/>
                  <w:noWrap w:val="0"/>
                  <w:vAlign w:val="center"/>
                </w:tcPr>
                <w:p w14:paraId="2A528A6D">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w:t>
                  </w:r>
                </w:p>
              </w:tc>
              <w:tc>
                <w:tcPr>
                  <w:tcW w:w="869" w:type="pct"/>
                  <w:vMerge w:val="restart"/>
                  <w:noWrap w:val="0"/>
                  <w:vAlign w:val="center"/>
                </w:tcPr>
                <w:p w14:paraId="671E8549">
                  <w:pPr>
                    <w:adjustRightInd w:val="0"/>
                    <w:snapToGrid w:val="0"/>
                    <w:spacing w:line="276" w:lineRule="auto"/>
                    <w:ind w:left="-105" w:leftChars="-50" w:right="-105" w:rightChars="-5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color w:val="auto"/>
                      <w:sz w:val="18"/>
                      <w:szCs w:val="18"/>
                      <w:highlight w:val="none"/>
                    </w:rPr>
                    <w:t>《固体废物鉴别标准通则》（</w:t>
                  </w:r>
                  <w:r>
                    <w:rPr>
                      <w:rFonts w:hint="default" w:ascii="Times New Roman" w:hAnsi="Times New Roman" w:eastAsia="仿宋" w:cs="Times New Roman"/>
                      <w:color w:val="auto"/>
                      <w:sz w:val="18"/>
                      <w:szCs w:val="18"/>
                      <w:highlight w:val="none"/>
                      <w:lang w:eastAsia="zh-CN"/>
                    </w:rPr>
                    <w:t>GB 34330-2025</w:t>
                  </w:r>
                  <w:r>
                    <w:rPr>
                      <w:rFonts w:hint="default" w:ascii="Times New Roman" w:hAnsi="Times New Roman" w:eastAsia="仿宋" w:cs="Times New Roman"/>
                      <w:color w:val="auto"/>
                      <w:sz w:val="18"/>
                      <w:szCs w:val="18"/>
                      <w:highlight w:val="none"/>
                    </w:rPr>
                    <w:t>）</w:t>
                  </w:r>
                </w:p>
              </w:tc>
            </w:tr>
            <w:tr w14:paraId="53279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shd w:val="clear" w:color="auto" w:fill="auto"/>
                  <w:noWrap w:val="0"/>
                  <w:vAlign w:val="center"/>
                </w:tcPr>
                <w:p w14:paraId="732C13AD">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2</w:t>
                  </w:r>
                </w:p>
              </w:tc>
              <w:tc>
                <w:tcPr>
                  <w:tcW w:w="526" w:type="pct"/>
                  <w:noWrap w:val="0"/>
                  <w:vAlign w:val="center"/>
                </w:tcPr>
                <w:p w14:paraId="7ABA24CC">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废布袋</w:t>
                  </w:r>
                </w:p>
              </w:tc>
              <w:tc>
                <w:tcPr>
                  <w:tcW w:w="712" w:type="pct"/>
                  <w:vMerge w:val="continue"/>
                  <w:noWrap w:val="0"/>
                  <w:vAlign w:val="center"/>
                </w:tcPr>
                <w:p w14:paraId="4909DC12">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p>
              </w:tc>
              <w:tc>
                <w:tcPr>
                  <w:tcW w:w="375" w:type="pct"/>
                  <w:noWrap w:val="0"/>
                  <w:vAlign w:val="center"/>
                </w:tcPr>
                <w:p w14:paraId="5E6D5AB2">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固</w:t>
                  </w:r>
                  <w:r>
                    <w:rPr>
                      <w:rFonts w:hint="default" w:ascii="Times New Roman" w:hAnsi="Times New Roman" w:eastAsia="仿宋" w:cs="Times New Roman"/>
                      <w:color w:val="auto"/>
                      <w:sz w:val="18"/>
                      <w:szCs w:val="18"/>
                      <w:highlight w:val="none"/>
                    </w:rPr>
                    <w:t>态</w:t>
                  </w:r>
                </w:p>
              </w:tc>
              <w:tc>
                <w:tcPr>
                  <w:tcW w:w="830" w:type="pct"/>
                  <w:noWrap w:val="0"/>
                  <w:vAlign w:val="center"/>
                </w:tcPr>
                <w:p w14:paraId="78585CE9">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聚酯纤维</w:t>
                  </w:r>
                </w:p>
              </w:tc>
              <w:tc>
                <w:tcPr>
                  <w:tcW w:w="507" w:type="pct"/>
                  <w:noWrap w:val="0"/>
                  <w:vAlign w:val="center"/>
                </w:tcPr>
                <w:p w14:paraId="34C145BA">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0.</w:t>
                  </w:r>
                  <w:r>
                    <w:rPr>
                      <w:rFonts w:hint="default" w:ascii="Times New Roman" w:hAnsi="Times New Roman" w:eastAsia="仿宋" w:cs="Times New Roman"/>
                      <w:color w:val="auto"/>
                      <w:sz w:val="18"/>
                      <w:szCs w:val="18"/>
                      <w:highlight w:val="none"/>
                      <w:lang w:val="en-US" w:eastAsia="zh-CN"/>
                    </w:rPr>
                    <w:t>01</w:t>
                  </w:r>
                </w:p>
              </w:tc>
              <w:tc>
                <w:tcPr>
                  <w:tcW w:w="463" w:type="pct"/>
                  <w:shd w:val="clear" w:color="auto" w:fill="auto"/>
                  <w:noWrap w:val="0"/>
                  <w:vAlign w:val="center"/>
                </w:tcPr>
                <w:p w14:paraId="63B859D3">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w:t>
                  </w:r>
                </w:p>
              </w:tc>
              <w:tc>
                <w:tcPr>
                  <w:tcW w:w="463" w:type="pct"/>
                  <w:shd w:val="clear" w:color="auto" w:fill="auto"/>
                  <w:noWrap w:val="0"/>
                  <w:vAlign w:val="center"/>
                </w:tcPr>
                <w:p w14:paraId="2EFF1761">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w:t>
                  </w:r>
                </w:p>
              </w:tc>
              <w:tc>
                <w:tcPr>
                  <w:tcW w:w="869" w:type="pct"/>
                  <w:vMerge w:val="continue"/>
                  <w:noWrap w:val="0"/>
                  <w:vAlign w:val="center"/>
                </w:tcPr>
                <w:p w14:paraId="14E34B3E">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p>
              </w:tc>
            </w:tr>
            <w:tr w14:paraId="02098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shd w:val="clear" w:color="auto" w:fill="auto"/>
                  <w:noWrap w:val="0"/>
                  <w:vAlign w:val="center"/>
                </w:tcPr>
                <w:p w14:paraId="34B226AC">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3</w:t>
                  </w:r>
                </w:p>
              </w:tc>
              <w:tc>
                <w:tcPr>
                  <w:tcW w:w="526" w:type="pct"/>
                  <w:noWrap w:val="0"/>
                  <w:vAlign w:val="center"/>
                </w:tcPr>
                <w:p w14:paraId="45FD08D4">
                  <w:pPr>
                    <w:adjustRightInd w:val="0"/>
                    <w:snapToGrid w:val="0"/>
                    <w:spacing w:line="276" w:lineRule="auto"/>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废包装材料</w:t>
                  </w:r>
                </w:p>
              </w:tc>
              <w:tc>
                <w:tcPr>
                  <w:tcW w:w="712" w:type="pct"/>
                  <w:vMerge w:val="restart"/>
                  <w:noWrap w:val="0"/>
                  <w:vAlign w:val="center"/>
                </w:tcPr>
                <w:p w14:paraId="26574CDC">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原辅材料使用</w:t>
                  </w:r>
                </w:p>
              </w:tc>
              <w:tc>
                <w:tcPr>
                  <w:tcW w:w="375" w:type="pct"/>
                  <w:noWrap w:val="0"/>
                  <w:vAlign w:val="center"/>
                </w:tcPr>
                <w:p w14:paraId="3865E2E2">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固</w:t>
                  </w:r>
                  <w:r>
                    <w:rPr>
                      <w:rFonts w:hint="default" w:ascii="Times New Roman" w:hAnsi="Times New Roman" w:eastAsia="仿宋" w:cs="Times New Roman"/>
                      <w:color w:val="auto"/>
                      <w:sz w:val="18"/>
                      <w:szCs w:val="18"/>
                      <w:highlight w:val="none"/>
                    </w:rPr>
                    <w:t>态</w:t>
                  </w:r>
                </w:p>
              </w:tc>
              <w:tc>
                <w:tcPr>
                  <w:tcW w:w="830" w:type="pct"/>
                  <w:noWrap w:val="0"/>
                  <w:vAlign w:val="center"/>
                </w:tcPr>
                <w:p w14:paraId="2D5B1F0E">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塑料</w:t>
                  </w:r>
                </w:p>
              </w:tc>
              <w:tc>
                <w:tcPr>
                  <w:tcW w:w="507" w:type="pct"/>
                  <w:noWrap w:val="0"/>
                  <w:vAlign w:val="center"/>
                </w:tcPr>
                <w:p w14:paraId="27C8AEF0">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0.</w:t>
                  </w:r>
                  <w:r>
                    <w:rPr>
                      <w:rFonts w:hint="eastAsia" w:eastAsia="仿宋" w:cs="Times New Roman"/>
                      <w:color w:val="auto"/>
                      <w:sz w:val="18"/>
                      <w:szCs w:val="18"/>
                      <w:highlight w:val="none"/>
                      <w:lang w:val="en-US" w:eastAsia="zh-CN"/>
                    </w:rPr>
                    <w:t>26</w:t>
                  </w:r>
                </w:p>
              </w:tc>
              <w:tc>
                <w:tcPr>
                  <w:tcW w:w="463" w:type="pct"/>
                  <w:noWrap w:val="0"/>
                  <w:vAlign w:val="center"/>
                </w:tcPr>
                <w:p w14:paraId="188B6854">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w:t>
                  </w:r>
                </w:p>
              </w:tc>
              <w:tc>
                <w:tcPr>
                  <w:tcW w:w="463" w:type="pct"/>
                  <w:noWrap w:val="0"/>
                  <w:vAlign w:val="center"/>
                </w:tcPr>
                <w:p w14:paraId="096A1DD2">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w:t>
                  </w:r>
                </w:p>
              </w:tc>
              <w:tc>
                <w:tcPr>
                  <w:tcW w:w="869" w:type="pct"/>
                  <w:vMerge w:val="continue"/>
                  <w:noWrap w:val="0"/>
                  <w:vAlign w:val="center"/>
                </w:tcPr>
                <w:p w14:paraId="2E322912">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p>
              </w:tc>
            </w:tr>
            <w:tr w14:paraId="18670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shd w:val="clear" w:color="auto" w:fill="auto"/>
                  <w:noWrap w:val="0"/>
                  <w:vAlign w:val="center"/>
                </w:tcPr>
                <w:p w14:paraId="142EBBF0">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4</w:t>
                  </w:r>
                </w:p>
              </w:tc>
              <w:tc>
                <w:tcPr>
                  <w:tcW w:w="526" w:type="pct"/>
                  <w:noWrap w:val="0"/>
                  <w:vAlign w:val="center"/>
                </w:tcPr>
                <w:p w14:paraId="6E26B98A">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废包装桶</w:t>
                  </w:r>
                </w:p>
              </w:tc>
              <w:tc>
                <w:tcPr>
                  <w:tcW w:w="712" w:type="pct"/>
                  <w:vMerge w:val="continue"/>
                  <w:noWrap w:val="0"/>
                  <w:vAlign w:val="center"/>
                </w:tcPr>
                <w:p w14:paraId="0AB03D06">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375" w:type="pct"/>
                  <w:noWrap w:val="0"/>
                  <w:vAlign w:val="center"/>
                </w:tcPr>
                <w:p w14:paraId="42BBAFDF">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固态</w:t>
                  </w:r>
                </w:p>
              </w:tc>
              <w:tc>
                <w:tcPr>
                  <w:tcW w:w="830" w:type="pct"/>
                  <w:noWrap w:val="0"/>
                  <w:vAlign w:val="center"/>
                </w:tcPr>
                <w:p w14:paraId="59A8443B">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矿物油、胶粘剂、塑料、铁</w:t>
                  </w:r>
                </w:p>
              </w:tc>
              <w:tc>
                <w:tcPr>
                  <w:tcW w:w="507" w:type="pct"/>
                  <w:noWrap w:val="0"/>
                  <w:vAlign w:val="center"/>
                </w:tcPr>
                <w:p w14:paraId="7E64FCC5">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0.36</w:t>
                  </w:r>
                </w:p>
              </w:tc>
              <w:tc>
                <w:tcPr>
                  <w:tcW w:w="463" w:type="pct"/>
                  <w:noWrap w:val="0"/>
                  <w:vAlign w:val="center"/>
                </w:tcPr>
                <w:p w14:paraId="51494A2B">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w:t>
                  </w:r>
                </w:p>
              </w:tc>
              <w:tc>
                <w:tcPr>
                  <w:tcW w:w="463" w:type="pct"/>
                  <w:noWrap w:val="0"/>
                  <w:vAlign w:val="center"/>
                </w:tcPr>
                <w:p w14:paraId="755DE618">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w:t>
                  </w:r>
                </w:p>
              </w:tc>
              <w:tc>
                <w:tcPr>
                  <w:tcW w:w="869" w:type="pct"/>
                  <w:vMerge w:val="continue"/>
                  <w:noWrap w:val="0"/>
                  <w:vAlign w:val="center"/>
                </w:tcPr>
                <w:p w14:paraId="614EC9C8">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p>
              </w:tc>
            </w:tr>
            <w:tr w14:paraId="30C68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noWrap w:val="0"/>
                  <w:vAlign w:val="center"/>
                </w:tcPr>
                <w:p w14:paraId="5363FBDF">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kern w:val="2"/>
                      <w:sz w:val="18"/>
                      <w:szCs w:val="18"/>
                      <w:highlight w:val="none"/>
                      <w:lang w:val="en-US" w:eastAsia="zh-CN" w:bidi="ar-SA"/>
                    </w:rPr>
                    <w:t>5</w:t>
                  </w:r>
                </w:p>
              </w:tc>
              <w:tc>
                <w:tcPr>
                  <w:tcW w:w="526" w:type="pct"/>
                  <w:noWrap w:val="0"/>
                  <w:vAlign w:val="center"/>
                </w:tcPr>
                <w:p w14:paraId="6A750C78">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废活性炭</w:t>
                  </w:r>
                </w:p>
              </w:tc>
              <w:tc>
                <w:tcPr>
                  <w:tcW w:w="712" w:type="pct"/>
                  <w:vMerge w:val="restart"/>
                  <w:noWrap w:val="0"/>
                  <w:vAlign w:val="center"/>
                </w:tcPr>
                <w:p w14:paraId="036EC9A0">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废气治理</w:t>
                  </w:r>
                </w:p>
              </w:tc>
              <w:tc>
                <w:tcPr>
                  <w:tcW w:w="375" w:type="pct"/>
                  <w:noWrap w:val="0"/>
                  <w:vAlign w:val="center"/>
                </w:tcPr>
                <w:p w14:paraId="5AD96268">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固态</w:t>
                  </w:r>
                </w:p>
              </w:tc>
              <w:tc>
                <w:tcPr>
                  <w:tcW w:w="830" w:type="pct"/>
                  <w:noWrap w:val="0"/>
                  <w:vAlign w:val="center"/>
                </w:tcPr>
                <w:p w14:paraId="0690EAA1">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活性炭、VOCs</w:t>
                  </w:r>
                </w:p>
              </w:tc>
              <w:tc>
                <w:tcPr>
                  <w:tcW w:w="507" w:type="pct"/>
                  <w:noWrap w:val="0"/>
                  <w:vAlign w:val="center"/>
                </w:tcPr>
                <w:p w14:paraId="3A518E29">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3.292</w:t>
                  </w:r>
                </w:p>
              </w:tc>
              <w:tc>
                <w:tcPr>
                  <w:tcW w:w="463" w:type="pct"/>
                  <w:noWrap w:val="0"/>
                  <w:vAlign w:val="center"/>
                </w:tcPr>
                <w:p w14:paraId="2D7A935C">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w:t>
                  </w:r>
                </w:p>
              </w:tc>
              <w:tc>
                <w:tcPr>
                  <w:tcW w:w="463" w:type="pct"/>
                  <w:noWrap w:val="0"/>
                  <w:vAlign w:val="center"/>
                </w:tcPr>
                <w:p w14:paraId="0DDF9DFA">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w:t>
                  </w:r>
                </w:p>
              </w:tc>
              <w:tc>
                <w:tcPr>
                  <w:tcW w:w="869" w:type="pct"/>
                  <w:vMerge w:val="continue"/>
                  <w:noWrap w:val="0"/>
                  <w:vAlign w:val="center"/>
                </w:tcPr>
                <w:p w14:paraId="4246E500">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p>
              </w:tc>
            </w:tr>
            <w:tr w14:paraId="294FC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shd w:val="clear" w:color="auto" w:fill="auto"/>
                  <w:noWrap w:val="0"/>
                  <w:vAlign w:val="center"/>
                </w:tcPr>
                <w:p w14:paraId="27AB0A20">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kern w:val="2"/>
                      <w:sz w:val="18"/>
                      <w:szCs w:val="18"/>
                      <w:highlight w:val="none"/>
                      <w:lang w:val="en-US" w:eastAsia="zh-CN" w:bidi="ar-SA"/>
                    </w:rPr>
                    <w:t>6</w:t>
                  </w:r>
                </w:p>
              </w:tc>
              <w:tc>
                <w:tcPr>
                  <w:tcW w:w="526" w:type="pct"/>
                  <w:noWrap w:val="0"/>
                  <w:vAlign w:val="center"/>
                </w:tcPr>
                <w:p w14:paraId="5ED92902">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废过滤棉和杂质</w:t>
                  </w:r>
                </w:p>
              </w:tc>
              <w:tc>
                <w:tcPr>
                  <w:tcW w:w="712" w:type="pct"/>
                  <w:vMerge w:val="continue"/>
                  <w:noWrap w:val="0"/>
                  <w:vAlign w:val="center"/>
                </w:tcPr>
                <w:p w14:paraId="70E9ABDB">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p>
              </w:tc>
              <w:tc>
                <w:tcPr>
                  <w:tcW w:w="375" w:type="pct"/>
                  <w:noWrap w:val="0"/>
                  <w:vAlign w:val="center"/>
                </w:tcPr>
                <w:p w14:paraId="0C555A0F">
                  <w:pPr>
                    <w:adjustRightInd w:val="0"/>
                    <w:snapToGrid w:val="0"/>
                    <w:spacing w:line="276" w:lineRule="auto"/>
                    <w:ind w:left="-105" w:leftChars="-50" w:right="-105" w:rightChars="-50"/>
                    <w:jc w:val="center"/>
                    <w:rPr>
                      <w:rFonts w:hint="eastAsia"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固废</w:t>
                  </w:r>
                </w:p>
              </w:tc>
              <w:tc>
                <w:tcPr>
                  <w:tcW w:w="830" w:type="pct"/>
                  <w:noWrap w:val="0"/>
                  <w:vAlign w:val="center"/>
                </w:tcPr>
                <w:p w14:paraId="420AD9BA">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过滤棉、杂质</w:t>
                  </w:r>
                </w:p>
              </w:tc>
              <w:tc>
                <w:tcPr>
                  <w:tcW w:w="507" w:type="pct"/>
                  <w:noWrap w:val="0"/>
                  <w:vAlign w:val="center"/>
                </w:tcPr>
                <w:p w14:paraId="11805A77">
                  <w:pPr>
                    <w:adjustRightInd w:val="0"/>
                    <w:snapToGrid w:val="0"/>
                    <w:spacing w:line="276" w:lineRule="auto"/>
                    <w:jc w:val="center"/>
                    <w:rPr>
                      <w:rFonts w:hint="default"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0.042</w:t>
                  </w:r>
                </w:p>
              </w:tc>
              <w:tc>
                <w:tcPr>
                  <w:tcW w:w="463" w:type="pct"/>
                  <w:noWrap w:val="0"/>
                  <w:vAlign w:val="center"/>
                </w:tcPr>
                <w:p w14:paraId="169947C3">
                  <w:pPr>
                    <w:adjustRightInd w:val="0"/>
                    <w:snapToGrid w:val="0"/>
                    <w:spacing w:line="276" w:lineRule="auto"/>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w:t>
                  </w:r>
                </w:p>
              </w:tc>
              <w:tc>
                <w:tcPr>
                  <w:tcW w:w="463" w:type="pct"/>
                  <w:noWrap w:val="0"/>
                  <w:vAlign w:val="center"/>
                </w:tcPr>
                <w:p w14:paraId="04C68EE9">
                  <w:pPr>
                    <w:adjustRightInd w:val="0"/>
                    <w:snapToGrid w:val="0"/>
                    <w:spacing w:line="276" w:lineRule="auto"/>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w:t>
                  </w:r>
                </w:p>
              </w:tc>
              <w:tc>
                <w:tcPr>
                  <w:tcW w:w="869" w:type="pct"/>
                  <w:vMerge w:val="continue"/>
                  <w:noWrap w:val="0"/>
                  <w:vAlign w:val="center"/>
                </w:tcPr>
                <w:p w14:paraId="6B84AA40">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p>
              </w:tc>
            </w:tr>
            <w:tr w14:paraId="44262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shd w:val="clear" w:color="auto" w:fill="auto"/>
                  <w:noWrap w:val="0"/>
                  <w:vAlign w:val="center"/>
                </w:tcPr>
                <w:p w14:paraId="7231F1D6">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7</w:t>
                  </w:r>
                </w:p>
              </w:tc>
              <w:tc>
                <w:tcPr>
                  <w:tcW w:w="526" w:type="pct"/>
                  <w:noWrap w:val="0"/>
                  <w:vAlign w:val="center"/>
                </w:tcPr>
                <w:p w14:paraId="5D958A95">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水旋废液</w:t>
                  </w:r>
                </w:p>
              </w:tc>
              <w:tc>
                <w:tcPr>
                  <w:tcW w:w="712" w:type="pct"/>
                  <w:vMerge w:val="continue"/>
                  <w:noWrap w:val="0"/>
                  <w:vAlign w:val="center"/>
                </w:tcPr>
                <w:p w14:paraId="57BE25E9">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p>
              </w:tc>
              <w:tc>
                <w:tcPr>
                  <w:tcW w:w="375" w:type="pct"/>
                  <w:noWrap w:val="0"/>
                  <w:vAlign w:val="center"/>
                </w:tcPr>
                <w:p w14:paraId="463DD032">
                  <w:pPr>
                    <w:adjustRightInd w:val="0"/>
                    <w:snapToGrid w:val="0"/>
                    <w:spacing w:line="276" w:lineRule="auto"/>
                    <w:ind w:left="-105" w:leftChars="-50" w:right="-105" w:rightChars="-50"/>
                    <w:jc w:val="center"/>
                    <w:rPr>
                      <w:rFonts w:hint="eastAsia"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液体</w:t>
                  </w:r>
                </w:p>
              </w:tc>
              <w:tc>
                <w:tcPr>
                  <w:tcW w:w="830" w:type="pct"/>
                  <w:noWrap w:val="0"/>
                  <w:vAlign w:val="center"/>
                </w:tcPr>
                <w:p w14:paraId="0AA60BDD">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水、杂质</w:t>
                  </w:r>
                </w:p>
              </w:tc>
              <w:tc>
                <w:tcPr>
                  <w:tcW w:w="507" w:type="pct"/>
                  <w:noWrap w:val="0"/>
                  <w:vAlign w:val="center"/>
                </w:tcPr>
                <w:p w14:paraId="7BE8FB48">
                  <w:pPr>
                    <w:adjustRightInd w:val="0"/>
                    <w:snapToGrid w:val="0"/>
                    <w:spacing w:line="276" w:lineRule="auto"/>
                    <w:jc w:val="center"/>
                    <w:rPr>
                      <w:rFonts w:hint="default"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2</w:t>
                  </w:r>
                </w:p>
              </w:tc>
              <w:tc>
                <w:tcPr>
                  <w:tcW w:w="463" w:type="pct"/>
                  <w:noWrap w:val="0"/>
                  <w:vAlign w:val="center"/>
                </w:tcPr>
                <w:p w14:paraId="3BBB71AF">
                  <w:pPr>
                    <w:adjustRightInd w:val="0"/>
                    <w:snapToGrid w:val="0"/>
                    <w:spacing w:line="276" w:lineRule="auto"/>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w:t>
                  </w:r>
                </w:p>
              </w:tc>
              <w:tc>
                <w:tcPr>
                  <w:tcW w:w="463" w:type="pct"/>
                  <w:noWrap w:val="0"/>
                  <w:vAlign w:val="center"/>
                </w:tcPr>
                <w:p w14:paraId="26AF1A58">
                  <w:pPr>
                    <w:adjustRightInd w:val="0"/>
                    <w:snapToGrid w:val="0"/>
                    <w:spacing w:line="276" w:lineRule="auto"/>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w:t>
                  </w:r>
                </w:p>
              </w:tc>
              <w:tc>
                <w:tcPr>
                  <w:tcW w:w="869" w:type="pct"/>
                  <w:vMerge w:val="continue"/>
                  <w:noWrap w:val="0"/>
                  <w:vAlign w:val="center"/>
                </w:tcPr>
                <w:p w14:paraId="0EA0D7B8">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p>
              </w:tc>
            </w:tr>
            <w:tr w14:paraId="6E704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noWrap w:val="0"/>
                  <w:vAlign w:val="center"/>
                </w:tcPr>
                <w:p w14:paraId="0993F097">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eastAsia" w:eastAsia="仿宋" w:cs="Times New Roman"/>
                      <w:color w:val="auto"/>
                      <w:kern w:val="2"/>
                      <w:sz w:val="18"/>
                      <w:szCs w:val="18"/>
                      <w:highlight w:val="none"/>
                      <w:lang w:val="en-US" w:eastAsia="zh-CN" w:bidi="ar-SA"/>
                    </w:rPr>
                    <w:t>8</w:t>
                  </w:r>
                </w:p>
              </w:tc>
              <w:tc>
                <w:tcPr>
                  <w:tcW w:w="526" w:type="pct"/>
                  <w:noWrap w:val="0"/>
                  <w:vAlign w:val="center"/>
                </w:tcPr>
                <w:p w14:paraId="66CA2BB3">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含油废抹布及手套</w:t>
                  </w:r>
                </w:p>
              </w:tc>
              <w:tc>
                <w:tcPr>
                  <w:tcW w:w="712" w:type="pct"/>
                  <w:noWrap w:val="0"/>
                  <w:vAlign w:val="center"/>
                </w:tcPr>
                <w:p w14:paraId="08A6CC07">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设备维护操作</w:t>
                  </w:r>
                </w:p>
              </w:tc>
              <w:tc>
                <w:tcPr>
                  <w:tcW w:w="375" w:type="pct"/>
                  <w:noWrap w:val="0"/>
                  <w:vAlign w:val="center"/>
                </w:tcPr>
                <w:p w14:paraId="1C5382A5">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固态</w:t>
                  </w:r>
                </w:p>
              </w:tc>
              <w:tc>
                <w:tcPr>
                  <w:tcW w:w="830" w:type="pct"/>
                  <w:noWrap w:val="0"/>
                  <w:vAlign w:val="center"/>
                </w:tcPr>
                <w:p w14:paraId="624FADE2">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棉纱、矿物油</w:t>
                  </w:r>
                </w:p>
              </w:tc>
              <w:tc>
                <w:tcPr>
                  <w:tcW w:w="507" w:type="pct"/>
                  <w:noWrap w:val="0"/>
                  <w:vAlign w:val="center"/>
                </w:tcPr>
                <w:p w14:paraId="36DE3557">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0.05</w:t>
                  </w:r>
                </w:p>
              </w:tc>
              <w:tc>
                <w:tcPr>
                  <w:tcW w:w="463" w:type="pct"/>
                  <w:shd w:val="clear" w:color="auto" w:fill="auto"/>
                  <w:noWrap w:val="0"/>
                  <w:vAlign w:val="center"/>
                </w:tcPr>
                <w:p w14:paraId="031FED35">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w:t>
                  </w:r>
                </w:p>
              </w:tc>
              <w:tc>
                <w:tcPr>
                  <w:tcW w:w="463" w:type="pct"/>
                  <w:shd w:val="clear" w:color="auto" w:fill="auto"/>
                  <w:noWrap w:val="0"/>
                  <w:vAlign w:val="center"/>
                </w:tcPr>
                <w:p w14:paraId="26D2DAA0">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w:t>
                  </w:r>
                </w:p>
              </w:tc>
              <w:tc>
                <w:tcPr>
                  <w:tcW w:w="869" w:type="pct"/>
                  <w:vMerge w:val="continue"/>
                  <w:noWrap w:val="0"/>
                  <w:vAlign w:val="center"/>
                </w:tcPr>
                <w:p w14:paraId="47704EFA">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p>
              </w:tc>
            </w:tr>
            <w:tr w14:paraId="0FB4E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shd w:val="clear" w:color="auto" w:fill="auto"/>
                  <w:noWrap w:val="0"/>
                  <w:vAlign w:val="center"/>
                </w:tcPr>
                <w:p w14:paraId="7C329978">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9</w:t>
                  </w:r>
                </w:p>
              </w:tc>
              <w:tc>
                <w:tcPr>
                  <w:tcW w:w="526" w:type="pct"/>
                  <w:shd w:val="clear" w:color="auto" w:fill="auto"/>
                  <w:noWrap w:val="0"/>
                  <w:vAlign w:val="center"/>
                </w:tcPr>
                <w:p w14:paraId="2C73769F">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生活垃圾</w:t>
                  </w:r>
                </w:p>
              </w:tc>
              <w:tc>
                <w:tcPr>
                  <w:tcW w:w="712" w:type="pct"/>
                  <w:shd w:val="clear" w:color="auto" w:fill="auto"/>
                  <w:noWrap w:val="0"/>
                  <w:vAlign w:val="center"/>
                </w:tcPr>
                <w:p w14:paraId="466B4974">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办公、生活</w:t>
                  </w:r>
                </w:p>
              </w:tc>
              <w:tc>
                <w:tcPr>
                  <w:tcW w:w="375" w:type="pct"/>
                  <w:shd w:val="clear" w:color="auto" w:fill="auto"/>
                  <w:noWrap w:val="0"/>
                  <w:vAlign w:val="center"/>
                </w:tcPr>
                <w:p w14:paraId="63B9DBF3">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半固态</w:t>
                  </w:r>
                </w:p>
              </w:tc>
              <w:tc>
                <w:tcPr>
                  <w:tcW w:w="830" w:type="pct"/>
                  <w:shd w:val="clear" w:color="auto" w:fill="auto"/>
                  <w:noWrap w:val="0"/>
                  <w:vAlign w:val="center"/>
                </w:tcPr>
                <w:p w14:paraId="62728444">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废塑料、废纸等</w:t>
                  </w:r>
                </w:p>
              </w:tc>
              <w:tc>
                <w:tcPr>
                  <w:tcW w:w="507" w:type="pct"/>
                  <w:shd w:val="clear" w:color="auto" w:fill="auto"/>
                  <w:noWrap w:val="0"/>
                  <w:vAlign w:val="center"/>
                </w:tcPr>
                <w:p w14:paraId="0ADA7813">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1.2</w:t>
                  </w:r>
                </w:p>
              </w:tc>
              <w:tc>
                <w:tcPr>
                  <w:tcW w:w="463" w:type="pct"/>
                  <w:shd w:val="clear" w:color="auto" w:fill="auto"/>
                  <w:noWrap w:val="0"/>
                  <w:vAlign w:val="center"/>
                </w:tcPr>
                <w:p w14:paraId="087C6076">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w:t>
                  </w:r>
                </w:p>
              </w:tc>
              <w:tc>
                <w:tcPr>
                  <w:tcW w:w="463" w:type="pct"/>
                  <w:shd w:val="clear" w:color="auto" w:fill="auto"/>
                  <w:noWrap w:val="0"/>
                  <w:vAlign w:val="center"/>
                </w:tcPr>
                <w:p w14:paraId="2F710889">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w:t>
                  </w:r>
                </w:p>
              </w:tc>
              <w:tc>
                <w:tcPr>
                  <w:tcW w:w="869" w:type="pct"/>
                  <w:vMerge w:val="continue"/>
                  <w:noWrap w:val="0"/>
                  <w:vAlign w:val="center"/>
                </w:tcPr>
                <w:p w14:paraId="27C878E1">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p>
              </w:tc>
            </w:tr>
          </w:tbl>
          <w:p w14:paraId="767E9DCE">
            <w:pPr>
              <w:spacing w:before="120" w:beforeLines="50" w:line="360" w:lineRule="auto"/>
              <w:ind w:firstLine="480" w:firstLineChars="200"/>
              <w:rPr>
                <w:rFonts w:hint="default" w:ascii="Times New Roman" w:hAnsi="Times New Roman" w:eastAsia="仿宋" w:cs="Times New Roman"/>
                <w:b/>
                <w:color w:val="auto"/>
                <w:szCs w:val="28"/>
                <w:highlight w:val="none"/>
              </w:rPr>
            </w:pPr>
            <w:r>
              <w:rPr>
                <w:rFonts w:hint="default" w:ascii="Times New Roman" w:hAnsi="Times New Roman" w:eastAsia="仿宋" w:cs="Times New Roman"/>
                <w:color w:val="auto"/>
                <w:sz w:val="24"/>
                <w:highlight w:val="none"/>
              </w:rPr>
              <w:t>3、固体废物产生情况汇总</w:t>
            </w:r>
          </w:p>
          <w:p w14:paraId="469472FB">
            <w:pPr>
              <w:tabs>
                <w:tab w:val="left" w:pos="1728"/>
              </w:tabs>
              <w:adjustRightInd w:val="0"/>
              <w:snapToGrid w:val="0"/>
              <w:spacing w:line="360" w:lineRule="auto"/>
              <w:ind w:firstLine="456" w:firstLineChars="200"/>
              <w:rPr>
                <w:rFonts w:hint="default" w:ascii="Times New Roman" w:hAnsi="Times New Roman" w:eastAsia="仿宋" w:cs="Times New Roman"/>
                <w:color w:val="auto"/>
                <w:spacing w:val="-6"/>
                <w:sz w:val="24"/>
                <w:highlight w:val="none"/>
              </w:rPr>
            </w:pPr>
            <w:r>
              <w:rPr>
                <w:rFonts w:hint="default" w:ascii="Times New Roman" w:hAnsi="Times New Roman" w:eastAsia="仿宋" w:cs="Times New Roman"/>
                <w:color w:val="auto"/>
                <w:spacing w:val="-6"/>
                <w:sz w:val="24"/>
                <w:highlight w:val="none"/>
              </w:rPr>
              <w:t>根据《国家危险废物名录》</w:t>
            </w:r>
            <w:r>
              <w:rPr>
                <w:rFonts w:hint="default" w:ascii="Times New Roman" w:hAnsi="Times New Roman" w:eastAsia="仿宋" w:cs="Times New Roman"/>
                <w:color w:val="auto"/>
                <w:spacing w:val="-6"/>
                <w:sz w:val="24"/>
                <w:highlight w:val="none"/>
                <w:lang w:val="en-US" w:eastAsia="zh-CN"/>
              </w:rPr>
              <w:t>(</w:t>
            </w:r>
            <w:r>
              <w:rPr>
                <w:rFonts w:hint="default" w:ascii="Times New Roman" w:hAnsi="Times New Roman" w:eastAsia="仿宋" w:cs="Times New Roman"/>
                <w:color w:val="auto"/>
                <w:spacing w:val="-6"/>
                <w:sz w:val="24"/>
                <w:highlight w:val="none"/>
              </w:rPr>
              <w:t>2025年版</w:t>
            </w:r>
            <w:r>
              <w:rPr>
                <w:rFonts w:hint="default" w:ascii="Times New Roman" w:hAnsi="Times New Roman" w:eastAsia="仿宋" w:cs="Times New Roman"/>
                <w:color w:val="auto"/>
                <w:spacing w:val="-6"/>
                <w:sz w:val="24"/>
                <w:highlight w:val="none"/>
                <w:lang w:val="en-US" w:eastAsia="zh-CN"/>
              </w:rPr>
              <w:t>)</w:t>
            </w:r>
            <w:r>
              <w:rPr>
                <w:rFonts w:hint="default" w:ascii="Times New Roman" w:hAnsi="Times New Roman" w:eastAsia="仿宋" w:cs="Times New Roman"/>
                <w:color w:val="auto"/>
                <w:spacing w:val="-6"/>
                <w:sz w:val="24"/>
                <w:highlight w:val="none"/>
              </w:rPr>
              <w:t>，判定建设项目固体废物是否属于危险固废。建设项目固体废物产生情况汇总见表4-</w:t>
            </w:r>
            <w:r>
              <w:rPr>
                <w:rFonts w:hint="default" w:ascii="Times New Roman" w:hAnsi="Times New Roman" w:eastAsia="仿宋" w:cs="Times New Roman"/>
                <w:color w:val="auto"/>
                <w:spacing w:val="-6"/>
                <w:sz w:val="24"/>
                <w:highlight w:val="none"/>
                <w:lang w:val="en-US" w:eastAsia="zh-CN"/>
              </w:rPr>
              <w:t>3</w:t>
            </w:r>
            <w:r>
              <w:rPr>
                <w:rFonts w:hint="eastAsia" w:eastAsia="仿宋" w:cs="Times New Roman"/>
                <w:color w:val="auto"/>
                <w:spacing w:val="-6"/>
                <w:sz w:val="24"/>
                <w:highlight w:val="none"/>
                <w:lang w:val="en-US" w:eastAsia="zh-CN"/>
              </w:rPr>
              <w:t>2</w:t>
            </w:r>
            <w:r>
              <w:rPr>
                <w:rFonts w:hint="default" w:ascii="Times New Roman" w:hAnsi="Times New Roman" w:eastAsia="仿宋" w:cs="Times New Roman"/>
                <w:color w:val="auto"/>
                <w:spacing w:val="-6"/>
                <w:sz w:val="24"/>
                <w:highlight w:val="none"/>
              </w:rPr>
              <w:t>。危险废物汇总见表4-</w:t>
            </w:r>
            <w:r>
              <w:rPr>
                <w:rFonts w:hint="default" w:ascii="Times New Roman" w:hAnsi="Times New Roman" w:eastAsia="仿宋" w:cs="Times New Roman"/>
                <w:color w:val="auto"/>
                <w:spacing w:val="-6"/>
                <w:sz w:val="24"/>
                <w:highlight w:val="none"/>
                <w:lang w:val="en-US" w:eastAsia="zh-CN"/>
              </w:rPr>
              <w:t>3</w:t>
            </w:r>
            <w:r>
              <w:rPr>
                <w:rFonts w:hint="eastAsia" w:eastAsia="仿宋" w:cs="Times New Roman"/>
                <w:color w:val="auto"/>
                <w:spacing w:val="-6"/>
                <w:sz w:val="24"/>
                <w:highlight w:val="none"/>
                <w:lang w:val="en-US" w:eastAsia="zh-CN"/>
              </w:rPr>
              <w:t>3</w:t>
            </w:r>
            <w:r>
              <w:rPr>
                <w:rFonts w:hint="default" w:ascii="Times New Roman" w:hAnsi="Times New Roman" w:eastAsia="仿宋" w:cs="Times New Roman"/>
                <w:color w:val="auto"/>
                <w:spacing w:val="-6"/>
                <w:sz w:val="24"/>
                <w:highlight w:val="none"/>
              </w:rPr>
              <w:t>。</w:t>
            </w:r>
          </w:p>
          <w:p w14:paraId="7DD77925">
            <w:pPr>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default" w:ascii="Times New Roman" w:hAnsi="Times New Roman" w:eastAsia="仿宋" w:cs="Times New Roman"/>
                <w:b/>
                <w:color w:val="auto"/>
                <w:sz w:val="24"/>
                <w:highlight w:val="none"/>
                <w:lang w:val="en-US" w:eastAsia="zh-CN"/>
              </w:rPr>
              <w:t>3</w:t>
            </w:r>
            <w:r>
              <w:rPr>
                <w:rFonts w:hint="eastAsia" w:eastAsia="仿宋" w:cs="Times New Roman"/>
                <w:b/>
                <w:color w:val="auto"/>
                <w:sz w:val="24"/>
                <w:highlight w:val="none"/>
                <w:lang w:val="en-US" w:eastAsia="zh-CN"/>
              </w:rPr>
              <w:t>2</w:t>
            </w:r>
            <w:r>
              <w:rPr>
                <w:rFonts w:hint="default" w:ascii="Times New Roman" w:hAnsi="Times New Roman" w:eastAsia="仿宋" w:cs="Times New Roman"/>
                <w:b/>
                <w:color w:val="auto"/>
                <w:sz w:val="24"/>
                <w:highlight w:val="none"/>
              </w:rPr>
              <w:t xml:space="preserve">  固体废物产生情况汇总表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26"/>
              <w:gridCol w:w="871"/>
              <w:gridCol w:w="1089"/>
              <w:gridCol w:w="526"/>
              <w:gridCol w:w="482"/>
              <w:gridCol w:w="1242"/>
              <w:gridCol w:w="642"/>
              <w:gridCol w:w="571"/>
              <w:gridCol w:w="891"/>
              <w:gridCol w:w="1113"/>
              <w:gridCol w:w="644"/>
            </w:tblGrid>
            <w:tr w14:paraId="06E59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4" w:type="pct"/>
                  <w:tcBorders>
                    <w:tl2br w:val="nil"/>
                    <w:tr2bl w:val="nil"/>
                  </w:tcBorders>
                  <w:noWrap w:val="0"/>
                  <w:vAlign w:val="center"/>
                </w:tcPr>
                <w:p w14:paraId="2840511C">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序号</w:t>
                  </w:r>
                </w:p>
              </w:tc>
              <w:tc>
                <w:tcPr>
                  <w:tcW w:w="518" w:type="pct"/>
                  <w:tcBorders>
                    <w:tl2br w:val="nil"/>
                    <w:tr2bl w:val="nil"/>
                  </w:tcBorders>
                  <w:noWrap w:val="0"/>
                  <w:vAlign w:val="center"/>
                </w:tcPr>
                <w:p w14:paraId="09AFC0E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固废名称</w:t>
                  </w:r>
                </w:p>
              </w:tc>
              <w:tc>
                <w:tcPr>
                  <w:tcW w:w="648" w:type="pct"/>
                  <w:tcBorders>
                    <w:tl2br w:val="nil"/>
                    <w:tr2bl w:val="nil"/>
                  </w:tcBorders>
                  <w:noWrap w:val="0"/>
                  <w:vAlign w:val="center"/>
                </w:tcPr>
                <w:p w14:paraId="1D585B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属性(危险废物、一般工业固体废物或待鉴别)</w:t>
                  </w:r>
                </w:p>
              </w:tc>
              <w:tc>
                <w:tcPr>
                  <w:tcW w:w="313" w:type="pct"/>
                  <w:tcBorders>
                    <w:tl2br w:val="nil"/>
                    <w:tr2bl w:val="nil"/>
                  </w:tcBorders>
                  <w:noWrap w:val="0"/>
                  <w:vAlign w:val="center"/>
                </w:tcPr>
                <w:p w14:paraId="2BD5D8CA">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产生来源</w:t>
                  </w:r>
                </w:p>
              </w:tc>
              <w:tc>
                <w:tcPr>
                  <w:tcW w:w="287" w:type="pct"/>
                  <w:tcBorders>
                    <w:tl2br w:val="nil"/>
                    <w:tr2bl w:val="nil"/>
                  </w:tcBorders>
                  <w:noWrap w:val="0"/>
                  <w:vAlign w:val="center"/>
                </w:tcPr>
                <w:p w14:paraId="138269BC">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形态</w:t>
                  </w:r>
                </w:p>
              </w:tc>
              <w:tc>
                <w:tcPr>
                  <w:tcW w:w="739" w:type="pct"/>
                  <w:tcBorders>
                    <w:tl2br w:val="nil"/>
                    <w:tr2bl w:val="nil"/>
                  </w:tcBorders>
                  <w:noWrap w:val="0"/>
                  <w:vAlign w:val="center"/>
                </w:tcPr>
                <w:p w14:paraId="345C0FE8">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主要成分</w:t>
                  </w:r>
                </w:p>
              </w:tc>
              <w:tc>
                <w:tcPr>
                  <w:tcW w:w="382" w:type="pct"/>
                  <w:tcBorders>
                    <w:tl2br w:val="nil"/>
                    <w:tr2bl w:val="nil"/>
                  </w:tcBorders>
                  <w:noWrap w:val="0"/>
                  <w:vAlign w:val="center"/>
                </w:tcPr>
                <w:p w14:paraId="6B92F0A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危险特性鉴别方法</w:t>
                  </w:r>
                </w:p>
              </w:tc>
              <w:tc>
                <w:tcPr>
                  <w:tcW w:w="340" w:type="pct"/>
                  <w:tcBorders>
                    <w:tl2br w:val="nil"/>
                    <w:tr2bl w:val="nil"/>
                  </w:tcBorders>
                  <w:noWrap w:val="0"/>
                  <w:vAlign w:val="center"/>
                </w:tcPr>
                <w:p w14:paraId="5F88F560">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危险</w:t>
                  </w:r>
                </w:p>
                <w:p w14:paraId="5F244A9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特性</w:t>
                  </w:r>
                </w:p>
              </w:tc>
              <w:tc>
                <w:tcPr>
                  <w:tcW w:w="530" w:type="pct"/>
                  <w:tcBorders>
                    <w:tl2br w:val="nil"/>
                    <w:tr2bl w:val="nil"/>
                  </w:tcBorders>
                  <w:noWrap w:val="0"/>
                  <w:vAlign w:val="center"/>
                </w:tcPr>
                <w:p w14:paraId="47FCAA60">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废物类别</w:t>
                  </w:r>
                </w:p>
              </w:tc>
              <w:tc>
                <w:tcPr>
                  <w:tcW w:w="662" w:type="pct"/>
                  <w:tcBorders>
                    <w:tl2br w:val="nil"/>
                    <w:tr2bl w:val="nil"/>
                  </w:tcBorders>
                  <w:noWrap w:val="0"/>
                  <w:vAlign w:val="center"/>
                </w:tcPr>
                <w:p w14:paraId="7A989C6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废物代码</w:t>
                  </w:r>
                </w:p>
              </w:tc>
              <w:tc>
                <w:tcPr>
                  <w:tcW w:w="383" w:type="pct"/>
                  <w:tcBorders>
                    <w:tl2br w:val="nil"/>
                    <w:tr2bl w:val="nil"/>
                  </w:tcBorders>
                  <w:noWrap w:val="0"/>
                  <w:vAlign w:val="center"/>
                </w:tcPr>
                <w:p w14:paraId="2CF1243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估算产生量（t/a）</w:t>
                  </w:r>
                </w:p>
              </w:tc>
            </w:tr>
            <w:tr w14:paraId="1740F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4" w:type="pct"/>
                  <w:tcBorders>
                    <w:tl2br w:val="nil"/>
                    <w:tr2bl w:val="nil"/>
                  </w:tcBorders>
                  <w:noWrap w:val="0"/>
                  <w:vAlign w:val="center"/>
                </w:tcPr>
                <w:p w14:paraId="05F01F9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1</w:t>
                  </w:r>
                </w:p>
              </w:tc>
              <w:tc>
                <w:tcPr>
                  <w:tcW w:w="518" w:type="pct"/>
                  <w:tcBorders>
                    <w:tl2br w:val="nil"/>
                    <w:tr2bl w:val="nil"/>
                  </w:tcBorders>
                  <w:shd w:val="clear" w:color="auto" w:fill="auto"/>
                  <w:noWrap w:val="0"/>
                  <w:vAlign w:val="center"/>
                </w:tcPr>
                <w:p w14:paraId="06822A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kern w:val="2"/>
                      <w:sz w:val="18"/>
                      <w:szCs w:val="18"/>
                      <w:highlight w:val="none"/>
                      <w:lang w:val="en-US" w:eastAsia="zh-CN" w:bidi="ar-SA"/>
                    </w:rPr>
                  </w:pPr>
                  <w:r>
                    <w:rPr>
                      <w:rFonts w:hint="default" w:ascii="Times New Roman" w:hAnsi="Times New Roman" w:eastAsia="仿宋" w:cs="Times New Roman"/>
                      <w:color w:val="0000FF"/>
                      <w:sz w:val="18"/>
                      <w:szCs w:val="18"/>
                      <w:highlight w:val="none"/>
                      <w:lang w:val="en-US" w:eastAsia="zh-CN"/>
                    </w:rPr>
                    <w:t>废绒毛</w:t>
                  </w:r>
                </w:p>
              </w:tc>
              <w:tc>
                <w:tcPr>
                  <w:tcW w:w="648" w:type="pct"/>
                  <w:vMerge w:val="restart"/>
                  <w:tcBorders>
                    <w:tl2br w:val="nil"/>
                    <w:tr2bl w:val="nil"/>
                  </w:tcBorders>
                  <w:noWrap w:val="0"/>
                  <w:vAlign w:val="center"/>
                </w:tcPr>
                <w:p w14:paraId="57EC998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lang w:val="en-US" w:eastAsia="zh-CN"/>
                    </w:rPr>
                  </w:pPr>
                  <w:r>
                    <w:rPr>
                      <w:rFonts w:hint="default" w:ascii="Times New Roman" w:hAnsi="Times New Roman" w:eastAsia="仿宋" w:cs="Times New Roman"/>
                      <w:color w:val="0000FF"/>
                      <w:sz w:val="18"/>
                      <w:szCs w:val="18"/>
                      <w:highlight w:val="none"/>
                      <w:lang w:val="en-US" w:eastAsia="zh-CN"/>
                    </w:rPr>
                    <w:t>一般固体废物</w:t>
                  </w:r>
                </w:p>
              </w:tc>
              <w:tc>
                <w:tcPr>
                  <w:tcW w:w="313" w:type="pct"/>
                  <w:vMerge w:val="restart"/>
                  <w:tcBorders>
                    <w:tl2br w:val="nil"/>
                    <w:tr2bl w:val="nil"/>
                  </w:tcBorders>
                  <w:shd w:val="clear" w:color="auto" w:fill="auto"/>
                  <w:noWrap w:val="0"/>
                  <w:vAlign w:val="center"/>
                </w:tcPr>
                <w:p w14:paraId="7FF1D70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lang w:val="en-US" w:eastAsia="zh-CN"/>
                    </w:rPr>
                    <w:t>废气治理</w:t>
                  </w:r>
                </w:p>
              </w:tc>
              <w:tc>
                <w:tcPr>
                  <w:tcW w:w="287" w:type="pct"/>
                  <w:tcBorders>
                    <w:tl2br w:val="nil"/>
                    <w:tr2bl w:val="nil"/>
                  </w:tcBorders>
                  <w:shd w:val="clear" w:color="auto" w:fill="auto"/>
                  <w:noWrap w:val="0"/>
                  <w:vAlign w:val="center"/>
                </w:tcPr>
                <w:p w14:paraId="21193C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kern w:val="2"/>
                      <w:sz w:val="18"/>
                      <w:szCs w:val="18"/>
                      <w:highlight w:val="none"/>
                      <w:lang w:val="en-US" w:eastAsia="zh-CN" w:bidi="ar-SA"/>
                    </w:rPr>
                  </w:pPr>
                  <w:r>
                    <w:rPr>
                      <w:rFonts w:hint="default" w:ascii="Times New Roman" w:hAnsi="Times New Roman" w:eastAsia="仿宋" w:cs="Times New Roman"/>
                      <w:color w:val="0000FF"/>
                      <w:sz w:val="18"/>
                      <w:szCs w:val="18"/>
                      <w:highlight w:val="none"/>
                      <w:lang w:val="en-US" w:eastAsia="zh-CN"/>
                    </w:rPr>
                    <w:t>固</w:t>
                  </w:r>
                  <w:r>
                    <w:rPr>
                      <w:rFonts w:hint="default" w:ascii="Times New Roman" w:hAnsi="Times New Roman" w:eastAsia="仿宋" w:cs="Times New Roman"/>
                      <w:color w:val="0000FF"/>
                      <w:sz w:val="18"/>
                      <w:szCs w:val="18"/>
                      <w:highlight w:val="none"/>
                    </w:rPr>
                    <w:t>态</w:t>
                  </w:r>
                </w:p>
              </w:tc>
              <w:tc>
                <w:tcPr>
                  <w:tcW w:w="739" w:type="pct"/>
                  <w:tcBorders>
                    <w:tl2br w:val="nil"/>
                    <w:tr2bl w:val="nil"/>
                  </w:tcBorders>
                  <w:shd w:val="clear" w:color="auto" w:fill="auto"/>
                  <w:noWrap w:val="0"/>
                  <w:vAlign w:val="center"/>
                </w:tcPr>
                <w:p w14:paraId="0C473E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kern w:val="2"/>
                      <w:sz w:val="18"/>
                      <w:szCs w:val="18"/>
                      <w:highlight w:val="none"/>
                      <w:lang w:val="en-US" w:eastAsia="zh-CN" w:bidi="ar-SA"/>
                    </w:rPr>
                  </w:pPr>
                  <w:r>
                    <w:rPr>
                      <w:rFonts w:hint="default" w:ascii="Times New Roman" w:hAnsi="Times New Roman" w:eastAsia="仿宋" w:cs="Times New Roman"/>
                      <w:color w:val="0000FF"/>
                      <w:sz w:val="18"/>
                      <w:szCs w:val="18"/>
                      <w:highlight w:val="none"/>
                      <w:lang w:val="en-US" w:eastAsia="zh-CN"/>
                    </w:rPr>
                    <w:t>绒毛</w:t>
                  </w:r>
                </w:p>
              </w:tc>
              <w:tc>
                <w:tcPr>
                  <w:tcW w:w="382" w:type="pct"/>
                  <w:vMerge w:val="restart"/>
                  <w:tcBorders>
                    <w:tl2br w:val="nil"/>
                    <w:tr2bl w:val="nil"/>
                  </w:tcBorders>
                  <w:noWrap w:val="0"/>
                  <w:vAlign w:val="center"/>
                </w:tcPr>
                <w:p w14:paraId="7CE70CC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根据《国家危险废物名录》（2025年版）进行鉴别，不需要进一步开展危险废物特性鉴别</w:t>
                  </w:r>
                </w:p>
              </w:tc>
              <w:tc>
                <w:tcPr>
                  <w:tcW w:w="340" w:type="pct"/>
                  <w:tcBorders>
                    <w:tl2br w:val="nil"/>
                    <w:tr2bl w:val="nil"/>
                  </w:tcBorders>
                  <w:noWrap w:val="0"/>
                  <w:vAlign w:val="center"/>
                </w:tcPr>
                <w:p w14:paraId="52F06F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lang w:eastAsia="zh-CN"/>
                    </w:rPr>
                  </w:pPr>
                  <w:r>
                    <w:rPr>
                      <w:rFonts w:hint="default" w:ascii="Times New Roman" w:hAnsi="Times New Roman" w:eastAsia="仿宋" w:cs="Times New Roman"/>
                      <w:color w:val="0000FF"/>
                      <w:sz w:val="18"/>
                      <w:szCs w:val="18"/>
                      <w:highlight w:val="none"/>
                      <w:lang w:val="en-US" w:eastAsia="zh-CN"/>
                    </w:rPr>
                    <w:t>/</w:t>
                  </w:r>
                </w:p>
              </w:tc>
              <w:tc>
                <w:tcPr>
                  <w:tcW w:w="530" w:type="pct"/>
                  <w:tcBorders>
                    <w:tl2br w:val="nil"/>
                    <w:tr2bl w:val="nil"/>
                  </w:tcBorders>
                  <w:noWrap w:val="0"/>
                  <w:vAlign w:val="center"/>
                </w:tcPr>
                <w:p w14:paraId="6E00DC0A">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宋体" w:cs="Times New Roman"/>
                      <w:color w:val="0000FF"/>
                      <w:kern w:val="0"/>
                      <w:sz w:val="18"/>
                      <w:szCs w:val="18"/>
                      <w:lang w:val="en-US" w:eastAsia="zh-CN" w:bidi="ar"/>
                    </w:rPr>
                    <w:t>S</w:t>
                  </w:r>
                  <w:r>
                    <w:rPr>
                      <w:rFonts w:hint="default" w:ascii="Times New Roman" w:hAnsi="Times New Roman" w:eastAsia="仿宋" w:cs="Times New Roman"/>
                      <w:color w:val="0000FF"/>
                      <w:sz w:val="18"/>
                      <w:szCs w:val="18"/>
                      <w:highlight w:val="none"/>
                      <w:lang w:val="en-US" w:eastAsia="zh-CN"/>
                    </w:rPr>
                    <w:t>W59其他工业固体废物</w:t>
                  </w:r>
                </w:p>
              </w:tc>
              <w:tc>
                <w:tcPr>
                  <w:tcW w:w="662" w:type="pct"/>
                  <w:tcBorders>
                    <w:tl2br w:val="nil"/>
                    <w:tr2bl w:val="nil"/>
                  </w:tcBorders>
                  <w:noWrap w:val="0"/>
                  <w:vAlign w:val="center"/>
                </w:tcPr>
                <w:p w14:paraId="144C71F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lang w:val="en-US" w:eastAsia="zh-CN"/>
                    </w:rPr>
                  </w:pPr>
                  <w:r>
                    <w:rPr>
                      <w:rFonts w:hint="default" w:ascii="Times New Roman" w:hAnsi="Times New Roman" w:eastAsia="仿宋" w:cs="Times New Roman"/>
                      <w:color w:val="0000FF"/>
                      <w:sz w:val="18"/>
                      <w:szCs w:val="18"/>
                      <w:highlight w:val="none"/>
                    </w:rPr>
                    <w:t>900-</w:t>
                  </w:r>
                  <w:r>
                    <w:rPr>
                      <w:rFonts w:hint="default" w:ascii="Times New Roman" w:hAnsi="Times New Roman" w:eastAsia="仿宋" w:cs="Times New Roman"/>
                      <w:color w:val="0000FF"/>
                      <w:sz w:val="18"/>
                      <w:szCs w:val="18"/>
                      <w:highlight w:val="none"/>
                      <w:lang w:val="en-US" w:eastAsia="zh-CN"/>
                    </w:rPr>
                    <w:t>099</w:t>
                  </w:r>
                  <w:r>
                    <w:rPr>
                      <w:rFonts w:hint="default" w:ascii="Times New Roman" w:hAnsi="Times New Roman" w:eastAsia="仿宋" w:cs="Times New Roman"/>
                      <w:color w:val="0000FF"/>
                      <w:sz w:val="18"/>
                      <w:szCs w:val="18"/>
                      <w:highlight w:val="none"/>
                    </w:rPr>
                    <w:t>-</w:t>
                  </w:r>
                  <w:r>
                    <w:rPr>
                      <w:rFonts w:hint="default" w:ascii="Times New Roman" w:hAnsi="Times New Roman" w:eastAsia="仿宋" w:cs="Times New Roman"/>
                      <w:color w:val="0000FF"/>
                      <w:sz w:val="18"/>
                      <w:szCs w:val="18"/>
                      <w:highlight w:val="none"/>
                      <w:lang w:val="en-US" w:eastAsia="zh-CN"/>
                    </w:rPr>
                    <w:t>59</w:t>
                  </w:r>
                </w:p>
              </w:tc>
              <w:tc>
                <w:tcPr>
                  <w:tcW w:w="383" w:type="pct"/>
                  <w:tcBorders>
                    <w:tl2br w:val="nil"/>
                    <w:tr2bl w:val="nil"/>
                  </w:tcBorders>
                  <w:noWrap w:val="0"/>
                  <w:vAlign w:val="center"/>
                </w:tcPr>
                <w:p w14:paraId="575AC758">
                  <w:pPr>
                    <w:adjustRightInd w:val="0"/>
                    <w:snapToGrid w:val="0"/>
                    <w:spacing w:line="276" w:lineRule="auto"/>
                    <w:jc w:val="center"/>
                    <w:rPr>
                      <w:rFonts w:hint="default" w:ascii="Times New Roman" w:hAnsi="Times New Roman" w:eastAsia="仿宋" w:cs="Times New Roman"/>
                      <w:color w:val="0000FF"/>
                      <w:sz w:val="18"/>
                      <w:szCs w:val="18"/>
                      <w:highlight w:val="none"/>
                      <w:lang w:val="en-US"/>
                    </w:rPr>
                  </w:pPr>
                  <w:r>
                    <w:rPr>
                      <w:rFonts w:hint="default" w:ascii="Times New Roman" w:hAnsi="Times New Roman" w:eastAsia="仿宋" w:cs="Times New Roman"/>
                      <w:color w:val="0000FF"/>
                      <w:sz w:val="18"/>
                      <w:szCs w:val="18"/>
                      <w:highlight w:val="none"/>
                      <w:lang w:val="en-US" w:eastAsia="zh-CN"/>
                    </w:rPr>
                    <w:t>0.</w:t>
                  </w:r>
                  <w:r>
                    <w:rPr>
                      <w:rFonts w:hint="eastAsia" w:eastAsia="仿宋" w:cs="Times New Roman"/>
                      <w:color w:val="0000FF"/>
                      <w:sz w:val="18"/>
                      <w:szCs w:val="18"/>
                      <w:highlight w:val="none"/>
                      <w:lang w:val="en-US" w:eastAsia="zh-CN"/>
                    </w:rPr>
                    <w:t>714</w:t>
                  </w:r>
                </w:p>
              </w:tc>
            </w:tr>
            <w:tr w14:paraId="3EB45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4" w:type="pct"/>
                  <w:tcBorders>
                    <w:tl2br w:val="nil"/>
                    <w:tr2bl w:val="nil"/>
                  </w:tcBorders>
                  <w:noWrap w:val="0"/>
                  <w:vAlign w:val="center"/>
                </w:tcPr>
                <w:p w14:paraId="208FCEC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2</w:t>
                  </w:r>
                </w:p>
              </w:tc>
              <w:tc>
                <w:tcPr>
                  <w:tcW w:w="518" w:type="pct"/>
                  <w:tcBorders>
                    <w:tl2br w:val="nil"/>
                    <w:tr2bl w:val="nil"/>
                  </w:tcBorders>
                  <w:shd w:val="clear" w:color="auto" w:fill="auto"/>
                  <w:noWrap w:val="0"/>
                  <w:vAlign w:val="center"/>
                </w:tcPr>
                <w:p w14:paraId="567B06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废布袋</w:t>
                  </w:r>
                </w:p>
              </w:tc>
              <w:tc>
                <w:tcPr>
                  <w:tcW w:w="648" w:type="pct"/>
                  <w:vMerge w:val="continue"/>
                  <w:tcBorders>
                    <w:tl2br w:val="nil"/>
                    <w:tr2bl w:val="nil"/>
                  </w:tcBorders>
                  <w:noWrap w:val="0"/>
                  <w:vAlign w:val="center"/>
                </w:tcPr>
                <w:p w14:paraId="2B6C2E7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c>
                <w:tcPr>
                  <w:tcW w:w="313" w:type="pct"/>
                  <w:vMerge w:val="continue"/>
                  <w:tcBorders>
                    <w:tl2br w:val="nil"/>
                    <w:tr2bl w:val="nil"/>
                  </w:tcBorders>
                  <w:noWrap w:val="0"/>
                  <w:vAlign w:val="center"/>
                </w:tcPr>
                <w:p w14:paraId="677C0FB8">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c>
                <w:tcPr>
                  <w:tcW w:w="287" w:type="pct"/>
                  <w:tcBorders>
                    <w:tl2br w:val="nil"/>
                    <w:tr2bl w:val="nil"/>
                  </w:tcBorders>
                  <w:shd w:val="clear" w:color="auto" w:fill="auto"/>
                  <w:noWrap w:val="0"/>
                  <w:vAlign w:val="center"/>
                </w:tcPr>
                <w:p w14:paraId="115543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固</w:t>
                  </w:r>
                  <w:r>
                    <w:rPr>
                      <w:rFonts w:hint="default" w:ascii="Times New Roman" w:hAnsi="Times New Roman" w:eastAsia="仿宋" w:cs="Times New Roman"/>
                      <w:color w:val="auto"/>
                      <w:sz w:val="18"/>
                      <w:szCs w:val="18"/>
                      <w:highlight w:val="none"/>
                    </w:rPr>
                    <w:t>态</w:t>
                  </w:r>
                </w:p>
              </w:tc>
              <w:tc>
                <w:tcPr>
                  <w:tcW w:w="739" w:type="pct"/>
                  <w:tcBorders>
                    <w:tl2br w:val="nil"/>
                    <w:tr2bl w:val="nil"/>
                  </w:tcBorders>
                  <w:shd w:val="clear" w:color="auto" w:fill="auto"/>
                  <w:noWrap w:val="0"/>
                  <w:vAlign w:val="center"/>
                </w:tcPr>
                <w:p w14:paraId="334110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聚酯纤维</w:t>
                  </w:r>
                </w:p>
              </w:tc>
              <w:tc>
                <w:tcPr>
                  <w:tcW w:w="382" w:type="pct"/>
                  <w:vMerge w:val="continue"/>
                  <w:tcBorders>
                    <w:tl2br w:val="nil"/>
                    <w:tr2bl w:val="nil"/>
                  </w:tcBorders>
                  <w:noWrap w:val="0"/>
                  <w:vAlign w:val="center"/>
                </w:tcPr>
                <w:p w14:paraId="1F9DFD5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c>
                <w:tcPr>
                  <w:tcW w:w="340" w:type="pct"/>
                  <w:tcBorders>
                    <w:tl2br w:val="nil"/>
                    <w:tr2bl w:val="nil"/>
                  </w:tcBorders>
                  <w:noWrap w:val="0"/>
                  <w:vAlign w:val="center"/>
                </w:tcPr>
                <w:p w14:paraId="7EDF35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w:t>
                  </w:r>
                </w:p>
              </w:tc>
              <w:tc>
                <w:tcPr>
                  <w:tcW w:w="530" w:type="pct"/>
                  <w:tcBorders>
                    <w:tl2br w:val="nil"/>
                    <w:tr2bl w:val="nil"/>
                  </w:tcBorders>
                  <w:noWrap w:val="0"/>
                  <w:vAlign w:val="center"/>
                </w:tcPr>
                <w:p w14:paraId="22959910">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宋体" w:cs="Times New Roman"/>
                      <w:color w:val="000000"/>
                      <w:kern w:val="0"/>
                      <w:sz w:val="18"/>
                      <w:szCs w:val="18"/>
                      <w:lang w:val="en-US" w:eastAsia="zh-CN" w:bidi="ar"/>
                    </w:rPr>
                    <w:t>S</w:t>
                  </w:r>
                  <w:r>
                    <w:rPr>
                      <w:rFonts w:hint="default" w:ascii="Times New Roman" w:hAnsi="Times New Roman" w:eastAsia="仿宋" w:cs="Times New Roman"/>
                      <w:color w:val="auto"/>
                      <w:sz w:val="18"/>
                      <w:szCs w:val="18"/>
                      <w:highlight w:val="none"/>
                      <w:lang w:val="en-US" w:eastAsia="zh-CN"/>
                    </w:rPr>
                    <w:t>W59其他工业固体废物</w:t>
                  </w:r>
                </w:p>
              </w:tc>
              <w:tc>
                <w:tcPr>
                  <w:tcW w:w="662" w:type="pct"/>
                  <w:tcBorders>
                    <w:tl2br w:val="nil"/>
                    <w:tr2bl w:val="nil"/>
                  </w:tcBorders>
                  <w:noWrap w:val="0"/>
                  <w:vAlign w:val="center"/>
                </w:tcPr>
                <w:p w14:paraId="3C00831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900-</w:t>
                  </w:r>
                  <w:r>
                    <w:rPr>
                      <w:rFonts w:hint="default" w:ascii="Times New Roman" w:hAnsi="Times New Roman" w:eastAsia="仿宋" w:cs="Times New Roman"/>
                      <w:color w:val="auto"/>
                      <w:sz w:val="18"/>
                      <w:szCs w:val="18"/>
                      <w:highlight w:val="none"/>
                      <w:lang w:val="en-US" w:eastAsia="zh-CN"/>
                    </w:rPr>
                    <w:t>009</w:t>
                  </w:r>
                  <w:r>
                    <w:rPr>
                      <w:rFonts w:hint="default" w:ascii="Times New Roman" w:hAnsi="Times New Roman" w:eastAsia="仿宋" w:cs="Times New Roman"/>
                      <w:color w:val="auto"/>
                      <w:sz w:val="18"/>
                      <w:szCs w:val="18"/>
                      <w:highlight w:val="none"/>
                    </w:rPr>
                    <w:t>-</w:t>
                  </w:r>
                  <w:r>
                    <w:rPr>
                      <w:rFonts w:hint="default" w:ascii="Times New Roman" w:hAnsi="Times New Roman" w:eastAsia="仿宋" w:cs="Times New Roman"/>
                      <w:color w:val="auto"/>
                      <w:sz w:val="18"/>
                      <w:szCs w:val="18"/>
                      <w:highlight w:val="none"/>
                      <w:lang w:val="en-US" w:eastAsia="zh-CN"/>
                    </w:rPr>
                    <w:t>59</w:t>
                  </w:r>
                </w:p>
              </w:tc>
              <w:tc>
                <w:tcPr>
                  <w:tcW w:w="383" w:type="pct"/>
                  <w:tcBorders>
                    <w:tl2br w:val="nil"/>
                    <w:tr2bl w:val="nil"/>
                  </w:tcBorders>
                  <w:noWrap w:val="0"/>
                  <w:vAlign w:val="center"/>
                </w:tcPr>
                <w:p w14:paraId="5C6FEB03">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0.</w:t>
                  </w:r>
                  <w:r>
                    <w:rPr>
                      <w:rFonts w:hint="default" w:ascii="Times New Roman" w:hAnsi="Times New Roman" w:eastAsia="仿宋" w:cs="Times New Roman"/>
                      <w:color w:val="auto"/>
                      <w:sz w:val="18"/>
                      <w:szCs w:val="18"/>
                      <w:highlight w:val="none"/>
                      <w:lang w:val="en-US" w:eastAsia="zh-CN"/>
                    </w:rPr>
                    <w:t>01</w:t>
                  </w:r>
                </w:p>
              </w:tc>
            </w:tr>
            <w:tr w14:paraId="68E24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4" w:type="pct"/>
                  <w:tcBorders>
                    <w:tl2br w:val="nil"/>
                    <w:tr2bl w:val="nil"/>
                  </w:tcBorders>
                  <w:noWrap w:val="0"/>
                  <w:vAlign w:val="center"/>
                </w:tcPr>
                <w:p w14:paraId="37B00F0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3</w:t>
                  </w:r>
                </w:p>
              </w:tc>
              <w:tc>
                <w:tcPr>
                  <w:tcW w:w="518" w:type="pct"/>
                  <w:tcBorders>
                    <w:tl2br w:val="nil"/>
                    <w:tr2bl w:val="nil"/>
                  </w:tcBorders>
                  <w:shd w:val="clear" w:color="auto" w:fill="auto"/>
                  <w:noWrap w:val="0"/>
                  <w:vAlign w:val="center"/>
                </w:tcPr>
                <w:p w14:paraId="54AD06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废包装材料</w:t>
                  </w:r>
                </w:p>
              </w:tc>
              <w:tc>
                <w:tcPr>
                  <w:tcW w:w="648" w:type="pct"/>
                  <w:vMerge w:val="continue"/>
                  <w:tcBorders>
                    <w:tl2br w:val="nil"/>
                    <w:tr2bl w:val="nil"/>
                  </w:tcBorders>
                  <w:noWrap w:val="0"/>
                  <w:vAlign w:val="center"/>
                </w:tcPr>
                <w:p w14:paraId="413124C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c>
                <w:tcPr>
                  <w:tcW w:w="313" w:type="pct"/>
                  <w:vMerge w:val="restart"/>
                  <w:tcBorders>
                    <w:tl2br w:val="nil"/>
                    <w:tr2bl w:val="nil"/>
                  </w:tcBorders>
                  <w:shd w:val="clear" w:color="auto" w:fill="auto"/>
                  <w:noWrap w:val="0"/>
                  <w:vAlign w:val="center"/>
                </w:tcPr>
                <w:p w14:paraId="47B641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原辅材料使用</w:t>
                  </w:r>
                </w:p>
              </w:tc>
              <w:tc>
                <w:tcPr>
                  <w:tcW w:w="287" w:type="pct"/>
                  <w:tcBorders>
                    <w:tl2br w:val="nil"/>
                    <w:tr2bl w:val="nil"/>
                  </w:tcBorders>
                  <w:shd w:val="clear" w:color="auto" w:fill="auto"/>
                  <w:noWrap w:val="0"/>
                  <w:vAlign w:val="center"/>
                </w:tcPr>
                <w:p w14:paraId="684DF9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固</w:t>
                  </w:r>
                  <w:r>
                    <w:rPr>
                      <w:rFonts w:hint="default" w:ascii="Times New Roman" w:hAnsi="Times New Roman" w:eastAsia="仿宋" w:cs="Times New Roman"/>
                      <w:color w:val="auto"/>
                      <w:sz w:val="18"/>
                      <w:szCs w:val="18"/>
                      <w:highlight w:val="none"/>
                    </w:rPr>
                    <w:t>态</w:t>
                  </w:r>
                </w:p>
              </w:tc>
              <w:tc>
                <w:tcPr>
                  <w:tcW w:w="739" w:type="pct"/>
                  <w:tcBorders>
                    <w:tl2br w:val="nil"/>
                    <w:tr2bl w:val="nil"/>
                  </w:tcBorders>
                  <w:shd w:val="clear" w:color="auto" w:fill="auto"/>
                  <w:noWrap w:val="0"/>
                  <w:vAlign w:val="center"/>
                </w:tcPr>
                <w:p w14:paraId="40485B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塑料</w:t>
                  </w:r>
                </w:p>
              </w:tc>
              <w:tc>
                <w:tcPr>
                  <w:tcW w:w="382" w:type="pct"/>
                  <w:vMerge w:val="continue"/>
                  <w:tcBorders>
                    <w:tl2br w:val="nil"/>
                    <w:tr2bl w:val="nil"/>
                  </w:tcBorders>
                  <w:noWrap w:val="0"/>
                  <w:vAlign w:val="center"/>
                </w:tcPr>
                <w:p w14:paraId="1FF7727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c>
                <w:tcPr>
                  <w:tcW w:w="340" w:type="pct"/>
                  <w:tcBorders>
                    <w:tl2br w:val="nil"/>
                    <w:tr2bl w:val="nil"/>
                  </w:tcBorders>
                  <w:noWrap w:val="0"/>
                  <w:vAlign w:val="center"/>
                </w:tcPr>
                <w:p w14:paraId="4CC73A5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w:t>
                  </w:r>
                </w:p>
              </w:tc>
              <w:tc>
                <w:tcPr>
                  <w:tcW w:w="530" w:type="pct"/>
                  <w:tcBorders>
                    <w:tl2br w:val="nil"/>
                    <w:tr2bl w:val="nil"/>
                  </w:tcBorders>
                  <w:noWrap w:val="0"/>
                  <w:vAlign w:val="center"/>
                </w:tcPr>
                <w:p w14:paraId="2BE51A2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S</w:t>
                  </w:r>
                  <w:r>
                    <w:rPr>
                      <w:rFonts w:hint="default" w:ascii="Times New Roman" w:hAnsi="Times New Roman" w:eastAsia="仿宋" w:cs="Times New Roman"/>
                      <w:color w:val="auto"/>
                      <w:sz w:val="18"/>
                      <w:szCs w:val="18"/>
                      <w:highlight w:val="none"/>
                    </w:rPr>
                    <w:t>W</w:t>
                  </w:r>
                  <w:r>
                    <w:rPr>
                      <w:rFonts w:hint="default" w:ascii="Times New Roman" w:hAnsi="Times New Roman" w:eastAsia="仿宋" w:cs="Times New Roman"/>
                      <w:color w:val="auto"/>
                      <w:sz w:val="18"/>
                      <w:szCs w:val="18"/>
                      <w:highlight w:val="none"/>
                      <w:lang w:val="en-US" w:eastAsia="zh-CN"/>
                    </w:rPr>
                    <w:t>17可再生类废物</w:t>
                  </w:r>
                </w:p>
              </w:tc>
              <w:tc>
                <w:tcPr>
                  <w:tcW w:w="662" w:type="pct"/>
                  <w:tcBorders>
                    <w:tl2br w:val="nil"/>
                    <w:tr2bl w:val="nil"/>
                  </w:tcBorders>
                  <w:noWrap w:val="0"/>
                  <w:vAlign w:val="center"/>
                </w:tcPr>
                <w:p w14:paraId="28C6BA2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900-0</w:t>
                  </w:r>
                  <w:r>
                    <w:rPr>
                      <w:rFonts w:hint="default" w:ascii="Times New Roman" w:hAnsi="Times New Roman" w:eastAsia="仿宋" w:cs="Times New Roman"/>
                      <w:color w:val="auto"/>
                      <w:sz w:val="18"/>
                      <w:szCs w:val="18"/>
                      <w:highlight w:val="none"/>
                      <w:lang w:val="en-US" w:eastAsia="zh-CN"/>
                    </w:rPr>
                    <w:t>03-17</w:t>
                  </w:r>
                </w:p>
              </w:tc>
              <w:tc>
                <w:tcPr>
                  <w:tcW w:w="383" w:type="pct"/>
                  <w:tcBorders>
                    <w:tl2br w:val="nil"/>
                    <w:tr2bl w:val="nil"/>
                  </w:tcBorders>
                  <w:noWrap w:val="0"/>
                  <w:vAlign w:val="center"/>
                </w:tcPr>
                <w:p w14:paraId="42A91A50">
                  <w:pPr>
                    <w:adjustRightInd w:val="0"/>
                    <w:snapToGrid w:val="0"/>
                    <w:spacing w:line="276" w:lineRule="auto"/>
                    <w:jc w:val="center"/>
                    <w:rPr>
                      <w:rFonts w:hint="default" w:ascii="Times New Roman" w:hAnsi="Times New Roman" w:eastAsia="仿宋" w:cs="Times New Roman"/>
                      <w:color w:val="auto"/>
                      <w:sz w:val="18"/>
                      <w:szCs w:val="18"/>
                      <w:highlight w:val="none"/>
                      <w:lang w:val="en-US"/>
                    </w:rPr>
                  </w:pPr>
                  <w:r>
                    <w:rPr>
                      <w:rFonts w:hint="default" w:ascii="Times New Roman" w:hAnsi="Times New Roman" w:eastAsia="仿宋" w:cs="Times New Roman"/>
                      <w:color w:val="auto"/>
                      <w:sz w:val="18"/>
                      <w:szCs w:val="18"/>
                      <w:highlight w:val="none"/>
                      <w:lang w:val="en-US" w:eastAsia="zh-CN"/>
                    </w:rPr>
                    <w:t>0.</w:t>
                  </w:r>
                  <w:r>
                    <w:rPr>
                      <w:rFonts w:hint="eastAsia" w:eastAsia="仿宋" w:cs="Times New Roman"/>
                      <w:color w:val="auto"/>
                      <w:sz w:val="18"/>
                      <w:szCs w:val="18"/>
                      <w:highlight w:val="none"/>
                      <w:lang w:val="en-US" w:eastAsia="zh-CN"/>
                    </w:rPr>
                    <w:t>26</w:t>
                  </w:r>
                </w:p>
              </w:tc>
            </w:tr>
            <w:tr w14:paraId="19D07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4" w:type="pct"/>
                  <w:tcBorders>
                    <w:tl2br w:val="nil"/>
                    <w:tr2bl w:val="nil"/>
                  </w:tcBorders>
                  <w:noWrap w:val="0"/>
                  <w:vAlign w:val="center"/>
                </w:tcPr>
                <w:p w14:paraId="4F34BEAC">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4</w:t>
                  </w:r>
                </w:p>
              </w:tc>
              <w:tc>
                <w:tcPr>
                  <w:tcW w:w="518" w:type="pct"/>
                  <w:tcBorders>
                    <w:tl2br w:val="nil"/>
                    <w:tr2bl w:val="nil"/>
                  </w:tcBorders>
                  <w:shd w:val="clear" w:color="auto" w:fill="auto"/>
                  <w:noWrap w:val="0"/>
                  <w:vAlign w:val="center"/>
                </w:tcPr>
                <w:p w14:paraId="2BF2211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废包装桶</w:t>
                  </w:r>
                </w:p>
              </w:tc>
              <w:tc>
                <w:tcPr>
                  <w:tcW w:w="648" w:type="pct"/>
                  <w:vMerge w:val="restart"/>
                  <w:tcBorders>
                    <w:tl2br w:val="nil"/>
                    <w:tr2bl w:val="nil"/>
                  </w:tcBorders>
                  <w:noWrap w:val="0"/>
                  <w:vAlign w:val="center"/>
                </w:tcPr>
                <w:p w14:paraId="5673D5A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危险废物</w:t>
                  </w:r>
                </w:p>
              </w:tc>
              <w:tc>
                <w:tcPr>
                  <w:tcW w:w="313" w:type="pct"/>
                  <w:vMerge w:val="continue"/>
                  <w:tcBorders>
                    <w:tl2br w:val="nil"/>
                    <w:tr2bl w:val="nil"/>
                  </w:tcBorders>
                  <w:noWrap w:val="0"/>
                  <w:vAlign w:val="center"/>
                </w:tcPr>
                <w:p w14:paraId="252BC4A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c>
                <w:tcPr>
                  <w:tcW w:w="287" w:type="pct"/>
                  <w:tcBorders>
                    <w:tl2br w:val="nil"/>
                    <w:tr2bl w:val="nil"/>
                  </w:tcBorders>
                  <w:shd w:val="clear" w:color="auto" w:fill="auto"/>
                  <w:noWrap w:val="0"/>
                  <w:vAlign w:val="center"/>
                </w:tcPr>
                <w:p w14:paraId="490241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固态</w:t>
                  </w:r>
                </w:p>
              </w:tc>
              <w:tc>
                <w:tcPr>
                  <w:tcW w:w="739" w:type="pct"/>
                  <w:tcBorders>
                    <w:tl2br w:val="nil"/>
                    <w:tr2bl w:val="nil"/>
                  </w:tcBorders>
                  <w:shd w:val="clear" w:color="auto" w:fill="auto"/>
                  <w:noWrap w:val="0"/>
                  <w:vAlign w:val="center"/>
                </w:tcPr>
                <w:p w14:paraId="7257346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矿物油、胶粘剂、塑料、铁</w:t>
                  </w:r>
                </w:p>
              </w:tc>
              <w:tc>
                <w:tcPr>
                  <w:tcW w:w="382" w:type="pct"/>
                  <w:vMerge w:val="continue"/>
                  <w:tcBorders>
                    <w:tl2br w:val="nil"/>
                    <w:tr2bl w:val="nil"/>
                  </w:tcBorders>
                  <w:noWrap w:val="0"/>
                  <w:vAlign w:val="center"/>
                </w:tcPr>
                <w:p w14:paraId="1FDBDBAC">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c>
                <w:tcPr>
                  <w:tcW w:w="340" w:type="pct"/>
                  <w:tcBorders>
                    <w:tl2br w:val="nil"/>
                    <w:tr2bl w:val="nil"/>
                  </w:tcBorders>
                  <w:noWrap w:val="0"/>
                  <w:vAlign w:val="center"/>
                </w:tcPr>
                <w:p w14:paraId="18CDCE2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T</w:t>
                  </w:r>
                  <w:r>
                    <w:rPr>
                      <w:rFonts w:hint="eastAsia"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rPr>
                    <w:t>I</w:t>
                  </w:r>
                  <w:r>
                    <w:rPr>
                      <w:rFonts w:hint="eastAsia"/>
                      <w:lang w:val="en-US" w:eastAsia="zh-CN"/>
                    </w:rPr>
                    <w:t>n</w:t>
                  </w:r>
                </w:p>
              </w:tc>
              <w:tc>
                <w:tcPr>
                  <w:tcW w:w="530" w:type="pct"/>
                  <w:tcBorders>
                    <w:tl2br w:val="nil"/>
                    <w:tr2bl w:val="nil"/>
                  </w:tcBorders>
                  <w:noWrap w:val="0"/>
                  <w:vAlign w:val="center"/>
                </w:tcPr>
                <w:p w14:paraId="47C24B7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HW49其他废物</w:t>
                  </w:r>
                </w:p>
              </w:tc>
              <w:tc>
                <w:tcPr>
                  <w:tcW w:w="662" w:type="pct"/>
                  <w:tcBorders>
                    <w:tl2br w:val="nil"/>
                    <w:tr2bl w:val="nil"/>
                  </w:tcBorders>
                  <w:noWrap w:val="0"/>
                  <w:vAlign w:val="center"/>
                </w:tcPr>
                <w:p w14:paraId="74C5EA2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900-041-49</w:t>
                  </w:r>
                </w:p>
              </w:tc>
              <w:tc>
                <w:tcPr>
                  <w:tcW w:w="383" w:type="pct"/>
                  <w:tcBorders>
                    <w:tl2br w:val="nil"/>
                    <w:tr2bl w:val="nil"/>
                  </w:tcBorders>
                  <w:noWrap w:val="0"/>
                  <w:vAlign w:val="center"/>
                </w:tcPr>
                <w:p w14:paraId="596AB7E3">
                  <w:pPr>
                    <w:adjustRightInd w:val="0"/>
                    <w:snapToGrid w:val="0"/>
                    <w:spacing w:line="276" w:lineRule="auto"/>
                    <w:jc w:val="center"/>
                    <w:rPr>
                      <w:rFonts w:hint="default" w:ascii="Times New Roman" w:hAnsi="Times New Roman" w:eastAsia="仿宋" w:cs="Times New Roman"/>
                      <w:color w:val="auto"/>
                      <w:sz w:val="18"/>
                      <w:szCs w:val="18"/>
                      <w:highlight w:val="none"/>
                      <w:lang w:val="en-US"/>
                    </w:rPr>
                  </w:pPr>
                  <w:r>
                    <w:rPr>
                      <w:rFonts w:hint="default" w:ascii="Times New Roman" w:hAnsi="Times New Roman" w:eastAsia="仿宋" w:cs="Times New Roman"/>
                      <w:color w:val="auto"/>
                      <w:sz w:val="18"/>
                      <w:szCs w:val="18"/>
                      <w:highlight w:val="none"/>
                      <w:lang w:val="en-US" w:eastAsia="zh-CN"/>
                    </w:rPr>
                    <w:t>0.36</w:t>
                  </w:r>
                </w:p>
              </w:tc>
            </w:tr>
            <w:tr w14:paraId="4E738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4" w:type="pct"/>
                  <w:tcBorders>
                    <w:tl2br w:val="nil"/>
                    <w:tr2bl w:val="nil"/>
                  </w:tcBorders>
                  <w:noWrap w:val="0"/>
                  <w:vAlign w:val="center"/>
                </w:tcPr>
                <w:p w14:paraId="62A9262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5</w:t>
                  </w:r>
                </w:p>
              </w:tc>
              <w:tc>
                <w:tcPr>
                  <w:tcW w:w="518" w:type="pct"/>
                  <w:tcBorders>
                    <w:tl2br w:val="nil"/>
                    <w:tr2bl w:val="nil"/>
                  </w:tcBorders>
                  <w:shd w:val="clear" w:color="auto" w:fill="auto"/>
                  <w:noWrap w:val="0"/>
                  <w:vAlign w:val="center"/>
                </w:tcPr>
                <w:p w14:paraId="163EAD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废活性炭</w:t>
                  </w:r>
                </w:p>
              </w:tc>
              <w:tc>
                <w:tcPr>
                  <w:tcW w:w="648" w:type="pct"/>
                  <w:vMerge w:val="continue"/>
                  <w:tcBorders>
                    <w:tl2br w:val="nil"/>
                    <w:tr2bl w:val="nil"/>
                  </w:tcBorders>
                  <w:noWrap w:val="0"/>
                  <w:vAlign w:val="center"/>
                </w:tcPr>
                <w:p w14:paraId="5EE8B59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c>
                <w:tcPr>
                  <w:tcW w:w="313" w:type="pct"/>
                  <w:vMerge w:val="restart"/>
                  <w:tcBorders>
                    <w:tl2br w:val="nil"/>
                    <w:tr2bl w:val="nil"/>
                  </w:tcBorders>
                  <w:shd w:val="clear" w:color="auto" w:fill="auto"/>
                  <w:noWrap w:val="0"/>
                  <w:vAlign w:val="center"/>
                </w:tcPr>
                <w:p w14:paraId="4F793E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废气治理</w:t>
                  </w:r>
                </w:p>
              </w:tc>
              <w:tc>
                <w:tcPr>
                  <w:tcW w:w="287" w:type="pct"/>
                  <w:tcBorders>
                    <w:tl2br w:val="nil"/>
                    <w:tr2bl w:val="nil"/>
                  </w:tcBorders>
                  <w:shd w:val="clear" w:color="auto" w:fill="auto"/>
                  <w:noWrap w:val="0"/>
                  <w:vAlign w:val="center"/>
                </w:tcPr>
                <w:p w14:paraId="651D511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固态</w:t>
                  </w:r>
                </w:p>
              </w:tc>
              <w:tc>
                <w:tcPr>
                  <w:tcW w:w="739" w:type="pct"/>
                  <w:tcBorders>
                    <w:tl2br w:val="nil"/>
                    <w:tr2bl w:val="nil"/>
                  </w:tcBorders>
                  <w:shd w:val="clear" w:color="auto" w:fill="auto"/>
                  <w:noWrap w:val="0"/>
                  <w:vAlign w:val="center"/>
                </w:tcPr>
                <w:p w14:paraId="0C9747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活性炭、VOCs</w:t>
                  </w:r>
                </w:p>
              </w:tc>
              <w:tc>
                <w:tcPr>
                  <w:tcW w:w="382" w:type="pct"/>
                  <w:vMerge w:val="continue"/>
                  <w:tcBorders>
                    <w:tl2br w:val="nil"/>
                    <w:tr2bl w:val="nil"/>
                  </w:tcBorders>
                  <w:noWrap w:val="0"/>
                  <w:vAlign w:val="center"/>
                </w:tcPr>
                <w:p w14:paraId="39B48FD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c>
                <w:tcPr>
                  <w:tcW w:w="340" w:type="pct"/>
                  <w:tcBorders>
                    <w:tl2br w:val="nil"/>
                    <w:tr2bl w:val="nil"/>
                  </w:tcBorders>
                  <w:noWrap w:val="0"/>
                  <w:vAlign w:val="center"/>
                </w:tcPr>
                <w:p w14:paraId="620C3BE8">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T</w:t>
                  </w:r>
                </w:p>
              </w:tc>
              <w:tc>
                <w:tcPr>
                  <w:tcW w:w="530" w:type="pct"/>
                  <w:tcBorders>
                    <w:tl2br w:val="nil"/>
                    <w:tr2bl w:val="nil"/>
                  </w:tcBorders>
                  <w:noWrap w:val="0"/>
                  <w:vAlign w:val="center"/>
                </w:tcPr>
                <w:p w14:paraId="1B241A22">
                  <w:pPr>
                    <w:adjustRightInd w:val="0"/>
                    <w:snapToGrid w:val="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sz w:val="18"/>
                      <w:szCs w:val="18"/>
                      <w:highlight w:val="none"/>
                    </w:rPr>
                    <w:t>HW49其他废物</w:t>
                  </w:r>
                </w:p>
              </w:tc>
              <w:tc>
                <w:tcPr>
                  <w:tcW w:w="662" w:type="pct"/>
                  <w:tcBorders>
                    <w:tl2br w:val="nil"/>
                    <w:tr2bl w:val="nil"/>
                  </w:tcBorders>
                  <w:noWrap w:val="0"/>
                  <w:vAlign w:val="center"/>
                </w:tcPr>
                <w:p w14:paraId="50DC5CF7">
                  <w:pPr>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sz w:val="18"/>
                      <w:szCs w:val="18"/>
                      <w:highlight w:val="none"/>
                    </w:rPr>
                    <w:t>900-039-49</w:t>
                  </w:r>
                </w:p>
              </w:tc>
              <w:tc>
                <w:tcPr>
                  <w:tcW w:w="383" w:type="pct"/>
                  <w:tcBorders>
                    <w:tl2br w:val="nil"/>
                    <w:tr2bl w:val="nil"/>
                  </w:tcBorders>
                  <w:noWrap w:val="0"/>
                  <w:vAlign w:val="center"/>
                </w:tcPr>
                <w:p w14:paraId="7FC7D8E5">
                  <w:pPr>
                    <w:adjustRightInd w:val="0"/>
                    <w:snapToGrid w:val="0"/>
                    <w:spacing w:line="276" w:lineRule="auto"/>
                    <w:jc w:val="center"/>
                    <w:rPr>
                      <w:rFonts w:hint="default" w:ascii="Times New Roman" w:hAnsi="Times New Roman" w:eastAsia="仿宋" w:cs="Times New Roman"/>
                      <w:color w:val="auto"/>
                      <w:sz w:val="18"/>
                      <w:szCs w:val="18"/>
                      <w:highlight w:val="none"/>
                      <w:lang w:val="en-US"/>
                    </w:rPr>
                  </w:pPr>
                  <w:r>
                    <w:rPr>
                      <w:rFonts w:hint="eastAsia" w:eastAsia="仿宋" w:cs="Times New Roman"/>
                      <w:color w:val="auto"/>
                      <w:sz w:val="18"/>
                      <w:szCs w:val="18"/>
                      <w:highlight w:val="none"/>
                      <w:lang w:val="en-US" w:eastAsia="zh-CN"/>
                    </w:rPr>
                    <w:t>3.292</w:t>
                  </w:r>
                </w:p>
              </w:tc>
            </w:tr>
            <w:tr w14:paraId="0E1B5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4" w:type="pct"/>
                  <w:tcBorders>
                    <w:tl2br w:val="nil"/>
                    <w:tr2bl w:val="nil"/>
                  </w:tcBorders>
                  <w:shd w:val="clear" w:color="auto" w:fill="auto"/>
                  <w:noWrap w:val="0"/>
                  <w:vAlign w:val="center"/>
                </w:tcPr>
                <w:p w14:paraId="690C3CEE">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6</w:t>
                  </w:r>
                </w:p>
              </w:tc>
              <w:tc>
                <w:tcPr>
                  <w:tcW w:w="518" w:type="pct"/>
                  <w:tcBorders>
                    <w:tl2br w:val="nil"/>
                    <w:tr2bl w:val="nil"/>
                  </w:tcBorders>
                  <w:shd w:val="clear" w:color="auto" w:fill="auto"/>
                  <w:noWrap w:val="0"/>
                  <w:vAlign w:val="center"/>
                </w:tcPr>
                <w:p w14:paraId="06477563">
                  <w:pPr>
                    <w:adjustRightInd w:val="0"/>
                    <w:snapToGrid w:val="0"/>
                    <w:spacing w:line="276" w:lineRule="auto"/>
                    <w:ind w:left="-105" w:leftChars="-50" w:right="-105" w:rightChars="-50"/>
                    <w:jc w:val="center"/>
                    <w:rPr>
                      <w:rFonts w:hint="default" w:ascii="Times New Roman" w:hAnsi="Times New Roman" w:eastAsia="仿宋" w:cs="Times New Roman"/>
                      <w:color w:val="0000FF"/>
                      <w:kern w:val="2"/>
                      <w:sz w:val="18"/>
                      <w:szCs w:val="18"/>
                      <w:highlight w:val="none"/>
                      <w:lang w:val="en-US" w:eastAsia="zh-CN" w:bidi="ar-SA"/>
                    </w:rPr>
                  </w:pPr>
                  <w:r>
                    <w:rPr>
                      <w:rFonts w:hint="eastAsia" w:eastAsia="仿宋" w:cs="Times New Roman"/>
                      <w:color w:val="0000FF"/>
                      <w:sz w:val="18"/>
                      <w:szCs w:val="18"/>
                      <w:highlight w:val="none"/>
                      <w:lang w:val="en-US" w:eastAsia="zh-CN"/>
                    </w:rPr>
                    <w:t>废过滤棉和杂质</w:t>
                  </w:r>
                </w:p>
              </w:tc>
              <w:tc>
                <w:tcPr>
                  <w:tcW w:w="648" w:type="pct"/>
                  <w:vMerge w:val="continue"/>
                  <w:tcBorders>
                    <w:tl2br w:val="nil"/>
                    <w:tr2bl w:val="nil"/>
                  </w:tcBorders>
                  <w:noWrap w:val="0"/>
                  <w:vAlign w:val="center"/>
                </w:tcPr>
                <w:p w14:paraId="52EA9AA8">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p>
              </w:tc>
              <w:tc>
                <w:tcPr>
                  <w:tcW w:w="313" w:type="pct"/>
                  <w:vMerge w:val="continue"/>
                  <w:tcBorders>
                    <w:tl2br w:val="nil"/>
                    <w:tr2bl w:val="nil"/>
                  </w:tcBorders>
                  <w:shd w:val="clear" w:color="auto" w:fill="auto"/>
                  <w:noWrap w:val="0"/>
                  <w:vAlign w:val="center"/>
                </w:tcPr>
                <w:p w14:paraId="2D5A64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lang w:val="en-US" w:eastAsia="zh-CN"/>
                    </w:rPr>
                  </w:pPr>
                </w:p>
              </w:tc>
              <w:tc>
                <w:tcPr>
                  <w:tcW w:w="287" w:type="pct"/>
                  <w:tcBorders>
                    <w:tl2br w:val="nil"/>
                    <w:tr2bl w:val="nil"/>
                  </w:tcBorders>
                  <w:shd w:val="clear" w:color="auto" w:fill="auto"/>
                  <w:noWrap w:val="0"/>
                  <w:vAlign w:val="center"/>
                </w:tcPr>
                <w:p w14:paraId="5CDA64A5">
                  <w:pPr>
                    <w:adjustRightInd w:val="0"/>
                    <w:snapToGrid w:val="0"/>
                    <w:spacing w:line="276" w:lineRule="auto"/>
                    <w:ind w:left="-105" w:leftChars="-50" w:right="-105" w:rightChars="-50"/>
                    <w:jc w:val="center"/>
                    <w:rPr>
                      <w:rFonts w:hint="default" w:ascii="Times New Roman" w:hAnsi="Times New Roman" w:eastAsia="仿宋" w:cs="Times New Roman"/>
                      <w:color w:val="0000FF"/>
                      <w:kern w:val="2"/>
                      <w:sz w:val="18"/>
                      <w:szCs w:val="18"/>
                      <w:highlight w:val="none"/>
                      <w:lang w:val="en-US" w:eastAsia="zh-CN" w:bidi="ar-SA"/>
                    </w:rPr>
                  </w:pPr>
                  <w:r>
                    <w:rPr>
                      <w:rFonts w:hint="eastAsia" w:eastAsia="仿宋" w:cs="Times New Roman"/>
                      <w:color w:val="0000FF"/>
                      <w:sz w:val="18"/>
                      <w:szCs w:val="18"/>
                      <w:highlight w:val="none"/>
                      <w:lang w:val="en-US" w:eastAsia="zh-CN"/>
                    </w:rPr>
                    <w:t>固废</w:t>
                  </w:r>
                </w:p>
              </w:tc>
              <w:tc>
                <w:tcPr>
                  <w:tcW w:w="739" w:type="pct"/>
                  <w:tcBorders>
                    <w:tl2br w:val="nil"/>
                    <w:tr2bl w:val="nil"/>
                  </w:tcBorders>
                  <w:shd w:val="clear" w:color="auto" w:fill="auto"/>
                  <w:noWrap w:val="0"/>
                  <w:vAlign w:val="center"/>
                </w:tcPr>
                <w:p w14:paraId="182695B4">
                  <w:pPr>
                    <w:adjustRightInd w:val="0"/>
                    <w:snapToGrid w:val="0"/>
                    <w:spacing w:line="276" w:lineRule="auto"/>
                    <w:ind w:left="-105" w:leftChars="-50" w:right="-105" w:rightChars="-50"/>
                    <w:jc w:val="center"/>
                    <w:rPr>
                      <w:rFonts w:hint="default" w:ascii="Times New Roman" w:hAnsi="Times New Roman" w:eastAsia="仿宋" w:cs="Times New Roman"/>
                      <w:color w:val="0000FF"/>
                      <w:kern w:val="2"/>
                      <w:sz w:val="18"/>
                      <w:szCs w:val="18"/>
                      <w:highlight w:val="none"/>
                      <w:lang w:val="en-US" w:eastAsia="zh-CN" w:bidi="ar-SA"/>
                    </w:rPr>
                  </w:pPr>
                  <w:r>
                    <w:rPr>
                      <w:rFonts w:hint="eastAsia" w:eastAsia="仿宋" w:cs="Times New Roman"/>
                      <w:color w:val="0000FF"/>
                      <w:sz w:val="18"/>
                      <w:szCs w:val="18"/>
                      <w:highlight w:val="none"/>
                      <w:lang w:val="en-US" w:eastAsia="zh-CN"/>
                    </w:rPr>
                    <w:t>过滤棉、杂质</w:t>
                  </w:r>
                </w:p>
              </w:tc>
              <w:tc>
                <w:tcPr>
                  <w:tcW w:w="382" w:type="pct"/>
                  <w:vMerge w:val="continue"/>
                  <w:tcBorders>
                    <w:tl2br w:val="nil"/>
                    <w:tr2bl w:val="nil"/>
                  </w:tcBorders>
                  <w:noWrap w:val="0"/>
                  <w:vAlign w:val="center"/>
                </w:tcPr>
                <w:p w14:paraId="144E85CA">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p>
              </w:tc>
              <w:tc>
                <w:tcPr>
                  <w:tcW w:w="340" w:type="pct"/>
                  <w:tcBorders>
                    <w:tl2br w:val="nil"/>
                    <w:tr2bl w:val="nil"/>
                  </w:tcBorders>
                  <w:noWrap w:val="0"/>
                  <w:vAlign w:val="center"/>
                </w:tcPr>
                <w:p w14:paraId="5ED7CD5E">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T</w:t>
                  </w:r>
                  <w:r>
                    <w:rPr>
                      <w:rFonts w:hint="eastAsia" w:eastAsia="仿宋" w:cs="Times New Roman"/>
                      <w:color w:val="0000FF"/>
                      <w:sz w:val="18"/>
                      <w:szCs w:val="18"/>
                      <w:highlight w:val="none"/>
                      <w:lang w:val="en-US" w:eastAsia="zh-CN"/>
                    </w:rPr>
                    <w:t>/</w:t>
                  </w:r>
                  <w:r>
                    <w:rPr>
                      <w:rFonts w:hint="default" w:ascii="Times New Roman" w:hAnsi="Times New Roman" w:eastAsia="仿宋" w:cs="Times New Roman"/>
                      <w:color w:val="0000FF"/>
                      <w:sz w:val="18"/>
                      <w:szCs w:val="18"/>
                      <w:highlight w:val="none"/>
                    </w:rPr>
                    <w:t>I</w:t>
                  </w:r>
                  <w:r>
                    <w:rPr>
                      <w:rFonts w:hint="eastAsia"/>
                      <w:color w:val="0000FF"/>
                      <w:lang w:val="en-US" w:eastAsia="zh-CN"/>
                    </w:rPr>
                    <w:t>n</w:t>
                  </w:r>
                </w:p>
              </w:tc>
              <w:tc>
                <w:tcPr>
                  <w:tcW w:w="530" w:type="pct"/>
                  <w:tcBorders>
                    <w:tl2br w:val="nil"/>
                    <w:tr2bl w:val="nil"/>
                  </w:tcBorders>
                  <w:noWrap w:val="0"/>
                  <w:vAlign w:val="center"/>
                </w:tcPr>
                <w:p w14:paraId="42074D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HW49其他废物</w:t>
                  </w:r>
                </w:p>
              </w:tc>
              <w:tc>
                <w:tcPr>
                  <w:tcW w:w="662" w:type="pct"/>
                  <w:tcBorders>
                    <w:tl2br w:val="nil"/>
                    <w:tr2bl w:val="nil"/>
                  </w:tcBorders>
                  <w:noWrap w:val="0"/>
                  <w:vAlign w:val="center"/>
                </w:tcPr>
                <w:p w14:paraId="592635F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900-041-49</w:t>
                  </w:r>
                </w:p>
              </w:tc>
              <w:tc>
                <w:tcPr>
                  <w:tcW w:w="383" w:type="pct"/>
                  <w:tcBorders>
                    <w:tl2br w:val="nil"/>
                    <w:tr2bl w:val="nil"/>
                  </w:tcBorders>
                  <w:noWrap w:val="0"/>
                  <w:vAlign w:val="center"/>
                </w:tcPr>
                <w:p w14:paraId="54612DC8">
                  <w:pPr>
                    <w:adjustRightInd w:val="0"/>
                    <w:snapToGrid w:val="0"/>
                    <w:spacing w:line="276" w:lineRule="auto"/>
                    <w:jc w:val="center"/>
                    <w:rPr>
                      <w:rFonts w:hint="eastAsia"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0.042</w:t>
                  </w:r>
                </w:p>
              </w:tc>
            </w:tr>
            <w:tr w14:paraId="64C08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4" w:type="pct"/>
                  <w:tcBorders>
                    <w:tl2br w:val="nil"/>
                    <w:tr2bl w:val="nil"/>
                  </w:tcBorders>
                  <w:shd w:val="clear" w:color="auto" w:fill="auto"/>
                  <w:noWrap w:val="0"/>
                  <w:vAlign w:val="center"/>
                </w:tcPr>
                <w:p w14:paraId="395184D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7</w:t>
                  </w:r>
                </w:p>
              </w:tc>
              <w:tc>
                <w:tcPr>
                  <w:tcW w:w="518" w:type="pct"/>
                  <w:tcBorders>
                    <w:tl2br w:val="nil"/>
                    <w:tr2bl w:val="nil"/>
                  </w:tcBorders>
                  <w:shd w:val="clear" w:color="auto" w:fill="auto"/>
                  <w:noWrap w:val="0"/>
                  <w:vAlign w:val="center"/>
                </w:tcPr>
                <w:p w14:paraId="78119A26">
                  <w:pPr>
                    <w:adjustRightInd w:val="0"/>
                    <w:snapToGrid w:val="0"/>
                    <w:spacing w:line="276" w:lineRule="auto"/>
                    <w:ind w:left="-105" w:leftChars="-50" w:right="-105" w:rightChars="-50"/>
                    <w:jc w:val="center"/>
                    <w:rPr>
                      <w:rFonts w:hint="default" w:ascii="Times New Roman" w:hAnsi="Times New Roman" w:eastAsia="仿宋" w:cs="Times New Roman"/>
                      <w:color w:val="0000FF"/>
                      <w:kern w:val="2"/>
                      <w:sz w:val="18"/>
                      <w:szCs w:val="18"/>
                      <w:highlight w:val="none"/>
                      <w:lang w:val="en-US" w:eastAsia="zh-CN" w:bidi="ar-SA"/>
                    </w:rPr>
                  </w:pPr>
                  <w:r>
                    <w:rPr>
                      <w:rFonts w:hint="eastAsia" w:eastAsia="仿宋" w:cs="Times New Roman"/>
                      <w:color w:val="0000FF"/>
                      <w:sz w:val="18"/>
                      <w:szCs w:val="18"/>
                      <w:highlight w:val="none"/>
                      <w:lang w:val="en-US" w:eastAsia="zh-CN"/>
                    </w:rPr>
                    <w:t>水旋废液</w:t>
                  </w:r>
                </w:p>
              </w:tc>
              <w:tc>
                <w:tcPr>
                  <w:tcW w:w="648" w:type="pct"/>
                  <w:vMerge w:val="continue"/>
                  <w:tcBorders>
                    <w:tl2br w:val="nil"/>
                    <w:tr2bl w:val="nil"/>
                  </w:tcBorders>
                  <w:noWrap w:val="0"/>
                  <w:vAlign w:val="center"/>
                </w:tcPr>
                <w:p w14:paraId="065B2D4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p>
              </w:tc>
              <w:tc>
                <w:tcPr>
                  <w:tcW w:w="313" w:type="pct"/>
                  <w:vMerge w:val="continue"/>
                  <w:tcBorders>
                    <w:tl2br w:val="nil"/>
                    <w:tr2bl w:val="nil"/>
                  </w:tcBorders>
                  <w:shd w:val="clear" w:color="auto" w:fill="auto"/>
                  <w:noWrap w:val="0"/>
                  <w:vAlign w:val="center"/>
                </w:tcPr>
                <w:p w14:paraId="36449B7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lang w:val="en-US" w:eastAsia="zh-CN"/>
                    </w:rPr>
                  </w:pPr>
                </w:p>
              </w:tc>
              <w:tc>
                <w:tcPr>
                  <w:tcW w:w="287" w:type="pct"/>
                  <w:tcBorders>
                    <w:tl2br w:val="nil"/>
                    <w:tr2bl w:val="nil"/>
                  </w:tcBorders>
                  <w:shd w:val="clear" w:color="auto" w:fill="auto"/>
                  <w:noWrap w:val="0"/>
                  <w:vAlign w:val="center"/>
                </w:tcPr>
                <w:p w14:paraId="1ED88953">
                  <w:pPr>
                    <w:adjustRightInd w:val="0"/>
                    <w:snapToGrid w:val="0"/>
                    <w:spacing w:line="276" w:lineRule="auto"/>
                    <w:ind w:left="-105" w:leftChars="-50" w:right="-105" w:rightChars="-50"/>
                    <w:jc w:val="center"/>
                    <w:rPr>
                      <w:rFonts w:hint="default" w:ascii="Times New Roman" w:hAnsi="Times New Roman" w:eastAsia="仿宋" w:cs="Times New Roman"/>
                      <w:color w:val="0000FF"/>
                      <w:kern w:val="2"/>
                      <w:sz w:val="18"/>
                      <w:szCs w:val="18"/>
                      <w:highlight w:val="none"/>
                      <w:lang w:val="en-US" w:eastAsia="zh-CN" w:bidi="ar-SA"/>
                    </w:rPr>
                  </w:pPr>
                  <w:r>
                    <w:rPr>
                      <w:rFonts w:hint="eastAsia" w:eastAsia="仿宋" w:cs="Times New Roman"/>
                      <w:color w:val="0000FF"/>
                      <w:sz w:val="18"/>
                      <w:szCs w:val="18"/>
                      <w:highlight w:val="none"/>
                      <w:lang w:val="en-US" w:eastAsia="zh-CN"/>
                    </w:rPr>
                    <w:t>液体</w:t>
                  </w:r>
                </w:p>
              </w:tc>
              <w:tc>
                <w:tcPr>
                  <w:tcW w:w="739" w:type="pct"/>
                  <w:tcBorders>
                    <w:tl2br w:val="nil"/>
                    <w:tr2bl w:val="nil"/>
                  </w:tcBorders>
                  <w:shd w:val="clear" w:color="auto" w:fill="auto"/>
                  <w:noWrap w:val="0"/>
                  <w:vAlign w:val="center"/>
                </w:tcPr>
                <w:p w14:paraId="632514B9">
                  <w:pPr>
                    <w:adjustRightInd w:val="0"/>
                    <w:snapToGrid w:val="0"/>
                    <w:spacing w:line="276" w:lineRule="auto"/>
                    <w:ind w:left="-105" w:leftChars="-50" w:right="-105" w:rightChars="-50"/>
                    <w:jc w:val="center"/>
                    <w:rPr>
                      <w:rFonts w:hint="default" w:ascii="Times New Roman" w:hAnsi="Times New Roman" w:eastAsia="仿宋" w:cs="Times New Roman"/>
                      <w:color w:val="0000FF"/>
                      <w:kern w:val="2"/>
                      <w:sz w:val="18"/>
                      <w:szCs w:val="18"/>
                      <w:highlight w:val="none"/>
                      <w:lang w:val="en-US" w:eastAsia="zh-CN" w:bidi="ar-SA"/>
                    </w:rPr>
                  </w:pPr>
                  <w:r>
                    <w:rPr>
                      <w:rFonts w:hint="eastAsia" w:eastAsia="仿宋" w:cs="Times New Roman"/>
                      <w:color w:val="0000FF"/>
                      <w:sz w:val="18"/>
                      <w:szCs w:val="18"/>
                      <w:highlight w:val="none"/>
                      <w:lang w:val="en-US" w:eastAsia="zh-CN"/>
                    </w:rPr>
                    <w:t>水、杂质</w:t>
                  </w:r>
                </w:p>
              </w:tc>
              <w:tc>
                <w:tcPr>
                  <w:tcW w:w="382" w:type="pct"/>
                  <w:vMerge w:val="continue"/>
                  <w:tcBorders>
                    <w:tl2br w:val="nil"/>
                    <w:tr2bl w:val="nil"/>
                  </w:tcBorders>
                  <w:noWrap w:val="0"/>
                  <w:vAlign w:val="center"/>
                </w:tcPr>
                <w:p w14:paraId="507D80C4">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p>
              </w:tc>
              <w:tc>
                <w:tcPr>
                  <w:tcW w:w="340" w:type="pct"/>
                  <w:tcBorders>
                    <w:tl2br w:val="nil"/>
                    <w:tr2bl w:val="nil"/>
                  </w:tcBorders>
                  <w:noWrap w:val="0"/>
                  <w:vAlign w:val="center"/>
                </w:tcPr>
                <w:p w14:paraId="2D778E38">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T</w:t>
                  </w:r>
                  <w:r>
                    <w:rPr>
                      <w:rFonts w:hint="eastAsia" w:eastAsia="仿宋" w:cs="Times New Roman"/>
                      <w:color w:val="0000FF"/>
                      <w:sz w:val="18"/>
                      <w:szCs w:val="18"/>
                      <w:highlight w:val="none"/>
                      <w:lang w:val="en-US" w:eastAsia="zh-CN"/>
                    </w:rPr>
                    <w:t>/</w:t>
                  </w:r>
                  <w:r>
                    <w:rPr>
                      <w:rFonts w:hint="default" w:ascii="Times New Roman" w:hAnsi="Times New Roman" w:eastAsia="仿宋" w:cs="Times New Roman"/>
                      <w:color w:val="0000FF"/>
                      <w:sz w:val="18"/>
                      <w:szCs w:val="18"/>
                      <w:highlight w:val="none"/>
                    </w:rPr>
                    <w:t>I</w:t>
                  </w:r>
                  <w:r>
                    <w:rPr>
                      <w:rFonts w:hint="eastAsia"/>
                      <w:color w:val="0000FF"/>
                      <w:lang w:val="en-US" w:eastAsia="zh-CN"/>
                    </w:rPr>
                    <w:t>n</w:t>
                  </w:r>
                </w:p>
              </w:tc>
              <w:tc>
                <w:tcPr>
                  <w:tcW w:w="530" w:type="pct"/>
                  <w:tcBorders>
                    <w:tl2br w:val="nil"/>
                    <w:tr2bl w:val="nil"/>
                  </w:tcBorders>
                  <w:noWrap w:val="0"/>
                  <w:vAlign w:val="center"/>
                </w:tcPr>
                <w:p w14:paraId="462E52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HW49其他废物</w:t>
                  </w:r>
                </w:p>
              </w:tc>
              <w:tc>
                <w:tcPr>
                  <w:tcW w:w="662" w:type="pct"/>
                  <w:tcBorders>
                    <w:tl2br w:val="nil"/>
                    <w:tr2bl w:val="nil"/>
                  </w:tcBorders>
                  <w:noWrap w:val="0"/>
                  <w:vAlign w:val="center"/>
                </w:tcPr>
                <w:p w14:paraId="4EC2C6A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900-041-49</w:t>
                  </w:r>
                </w:p>
              </w:tc>
              <w:tc>
                <w:tcPr>
                  <w:tcW w:w="383" w:type="pct"/>
                  <w:tcBorders>
                    <w:tl2br w:val="nil"/>
                    <w:tr2bl w:val="nil"/>
                  </w:tcBorders>
                  <w:noWrap w:val="0"/>
                  <w:vAlign w:val="center"/>
                </w:tcPr>
                <w:p w14:paraId="6AC765F7">
                  <w:pPr>
                    <w:adjustRightInd w:val="0"/>
                    <w:snapToGrid w:val="0"/>
                    <w:spacing w:line="276" w:lineRule="auto"/>
                    <w:jc w:val="center"/>
                    <w:rPr>
                      <w:rFonts w:hint="eastAsia"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2</w:t>
                  </w:r>
                </w:p>
              </w:tc>
            </w:tr>
            <w:tr w14:paraId="13BF4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4" w:type="pct"/>
                  <w:tcBorders>
                    <w:tl2br w:val="nil"/>
                    <w:tr2bl w:val="nil"/>
                  </w:tcBorders>
                  <w:noWrap w:val="0"/>
                  <w:vAlign w:val="center"/>
                </w:tcPr>
                <w:p w14:paraId="09830654">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eastAsia" w:eastAsia="仿宋" w:cs="Times New Roman"/>
                      <w:color w:val="auto"/>
                      <w:kern w:val="2"/>
                      <w:sz w:val="18"/>
                      <w:szCs w:val="18"/>
                      <w:highlight w:val="none"/>
                      <w:lang w:val="en-US" w:eastAsia="zh-CN" w:bidi="ar-SA"/>
                    </w:rPr>
                    <w:t>8</w:t>
                  </w:r>
                </w:p>
              </w:tc>
              <w:tc>
                <w:tcPr>
                  <w:tcW w:w="518" w:type="pct"/>
                  <w:tcBorders>
                    <w:tl2br w:val="nil"/>
                    <w:tr2bl w:val="nil"/>
                  </w:tcBorders>
                  <w:shd w:val="clear" w:color="auto" w:fill="auto"/>
                  <w:noWrap w:val="0"/>
                  <w:vAlign w:val="center"/>
                </w:tcPr>
                <w:p w14:paraId="05591C3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含油废抹布及手套</w:t>
                  </w:r>
                </w:p>
              </w:tc>
              <w:tc>
                <w:tcPr>
                  <w:tcW w:w="648" w:type="pct"/>
                  <w:vMerge w:val="continue"/>
                  <w:tcBorders>
                    <w:tl2br w:val="nil"/>
                    <w:tr2bl w:val="nil"/>
                  </w:tcBorders>
                  <w:noWrap w:val="0"/>
                  <w:vAlign w:val="center"/>
                </w:tcPr>
                <w:p w14:paraId="7B63DBB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c>
                <w:tcPr>
                  <w:tcW w:w="313" w:type="pct"/>
                  <w:tcBorders>
                    <w:tl2br w:val="nil"/>
                    <w:tr2bl w:val="nil"/>
                  </w:tcBorders>
                  <w:shd w:val="clear" w:color="auto" w:fill="auto"/>
                  <w:noWrap w:val="0"/>
                  <w:vAlign w:val="center"/>
                </w:tcPr>
                <w:p w14:paraId="155934D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设备维护操作</w:t>
                  </w:r>
                </w:p>
              </w:tc>
              <w:tc>
                <w:tcPr>
                  <w:tcW w:w="287" w:type="pct"/>
                  <w:tcBorders>
                    <w:tl2br w:val="nil"/>
                    <w:tr2bl w:val="nil"/>
                  </w:tcBorders>
                  <w:shd w:val="clear" w:color="auto" w:fill="auto"/>
                  <w:noWrap w:val="0"/>
                  <w:vAlign w:val="center"/>
                </w:tcPr>
                <w:p w14:paraId="116488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固态</w:t>
                  </w:r>
                </w:p>
              </w:tc>
              <w:tc>
                <w:tcPr>
                  <w:tcW w:w="739" w:type="pct"/>
                  <w:tcBorders>
                    <w:tl2br w:val="nil"/>
                    <w:tr2bl w:val="nil"/>
                  </w:tcBorders>
                  <w:shd w:val="clear" w:color="auto" w:fill="auto"/>
                  <w:noWrap w:val="0"/>
                  <w:vAlign w:val="center"/>
                </w:tcPr>
                <w:p w14:paraId="64D696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棉纱、矿物油</w:t>
                  </w:r>
                </w:p>
              </w:tc>
              <w:tc>
                <w:tcPr>
                  <w:tcW w:w="382" w:type="pct"/>
                  <w:vMerge w:val="continue"/>
                  <w:tcBorders>
                    <w:tl2br w:val="nil"/>
                    <w:tr2bl w:val="nil"/>
                  </w:tcBorders>
                  <w:noWrap w:val="0"/>
                  <w:vAlign w:val="center"/>
                </w:tcPr>
                <w:p w14:paraId="3BF620DA">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c>
                <w:tcPr>
                  <w:tcW w:w="340" w:type="pct"/>
                  <w:tcBorders>
                    <w:tl2br w:val="nil"/>
                    <w:tr2bl w:val="nil"/>
                  </w:tcBorders>
                  <w:noWrap w:val="0"/>
                  <w:vAlign w:val="center"/>
                </w:tcPr>
                <w:p w14:paraId="4C495D6A">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T</w:t>
                  </w:r>
                  <w:r>
                    <w:rPr>
                      <w:rFonts w:hint="eastAsia"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rPr>
                    <w:t>I</w:t>
                  </w:r>
                  <w:r>
                    <w:rPr>
                      <w:rFonts w:hint="eastAsia"/>
                      <w:lang w:val="en-US" w:eastAsia="zh-CN"/>
                    </w:rPr>
                    <w:t>n</w:t>
                  </w:r>
                </w:p>
              </w:tc>
              <w:tc>
                <w:tcPr>
                  <w:tcW w:w="530" w:type="pct"/>
                  <w:tcBorders>
                    <w:tl2br w:val="nil"/>
                    <w:tr2bl w:val="nil"/>
                  </w:tcBorders>
                  <w:noWrap w:val="0"/>
                  <w:vAlign w:val="center"/>
                </w:tcPr>
                <w:p w14:paraId="7FE793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HW49其他废物</w:t>
                  </w:r>
                </w:p>
              </w:tc>
              <w:tc>
                <w:tcPr>
                  <w:tcW w:w="662" w:type="pct"/>
                  <w:tcBorders>
                    <w:tl2br w:val="nil"/>
                    <w:tr2bl w:val="nil"/>
                  </w:tcBorders>
                  <w:noWrap w:val="0"/>
                  <w:vAlign w:val="center"/>
                </w:tcPr>
                <w:p w14:paraId="29D3384C">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900-041-49</w:t>
                  </w:r>
                </w:p>
              </w:tc>
              <w:tc>
                <w:tcPr>
                  <w:tcW w:w="383" w:type="pct"/>
                  <w:tcBorders>
                    <w:tl2br w:val="nil"/>
                    <w:tr2bl w:val="nil"/>
                  </w:tcBorders>
                  <w:noWrap w:val="0"/>
                  <w:vAlign w:val="center"/>
                </w:tcPr>
                <w:p w14:paraId="5DC9EEBF">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0.05</w:t>
                  </w:r>
                </w:p>
              </w:tc>
            </w:tr>
            <w:tr w14:paraId="4A3F0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4" w:type="pct"/>
                  <w:tcBorders>
                    <w:tl2br w:val="nil"/>
                    <w:tr2bl w:val="nil"/>
                  </w:tcBorders>
                  <w:shd w:val="clear" w:color="auto" w:fill="auto"/>
                  <w:noWrap w:val="0"/>
                  <w:vAlign w:val="center"/>
                </w:tcPr>
                <w:p w14:paraId="5B8B0E3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eastAsia" w:eastAsia="仿宋" w:cs="Times New Roman"/>
                      <w:color w:val="auto"/>
                      <w:kern w:val="2"/>
                      <w:sz w:val="18"/>
                      <w:szCs w:val="18"/>
                      <w:highlight w:val="none"/>
                      <w:lang w:val="en-US" w:eastAsia="zh-CN" w:bidi="ar-SA"/>
                    </w:rPr>
                    <w:t>9</w:t>
                  </w:r>
                </w:p>
              </w:tc>
              <w:tc>
                <w:tcPr>
                  <w:tcW w:w="518" w:type="pct"/>
                  <w:tcBorders>
                    <w:tl2br w:val="nil"/>
                    <w:tr2bl w:val="nil"/>
                  </w:tcBorders>
                  <w:shd w:val="clear" w:color="auto" w:fill="auto"/>
                  <w:noWrap w:val="0"/>
                  <w:vAlign w:val="center"/>
                </w:tcPr>
                <w:p w14:paraId="5B68E23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生活垃圾</w:t>
                  </w:r>
                </w:p>
              </w:tc>
              <w:tc>
                <w:tcPr>
                  <w:tcW w:w="648" w:type="pct"/>
                  <w:tcBorders>
                    <w:tl2br w:val="nil"/>
                    <w:tr2bl w:val="nil"/>
                  </w:tcBorders>
                  <w:shd w:val="clear" w:color="auto" w:fill="auto"/>
                  <w:noWrap w:val="0"/>
                  <w:vAlign w:val="center"/>
                </w:tcPr>
                <w:p w14:paraId="754F2A6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一般固体</w:t>
                  </w:r>
                </w:p>
                <w:p w14:paraId="377720C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废物</w:t>
                  </w:r>
                </w:p>
              </w:tc>
              <w:tc>
                <w:tcPr>
                  <w:tcW w:w="313" w:type="pct"/>
                  <w:tcBorders>
                    <w:tl2br w:val="nil"/>
                    <w:tr2bl w:val="nil"/>
                  </w:tcBorders>
                  <w:shd w:val="clear" w:color="auto" w:fill="auto"/>
                  <w:noWrap w:val="0"/>
                  <w:vAlign w:val="center"/>
                </w:tcPr>
                <w:p w14:paraId="49DD09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办公、生活</w:t>
                  </w:r>
                </w:p>
              </w:tc>
              <w:tc>
                <w:tcPr>
                  <w:tcW w:w="287" w:type="pct"/>
                  <w:tcBorders>
                    <w:tl2br w:val="nil"/>
                    <w:tr2bl w:val="nil"/>
                  </w:tcBorders>
                  <w:shd w:val="clear" w:color="auto" w:fill="auto"/>
                  <w:noWrap w:val="0"/>
                  <w:vAlign w:val="center"/>
                </w:tcPr>
                <w:p w14:paraId="33BCCC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半固态</w:t>
                  </w:r>
                </w:p>
              </w:tc>
              <w:tc>
                <w:tcPr>
                  <w:tcW w:w="739" w:type="pct"/>
                  <w:tcBorders>
                    <w:tl2br w:val="nil"/>
                    <w:tr2bl w:val="nil"/>
                  </w:tcBorders>
                  <w:shd w:val="clear" w:color="auto" w:fill="auto"/>
                  <w:noWrap w:val="0"/>
                  <w:vAlign w:val="center"/>
                </w:tcPr>
                <w:p w14:paraId="48557B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废塑料、废纸等</w:t>
                  </w:r>
                </w:p>
              </w:tc>
              <w:tc>
                <w:tcPr>
                  <w:tcW w:w="382" w:type="pct"/>
                  <w:vMerge w:val="continue"/>
                  <w:tcBorders>
                    <w:tl2br w:val="nil"/>
                    <w:tr2bl w:val="nil"/>
                  </w:tcBorders>
                  <w:noWrap w:val="0"/>
                  <w:vAlign w:val="center"/>
                </w:tcPr>
                <w:p w14:paraId="6CC13EE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c>
                <w:tcPr>
                  <w:tcW w:w="340" w:type="pct"/>
                  <w:tcBorders>
                    <w:tl2br w:val="nil"/>
                    <w:tr2bl w:val="nil"/>
                  </w:tcBorders>
                  <w:noWrap w:val="0"/>
                  <w:vAlign w:val="center"/>
                </w:tcPr>
                <w:p w14:paraId="56E672D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w:t>
                  </w:r>
                </w:p>
              </w:tc>
              <w:tc>
                <w:tcPr>
                  <w:tcW w:w="530" w:type="pct"/>
                  <w:tcBorders>
                    <w:tl2br w:val="nil"/>
                    <w:tr2bl w:val="nil"/>
                  </w:tcBorders>
                  <w:noWrap w:val="0"/>
                  <w:vAlign w:val="center"/>
                </w:tcPr>
                <w:p w14:paraId="737F5409">
                  <w:pPr>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rPr>
                    <w:t>SW6</w:t>
                  </w:r>
                  <w:r>
                    <w:rPr>
                      <w:rFonts w:hint="default" w:ascii="Times New Roman" w:hAnsi="Times New Roman" w:eastAsia="仿宋" w:cs="Times New Roman"/>
                      <w:color w:val="auto"/>
                      <w:sz w:val="18"/>
                      <w:szCs w:val="18"/>
                      <w:lang w:val="en-US" w:eastAsia="zh-CN"/>
                    </w:rPr>
                    <w:t>4其他垃圾</w:t>
                  </w:r>
                </w:p>
              </w:tc>
              <w:tc>
                <w:tcPr>
                  <w:tcW w:w="662" w:type="pct"/>
                  <w:tcBorders>
                    <w:tl2br w:val="nil"/>
                    <w:tr2bl w:val="nil"/>
                  </w:tcBorders>
                  <w:noWrap w:val="0"/>
                  <w:vAlign w:val="center"/>
                </w:tcPr>
                <w:p w14:paraId="0946BC3C">
                  <w:pPr>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lang w:eastAsia="zh-CN"/>
                    </w:rPr>
                    <w:t>900-099-S64</w:t>
                  </w:r>
                </w:p>
              </w:tc>
              <w:tc>
                <w:tcPr>
                  <w:tcW w:w="383" w:type="pct"/>
                  <w:tcBorders>
                    <w:tl2br w:val="nil"/>
                    <w:tr2bl w:val="nil"/>
                  </w:tcBorders>
                  <w:noWrap w:val="0"/>
                  <w:vAlign w:val="center"/>
                </w:tcPr>
                <w:p w14:paraId="4097F7F6">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1.2</w:t>
                  </w:r>
                </w:p>
              </w:tc>
            </w:tr>
          </w:tbl>
          <w:p w14:paraId="1CA12771">
            <w:pPr>
              <w:jc w:val="left"/>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注：T表示毒性、In表示感染性、I表示易燃性、C表示腐蚀性、R表示反应性。</w:t>
            </w:r>
          </w:p>
          <w:p w14:paraId="028A6B2D">
            <w:pPr>
              <w:spacing w:before="120" w:beforeLines="5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default" w:ascii="Times New Roman" w:hAnsi="Times New Roman" w:eastAsia="仿宋" w:cs="Times New Roman"/>
                <w:b/>
                <w:color w:val="auto"/>
                <w:sz w:val="24"/>
                <w:highlight w:val="none"/>
                <w:lang w:val="en-US" w:eastAsia="zh-CN"/>
              </w:rPr>
              <w:t>3</w:t>
            </w:r>
            <w:r>
              <w:rPr>
                <w:rFonts w:hint="eastAsia" w:eastAsia="仿宋" w:cs="Times New Roman"/>
                <w:b/>
                <w:color w:val="auto"/>
                <w:sz w:val="24"/>
                <w:highlight w:val="none"/>
                <w:lang w:val="en-US" w:eastAsia="zh-CN"/>
              </w:rPr>
              <w:t>3</w:t>
            </w:r>
            <w:r>
              <w:rPr>
                <w:rFonts w:hint="default" w:ascii="Times New Roman" w:hAnsi="Times New Roman" w:eastAsia="仿宋" w:cs="Times New Roman"/>
                <w:b/>
                <w:color w:val="auto"/>
                <w:sz w:val="24"/>
                <w:highlight w:val="none"/>
              </w:rPr>
              <w:t xml:space="preserve">  危险废物汇总表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64"/>
              <w:gridCol w:w="894"/>
              <w:gridCol w:w="840"/>
              <w:gridCol w:w="765"/>
              <w:gridCol w:w="736"/>
              <w:gridCol w:w="556"/>
              <w:gridCol w:w="437"/>
              <w:gridCol w:w="1163"/>
              <w:gridCol w:w="588"/>
              <w:gridCol w:w="787"/>
              <w:gridCol w:w="578"/>
              <w:gridCol w:w="787"/>
            </w:tblGrid>
            <w:tr w14:paraId="333E5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157" w:type="pct"/>
                  <w:noWrap w:val="0"/>
                  <w:vAlign w:val="center"/>
                </w:tcPr>
                <w:p w14:paraId="65AFF4D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序号</w:t>
                  </w:r>
                </w:p>
              </w:tc>
              <w:tc>
                <w:tcPr>
                  <w:tcW w:w="532" w:type="pct"/>
                  <w:noWrap w:val="0"/>
                  <w:vAlign w:val="center"/>
                </w:tcPr>
                <w:p w14:paraId="000FE29A">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危废</w:t>
                  </w:r>
                </w:p>
                <w:p w14:paraId="644AE344">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名称</w:t>
                  </w:r>
                </w:p>
              </w:tc>
              <w:tc>
                <w:tcPr>
                  <w:tcW w:w="500" w:type="pct"/>
                  <w:noWrap w:val="0"/>
                  <w:vAlign w:val="center"/>
                </w:tcPr>
                <w:p w14:paraId="06A8CAC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废物</w:t>
                  </w:r>
                </w:p>
                <w:p w14:paraId="48FED34E">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类别</w:t>
                  </w:r>
                </w:p>
              </w:tc>
              <w:tc>
                <w:tcPr>
                  <w:tcW w:w="455" w:type="pct"/>
                  <w:noWrap w:val="0"/>
                  <w:vAlign w:val="center"/>
                </w:tcPr>
                <w:p w14:paraId="730E14B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废物</w:t>
                  </w:r>
                </w:p>
                <w:p w14:paraId="57EEEB1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代码</w:t>
                  </w:r>
                </w:p>
              </w:tc>
              <w:tc>
                <w:tcPr>
                  <w:tcW w:w="438" w:type="pct"/>
                  <w:noWrap w:val="0"/>
                  <w:vAlign w:val="center"/>
                </w:tcPr>
                <w:p w14:paraId="4A01CBC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估算产生量(t/a)</w:t>
                  </w:r>
                </w:p>
              </w:tc>
              <w:tc>
                <w:tcPr>
                  <w:tcW w:w="331" w:type="pct"/>
                  <w:noWrap w:val="0"/>
                  <w:vAlign w:val="center"/>
                </w:tcPr>
                <w:p w14:paraId="610060F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产生工序及装置</w:t>
                  </w:r>
                </w:p>
              </w:tc>
              <w:tc>
                <w:tcPr>
                  <w:tcW w:w="260" w:type="pct"/>
                  <w:noWrap w:val="0"/>
                  <w:vAlign w:val="center"/>
                </w:tcPr>
                <w:p w14:paraId="76072A5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形态</w:t>
                  </w:r>
                </w:p>
              </w:tc>
              <w:tc>
                <w:tcPr>
                  <w:tcW w:w="692" w:type="pct"/>
                  <w:noWrap w:val="0"/>
                  <w:vAlign w:val="center"/>
                </w:tcPr>
                <w:p w14:paraId="6F8ADE2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主要成分</w:t>
                  </w:r>
                </w:p>
              </w:tc>
              <w:tc>
                <w:tcPr>
                  <w:tcW w:w="350" w:type="pct"/>
                  <w:noWrap w:val="0"/>
                  <w:vAlign w:val="center"/>
                </w:tcPr>
                <w:p w14:paraId="79BAE76C">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有害</w:t>
                  </w:r>
                </w:p>
                <w:p w14:paraId="0C75355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成分</w:t>
                  </w:r>
                </w:p>
              </w:tc>
              <w:tc>
                <w:tcPr>
                  <w:tcW w:w="468" w:type="pct"/>
                  <w:noWrap w:val="0"/>
                  <w:vAlign w:val="center"/>
                </w:tcPr>
                <w:p w14:paraId="659BD32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产废</w:t>
                  </w:r>
                </w:p>
                <w:p w14:paraId="196AB93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周期</w:t>
                  </w:r>
                </w:p>
              </w:tc>
              <w:tc>
                <w:tcPr>
                  <w:tcW w:w="344" w:type="pct"/>
                  <w:noWrap w:val="0"/>
                  <w:vAlign w:val="center"/>
                </w:tcPr>
                <w:p w14:paraId="60BF08B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危险</w:t>
                  </w:r>
                </w:p>
                <w:p w14:paraId="2414529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特性</w:t>
                  </w:r>
                </w:p>
              </w:tc>
              <w:tc>
                <w:tcPr>
                  <w:tcW w:w="468" w:type="pct"/>
                  <w:noWrap w:val="0"/>
                  <w:vAlign w:val="center"/>
                </w:tcPr>
                <w:p w14:paraId="3D19505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污染防</w:t>
                  </w:r>
                </w:p>
                <w:p w14:paraId="78EA5428">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治措施</w:t>
                  </w:r>
                </w:p>
              </w:tc>
            </w:tr>
            <w:tr w14:paraId="5A962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157" w:type="pct"/>
                  <w:noWrap w:val="0"/>
                  <w:vAlign w:val="center"/>
                </w:tcPr>
                <w:p w14:paraId="2226FD3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1</w:t>
                  </w:r>
                </w:p>
              </w:tc>
              <w:tc>
                <w:tcPr>
                  <w:tcW w:w="532" w:type="pct"/>
                  <w:shd w:val="clear" w:color="auto" w:fill="auto"/>
                  <w:noWrap w:val="0"/>
                  <w:vAlign w:val="center"/>
                </w:tcPr>
                <w:p w14:paraId="1CDC58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废包装桶</w:t>
                  </w:r>
                </w:p>
              </w:tc>
              <w:tc>
                <w:tcPr>
                  <w:tcW w:w="500" w:type="pct"/>
                  <w:shd w:val="clear" w:color="auto" w:fill="auto"/>
                  <w:noWrap w:val="0"/>
                  <w:vAlign w:val="center"/>
                </w:tcPr>
                <w:p w14:paraId="5F49FB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HW49其他废物</w:t>
                  </w:r>
                </w:p>
              </w:tc>
              <w:tc>
                <w:tcPr>
                  <w:tcW w:w="455" w:type="pct"/>
                  <w:shd w:val="clear" w:color="auto" w:fill="auto"/>
                  <w:noWrap w:val="0"/>
                  <w:vAlign w:val="center"/>
                </w:tcPr>
                <w:p w14:paraId="72D42A2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900-041-49</w:t>
                  </w:r>
                </w:p>
              </w:tc>
              <w:tc>
                <w:tcPr>
                  <w:tcW w:w="438" w:type="pct"/>
                  <w:shd w:val="clear" w:color="auto" w:fill="auto"/>
                  <w:noWrap w:val="0"/>
                  <w:vAlign w:val="center"/>
                </w:tcPr>
                <w:p w14:paraId="5215B407">
                  <w:pPr>
                    <w:keepNext w:val="0"/>
                    <w:keepLines w:val="0"/>
                    <w:pageBreakBefore w:val="0"/>
                    <w:widowControl w:val="0"/>
                    <w:kinsoku/>
                    <w:wordWrap/>
                    <w:overflowPunct/>
                    <w:topLinePunct w:val="0"/>
                    <w:autoSpaceDE/>
                    <w:autoSpaceDN/>
                    <w:bidi w:val="0"/>
                    <w:adjustRightInd w:val="0"/>
                    <w:snapToGrid w:val="0"/>
                    <w:spacing w:line="276"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0.36</w:t>
                  </w:r>
                </w:p>
              </w:tc>
              <w:tc>
                <w:tcPr>
                  <w:tcW w:w="331" w:type="pct"/>
                  <w:noWrap w:val="0"/>
                  <w:vAlign w:val="center"/>
                </w:tcPr>
                <w:p w14:paraId="33BE5A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原辅材料使用</w:t>
                  </w:r>
                </w:p>
              </w:tc>
              <w:tc>
                <w:tcPr>
                  <w:tcW w:w="260" w:type="pct"/>
                  <w:noWrap w:val="0"/>
                  <w:vAlign w:val="center"/>
                </w:tcPr>
                <w:p w14:paraId="13591E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固态</w:t>
                  </w:r>
                </w:p>
              </w:tc>
              <w:tc>
                <w:tcPr>
                  <w:tcW w:w="692" w:type="pct"/>
                  <w:noWrap w:val="0"/>
                  <w:vAlign w:val="center"/>
                </w:tcPr>
                <w:p w14:paraId="7BBA8C0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矿物油、胶粘剂、塑料、铁</w:t>
                  </w:r>
                </w:p>
              </w:tc>
              <w:tc>
                <w:tcPr>
                  <w:tcW w:w="350" w:type="pct"/>
                  <w:noWrap w:val="0"/>
                  <w:vAlign w:val="center"/>
                </w:tcPr>
                <w:p w14:paraId="0C99D44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矿物油、胶粘剂</w:t>
                  </w:r>
                </w:p>
              </w:tc>
              <w:tc>
                <w:tcPr>
                  <w:tcW w:w="468" w:type="pct"/>
                  <w:noWrap w:val="0"/>
                  <w:vAlign w:val="center"/>
                </w:tcPr>
                <w:p w14:paraId="798273D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间歇，每3月•次</w:t>
                  </w:r>
                </w:p>
              </w:tc>
              <w:tc>
                <w:tcPr>
                  <w:tcW w:w="344" w:type="pct"/>
                  <w:shd w:val="clear" w:color="auto" w:fill="auto"/>
                  <w:noWrap w:val="0"/>
                  <w:vAlign w:val="center"/>
                </w:tcPr>
                <w:p w14:paraId="556A06A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T</w:t>
                  </w:r>
                  <w:r>
                    <w:rPr>
                      <w:rFonts w:hint="eastAsia"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rPr>
                    <w:t>I</w:t>
                  </w:r>
                  <w:r>
                    <w:rPr>
                      <w:rFonts w:hint="eastAsia"/>
                      <w:lang w:val="en-US" w:eastAsia="zh-CN"/>
                    </w:rPr>
                    <w:t>n</w:t>
                  </w:r>
                </w:p>
              </w:tc>
              <w:tc>
                <w:tcPr>
                  <w:tcW w:w="468" w:type="pct"/>
                  <w:vMerge w:val="restart"/>
                  <w:noWrap w:val="0"/>
                  <w:vAlign w:val="center"/>
                </w:tcPr>
                <w:p w14:paraId="2321BB4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危废仓库暂存后，委托有资质的单位无害化处置</w:t>
                  </w:r>
                </w:p>
              </w:tc>
            </w:tr>
            <w:tr w14:paraId="7E334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157" w:type="pct"/>
                  <w:noWrap w:val="0"/>
                  <w:vAlign w:val="center"/>
                </w:tcPr>
                <w:p w14:paraId="455DBE2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2</w:t>
                  </w:r>
                </w:p>
              </w:tc>
              <w:tc>
                <w:tcPr>
                  <w:tcW w:w="532" w:type="pct"/>
                  <w:shd w:val="clear" w:color="auto" w:fill="auto"/>
                  <w:noWrap w:val="0"/>
                  <w:vAlign w:val="center"/>
                </w:tcPr>
                <w:p w14:paraId="42B844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废活性炭</w:t>
                  </w:r>
                </w:p>
              </w:tc>
              <w:tc>
                <w:tcPr>
                  <w:tcW w:w="500" w:type="pct"/>
                  <w:shd w:val="clear" w:color="auto" w:fill="auto"/>
                  <w:noWrap w:val="0"/>
                  <w:vAlign w:val="center"/>
                </w:tcPr>
                <w:p w14:paraId="3ED8531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sz w:val="18"/>
                      <w:szCs w:val="18"/>
                      <w:highlight w:val="none"/>
                    </w:rPr>
                    <w:t>HW49其他废物</w:t>
                  </w:r>
                </w:p>
              </w:tc>
              <w:tc>
                <w:tcPr>
                  <w:tcW w:w="455" w:type="pct"/>
                  <w:shd w:val="clear" w:color="auto" w:fill="auto"/>
                  <w:noWrap w:val="0"/>
                  <w:vAlign w:val="center"/>
                </w:tcPr>
                <w:p w14:paraId="034240B9">
                  <w:pPr>
                    <w:keepNext w:val="0"/>
                    <w:keepLines w:val="0"/>
                    <w:pageBreakBefore w:val="0"/>
                    <w:widowControl w:val="0"/>
                    <w:kinsoku/>
                    <w:wordWrap/>
                    <w:overflowPunct/>
                    <w:topLinePunct w:val="0"/>
                    <w:autoSpaceDE/>
                    <w:autoSpaceDN/>
                    <w:bidi w:val="0"/>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sz w:val="18"/>
                      <w:szCs w:val="18"/>
                      <w:highlight w:val="none"/>
                    </w:rPr>
                    <w:t>900-039-49</w:t>
                  </w:r>
                </w:p>
              </w:tc>
              <w:tc>
                <w:tcPr>
                  <w:tcW w:w="438" w:type="pct"/>
                  <w:shd w:val="clear" w:color="auto" w:fill="auto"/>
                  <w:noWrap w:val="0"/>
                  <w:vAlign w:val="center"/>
                </w:tcPr>
                <w:p w14:paraId="187FD0F6">
                  <w:pPr>
                    <w:keepNext w:val="0"/>
                    <w:keepLines w:val="0"/>
                    <w:pageBreakBefore w:val="0"/>
                    <w:widowControl w:val="0"/>
                    <w:kinsoku/>
                    <w:wordWrap/>
                    <w:overflowPunct/>
                    <w:topLinePunct w:val="0"/>
                    <w:autoSpaceDE/>
                    <w:autoSpaceDN/>
                    <w:bidi w:val="0"/>
                    <w:adjustRightInd w:val="0"/>
                    <w:snapToGrid w:val="0"/>
                    <w:spacing w:line="276"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eastAsia" w:eastAsia="仿宋" w:cs="Times New Roman"/>
                      <w:color w:val="auto"/>
                      <w:sz w:val="18"/>
                      <w:szCs w:val="18"/>
                      <w:highlight w:val="none"/>
                      <w:lang w:val="en-US" w:eastAsia="zh-CN"/>
                    </w:rPr>
                    <w:t>3.292</w:t>
                  </w:r>
                </w:p>
              </w:tc>
              <w:tc>
                <w:tcPr>
                  <w:tcW w:w="331" w:type="pct"/>
                  <w:vMerge w:val="restart"/>
                  <w:noWrap w:val="0"/>
                  <w:vAlign w:val="center"/>
                </w:tcPr>
                <w:p w14:paraId="75FE92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废气治理</w:t>
                  </w:r>
                </w:p>
              </w:tc>
              <w:tc>
                <w:tcPr>
                  <w:tcW w:w="260" w:type="pct"/>
                  <w:noWrap w:val="0"/>
                  <w:vAlign w:val="center"/>
                </w:tcPr>
                <w:p w14:paraId="6A4C47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固态</w:t>
                  </w:r>
                </w:p>
              </w:tc>
              <w:tc>
                <w:tcPr>
                  <w:tcW w:w="692" w:type="pct"/>
                  <w:noWrap w:val="0"/>
                  <w:vAlign w:val="center"/>
                </w:tcPr>
                <w:p w14:paraId="0F170C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eastAsia="zh-CN"/>
                    </w:rPr>
                  </w:pPr>
                  <w:r>
                    <w:rPr>
                      <w:rFonts w:hint="default" w:ascii="Times New Roman" w:hAnsi="Times New Roman" w:eastAsia="仿宋" w:cs="Times New Roman"/>
                      <w:color w:val="auto"/>
                      <w:sz w:val="18"/>
                      <w:szCs w:val="18"/>
                      <w:highlight w:val="none"/>
                      <w:lang w:val="en-US" w:eastAsia="zh-CN"/>
                    </w:rPr>
                    <w:t>活性炭、VOCs</w:t>
                  </w:r>
                </w:p>
              </w:tc>
              <w:tc>
                <w:tcPr>
                  <w:tcW w:w="350" w:type="pct"/>
                  <w:noWrap w:val="0"/>
                  <w:vAlign w:val="center"/>
                </w:tcPr>
                <w:p w14:paraId="2237FBC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VOCs</w:t>
                  </w:r>
                </w:p>
              </w:tc>
              <w:tc>
                <w:tcPr>
                  <w:tcW w:w="468" w:type="pct"/>
                  <w:noWrap w:val="0"/>
                  <w:vAlign w:val="center"/>
                </w:tcPr>
                <w:p w14:paraId="49C3A2E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间歇，每</w:t>
                  </w:r>
                  <w:r>
                    <w:rPr>
                      <w:rFonts w:hint="default" w:ascii="Times New Roman" w:hAnsi="Times New Roman" w:eastAsia="仿宋" w:cs="Times New Roman"/>
                      <w:color w:val="auto"/>
                      <w:sz w:val="18"/>
                      <w:szCs w:val="18"/>
                      <w:highlight w:val="none"/>
                      <w:lang w:val="en-US" w:eastAsia="zh-CN"/>
                    </w:rPr>
                    <w:t>51天</w:t>
                  </w:r>
                  <w:r>
                    <w:rPr>
                      <w:rFonts w:hint="default" w:ascii="Times New Roman" w:hAnsi="Times New Roman" w:eastAsia="仿宋" w:cs="Times New Roman"/>
                      <w:color w:val="auto"/>
                      <w:sz w:val="18"/>
                      <w:szCs w:val="18"/>
                      <w:highlight w:val="none"/>
                    </w:rPr>
                    <w:t>•次</w:t>
                  </w:r>
                </w:p>
              </w:tc>
              <w:tc>
                <w:tcPr>
                  <w:tcW w:w="344" w:type="pct"/>
                  <w:shd w:val="clear" w:color="auto" w:fill="auto"/>
                  <w:noWrap w:val="0"/>
                  <w:vAlign w:val="center"/>
                </w:tcPr>
                <w:p w14:paraId="0C84E75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T</w:t>
                  </w:r>
                </w:p>
              </w:tc>
              <w:tc>
                <w:tcPr>
                  <w:tcW w:w="468" w:type="pct"/>
                  <w:vMerge w:val="continue"/>
                  <w:noWrap w:val="0"/>
                  <w:vAlign w:val="center"/>
                </w:tcPr>
                <w:p w14:paraId="26A249AE">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r>
            <w:tr w14:paraId="65FB0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157" w:type="pct"/>
                  <w:noWrap w:val="0"/>
                  <w:vAlign w:val="center"/>
                </w:tcPr>
                <w:p w14:paraId="677B0174">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3</w:t>
                  </w:r>
                </w:p>
              </w:tc>
              <w:tc>
                <w:tcPr>
                  <w:tcW w:w="532" w:type="pct"/>
                  <w:shd w:val="clear" w:color="auto" w:fill="auto"/>
                  <w:noWrap w:val="0"/>
                  <w:vAlign w:val="center"/>
                </w:tcPr>
                <w:p w14:paraId="2C38EED3">
                  <w:pPr>
                    <w:keepNext w:val="0"/>
                    <w:keepLines w:val="0"/>
                    <w:pageBreakBefore w:val="0"/>
                    <w:widowControl w:val="0"/>
                    <w:kinsoku/>
                    <w:wordWrap/>
                    <w:overflowPunct/>
                    <w:topLinePunct w:val="0"/>
                    <w:autoSpaceDE/>
                    <w:autoSpaceDN/>
                    <w:bidi w:val="0"/>
                    <w:adjustRightInd w:val="0"/>
                    <w:snapToGrid w:val="0"/>
                    <w:spacing w:line="276" w:lineRule="auto"/>
                    <w:ind w:left="0" w:leftChars="0" w:right="0" w:rightChars="0"/>
                    <w:jc w:val="center"/>
                    <w:textAlignment w:val="auto"/>
                    <w:rPr>
                      <w:rFonts w:hint="default" w:ascii="Times New Roman" w:hAnsi="Times New Roman" w:eastAsia="仿宋" w:cs="Times New Roman"/>
                      <w:color w:val="0000FF"/>
                      <w:kern w:val="2"/>
                      <w:sz w:val="18"/>
                      <w:szCs w:val="18"/>
                      <w:highlight w:val="none"/>
                      <w:lang w:val="en-US" w:eastAsia="zh-CN" w:bidi="ar-SA"/>
                    </w:rPr>
                  </w:pPr>
                  <w:r>
                    <w:rPr>
                      <w:rFonts w:hint="eastAsia" w:eastAsia="仿宋" w:cs="Times New Roman"/>
                      <w:color w:val="0000FF"/>
                      <w:sz w:val="18"/>
                      <w:szCs w:val="18"/>
                      <w:highlight w:val="none"/>
                      <w:lang w:val="en-US" w:eastAsia="zh-CN"/>
                    </w:rPr>
                    <w:t>废过滤棉和杂质</w:t>
                  </w:r>
                </w:p>
              </w:tc>
              <w:tc>
                <w:tcPr>
                  <w:tcW w:w="500" w:type="pct"/>
                  <w:shd w:val="clear" w:color="auto" w:fill="auto"/>
                  <w:noWrap w:val="0"/>
                  <w:vAlign w:val="center"/>
                </w:tcPr>
                <w:p w14:paraId="39569A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HW49其他废物</w:t>
                  </w:r>
                </w:p>
              </w:tc>
              <w:tc>
                <w:tcPr>
                  <w:tcW w:w="455" w:type="pct"/>
                  <w:shd w:val="clear" w:color="auto" w:fill="auto"/>
                  <w:noWrap w:val="0"/>
                  <w:vAlign w:val="center"/>
                </w:tcPr>
                <w:p w14:paraId="5042262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900-041-49</w:t>
                  </w:r>
                </w:p>
              </w:tc>
              <w:tc>
                <w:tcPr>
                  <w:tcW w:w="438" w:type="pct"/>
                  <w:shd w:val="clear" w:color="auto" w:fill="auto"/>
                  <w:noWrap w:val="0"/>
                  <w:vAlign w:val="center"/>
                </w:tcPr>
                <w:p w14:paraId="2F48AF5A">
                  <w:pPr>
                    <w:adjustRightInd w:val="0"/>
                    <w:snapToGrid w:val="0"/>
                    <w:spacing w:line="276" w:lineRule="auto"/>
                    <w:jc w:val="center"/>
                    <w:rPr>
                      <w:rFonts w:hint="eastAsia"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0.042</w:t>
                  </w:r>
                </w:p>
              </w:tc>
              <w:tc>
                <w:tcPr>
                  <w:tcW w:w="331" w:type="pct"/>
                  <w:vMerge w:val="continue"/>
                  <w:noWrap w:val="0"/>
                  <w:vAlign w:val="center"/>
                </w:tcPr>
                <w:p w14:paraId="38AD17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lang w:val="en-US" w:eastAsia="zh-CN"/>
                    </w:rPr>
                  </w:pPr>
                </w:p>
              </w:tc>
              <w:tc>
                <w:tcPr>
                  <w:tcW w:w="260" w:type="pct"/>
                  <w:noWrap w:val="0"/>
                  <w:vAlign w:val="center"/>
                </w:tcPr>
                <w:p w14:paraId="5C432A14">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固废</w:t>
                  </w:r>
                </w:p>
              </w:tc>
              <w:tc>
                <w:tcPr>
                  <w:tcW w:w="692" w:type="pct"/>
                  <w:noWrap w:val="0"/>
                  <w:vAlign w:val="center"/>
                </w:tcPr>
                <w:p w14:paraId="2BC4D30E">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过滤棉、杂质</w:t>
                  </w:r>
                </w:p>
              </w:tc>
              <w:tc>
                <w:tcPr>
                  <w:tcW w:w="350" w:type="pct"/>
                  <w:noWrap w:val="0"/>
                  <w:vAlign w:val="center"/>
                </w:tcPr>
                <w:p w14:paraId="54BE0D4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杂质</w:t>
                  </w:r>
                </w:p>
              </w:tc>
              <w:tc>
                <w:tcPr>
                  <w:tcW w:w="468" w:type="pct"/>
                  <w:noWrap w:val="0"/>
                  <w:vAlign w:val="center"/>
                </w:tcPr>
                <w:p w14:paraId="280A6FD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间歇，每3月•次</w:t>
                  </w:r>
                </w:p>
              </w:tc>
              <w:tc>
                <w:tcPr>
                  <w:tcW w:w="344" w:type="pct"/>
                  <w:shd w:val="clear" w:color="auto" w:fill="auto"/>
                  <w:noWrap w:val="0"/>
                  <w:vAlign w:val="center"/>
                </w:tcPr>
                <w:p w14:paraId="1CC202A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T</w:t>
                  </w:r>
                  <w:r>
                    <w:rPr>
                      <w:rFonts w:hint="eastAsia" w:eastAsia="仿宋" w:cs="Times New Roman"/>
                      <w:color w:val="0000FF"/>
                      <w:sz w:val="18"/>
                      <w:szCs w:val="18"/>
                      <w:highlight w:val="none"/>
                      <w:lang w:val="en-US" w:eastAsia="zh-CN"/>
                    </w:rPr>
                    <w:t>/</w:t>
                  </w:r>
                  <w:r>
                    <w:rPr>
                      <w:rFonts w:hint="default" w:ascii="Times New Roman" w:hAnsi="Times New Roman" w:eastAsia="仿宋" w:cs="Times New Roman"/>
                      <w:color w:val="0000FF"/>
                      <w:sz w:val="18"/>
                      <w:szCs w:val="18"/>
                      <w:highlight w:val="none"/>
                    </w:rPr>
                    <w:t>I</w:t>
                  </w:r>
                  <w:r>
                    <w:rPr>
                      <w:rFonts w:hint="eastAsia"/>
                      <w:color w:val="0000FF"/>
                      <w:lang w:val="en-US" w:eastAsia="zh-CN"/>
                    </w:rPr>
                    <w:t>n</w:t>
                  </w:r>
                </w:p>
              </w:tc>
              <w:tc>
                <w:tcPr>
                  <w:tcW w:w="468" w:type="pct"/>
                  <w:vMerge w:val="continue"/>
                  <w:noWrap w:val="0"/>
                  <w:vAlign w:val="center"/>
                </w:tcPr>
                <w:p w14:paraId="1B33F54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r>
            <w:tr w14:paraId="06CB3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157" w:type="pct"/>
                  <w:noWrap w:val="0"/>
                  <w:vAlign w:val="center"/>
                </w:tcPr>
                <w:p w14:paraId="7AB5334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4</w:t>
                  </w:r>
                </w:p>
              </w:tc>
              <w:tc>
                <w:tcPr>
                  <w:tcW w:w="532" w:type="pct"/>
                  <w:shd w:val="clear" w:color="auto" w:fill="auto"/>
                  <w:noWrap w:val="0"/>
                  <w:vAlign w:val="center"/>
                </w:tcPr>
                <w:p w14:paraId="2D0C0682">
                  <w:pPr>
                    <w:keepNext w:val="0"/>
                    <w:keepLines w:val="0"/>
                    <w:pageBreakBefore w:val="0"/>
                    <w:widowControl w:val="0"/>
                    <w:kinsoku/>
                    <w:wordWrap/>
                    <w:overflowPunct/>
                    <w:topLinePunct w:val="0"/>
                    <w:autoSpaceDE/>
                    <w:autoSpaceDN/>
                    <w:bidi w:val="0"/>
                    <w:adjustRightInd w:val="0"/>
                    <w:snapToGrid w:val="0"/>
                    <w:spacing w:line="276" w:lineRule="auto"/>
                    <w:ind w:left="0" w:leftChars="0" w:right="0" w:rightChars="0"/>
                    <w:jc w:val="center"/>
                    <w:textAlignment w:val="auto"/>
                    <w:rPr>
                      <w:rFonts w:hint="default" w:ascii="Times New Roman" w:hAnsi="Times New Roman" w:eastAsia="仿宋" w:cs="Times New Roman"/>
                      <w:color w:val="0000FF"/>
                      <w:kern w:val="2"/>
                      <w:sz w:val="18"/>
                      <w:szCs w:val="18"/>
                      <w:highlight w:val="none"/>
                      <w:lang w:val="en-US" w:eastAsia="zh-CN" w:bidi="ar-SA"/>
                    </w:rPr>
                  </w:pPr>
                  <w:r>
                    <w:rPr>
                      <w:rFonts w:hint="eastAsia" w:eastAsia="仿宋" w:cs="Times New Roman"/>
                      <w:color w:val="0000FF"/>
                      <w:sz w:val="18"/>
                      <w:szCs w:val="18"/>
                      <w:highlight w:val="none"/>
                      <w:lang w:val="en-US" w:eastAsia="zh-CN"/>
                    </w:rPr>
                    <w:t>水旋废液</w:t>
                  </w:r>
                </w:p>
              </w:tc>
              <w:tc>
                <w:tcPr>
                  <w:tcW w:w="500" w:type="pct"/>
                  <w:shd w:val="clear" w:color="auto" w:fill="auto"/>
                  <w:noWrap w:val="0"/>
                  <w:vAlign w:val="center"/>
                </w:tcPr>
                <w:p w14:paraId="00A336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HW49其他废物</w:t>
                  </w:r>
                </w:p>
              </w:tc>
              <w:tc>
                <w:tcPr>
                  <w:tcW w:w="455" w:type="pct"/>
                  <w:shd w:val="clear" w:color="auto" w:fill="auto"/>
                  <w:noWrap w:val="0"/>
                  <w:vAlign w:val="center"/>
                </w:tcPr>
                <w:p w14:paraId="069E94D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900-041-49</w:t>
                  </w:r>
                </w:p>
              </w:tc>
              <w:tc>
                <w:tcPr>
                  <w:tcW w:w="438" w:type="pct"/>
                  <w:shd w:val="clear" w:color="auto" w:fill="auto"/>
                  <w:noWrap w:val="0"/>
                  <w:vAlign w:val="center"/>
                </w:tcPr>
                <w:p w14:paraId="1A8BB374">
                  <w:pPr>
                    <w:adjustRightInd w:val="0"/>
                    <w:snapToGrid w:val="0"/>
                    <w:spacing w:line="276" w:lineRule="auto"/>
                    <w:jc w:val="center"/>
                    <w:rPr>
                      <w:rFonts w:hint="eastAsia"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2</w:t>
                  </w:r>
                </w:p>
              </w:tc>
              <w:tc>
                <w:tcPr>
                  <w:tcW w:w="331" w:type="pct"/>
                  <w:vMerge w:val="continue"/>
                  <w:noWrap w:val="0"/>
                  <w:vAlign w:val="center"/>
                </w:tcPr>
                <w:p w14:paraId="05514EE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lang w:val="en-US" w:eastAsia="zh-CN"/>
                    </w:rPr>
                  </w:pPr>
                </w:p>
              </w:tc>
              <w:tc>
                <w:tcPr>
                  <w:tcW w:w="260" w:type="pct"/>
                  <w:noWrap w:val="0"/>
                  <w:vAlign w:val="center"/>
                </w:tcPr>
                <w:p w14:paraId="22A0F1F5">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液体</w:t>
                  </w:r>
                </w:p>
              </w:tc>
              <w:tc>
                <w:tcPr>
                  <w:tcW w:w="692" w:type="pct"/>
                  <w:noWrap w:val="0"/>
                  <w:vAlign w:val="center"/>
                </w:tcPr>
                <w:p w14:paraId="13A79F41">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水、杂质</w:t>
                  </w:r>
                </w:p>
              </w:tc>
              <w:tc>
                <w:tcPr>
                  <w:tcW w:w="350" w:type="pct"/>
                  <w:noWrap w:val="0"/>
                  <w:vAlign w:val="center"/>
                </w:tcPr>
                <w:p w14:paraId="5D3012F0">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杂质</w:t>
                  </w:r>
                </w:p>
              </w:tc>
              <w:tc>
                <w:tcPr>
                  <w:tcW w:w="468" w:type="pct"/>
                  <w:noWrap w:val="0"/>
                  <w:vAlign w:val="center"/>
                </w:tcPr>
                <w:p w14:paraId="6A594E65">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间歇，每3月•次</w:t>
                  </w:r>
                </w:p>
              </w:tc>
              <w:tc>
                <w:tcPr>
                  <w:tcW w:w="344" w:type="pct"/>
                  <w:shd w:val="clear" w:color="auto" w:fill="auto"/>
                  <w:noWrap w:val="0"/>
                  <w:vAlign w:val="center"/>
                </w:tcPr>
                <w:p w14:paraId="7675939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T</w:t>
                  </w:r>
                  <w:r>
                    <w:rPr>
                      <w:rFonts w:hint="eastAsia" w:eastAsia="仿宋" w:cs="Times New Roman"/>
                      <w:color w:val="0000FF"/>
                      <w:sz w:val="18"/>
                      <w:szCs w:val="18"/>
                      <w:highlight w:val="none"/>
                      <w:lang w:val="en-US" w:eastAsia="zh-CN"/>
                    </w:rPr>
                    <w:t>/</w:t>
                  </w:r>
                  <w:r>
                    <w:rPr>
                      <w:rFonts w:hint="default" w:ascii="Times New Roman" w:hAnsi="Times New Roman" w:eastAsia="仿宋" w:cs="Times New Roman"/>
                      <w:color w:val="0000FF"/>
                      <w:sz w:val="18"/>
                      <w:szCs w:val="18"/>
                      <w:highlight w:val="none"/>
                    </w:rPr>
                    <w:t>I</w:t>
                  </w:r>
                  <w:r>
                    <w:rPr>
                      <w:rFonts w:hint="eastAsia"/>
                      <w:color w:val="0000FF"/>
                      <w:lang w:val="en-US" w:eastAsia="zh-CN"/>
                    </w:rPr>
                    <w:t>n</w:t>
                  </w:r>
                </w:p>
              </w:tc>
              <w:tc>
                <w:tcPr>
                  <w:tcW w:w="468" w:type="pct"/>
                  <w:vMerge w:val="continue"/>
                  <w:noWrap w:val="0"/>
                  <w:vAlign w:val="center"/>
                </w:tcPr>
                <w:p w14:paraId="4B2BE537">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p>
              </w:tc>
            </w:tr>
            <w:tr w14:paraId="0BE5E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157" w:type="pct"/>
                  <w:noWrap w:val="0"/>
                  <w:vAlign w:val="center"/>
                </w:tcPr>
                <w:p w14:paraId="25EAF03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5</w:t>
                  </w:r>
                </w:p>
              </w:tc>
              <w:tc>
                <w:tcPr>
                  <w:tcW w:w="532" w:type="pct"/>
                  <w:shd w:val="clear" w:color="auto" w:fill="auto"/>
                  <w:noWrap w:val="0"/>
                  <w:vAlign w:val="center"/>
                </w:tcPr>
                <w:p w14:paraId="79AE479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含油废抹布及手套</w:t>
                  </w:r>
                </w:p>
              </w:tc>
              <w:tc>
                <w:tcPr>
                  <w:tcW w:w="500" w:type="pct"/>
                  <w:shd w:val="clear" w:color="auto" w:fill="auto"/>
                  <w:noWrap w:val="0"/>
                  <w:vAlign w:val="center"/>
                </w:tcPr>
                <w:p w14:paraId="124DBB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HW49其他废物</w:t>
                  </w:r>
                </w:p>
              </w:tc>
              <w:tc>
                <w:tcPr>
                  <w:tcW w:w="455" w:type="pct"/>
                  <w:shd w:val="clear" w:color="auto" w:fill="auto"/>
                  <w:noWrap w:val="0"/>
                  <w:vAlign w:val="center"/>
                </w:tcPr>
                <w:p w14:paraId="54F4175E">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900-041-49</w:t>
                  </w:r>
                </w:p>
              </w:tc>
              <w:tc>
                <w:tcPr>
                  <w:tcW w:w="438" w:type="pct"/>
                  <w:shd w:val="clear" w:color="auto" w:fill="auto"/>
                  <w:noWrap w:val="0"/>
                  <w:vAlign w:val="center"/>
                </w:tcPr>
                <w:p w14:paraId="199ACF83">
                  <w:pPr>
                    <w:keepNext w:val="0"/>
                    <w:keepLines w:val="0"/>
                    <w:pageBreakBefore w:val="0"/>
                    <w:widowControl w:val="0"/>
                    <w:kinsoku/>
                    <w:wordWrap/>
                    <w:overflowPunct/>
                    <w:topLinePunct w:val="0"/>
                    <w:autoSpaceDE/>
                    <w:autoSpaceDN/>
                    <w:bidi w:val="0"/>
                    <w:adjustRightInd w:val="0"/>
                    <w:snapToGrid w:val="0"/>
                    <w:spacing w:line="276"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0.05</w:t>
                  </w:r>
                </w:p>
              </w:tc>
              <w:tc>
                <w:tcPr>
                  <w:tcW w:w="331" w:type="pct"/>
                  <w:noWrap w:val="0"/>
                  <w:vAlign w:val="center"/>
                </w:tcPr>
                <w:p w14:paraId="7643E3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设备维护操作</w:t>
                  </w:r>
                </w:p>
              </w:tc>
              <w:tc>
                <w:tcPr>
                  <w:tcW w:w="260" w:type="pct"/>
                  <w:noWrap w:val="0"/>
                  <w:vAlign w:val="center"/>
                </w:tcPr>
                <w:p w14:paraId="364878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固态</w:t>
                  </w:r>
                </w:p>
              </w:tc>
              <w:tc>
                <w:tcPr>
                  <w:tcW w:w="692" w:type="pct"/>
                  <w:noWrap w:val="0"/>
                  <w:vAlign w:val="center"/>
                </w:tcPr>
                <w:p w14:paraId="6F0FC9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棉纱、矿物油</w:t>
                  </w:r>
                </w:p>
              </w:tc>
              <w:tc>
                <w:tcPr>
                  <w:tcW w:w="350" w:type="pct"/>
                  <w:noWrap w:val="0"/>
                  <w:vAlign w:val="center"/>
                </w:tcPr>
                <w:p w14:paraId="1C18798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矿物油</w:t>
                  </w:r>
                </w:p>
              </w:tc>
              <w:tc>
                <w:tcPr>
                  <w:tcW w:w="468" w:type="pct"/>
                  <w:noWrap w:val="0"/>
                  <w:vAlign w:val="center"/>
                </w:tcPr>
                <w:p w14:paraId="48FCC87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间歇，每3月•次</w:t>
                  </w:r>
                </w:p>
              </w:tc>
              <w:tc>
                <w:tcPr>
                  <w:tcW w:w="344" w:type="pct"/>
                  <w:shd w:val="clear" w:color="auto" w:fill="auto"/>
                  <w:noWrap w:val="0"/>
                  <w:vAlign w:val="center"/>
                </w:tcPr>
                <w:p w14:paraId="495E8F3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T</w:t>
                  </w:r>
                  <w:r>
                    <w:rPr>
                      <w:rFonts w:hint="eastAsia" w:eastAsia="仿宋" w:cs="Times New Roman"/>
                      <w:color w:val="auto"/>
                      <w:sz w:val="18"/>
                      <w:szCs w:val="18"/>
                      <w:highlight w:val="none"/>
                      <w:lang w:val="en-US" w:eastAsia="zh-CN"/>
                    </w:rPr>
                    <w:t>/</w:t>
                  </w:r>
                  <w:r>
                    <w:rPr>
                      <w:rFonts w:hint="default" w:ascii="Times New Roman" w:hAnsi="Times New Roman" w:eastAsia="仿宋" w:cs="Times New Roman"/>
                      <w:color w:val="auto"/>
                      <w:sz w:val="18"/>
                      <w:szCs w:val="18"/>
                      <w:highlight w:val="none"/>
                    </w:rPr>
                    <w:t>I</w:t>
                  </w:r>
                  <w:r>
                    <w:rPr>
                      <w:rFonts w:hint="eastAsia"/>
                      <w:lang w:val="en-US" w:eastAsia="zh-CN"/>
                    </w:rPr>
                    <w:t>n</w:t>
                  </w:r>
                </w:p>
              </w:tc>
              <w:tc>
                <w:tcPr>
                  <w:tcW w:w="468" w:type="pct"/>
                  <w:noWrap w:val="0"/>
                  <w:vAlign w:val="center"/>
                </w:tcPr>
                <w:p w14:paraId="12CF026A">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sz w:val="18"/>
                      <w:szCs w:val="18"/>
                      <w:highlight w:val="none"/>
                    </w:rPr>
                    <w:t>难以单独收集，混入生活垃圾一并处理，按豁免管理清单要求管理</w:t>
                  </w:r>
                </w:p>
              </w:tc>
            </w:tr>
          </w:tbl>
          <w:p w14:paraId="0CC345D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注：T表示毒性、In表示感染性、I表示易燃性、C表示腐蚀性、R表示反应性。</w:t>
            </w:r>
          </w:p>
          <w:p w14:paraId="7318651E">
            <w:pPr>
              <w:spacing w:before="120" w:beforeLines="50" w:line="360" w:lineRule="auto"/>
              <w:ind w:firstLine="480" w:firstLineChars="20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4"/>
                <w:highlight w:val="none"/>
              </w:rPr>
              <w:t>4、建设项目固体废物利用处置方式</w:t>
            </w:r>
          </w:p>
          <w:p w14:paraId="71B0DDF0">
            <w:pPr>
              <w:tabs>
                <w:tab w:val="left" w:pos="1728"/>
              </w:tabs>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本项目固体废物利用处置方式具体见表4-</w:t>
            </w:r>
            <w:r>
              <w:rPr>
                <w:rFonts w:hint="default" w:ascii="Times New Roman" w:hAnsi="Times New Roman" w:eastAsia="仿宋" w:cs="Times New Roman"/>
                <w:color w:val="auto"/>
                <w:sz w:val="24"/>
                <w:highlight w:val="none"/>
                <w:lang w:val="en-US" w:eastAsia="zh-CN"/>
              </w:rPr>
              <w:t>3</w:t>
            </w:r>
            <w:r>
              <w:rPr>
                <w:rFonts w:hint="eastAsia" w:eastAsia="仿宋" w:cs="Times New Roman"/>
                <w:color w:val="auto"/>
                <w:sz w:val="24"/>
                <w:highlight w:val="none"/>
                <w:lang w:val="en-US" w:eastAsia="zh-CN"/>
              </w:rPr>
              <w:t>4</w:t>
            </w:r>
            <w:r>
              <w:rPr>
                <w:rFonts w:hint="default" w:ascii="Times New Roman" w:hAnsi="Times New Roman" w:eastAsia="仿宋" w:cs="Times New Roman"/>
                <w:color w:val="auto"/>
                <w:sz w:val="24"/>
                <w:highlight w:val="none"/>
              </w:rPr>
              <w:t>。</w:t>
            </w:r>
          </w:p>
          <w:p w14:paraId="61358B60">
            <w:pPr>
              <w:tabs>
                <w:tab w:val="left" w:pos="1728"/>
              </w:tabs>
              <w:adjustRightInd w:val="0"/>
              <w:snapToGrid w:val="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default" w:ascii="Times New Roman" w:hAnsi="Times New Roman" w:eastAsia="仿宋" w:cs="Times New Roman"/>
                <w:b/>
                <w:color w:val="auto"/>
                <w:sz w:val="24"/>
                <w:highlight w:val="none"/>
                <w:lang w:val="en-US" w:eastAsia="zh-CN"/>
              </w:rPr>
              <w:t>3</w:t>
            </w:r>
            <w:r>
              <w:rPr>
                <w:rFonts w:hint="eastAsia" w:eastAsia="仿宋" w:cs="Times New Roman"/>
                <w:b/>
                <w:color w:val="auto"/>
                <w:sz w:val="24"/>
                <w:highlight w:val="none"/>
                <w:lang w:val="en-US" w:eastAsia="zh-CN"/>
              </w:rPr>
              <w:t>4</w:t>
            </w:r>
            <w:r>
              <w:rPr>
                <w:rFonts w:hint="default" w:ascii="Times New Roman" w:hAnsi="Times New Roman" w:eastAsia="仿宋" w:cs="Times New Roman"/>
                <w:b/>
                <w:color w:val="auto"/>
                <w:sz w:val="24"/>
                <w:highlight w:val="none"/>
              </w:rPr>
              <w:t xml:space="preserve">  本项目固体废物具体处置方式表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1621"/>
              <w:gridCol w:w="726"/>
              <w:gridCol w:w="1693"/>
              <w:gridCol w:w="1520"/>
              <w:gridCol w:w="953"/>
              <w:gridCol w:w="812"/>
              <w:gridCol w:w="653"/>
            </w:tblGrid>
            <w:tr w14:paraId="54AC4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noWrap w:val="0"/>
                  <w:vAlign w:val="center"/>
                </w:tcPr>
                <w:p w14:paraId="367C462E">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序号</w:t>
                  </w:r>
                </w:p>
              </w:tc>
              <w:tc>
                <w:tcPr>
                  <w:tcW w:w="964" w:type="pct"/>
                  <w:noWrap w:val="0"/>
                  <w:vAlign w:val="center"/>
                </w:tcPr>
                <w:p w14:paraId="1E6A3B62">
                  <w:pPr>
                    <w:adjustRightInd w:val="0"/>
                    <w:snapToGrid w:val="0"/>
                    <w:spacing w:line="276" w:lineRule="auto"/>
                    <w:ind w:left="-105" w:leftChars="-50" w:right="-105" w:rightChars="-5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固体废物名称</w:t>
                  </w:r>
                </w:p>
              </w:tc>
              <w:tc>
                <w:tcPr>
                  <w:tcW w:w="432" w:type="pct"/>
                  <w:noWrap w:val="0"/>
                  <w:vAlign w:val="center"/>
                </w:tcPr>
                <w:p w14:paraId="0F05910C">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产生来源</w:t>
                  </w:r>
                </w:p>
              </w:tc>
              <w:tc>
                <w:tcPr>
                  <w:tcW w:w="1007" w:type="pct"/>
                  <w:noWrap w:val="0"/>
                  <w:vAlign w:val="center"/>
                </w:tcPr>
                <w:p w14:paraId="1F2189E8">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属性(危险废物、一般工业固体废物或待鉴别)</w:t>
                  </w:r>
                </w:p>
              </w:tc>
              <w:tc>
                <w:tcPr>
                  <w:tcW w:w="904" w:type="pct"/>
                  <w:noWrap w:val="0"/>
                  <w:vAlign w:val="center"/>
                </w:tcPr>
                <w:p w14:paraId="3ED5BC7A">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废物代码</w:t>
                  </w:r>
                </w:p>
              </w:tc>
              <w:tc>
                <w:tcPr>
                  <w:tcW w:w="567" w:type="pct"/>
                  <w:noWrap w:val="0"/>
                  <w:vAlign w:val="center"/>
                </w:tcPr>
                <w:p w14:paraId="39088450">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产生量（t/a）</w:t>
                  </w:r>
                </w:p>
              </w:tc>
              <w:tc>
                <w:tcPr>
                  <w:tcW w:w="483" w:type="pct"/>
                  <w:noWrap w:val="0"/>
                  <w:vAlign w:val="center"/>
                </w:tcPr>
                <w:p w14:paraId="5A52E718">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利用处置方式</w:t>
                  </w:r>
                </w:p>
              </w:tc>
              <w:tc>
                <w:tcPr>
                  <w:tcW w:w="388" w:type="pct"/>
                  <w:noWrap w:val="0"/>
                  <w:vAlign w:val="center"/>
                </w:tcPr>
                <w:p w14:paraId="0CCCF74C">
                  <w:pPr>
                    <w:adjustRightInd w:val="0"/>
                    <w:snapToGrid w:val="0"/>
                    <w:spacing w:line="276"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利用处置单位</w:t>
                  </w:r>
                </w:p>
              </w:tc>
            </w:tr>
            <w:tr w14:paraId="7625B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noWrap w:val="0"/>
                  <w:vAlign w:val="center"/>
                </w:tcPr>
                <w:p w14:paraId="5D1ED02D">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1</w:t>
                  </w:r>
                </w:p>
              </w:tc>
              <w:tc>
                <w:tcPr>
                  <w:tcW w:w="964" w:type="pct"/>
                  <w:shd w:val="clear" w:color="auto" w:fill="auto"/>
                  <w:noWrap w:val="0"/>
                  <w:vAlign w:val="center"/>
                </w:tcPr>
                <w:p w14:paraId="17E1BC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kern w:val="2"/>
                      <w:sz w:val="18"/>
                      <w:szCs w:val="18"/>
                      <w:highlight w:val="none"/>
                      <w:lang w:val="en-US" w:eastAsia="zh-CN" w:bidi="ar-SA"/>
                    </w:rPr>
                  </w:pPr>
                  <w:r>
                    <w:rPr>
                      <w:rFonts w:hint="default" w:ascii="Times New Roman" w:hAnsi="Times New Roman" w:eastAsia="仿宋" w:cs="Times New Roman"/>
                      <w:color w:val="0000FF"/>
                      <w:sz w:val="18"/>
                      <w:szCs w:val="18"/>
                      <w:highlight w:val="none"/>
                      <w:lang w:val="en-US" w:eastAsia="zh-CN"/>
                    </w:rPr>
                    <w:t>废绒毛</w:t>
                  </w:r>
                </w:p>
              </w:tc>
              <w:tc>
                <w:tcPr>
                  <w:tcW w:w="432" w:type="pct"/>
                  <w:vMerge w:val="restart"/>
                  <w:noWrap w:val="0"/>
                  <w:vAlign w:val="center"/>
                </w:tcPr>
                <w:p w14:paraId="1AB741DC">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r>
                    <w:rPr>
                      <w:rFonts w:hint="default" w:ascii="Times New Roman" w:hAnsi="Times New Roman" w:eastAsia="仿宋" w:cs="Times New Roman"/>
                      <w:color w:val="0000FF"/>
                      <w:sz w:val="18"/>
                      <w:szCs w:val="18"/>
                      <w:highlight w:val="none"/>
                      <w:lang w:val="en-US" w:eastAsia="zh-CN"/>
                    </w:rPr>
                    <w:t>废气治理</w:t>
                  </w:r>
                </w:p>
              </w:tc>
              <w:tc>
                <w:tcPr>
                  <w:tcW w:w="1007" w:type="pct"/>
                  <w:vMerge w:val="restart"/>
                  <w:noWrap w:val="0"/>
                  <w:vAlign w:val="center"/>
                </w:tcPr>
                <w:p w14:paraId="36AFBBF6">
                  <w:pPr>
                    <w:adjustRightInd w:val="0"/>
                    <w:snapToGrid w:val="0"/>
                    <w:spacing w:line="276" w:lineRule="auto"/>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一般固体废物</w:t>
                  </w:r>
                </w:p>
              </w:tc>
              <w:tc>
                <w:tcPr>
                  <w:tcW w:w="904" w:type="pct"/>
                  <w:shd w:val="clear" w:color="auto" w:fill="auto"/>
                  <w:noWrap w:val="0"/>
                  <w:vAlign w:val="center"/>
                </w:tcPr>
                <w:p w14:paraId="1A0D02BC">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kern w:val="2"/>
                      <w:sz w:val="18"/>
                      <w:szCs w:val="18"/>
                      <w:highlight w:val="none"/>
                      <w:lang w:val="en-US" w:eastAsia="zh-CN" w:bidi="ar-SA"/>
                    </w:rPr>
                  </w:pPr>
                  <w:r>
                    <w:rPr>
                      <w:rFonts w:hint="default" w:ascii="Times New Roman" w:hAnsi="Times New Roman" w:eastAsia="宋体" w:cs="Times New Roman"/>
                      <w:color w:val="0000FF"/>
                      <w:kern w:val="0"/>
                      <w:sz w:val="18"/>
                      <w:szCs w:val="18"/>
                      <w:lang w:val="en-US" w:eastAsia="zh-CN" w:bidi="ar"/>
                    </w:rPr>
                    <w:t>S</w:t>
                  </w:r>
                  <w:r>
                    <w:rPr>
                      <w:rFonts w:hint="default" w:ascii="Times New Roman" w:hAnsi="Times New Roman" w:eastAsia="仿宋" w:cs="Times New Roman"/>
                      <w:color w:val="0000FF"/>
                      <w:sz w:val="18"/>
                      <w:szCs w:val="18"/>
                      <w:highlight w:val="none"/>
                      <w:lang w:val="en-US" w:eastAsia="zh-CN"/>
                    </w:rPr>
                    <w:t>W59其他工业固体废物</w:t>
                  </w:r>
                  <w:r>
                    <w:rPr>
                      <w:rFonts w:hint="default" w:ascii="Times New Roman" w:hAnsi="Times New Roman" w:eastAsia="仿宋" w:cs="Times New Roman"/>
                      <w:color w:val="0000FF"/>
                      <w:sz w:val="18"/>
                      <w:szCs w:val="18"/>
                      <w:highlight w:val="none"/>
                    </w:rPr>
                    <w:t>900-</w:t>
                  </w:r>
                  <w:r>
                    <w:rPr>
                      <w:rFonts w:hint="default" w:ascii="Times New Roman" w:hAnsi="Times New Roman" w:eastAsia="仿宋" w:cs="Times New Roman"/>
                      <w:color w:val="0000FF"/>
                      <w:sz w:val="18"/>
                      <w:szCs w:val="18"/>
                      <w:highlight w:val="none"/>
                      <w:lang w:val="en-US" w:eastAsia="zh-CN"/>
                    </w:rPr>
                    <w:t>009</w:t>
                  </w:r>
                  <w:r>
                    <w:rPr>
                      <w:rFonts w:hint="default" w:ascii="Times New Roman" w:hAnsi="Times New Roman" w:eastAsia="仿宋" w:cs="Times New Roman"/>
                      <w:color w:val="0000FF"/>
                      <w:sz w:val="18"/>
                      <w:szCs w:val="18"/>
                      <w:highlight w:val="none"/>
                    </w:rPr>
                    <w:t>-</w:t>
                  </w:r>
                  <w:r>
                    <w:rPr>
                      <w:rFonts w:hint="default" w:ascii="Times New Roman" w:hAnsi="Times New Roman" w:eastAsia="仿宋" w:cs="Times New Roman"/>
                      <w:color w:val="0000FF"/>
                      <w:sz w:val="18"/>
                      <w:szCs w:val="18"/>
                      <w:highlight w:val="none"/>
                      <w:lang w:val="en-US" w:eastAsia="zh-CN"/>
                    </w:rPr>
                    <w:t>59</w:t>
                  </w:r>
                </w:p>
              </w:tc>
              <w:tc>
                <w:tcPr>
                  <w:tcW w:w="567" w:type="pct"/>
                  <w:noWrap w:val="0"/>
                  <w:vAlign w:val="center"/>
                </w:tcPr>
                <w:p w14:paraId="4463089D">
                  <w:pPr>
                    <w:adjustRightInd w:val="0"/>
                    <w:snapToGrid w:val="0"/>
                    <w:spacing w:line="276" w:lineRule="auto"/>
                    <w:jc w:val="center"/>
                    <w:rPr>
                      <w:rFonts w:hint="default" w:ascii="Times New Roman" w:hAnsi="Times New Roman" w:eastAsia="仿宋" w:cs="Times New Roman"/>
                      <w:color w:val="0000FF"/>
                      <w:sz w:val="18"/>
                      <w:szCs w:val="18"/>
                      <w:highlight w:val="none"/>
                      <w:lang w:val="en-US"/>
                    </w:rPr>
                  </w:pPr>
                  <w:r>
                    <w:rPr>
                      <w:rFonts w:hint="default" w:ascii="Times New Roman" w:hAnsi="Times New Roman" w:eastAsia="仿宋" w:cs="Times New Roman"/>
                      <w:color w:val="0000FF"/>
                      <w:sz w:val="18"/>
                      <w:szCs w:val="18"/>
                      <w:highlight w:val="none"/>
                      <w:lang w:val="en-US" w:eastAsia="zh-CN"/>
                    </w:rPr>
                    <w:t>0.</w:t>
                  </w:r>
                  <w:r>
                    <w:rPr>
                      <w:rFonts w:hint="eastAsia" w:eastAsia="仿宋" w:cs="Times New Roman"/>
                      <w:color w:val="0000FF"/>
                      <w:sz w:val="18"/>
                      <w:szCs w:val="18"/>
                      <w:highlight w:val="none"/>
                      <w:lang w:val="en-US" w:eastAsia="zh-CN"/>
                    </w:rPr>
                    <w:t>714</w:t>
                  </w:r>
                </w:p>
              </w:tc>
              <w:tc>
                <w:tcPr>
                  <w:tcW w:w="483" w:type="pct"/>
                  <w:vMerge w:val="restart"/>
                  <w:noWrap w:val="0"/>
                  <w:vAlign w:val="center"/>
                </w:tcPr>
                <w:p w14:paraId="4EAA9D4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外售综合利用</w:t>
                  </w:r>
                </w:p>
              </w:tc>
              <w:tc>
                <w:tcPr>
                  <w:tcW w:w="388" w:type="pct"/>
                  <w:vMerge w:val="restart"/>
                  <w:noWrap w:val="0"/>
                  <w:vAlign w:val="center"/>
                </w:tcPr>
                <w:p w14:paraId="0C6E874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资源回收单位</w:t>
                  </w:r>
                </w:p>
              </w:tc>
            </w:tr>
            <w:tr w14:paraId="05F65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51" w:type="pct"/>
                  <w:noWrap w:val="0"/>
                  <w:vAlign w:val="center"/>
                </w:tcPr>
                <w:p w14:paraId="024D8F64">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2</w:t>
                  </w:r>
                </w:p>
              </w:tc>
              <w:tc>
                <w:tcPr>
                  <w:tcW w:w="964" w:type="pct"/>
                  <w:shd w:val="clear" w:color="auto" w:fill="auto"/>
                  <w:noWrap w:val="0"/>
                  <w:vAlign w:val="center"/>
                </w:tcPr>
                <w:p w14:paraId="609B88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废布袋</w:t>
                  </w:r>
                </w:p>
              </w:tc>
              <w:tc>
                <w:tcPr>
                  <w:tcW w:w="432" w:type="pct"/>
                  <w:vMerge w:val="continue"/>
                  <w:noWrap w:val="0"/>
                  <w:vAlign w:val="center"/>
                </w:tcPr>
                <w:p w14:paraId="69544EDC">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1007" w:type="pct"/>
                  <w:vMerge w:val="continue"/>
                  <w:noWrap w:val="0"/>
                  <w:vAlign w:val="center"/>
                </w:tcPr>
                <w:p w14:paraId="2DCCB7A1">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904" w:type="pct"/>
                  <w:shd w:val="clear" w:color="auto" w:fill="auto"/>
                  <w:noWrap w:val="0"/>
                  <w:vAlign w:val="center"/>
                </w:tcPr>
                <w:p w14:paraId="3B1E5026">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宋体" w:cs="Times New Roman"/>
                      <w:color w:val="000000"/>
                      <w:kern w:val="0"/>
                      <w:sz w:val="18"/>
                      <w:szCs w:val="18"/>
                      <w:lang w:val="en-US" w:eastAsia="zh-CN" w:bidi="ar"/>
                    </w:rPr>
                    <w:t>S</w:t>
                  </w:r>
                  <w:r>
                    <w:rPr>
                      <w:rFonts w:hint="default" w:ascii="Times New Roman" w:hAnsi="Times New Roman" w:eastAsia="仿宋" w:cs="Times New Roman"/>
                      <w:color w:val="auto"/>
                      <w:sz w:val="18"/>
                      <w:szCs w:val="18"/>
                      <w:highlight w:val="none"/>
                      <w:lang w:val="en-US" w:eastAsia="zh-CN"/>
                    </w:rPr>
                    <w:t>W59其他工业固体废物</w:t>
                  </w:r>
                  <w:r>
                    <w:rPr>
                      <w:rFonts w:hint="default" w:ascii="Times New Roman" w:hAnsi="Times New Roman" w:eastAsia="仿宋" w:cs="Times New Roman"/>
                      <w:color w:val="auto"/>
                      <w:sz w:val="18"/>
                      <w:szCs w:val="18"/>
                      <w:highlight w:val="none"/>
                    </w:rPr>
                    <w:t>900-</w:t>
                  </w:r>
                  <w:r>
                    <w:rPr>
                      <w:rFonts w:hint="default" w:ascii="Times New Roman" w:hAnsi="Times New Roman" w:eastAsia="仿宋" w:cs="Times New Roman"/>
                      <w:color w:val="auto"/>
                      <w:sz w:val="18"/>
                      <w:szCs w:val="18"/>
                      <w:highlight w:val="none"/>
                      <w:lang w:val="en-US" w:eastAsia="zh-CN"/>
                    </w:rPr>
                    <w:t>0</w:t>
                  </w:r>
                  <w:r>
                    <w:rPr>
                      <w:rFonts w:hint="eastAsia" w:ascii="Times New Roman" w:hAnsi="Times New Roman" w:eastAsia="仿宋" w:cs="Times New Roman"/>
                      <w:color w:val="auto"/>
                      <w:sz w:val="18"/>
                      <w:szCs w:val="18"/>
                      <w:highlight w:val="none"/>
                      <w:lang w:val="en-US" w:eastAsia="zh-CN"/>
                    </w:rPr>
                    <w:t>0</w:t>
                  </w:r>
                  <w:r>
                    <w:rPr>
                      <w:rFonts w:hint="default" w:ascii="Times New Roman" w:hAnsi="Times New Roman" w:eastAsia="仿宋" w:cs="Times New Roman"/>
                      <w:color w:val="auto"/>
                      <w:sz w:val="18"/>
                      <w:szCs w:val="18"/>
                      <w:highlight w:val="none"/>
                      <w:lang w:val="en-US" w:eastAsia="zh-CN"/>
                    </w:rPr>
                    <w:t>9</w:t>
                  </w:r>
                  <w:r>
                    <w:rPr>
                      <w:rFonts w:hint="default" w:ascii="Times New Roman" w:hAnsi="Times New Roman" w:eastAsia="仿宋" w:cs="Times New Roman"/>
                      <w:color w:val="auto"/>
                      <w:sz w:val="18"/>
                      <w:szCs w:val="18"/>
                      <w:highlight w:val="none"/>
                    </w:rPr>
                    <w:t>-</w:t>
                  </w:r>
                  <w:r>
                    <w:rPr>
                      <w:rFonts w:hint="default" w:ascii="Times New Roman" w:hAnsi="Times New Roman" w:eastAsia="仿宋" w:cs="Times New Roman"/>
                      <w:color w:val="auto"/>
                      <w:sz w:val="18"/>
                      <w:szCs w:val="18"/>
                      <w:highlight w:val="none"/>
                      <w:lang w:val="en-US" w:eastAsia="zh-CN"/>
                    </w:rPr>
                    <w:t>59</w:t>
                  </w:r>
                </w:p>
              </w:tc>
              <w:tc>
                <w:tcPr>
                  <w:tcW w:w="567" w:type="pct"/>
                  <w:noWrap w:val="0"/>
                  <w:vAlign w:val="center"/>
                </w:tcPr>
                <w:p w14:paraId="6D0AAD1A">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0.</w:t>
                  </w:r>
                  <w:r>
                    <w:rPr>
                      <w:rFonts w:hint="default" w:ascii="Times New Roman" w:hAnsi="Times New Roman" w:eastAsia="仿宋" w:cs="Times New Roman"/>
                      <w:color w:val="auto"/>
                      <w:sz w:val="18"/>
                      <w:szCs w:val="18"/>
                      <w:highlight w:val="none"/>
                      <w:lang w:val="en-US" w:eastAsia="zh-CN"/>
                    </w:rPr>
                    <w:t>01</w:t>
                  </w:r>
                </w:p>
              </w:tc>
              <w:tc>
                <w:tcPr>
                  <w:tcW w:w="483" w:type="pct"/>
                  <w:vMerge w:val="continue"/>
                  <w:noWrap w:val="0"/>
                  <w:vAlign w:val="center"/>
                </w:tcPr>
                <w:p w14:paraId="2FB784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c>
                <w:tcPr>
                  <w:tcW w:w="388" w:type="pct"/>
                  <w:vMerge w:val="continue"/>
                  <w:noWrap w:val="0"/>
                  <w:vAlign w:val="center"/>
                </w:tcPr>
                <w:p w14:paraId="268420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r>
            <w:tr w14:paraId="4490F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noWrap w:val="0"/>
                  <w:vAlign w:val="center"/>
                </w:tcPr>
                <w:p w14:paraId="5407BD84">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3</w:t>
                  </w:r>
                </w:p>
              </w:tc>
              <w:tc>
                <w:tcPr>
                  <w:tcW w:w="964" w:type="pct"/>
                  <w:shd w:val="clear" w:color="auto" w:fill="auto"/>
                  <w:noWrap w:val="0"/>
                  <w:vAlign w:val="center"/>
                </w:tcPr>
                <w:p w14:paraId="446036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废包装材料</w:t>
                  </w:r>
                </w:p>
              </w:tc>
              <w:tc>
                <w:tcPr>
                  <w:tcW w:w="432" w:type="pct"/>
                  <w:vMerge w:val="restart"/>
                  <w:noWrap w:val="0"/>
                  <w:vAlign w:val="center"/>
                </w:tcPr>
                <w:p w14:paraId="35184413">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原辅材料使用</w:t>
                  </w:r>
                </w:p>
              </w:tc>
              <w:tc>
                <w:tcPr>
                  <w:tcW w:w="1007" w:type="pct"/>
                  <w:vMerge w:val="continue"/>
                  <w:noWrap w:val="0"/>
                  <w:vAlign w:val="center"/>
                </w:tcPr>
                <w:p w14:paraId="1474900B">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904" w:type="pct"/>
                  <w:shd w:val="clear" w:color="auto" w:fill="auto"/>
                  <w:noWrap w:val="0"/>
                  <w:vAlign w:val="center"/>
                </w:tcPr>
                <w:p w14:paraId="6920457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S</w:t>
                  </w:r>
                  <w:r>
                    <w:rPr>
                      <w:rFonts w:hint="default" w:ascii="Times New Roman" w:hAnsi="Times New Roman" w:eastAsia="仿宋" w:cs="Times New Roman"/>
                      <w:color w:val="auto"/>
                      <w:sz w:val="18"/>
                      <w:szCs w:val="18"/>
                      <w:highlight w:val="none"/>
                    </w:rPr>
                    <w:t>W</w:t>
                  </w:r>
                  <w:r>
                    <w:rPr>
                      <w:rFonts w:hint="default" w:ascii="Times New Roman" w:hAnsi="Times New Roman" w:eastAsia="仿宋" w:cs="Times New Roman"/>
                      <w:color w:val="auto"/>
                      <w:sz w:val="18"/>
                      <w:szCs w:val="18"/>
                      <w:highlight w:val="none"/>
                      <w:lang w:val="en-US" w:eastAsia="zh-CN"/>
                    </w:rPr>
                    <w:t>17可再生类废物</w:t>
                  </w:r>
                  <w:r>
                    <w:rPr>
                      <w:rFonts w:hint="default" w:ascii="Times New Roman" w:hAnsi="Times New Roman" w:eastAsia="仿宋" w:cs="Times New Roman"/>
                      <w:color w:val="auto"/>
                      <w:sz w:val="18"/>
                      <w:szCs w:val="18"/>
                      <w:highlight w:val="none"/>
                    </w:rPr>
                    <w:t>900-0</w:t>
                  </w:r>
                  <w:r>
                    <w:rPr>
                      <w:rFonts w:hint="default" w:ascii="Times New Roman" w:hAnsi="Times New Roman" w:eastAsia="仿宋" w:cs="Times New Roman"/>
                      <w:color w:val="auto"/>
                      <w:sz w:val="18"/>
                      <w:szCs w:val="18"/>
                      <w:highlight w:val="none"/>
                      <w:lang w:val="en-US" w:eastAsia="zh-CN"/>
                    </w:rPr>
                    <w:t>03-17</w:t>
                  </w:r>
                </w:p>
              </w:tc>
              <w:tc>
                <w:tcPr>
                  <w:tcW w:w="567" w:type="pct"/>
                  <w:noWrap w:val="0"/>
                  <w:vAlign w:val="center"/>
                </w:tcPr>
                <w:p w14:paraId="7B29ECAA">
                  <w:pPr>
                    <w:adjustRightInd w:val="0"/>
                    <w:snapToGrid w:val="0"/>
                    <w:spacing w:line="276" w:lineRule="auto"/>
                    <w:jc w:val="center"/>
                    <w:rPr>
                      <w:rFonts w:hint="default" w:ascii="Times New Roman" w:hAnsi="Times New Roman" w:eastAsia="仿宋" w:cs="Times New Roman"/>
                      <w:color w:val="auto"/>
                      <w:sz w:val="18"/>
                      <w:szCs w:val="18"/>
                      <w:highlight w:val="none"/>
                      <w:lang w:val="en-US"/>
                    </w:rPr>
                  </w:pPr>
                  <w:r>
                    <w:rPr>
                      <w:rFonts w:hint="default" w:ascii="Times New Roman" w:hAnsi="Times New Roman" w:eastAsia="仿宋" w:cs="Times New Roman"/>
                      <w:color w:val="auto"/>
                      <w:sz w:val="18"/>
                      <w:szCs w:val="18"/>
                      <w:highlight w:val="none"/>
                      <w:lang w:val="en-US" w:eastAsia="zh-CN"/>
                    </w:rPr>
                    <w:t>0.</w:t>
                  </w:r>
                  <w:r>
                    <w:rPr>
                      <w:rFonts w:hint="eastAsia" w:eastAsia="仿宋" w:cs="Times New Roman"/>
                      <w:color w:val="auto"/>
                      <w:sz w:val="18"/>
                      <w:szCs w:val="18"/>
                      <w:highlight w:val="none"/>
                      <w:lang w:val="en-US" w:eastAsia="zh-CN"/>
                    </w:rPr>
                    <w:t>26</w:t>
                  </w:r>
                </w:p>
              </w:tc>
              <w:tc>
                <w:tcPr>
                  <w:tcW w:w="483" w:type="pct"/>
                  <w:vMerge w:val="continue"/>
                  <w:noWrap w:val="0"/>
                  <w:vAlign w:val="center"/>
                </w:tcPr>
                <w:p w14:paraId="3855FB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c>
                <w:tcPr>
                  <w:tcW w:w="388" w:type="pct"/>
                  <w:vMerge w:val="continue"/>
                  <w:noWrap w:val="0"/>
                  <w:vAlign w:val="center"/>
                </w:tcPr>
                <w:p w14:paraId="38193B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r>
            <w:tr w14:paraId="2E3F2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noWrap w:val="0"/>
                  <w:vAlign w:val="center"/>
                </w:tcPr>
                <w:p w14:paraId="21564BA9">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4</w:t>
                  </w:r>
                </w:p>
              </w:tc>
              <w:tc>
                <w:tcPr>
                  <w:tcW w:w="964" w:type="pct"/>
                  <w:shd w:val="clear" w:color="auto" w:fill="auto"/>
                  <w:noWrap w:val="0"/>
                  <w:vAlign w:val="center"/>
                </w:tcPr>
                <w:p w14:paraId="2000F4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废包装桶</w:t>
                  </w:r>
                </w:p>
              </w:tc>
              <w:tc>
                <w:tcPr>
                  <w:tcW w:w="432" w:type="pct"/>
                  <w:vMerge w:val="continue"/>
                  <w:noWrap w:val="0"/>
                  <w:vAlign w:val="center"/>
                </w:tcPr>
                <w:p w14:paraId="0FC87E4A">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1007" w:type="pct"/>
                  <w:vMerge w:val="restart"/>
                  <w:noWrap w:val="0"/>
                  <w:vAlign w:val="center"/>
                </w:tcPr>
                <w:p w14:paraId="30DBBDB0">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危险废物</w:t>
                  </w:r>
                </w:p>
              </w:tc>
              <w:tc>
                <w:tcPr>
                  <w:tcW w:w="904" w:type="pct"/>
                  <w:shd w:val="clear" w:color="auto" w:fill="auto"/>
                  <w:noWrap w:val="0"/>
                  <w:vAlign w:val="center"/>
                </w:tcPr>
                <w:p w14:paraId="31C0086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HW49其他废物900-041-49</w:t>
                  </w:r>
                </w:p>
              </w:tc>
              <w:tc>
                <w:tcPr>
                  <w:tcW w:w="567" w:type="pct"/>
                  <w:shd w:val="clear" w:color="auto" w:fill="auto"/>
                  <w:noWrap w:val="0"/>
                  <w:vAlign w:val="center"/>
                </w:tcPr>
                <w:p w14:paraId="60132A2A">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0.36</w:t>
                  </w:r>
                </w:p>
              </w:tc>
              <w:tc>
                <w:tcPr>
                  <w:tcW w:w="483" w:type="pct"/>
                  <w:vMerge w:val="restart"/>
                  <w:noWrap w:val="0"/>
                  <w:vAlign w:val="center"/>
                </w:tcPr>
                <w:p w14:paraId="20189C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委托</w:t>
                  </w:r>
                </w:p>
                <w:p w14:paraId="462E3A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处置</w:t>
                  </w:r>
                </w:p>
              </w:tc>
              <w:tc>
                <w:tcPr>
                  <w:tcW w:w="388" w:type="pct"/>
                  <w:vMerge w:val="restart"/>
                  <w:noWrap w:val="0"/>
                  <w:vAlign w:val="center"/>
                </w:tcPr>
                <w:p w14:paraId="2F76D9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有资质单位</w:t>
                  </w:r>
                </w:p>
              </w:tc>
            </w:tr>
            <w:tr w14:paraId="65F8B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noWrap w:val="0"/>
                  <w:vAlign w:val="center"/>
                </w:tcPr>
                <w:p w14:paraId="16851EC2">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5</w:t>
                  </w:r>
                </w:p>
              </w:tc>
              <w:tc>
                <w:tcPr>
                  <w:tcW w:w="964" w:type="pct"/>
                  <w:shd w:val="clear" w:color="auto" w:fill="auto"/>
                  <w:noWrap w:val="0"/>
                  <w:vAlign w:val="center"/>
                </w:tcPr>
                <w:p w14:paraId="2357048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废活性炭</w:t>
                  </w:r>
                </w:p>
              </w:tc>
              <w:tc>
                <w:tcPr>
                  <w:tcW w:w="432" w:type="pct"/>
                  <w:vMerge w:val="restart"/>
                  <w:noWrap w:val="0"/>
                  <w:vAlign w:val="center"/>
                </w:tcPr>
                <w:p w14:paraId="4A6EAAB2">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废气治理</w:t>
                  </w:r>
                </w:p>
              </w:tc>
              <w:tc>
                <w:tcPr>
                  <w:tcW w:w="1007" w:type="pct"/>
                  <w:vMerge w:val="continue"/>
                  <w:noWrap w:val="0"/>
                  <w:vAlign w:val="center"/>
                </w:tcPr>
                <w:p w14:paraId="0B740751">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904" w:type="pct"/>
                  <w:shd w:val="clear" w:color="auto" w:fill="auto"/>
                  <w:noWrap w:val="0"/>
                  <w:vAlign w:val="center"/>
                </w:tcPr>
                <w:p w14:paraId="74F67532">
                  <w:pPr>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HW49其他废物</w:t>
                  </w:r>
                  <w:r>
                    <w:rPr>
                      <w:rFonts w:hint="default" w:ascii="Times New Roman" w:hAnsi="Times New Roman" w:eastAsia="仿宋" w:cs="Times New Roman"/>
                      <w:sz w:val="18"/>
                      <w:szCs w:val="18"/>
                      <w:highlight w:val="none"/>
                    </w:rPr>
                    <w:t>900-039-49</w:t>
                  </w:r>
                </w:p>
              </w:tc>
              <w:tc>
                <w:tcPr>
                  <w:tcW w:w="567" w:type="pct"/>
                  <w:noWrap w:val="0"/>
                  <w:vAlign w:val="center"/>
                </w:tcPr>
                <w:p w14:paraId="30492F3C">
                  <w:pPr>
                    <w:adjustRightInd w:val="0"/>
                    <w:snapToGrid w:val="0"/>
                    <w:spacing w:line="276" w:lineRule="auto"/>
                    <w:jc w:val="center"/>
                    <w:rPr>
                      <w:rFonts w:hint="default" w:ascii="Times New Roman" w:hAnsi="Times New Roman" w:eastAsia="仿宋" w:cs="Times New Roman"/>
                      <w:color w:val="auto"/>
                      <w:sz w:val="18"/>
                      <w:szCs w:val="18"/>
                      <w:highlight w:val="none"/>
                      <w:lang w:val="en-US"/>
                    </w:rPr>
                  </w:pPr>
                  <w:r>
                    <w:rPr>
                      <w:rFonts w:hint="eastAsia" w:eastAsia="仿宋" w:cs="Times New Roman"/>
                      <w:color w:val="auto"/>
                      <w:sz w:val="18"/>
                      <w:szCs w:val="18"/>
                      <w:highlight w:val="none"/>
                      <w:lang w:val="en-US" w:eastAsia="zh-CN"/>
                    </w:rPr>
                    <w:t>3.292</w:t>
                  </w:r>
                </w:p>
              </w:tc>
              <w:tc>
                <w:tcPr>
                  <w:tcW w:w="483" w:type="pct"/>
                  <w:vMerge w:val="continue"/>
                  <w:noWrap w:val="0"/>
                  <w:vAlign w:val="center"/>
                </w:tcPr>
                <w:p w14:paraId="1E10ABB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c>
                <w:tcPr>
                  <w:tcW w:w="388" w:type="pct"/>
                  <w:vMerge w:val="continue"/>
                  <w:noWrap w:val="0"/>
                  <w:vAlign w:val="center"/>
                </w:tcPr>
                <w:p w14:paraId="18D7F8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r>
            <w:tr w14:paraId="66F5A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shd w:val="clear" w:color="auto" w:fill="auto"/>
                  <w:noWrap w:val="0"/>
                  <w:vAlign w:val="center"/>
                </w:tcPr>
                <w:p w14:paraId="04AFC230">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6</w:t>
                  </w:r>
                </w:p>
              </w:tc>
              <w:tc>
                <w:tcPr>
                  <w:tcW w:w="964" w:type="pct"/>
                  <w:shd w:val="clear" w:color="auto" w:fill="auto"/>
                  <w:noWrap w:val="0"/>
                  <w:vAlign w:val="center"/>
                </w:tcPr>
                <w:p w14:paraId="2CEDC317">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废过滤棉和杂质</w:t>
                  </w:r>
                </w:p>
              </w:tc>
              <w:tc>
                <w:tcPr>
                  <w:tcW w:w="432" w:type="pct"/>
                  <w:vMerge w:val="continue"/>
                  <w:noWrap w:val="0"/>
                  <w:vAlign w:val="center"/>
                </w:tcPr>
                <w:p w14:paraId="1070B94F">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p>
              </w:tc>
              <w:tc>
                <w:tcPr>
                  <w:tcW w:w="1007" w:type="pct"/>
                  <w:vMerge w:val="continue"/>
                  <w:noWrap w:val="0"/>
                  <w:vAlign w:val="center"/>
                </w:tcPr>
                <w:p w14:paraId="18350643">
                  <w:pPr>
                    <w:adjustRightInd w:val="0"/>
                    <w:snapToGrid w:val="0"/>
                    <w:spacing w:line="276" w:lineRule="auto"/>
                    <w:jc w:val="center"/>
                    <w:rPr>
                      <w:rFonts w:hint="default" w:ascii="Times New Roman" w:hAnsi="Times New Roman" w:eastAsia="仿宋" w:cs="Times New Roman"/>
                      <w:color w:val="0000FF"/>
                      <w:sz w:val="18"/>
                      <w:szCs w:val="18"/>
                      <w:highlight w:val="none"/>
                    </w:rPr>
                  </w:pPr>
                </w:p>
              </w:tc>
              <w:tc>
                <w:tcPr>
                  <w:tcW w:w="904" w:type="pct"/>
                  <w:shd w:val="clear" w:color="auto" w:fill="auto"/>
                  <w:noWrap w:val="0"/>
                  <w:vAlign w:val="center"/>
                </w:tcPr>
                <w:p w14:paraId="13FB6C1A">
                  <w:pPr>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HW49其他废物900-041-49</w:t>
                  </w:r>
                </w:p>
              </w:tc>
              <w:tc>
                <w:tcPr>
                  <w:tcW w:w="567" w:type="pct"/>
                  <w:noWrap w:val="0"/>
                  <w:vAlign w:val="center"/>
                </w:tcPr>
                <w:p w14:paraId="25037507">
                  <w:pPr>
                    <w:adjustRightInd w:val="0"/>
                    <w:snapToGrid w:val="0"/>
                    <w:spacing w:line="276" w:lineRule="auto"/>
                    <w:jc w:val="center"/>
                    <w:rPr>
                      <w:rFonts w:hint="eastAsia"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0.042</w:t>
                  </w:r>
                </w:p>
              </w:tc>
              <w:tc>
                <w:tcPr>
                  <w:tcW w:w="483" w:type="pct"/>
                  <w:vMerge w:val="continue"/>
                  <w:noWrap w:val="0"/>
                  <w:vAlign w:val="center"/>
                </w:tcPr>
                <w:p w14:paraId="082EF0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c>
                <w:tcPr>
                  <w:tcW w:w="388" w:type="pct"/>
                  <w:vMerge w:val="continue"/>
                  <w:noWrap w:val="0"/>
                  <w:vAlign w:val="center"/>
                </w:tcPr>
                <w:p w14:paraId="0B94BE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r>
            <w:tr w14:paraId="75E2E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shd w:val="clear" w:color="auto" w:fill="auto"/>
                  <w:noWrap w:val="0"/>
                  <w:vAlign w:val="center"/>
                </w:tcPr>
                <w:p w14:paraId="0E70AE6D">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7</w:t>
                  </w:r>
                </w:p>
              </w:tc>
              <w:tc>
                <w:tcPr>
                  <w:tcW w:w="964" w:type="pct"/>
                  <w:shd w:val="clear" w:color="auto" w:fill="auto"/>
                  <w:noWrap w:val="0"/>
                  <w:vAlign w:val="center"/>
                </w:tcPr>
                <w:p w14:paraId="18B5A8EF">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水旋废液</w:t>
                  </w:r>
                </w:p>
              </w:tc>
              <w:tc>
                <w:tcPr>
                  <w:tcW w:w="432" w:type="pct"/>
                  <w:vMerge w:val="continue"/>
                  <w:noWrap w:val="0"/>
                  <w:vAlign w:val="center"/>
                </w:tcPr>
                <w:p w14:paraId="07E03EE7">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p>
              </w:tc>
              <w:tc>
                <w:tcPr>
                  <w:tcW w:w="1007" w:type="pct"/>
                  <w:vMerge w:val="continue"/>
                  <w:noWrap w:val="0"/>
                  <w:vAlign w:val="center"/>
                </w:tcPr>
                <w:p w14:paraId="6D0F234E">
                  <w:pPr>
                    <w:adjustRightInd w:val="0"/>
                    <w:snapToGrid w:val="0"/>
                    <w:spacing w:line="276" w:lineRule="auto"/>
                    <w:jc w:val="center"/>
                    <w:rPr>
                      <w:rFonts w:hint="default" w:ascii="Times New Roman" w:hAnsi="Times New Roman" w:eastAsia="仿宋" w:cs="Times New Roman"/>
                      <w:color w:val="0000FF"/>
                      <w:sz w:val="18"/>
                      <w:szCs w:val="18"/>
                      <w:highlight w:val="none"/>
                    </w:rPr>
                  </w:pPr>
                </w:p>
              </w:tc>
              <w:tc>
                <w:tcPr>
                  <w:tcW w:w="904" w:type="pct"/>
                  <w:shd w:val="clear" w:color="auto" w:fill="auto"/>
                  <w:noWrap w:val="0"/>
                  <w:vAlign w:val="center"/>
                </w:tcPr>
                <w:p w14:paraId="665C7582">
                  <w:pPr>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HW49其他废物900-041-49</w:t>
                  </w:r>
                </w:p>
              </w:tc>
              <w:tc>
                <w:tcPr>
                  <w:tcW w:w="567" w:type="pct"/>
                  <w:noWrap w:val="0"/>
                  <w:vAlign w:val="center"/>
                </w:tcPr>
                <w:p w14:paraId="6A066E8E">
                  <w:pPr>
                    <w:adjustRightInd w:val="0"/>
                    <w:snapToGrid w:val="0"/>
                    <w:spacing w:line="276" w:lineRule="auto"/>
                    <w:jc w:val="center"/>
                    <w:rPr>
                      <w:rFonts w:hint="eastAsia"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2</w:t>
                  </w:r>
                </w:p>
              </w:tc>
              <w:tc>
                <w:tcPr>
                  <w:tcW w:w="483" w:type="pct"/>
                  <w:vMerge w:val="continue"/>
                  <w:noWrap w:val="0"/>
                  <w:vAlign w:val="center"/>
                </w:tcPr>
                <w:p w14:paraId="16F55A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c>
                <w:tcPr>
                  <w:tcW w:w="388" w:type="pct"/>
                  <w:vMerge w:val="continue"/>
                  <w:noWrap w:val="0"/>
                  <w:vAlign w:val="center"/>
                </w:tcPr>
                <w:p w14:paraId="7E9072A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r>
            <w:tr w14:paraId="3019D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noWrap w:val="0"/>
                  <w:vAlign w:val="center"/>
                </w:tcPr>
                <w:p w14:paraId="7E6A8676">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eastAsia" w:eastAsia="仿宋" w:cs="Times New Roman"/>
                      <w:color w:val="auto"/>
                      <w:kern w:val="2"/>
                      <w:sz w:val="18"/>
                      <w:szCs w:val="18"/>
                      <w:highlight w:val="none"/>
                      <w:lang w:val="en-US" w:eastAsia="zh-CN" w:bidi="ar-SA"/>
                    </w:rPr>
                    <w:t>8</w:t>
                  </w:r>
                </w:p>
              </w:tc>
              <w:tc>
                <w:tcPr>
                  <w:tcW w:w="964" w:type="pct"/>
                  <w:shd w:val="clear" w:color="auto" w:fill="auto"/>
                  <w:noWrap w:val="0"/>
                  <w:vAlign w:val="center"/>
                </w:tcPr>
                <w:p w14:paraId="7E804E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含油废抹布及手套</w:t>
                  </w:r>
                </w:p>
              </w:tc>
              <w:tc>
                <w:tcPr>
                  <w:tcW w:w="432" w:type="pct"/>
                  <w:noWrap w:val="0"/>
                  <w:vAlign w:val="center"/>
                </w:tcPr>
                <w:p w14:paraId="24FCB781">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设备维护操作</w:t>
                  </w:r>
                </w:p>
              </w:tc>
              <w:tc>
                <w:tcPr>
                  <w:tcW w:w="1007" w:type="pct"/>
                  <w:vMerge w:val="continue"/>
                  <w:noWrap w:val="0"/>
                  <w:vAlign w:val="center"/>
                </w:tcPr>
                <w:p w14:paraId="088FD526">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904" w:type="pct"/>
                  <w:shd w:val="clear" w:color="auto" w:fill="auto"/>
                  <w:noWrap w:val="0"/>
                  <w:vAlign w:val="center"/>
                </w:tcPr>
                <w:p w14:paraId="2E1D3564">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HW49其他废物900-041-49</w:t>
                  </w:r>
                </w:p>
              </w:tc>
              <w:tc>
                <w:tcPr>
                  <w:tcW w:w="567" w:type="pct"/>
                  <w:noWrap w:val="0"/>
                  <w:vAlign w:val="center"/>
                </w:tcPr>
                <w:p w14:paraId="704F0E63">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0.05</w:t>
                  </w:r>
                </w:p>
              </w:tc>
              <w:tc>
                <w:tcPr>
                  <w:tcW w:w="483" w:type="pct"/>
                  <w:vMerge w:val="continue"/>
                  <w:noWrap w:val="0"/>
                  <w:vAlign w:val="center"/>
                </w:tcPr>
                <w:p w14:paraId="6EAE36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c>
                <w:tcPr>
                  <w:tcW w:w="388" w:type="pct"/>
                  <w:vMerge w:val="continue"/>
                  <w:noWrap w:val="0"/>
                  <w:vAlign w:val="center"/>
                </w:tcPr>
                <w:p w14:paraId="57964D9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p>
              </w:tc>
            </w:tr>
            <w:tr w14:paraId="1FB4D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 w:type="pct"/>
                  <w:noWrap w:val="0"/>
                  <w:vAlign w:val="center"/>
                </w:tcPr>
                <w:p w14:paraId="2C14F5AD">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9</w:t>
                  </w:r>
                </w:p>
              </w:tc>
              <w:tc>
                <w:tcPr>
                  <w:tcW w:w="964" w:type="pct"/>
                  <w:noWrap w:val="0"/>
                  <w:vAlign w:val="center"/>
                </w:tcPr>
                <w:p w14:paraId="1CC52D17">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生活垃圾</w:t>
                  </w:r>
                </w:p>
              </w:tc>
              <w:tc>
                <w:tcPr>
                  <w:tcW w:w="432" w:type="pct"/>
                  <w:noWrap w:val="0"/>
                  <w:vAlign w:val="center"/>
                </w:tcPr>
                <w:p w14:paraId="05B29E21">
                  <w:pPr>
                    <w:adjustRightInd w:val="0"/>
                    <w:snapToGrid w:val="0"/>
                    <w:spacing w:line="276" w:lineRule="auto"/>
                    <w:ind w:left="-105" w:leftChars="-50" w:right="-105" w:rightChars="-5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办公、生活</w:t>
                  </w:r>
                </w:p>
              </w:tc>
              <w:tc>
                <w:tcPr>
                  <w:tcW w:w="1007" w:type="pct"/>
                  <w:noWrap w:val="0"/>
                  <w:vAlign w:val="center"/>
                </w:tcPr>
                <w:p w14:paraId="4241D5E9">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一般固体废物</w:t>
                  </w:r>
                </w:p>
              </w:tc>
              <w:tc>
                <w:tcPr>
                  <w:tcW w:w="904" w:type="pct"/>
                  <w:shd w:val="clear" w:color="auto" w:fill="auto"/>
                  <w:noWrap w:val="0"/>
                  <w:vAlign w:val="center"/>
                </w:tcPr>
                <w:p w14:paraId="3D638AFE">
                  <w:pPr>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rPr>
                    <w:t>SW6</w:t>
                  </w:r>
                  <w:r>
                    <w:rPr>
                      <w:rFonts w:hint="default" w:ascii="Times New Roman" w:hAnsi="Times New Roman" w:eastAsia="仿宋" w:cs="Times New Roman"/>
                      <w:color w:val="auto"/>
                      <w:sz w:val="18"/>
                      <w:szCs w:val="18"/>
                      <w:lang w:val="en-US" w:eastAsia="zh-CN"/>
                    </w:rPr>
                    <w:t>4其他垃圾</w:t>
                  </w:r>
                  <w:r>
                    <w:rPr>
                      <w:rFonts w:hint="default" w:ascii="Times New Roman" w:hAnsi="Times New Roman" w:eastAsia="仿宋" w:cs="Times New Roman"/>
                      <w:color w:val="auto"/>
                      <w:sz w:val="18"/>
                      <w:szCs w:val="18"/>
                      <w:lang w:eastAsia="zh-CN"/>
                    </w:rPr>
                    <w:t>900-099-S64</w:t>
                  </w:r>
                </w:p>
              </w:tc>
              <w:tc>
                <w:tcPr>
                  <w:tcW w:w="567" w:type="pct"/>
                  <w:noWrap w:val="0"/>
                  <w:vAlign w:val="center"/>
                </w:tcPr>
                <w:p w14:paraId="04846CF2">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1.2</w:t>
                  </w:r>
                </w:p>
              </w:tc>
              <w:tc>
                <w:tcPr>
                  <w:tcW w:w="483" w:type="pct"/>
                  <w:noWrap w:val="0"/>
                  <w:vAlign w:val="center"/>
                </w:tcPr>
                <w:p w14:paraId="205F9B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环卫</w:t>
                  </w:r>
                </w:p>
                <w:p w14:paraId="3B61307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清运</w:t>
                  </w:r>
                </w:p>
              </w:tc>
              <w:tc>
                <w:tcPr>
                  <w:tcW w:w="388" w:type="pct"/>
                  <w:noWrap w:val="0"/>
                  <w:vAlign w:val="center"/>
                </w:tcPr>
                <w:p w14:paraId="28DAF4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环卫</w:t>
                  </w:r>
                </w:p>
              </w:tc>
            </w:tr>
          </w:tbl>
          <w:p w14:paraId="2F9558FC">
            <w:pPr>
              <w:adjustRightInd w:val="0"/>
              <w:snapToGrid w:val="0"/>
              <w:spacing w:before="120" w:beforeLines="5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default" w:ascii="Times New Roman" w:hAnsi="Times New Roman" w:eastAsia="仿宋" w:cs="Times New Roman"/>
                <w:b/>
                <w:bCs/>
                <w:color w:val="auto"/>
                <w:sz w:val="24"/>
                <w:highlight w:val="none"/>
                <w:lang w:val="en-US" w:eastAsia="zh-CN"/>
              </w:rPr>
              <w:t>3</w:t>
            </w:r>
            <w:r>
              <w:rPr>
                <w:rFonts w:hint="eastAsia" w:eastAsia="仿宋" w:cs="Times New Roman"/>
                <w:b/>
                <w:bCs/>
                <w:color w:val="auto"/>
                <w:sz w:val="24"/>
                <w:highlight w:val="none"/>
                <w:lang w:val="en-US" w:eastAsia="zh-CN"/>
              </w:rPr>
              <w:t>5</w:t>
            </w:r>
            <w:r>
              <w:rPr>
                <w:rFonts w:hint="default" w:ascii="Times New Roman" w:hAnsi="Times New Roman" w:eastAsia="仿宋" w:cs="Times New Roman"/>
                <w:b/>
                <w:bCs/>
                <w:color w:val="auto"/>
                <w:sz w:val="24"/>
                <w:highlight w:val="none"/>
              </w:rPr>
              <w:t xml:space="preserve">  </w:t>
            </w:r>
            <w:r>
              <w:rPr>
                <w:rFonts w:hint="default" w:ascii="Times New Roman" w:hAnsi="Times New Roman" w:eastAsia="仿宋" w:cs="Times New Roman"/>
                <w:b/>
                <w:bCs/>
                <w:color w:val="auto"/>
                <w:sz w:val="24"/>
                <w:highlight w:val="none"/>
                <w:lang w:val="en-US" w:eastAsia="zh-CN"/>
              </w:rPr>
              <w:t>全厂</w:t>
            </w:r>
            <w:r>
              <w:rPr>
                <w:rFonts w:hint="default" w:ascii="Times New Roman" w:hAnsi="Times New Roman" w:eastAsia="仿宋" w:cs="Times New Roman"/>
                <w:b/>
                <w:bCs/>
                <w:color w:val="auto"/>
                <w:sz w:val="24"/>
                <w:highlight w:val="none"/>
              </w:rPr>
              <w:t>固体废物具体处置方式表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97"/>
              <w:gridCol w:w="758"/>
              <w:gridCol w:w="955"/>
              <w:gridCol w:w="1490"/>
              <w:gridCol w:w="1648"/>
              <w:gridCol w:w="723"/>
              <w:gridCol w:w="1624"/>
              <w:gridCol w:w="805"/>
            </w:tblGrid>
            <w:tr w14:paraId="5D47B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noWrap w:val="0"/>
                  <w:vAlign w:val="center"/>
                </w:tcPr>
                <w:p w14:paraId="0BA478D2">
                  <w:pPr>
                    <w:keepNext w:val="0"/>
                    <w:keepLines w:val="0"/>
                    <w:pageBreakBefore w:val="0"/>
                    <w:widowControl w:val="0"/>
                    <w:kinsoku/>
                    <w:wordWrap/>
                    <w:overflowPunct/>
                    <w:topLinePunct w:val="0"/>
                    <w:autoSpaceDE/>
                    <w:autoSpaceDN/>
                    <w:bidi w:val="0"/>
                    <w:spacing w:line="276" w:lineRule="auto"/>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序号</w:t>
                  </w:r>
                </w:p>
              </w:tc>
              <w:tc>
                <w:tcPr>
                  <w:tcW w:w="451" w:type="pct"/>
                  <w:noWrap w:val="0"/>
                  <w:vAlign w:val="center"/>
                </w:tcPr>
                <w:p w14:paraId="6083CD2F">
                  <w:pPr>
                    <w:keepNext w:val="0"/>
                    <w:keepLines w:val="0"/>
                    <w:pageBreakBefore w:val="0"/>
                    <w:widowControl w:val="0"/>
                    <w:kinsoku/>
                    <w:wordWrap/>
                    <w:overflowPunct/>
                    <w:topLinePunct w:val="0"/>
                    <w:autoSpaceDE/>
                    <w:autoSpaceDN/>
                    <w:bidi w:val="0"/>
                    <w:spacing w:line="276" w:lineRule="auto"/>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固体废</w:t>
                  </w:r>
                </w:p>
                <w:p w14:paraId="746A19EF">
                  <w:pPr>
                    <w:keepNext w:val="0"/>
                    <w:keepLines w:val="0"/>
                    <w:pageBreakBefore w:val="0"/>
                    <w:widowControl w:val="0"/>
                    <w:kinsoku/>
                    <w:wordWrap/>
                    <w:overflowPunct/>
                    <w:topLinePunct w:val="0"/>
                    <w:autoSpaceDE/>
                    <w:autoSpaceDN/>
                    <w:bidi w:val="0"/>
                    <w:spacing w:line="276" w:lineRule="auto"/>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物名称</w:t>
                  </w:r>
                </w:p>
              </w:tc>
              <w:tc>
                <w:tcPr>
                  <w:tcW w:w="568" w:type="pct"/>
                  <w:noWrap w:val="0"/>
                  <w:vAlign w:val="center"/>
                </w:tcPr>
                <w:p w14:paraId="527EB233">
                  <w:pPr>
                    <w:keepNext w:val="0"/>
                    <w:keepLines w:val="0"/>
                    <w:pageBreakBefore w:val="0"/>
                    <w:widowControl w:val="0"/>
                    <w:kinsoku/>
                    <w:wordWrap/>
                    <w:overflowPunct/>
                    <w:topLinePunct w:val="0"/>
                    <w:autoSpaceDE/>
                    <w:autoSpaceDN/>
                    <w:bidi w:val="0"/>
                    <w:spacing w:line="276" w:lineRule="auto"/>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产生工序</w:t>
                  </w:r>
                </w:p>
              </w:tc>
              <w:tc>
                <w:tcPr>
                  <w:tcW w:w="886" w:type="pct"/>
                  <w:noWrap w:val="0"/>
                  <w:vAlign w:val="center"/>
                </w:tcPr>
                <w:p w14:paraId="0CEEBCBC">
                  <w:pPr>
                    <w:keepNext w:val="0"/>
                    <w:keepLines w:val="0"/>
                    <w:pageBreakBefore w:val="0"/>
                    <w:widowControl w:val="0"/>
                    <w:kinsoku/>
                    <w:wordWrap/>
                    <w:overflowPunct/>
                    <w:topLinePunct w:val="0"/>
                    <w:autoSpaceDE/>
                    <w:autoSpaceDN/>
                    <w:bidi w:val="0"/>
                    <w:spacing w:line="276" w:lineRule="auto"/>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属性</w:t>
                  </w:r>
                  <w:r>
                    <w:rPr>
                      <w:rFonts w:hint="default" w:ascii="Times New Roman" w:hAnsi="Times New Roman" w:eastAsia="仿宋" w:cs="Times New Roman"/>
                      <w:b/>
                      <w:color w:val="auto"/>
                      <w:sz w:val="18"/>
                      <w:szCs w:val="18"/>
                      <w:lang w:eastAsia="zh-CN"/>
                    </w:rPr>
                    <w:t>（</w:t>
                  </w:r>
                  <w:r>
                    <w:rPr>
                      <w:rFonts w:hint="default" w:ascii="Times New Roman" w:hAnsi="Times New Roman" w:eastAsia="仿宋" w:cs="Times New Roman"/>
                      <w:b/>
                      <w:color w:val="auto"/>
                      <w:sz w:val="18"/>
                      <w:szCs w:val="18"/>
                    </w:rPr>
                    <w:t>危险废物、一般工业固体废物或待鉴别</w:t>
                  </w:r>
                  <w:r>
                    <w:rPr>
                      <w:rFonts w:hint="default" w:ascii="Times New Roman" w:hAnsi="Times New Roman" w:eastAsia="仿宋" w:cs="Times New Roman"/>
                      <w:b/>
                      <w:color w:val="auto"/>
                      <w:sz w:val="18"/>
                      <w:szCs w:val="18"/>
                      <w:lang w:eastAsia="zh-CN"/>
                    </w:rPr>
                    <w:t>）</w:t>
                  </w:r>
                </w:p>
              </w:tc>
              <w:tc>
                <w:tcPr>
                  <w:tcW w:w="980" w:type="pct"/>
                  <w:noWrap w:val="0"/>
                  <w:vAlign w:val="center"/>
                </w:tcPr>
                <w:p w14:paraId="233DCBE5">
                  <w:pPr>
                    <w:keepNext w:val="0"/>
                    <w:keepLines w:val="0"/>
                    <w:pageBreakBefore w:val="0"/>
                    <w:widowControl w:val="0"/>
                    <w:kinsoku/>
                    <w:wordWrap/>
                    <w:overflowPunct/>
                    <w:topLinePunct w:val="0"/>
                    <w:autoSpaceDE/>
                    <w:autoSpaceDN/>
                    <w:bidi w:val="0"/>
                    <w:spacing w:line="276" w:lineRule="auto"/>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废物类别</w:t>
                  </w:r>
                </w:p>
              </w:tc>
              <w:tc>
                <w:tcPr>
                  <w:tcW w:w="430" w:type="pct"/>
                  <w:noWrap w:val="0"/>
                  <w:vAlign w:val="center"/>
                </w:tcPr>
                <w:p w14:paraId="5BC284AA">
                  <w:pPr>
                    <w:keepNext w:val="0"/>
                    <w:keepLines w:val="0"/>
                    <w:pageBreakBefore w:val="0"/>
                    <w:widowControl w:val="0"/>
                    <w:kinsoku/>
                    <w:wordWrap/>
                    <w:overflowPunct/>
                    <w:topLinePunct w:val="0"/>
                    <w:autoSpaceDE/>
                    <w:autoSpaceDN/>
                    <w:bidi w:val="0"/>
                    <w:spacing w:line="276" w:lineRule="auto"/>
                    <w:jc w:val="center"/>
                    <w:textAlignment w:val="auto"/>
                    <w:rPr>
                      <w:rFonts w:hint="default" w:ascii="Times New Roman" w:hAnsi="Times New Roman" w:eastAsia="仿宋" w:cs="Times New Roman"/>
                      <w:b/>
                      <w:color w:val="auto"/>
                      <w:spacing w:val="-10"/>
                      <w:sz w:val="18"/>
                      <w:szCs w:val="18"/>
                    </w:rPr>
                  </w:pPr>
                  <w:r>
                    <w:rPr>
                      <w:rFonts w:hint="default" w:ascii="Times New Roman" w:hAnsi="Times New Roman" w:eastAsia="仿宋" w:cs="Times New Roman"/>
                      <w:b/>
                      <w:color w:val="auto"/>
                      <w:spacing w:val="-10"/>
                      <w:sz w:val="18"/>
                      <w:szCs w:val="18"/>
                    </w:rPr>
                    <w:t>产生量</w:t>
                  </w:r>
                </w:p>
                <w:p w14:paraId="589F2D2B">
                  <w:pPr>
                    <w:keepNext w:val="0"/>
                    <w:keepLines w:val="0"/>
                    <w:pageBreakBefore w:val="0"/>
                    <w:widowControl w:val="0"/>
                    <w:kinsoku/>
                    <w:wordWrap/>
                    <w:overflowPunct/>
                    <w:topLinePunct w:val="0"/>
                    <w:autoSpaceDE/>
                    <w:autoSpaceDN/>
                    <w:bidi w:val="0"/>
                    <w:spacing w:line="276" w:lineRule="auto"/>
                    <w:jc w:val="center"/>
                    <w:textAlignment w:val="auto"/>
                    <w:rPr>
                      <w:rFonts w:hint="default" w:ascii="Times New Roman" w:hAnsi="Times New Roman" w:eastAsia="仿宋" w:cs="Times New Roman"/>
                      <w:b/>
                      <w:color w:val="auto"/>
                      <w:spacing w:val="-10"/>
                      <w:sz w:val="18"/>
                      <w:szCs w:val="18"/>
                    </w:rPr>
                  </w:pPr>
                  <w:r>
                    <w:rPr>
                      <w:rFonts w:hint="default" w:ascii="Times New Roman" w:hAnsi="Times New Roman" w:eastAsia="仿宋" w:cs="Times New Roman"/>
                      <w:b/>
                      <w:color w:val="auto"/>
                      <w:spacing w:val="-10"/>
                      <w:sz w:val="18"/>
                      <w:szCs w:val="18"/>
                      <w:lang w:eastAsia="zh-CN"/>
                    </w:rPr>
                    <w:t>（</w:t>
                  </w:r>
                  <w:r>
                    <w:rPr>
                      <w:rFonts w:hint="default" w:ascii="Times New Roman" w:hAnsi="Times New Roman" w:eastAsia="仿宋" w:cs="Times New Roman"/>
                      <w:b/>
                      <w:color w:val="auto"/>
                      <w:spacing w:val="-10"/>
                      <w:sz w:val="18"/>
                      <w:szCs w:val="18"/>
                    </w:rPr>
                    <w:t>吨/年</w:t>
                  </w:r>
                  <w:r>
                    <w:rPr>
                      <w:rFonts w:hint="default" w:ascii="Times New Roman" w:hAnsi="Times New Roman" w:eastAsia="仿宋" w:cs="Times New Roman"/>
                      <w:b/>
                      <w:color w:val="auto"/>
                      <w:spacing w:val="-10"/>
                      <w:sz w:val="18"/>
                      <w:szCs w:val="18"/>
                      <w:lang w:eastAsia="zh-CN"/>
                    </w:rPr>
                    <w:t>）</w:t>
                  </w:r>
                </w:p>
              </w:tc>
              <w:tc>
                <w:tcPr>
                  <w:tcW w:w="966" w:type="pct"/>
                  <w:noWrap w:val="0"/>
                  <w:vAlign w:val="center"/>
                </w:tcPr>
                <w:p w14:paraId="7EF6BB87">
                  <w:pPr>
                    <w:keepNext w:val="0"/>
                    <w:keepLines w:val="0"/>
                    <w:pageBreakBefore w:val="0"/>
                    <w:widowControl w:val="0"/>
                    <w:kinsoku/>
                    <w:wordWrap/>
                    <w:overflowPunct/>
                    <w:topLinePunct w:val="0"/>
                    <w:autoSpaceDE/>
                    <w:autoSpaceDN/>
                    <w:bidi w:val="0"/>
                    <w:spacing w:line="276" w:lineRule="auto"/>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利用处置方式</w:t>
                  </w:r>
                </w:p>
              </w:tc>
              <w:tc>
                <w:tcPr>
                  <w:tcW w:w="479" w:type="pct"/>
                  <w:noWrap w:val="0"/>
                  <w:vAlign w:val="center"/>
                </w:tcPr>
                <w:p w14:paraId="3D373858">
                  <w:pPr>
                    <w:keepNext w:val="0"/>
                    <w:keepLines w:val="0"/>
                    <w:pageBreakBefore w:val="0"/>
                    <w:widowControl w:val="0"/>
                    <w:kinsoku/>
                    <w:wordWrap/>
                    <w:overflowPunct/>
                    <w:topLinePunct w:val="0"/>
                    <w:autoSpaceDE/>
                    <w:autoSpaceDN/>
                    <w:bidi w:val="0"/>
                    <w:spacing w:line="276" w:lineRule="auto"/>
                    <w:jc w:val="center"/>
                    <w:textAlignment w:val="auto"/>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利用处置单位</w:t>
                  </w:r>
                </w:p>
              </w:tc>
            </w:tr>
            <w:tr w14:paraId="45162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noWrap w:val="0"/>
                  <w:vAlign w:val="center"/>
                </w:tcPr>
                <w:p w14:paraId="0A9F9907">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1</w:t>
                  </w:r>
                </w:p>
              </w:tc>
              <w:tc>
                <w:tcPr>
                  <w:tcW w:w="451" w:type="pct"/>
                  <w:shd w:val="clear" w:color="auto" w:fill="auto"/>
                  <w:noWrap w:val="0"/>
                  <w:vAlign w:val="center"/>
                </w:tcPr>
                <w:p w14:paraId="0FD23F4D">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废不锈钢丝</w:t>
                  </w:r>
                </w:p>
              </w:tc>
              <w:tc>
                <w:tcPr>
                  <w:tcW w:w="568" w:type="pct"/>
                  <w:vMerge w:val="restart"/>
                  <w:shd w:val="clear" w:color="auto" w:fill="auto"/>
                  <w:noWrap w:val="0"/>
                  <w:vAlign w:val="center"/>
                </w:tcPr>
                <w:p w14:paraId="22FB795C">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制刷</w:t>
                  </w:r>
                </w:p>
              </w:tc>
              <w:tc>
                <w:tcPr>
                  <w:tcW w:w="886" w:type="pct"/>
                  <w:vMerge w:val="restart"/>
                  <w:noWrap w:val="0"/>
                  <w:vAlign w:val="center"/>
                </w:tcPr>
                <w:p w14:paraId="3633A9DE">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一般工业固体废物</w:t>
                  </w:r>
                </w:p>
              </w:tc>
              <w:tc>
                <w:tcPr>
                  <w:tcW w:w="980" w:type="pct"/>
                  <w:noWrap w:val="0"/>
                  <w:vAlign w:val="center"/>
                </w:tcPr>
                <w:p w14:paraId="62C6CF96">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SW17可再生类废物</w:t>
                  </w:r>
                  <w:r>
                    <w:rPr>
                      <w:rFonts w:hint="default" w:ascii="Times New Roman" w:hAnsi="Times New Roman" w:eastAsia="仿宋" w:cs="Times New Roman"/>
                      <w:color w:val="auto"/>
                      <w:sz w:val="18"/>
                      <w:szCs w:val="18"/>
                      <w:highlight w:val="none"/>
                      <w:lang w:val="en-US" w:eastAsia="zh-CN"/>
                    </w:rPr>
                    <w:t>900-002-S17</w:t>
                  </w:r>
                </w:p>
              </w:tc>
              <w:tc>
                <w:tcPr>
                  <w:tcW w:w="430" w:type="pct"/>
                  <w:shd w:val="clear" w:color="auto" w:fill="auto"/>
                  <w:noWrap w:val="0"/>
                  <w:vAlign w:val="center"/>
                </w:tcPr>
                <w:p w14:paraId="0CD63F83">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1.4</w:t>
                  </w:r>
                </w:p>
              </w:tc>
              <w:tc>
                <w:tcPr>
                  <w:tcW w:w="966" w:type="pct"/>
                  <w:vMerge w:val="restart"/>
                  <w:noWrap w:val="0"/>
                  <w:vAlign w:val="center"/>
                </w:tcPr>
                <w:p w14:paraId="11499D10">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外售综合利用</w:t>
                  </w:r>
                </w:p>
              </w:tc>
              <w:tc>
                <w:tcPr>
                  <w:tcW w:w="479" w:type="pct"/>
                  <w:vMerge w:val="restart"/>
                  <w:noWrap w:val="0"/>
                  <w:vAlign w:val="center"/>
                </w:tcPr>
                <w:p w14:paraId="2CADBFD2">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资源回收单位</w:t>
                  </w:r>
                </w:p>
              </w:tc>
            </w:tr>
            <w:tr w14:paraId="0ADDC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noWrap w:val="0"/>
                  <w:vAlign w:val="center"/>
                </w:tcPr>
                <w:p w14:paraId="206E359E">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2</w:t>
                  </w:r>
                </w:p>
              </w:tc>
              <w:tc>
                <w:tcPr>
                  <w:tcW w:w="451" w:type="pct"/>
                  <w:shd w:val="clear" w:color="auto" w:fill="auto"/>
                  <w:noWrap w:val="0"/>
                  <w:vAlign w:val="center"/>
                </w:tcPr>
                <w:p w14:paraId="622E8996">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废尼龙丝</w:t>
                  </w:r>
                </w:p>
              </w:tc>
              <w:tc>
                <w:tcPr>
                  <w:tcW w:w="568" w:type="pct"/>
                  <w:vMerge w:val="continue"/>
                  <w:shd w:val="clear" w:color="auto" w:fill="auto"/>
                  <w:noWrap w:val="0"/>
                  <w:vAlign w:val="center"/>
                </w:tcPr>
                <w:p w14:paraId="30094E5A">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p>
              </w:tc>
              <w:tc>
                <w:tcPr>
                  <w:tcW w:w="886" w:type="pct"/>
                  <w:vMerge w:val="continue"/>
                  <w:noWrap w:val="0"/>
                  <w:vAlign w:val="center"/>
                </w:tcPr>
                <w:p w14:paraId="71227B80">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980" w:type="pct"/>
                  <w:noWrap w:val="0"/>
                  <w:vAlign w:val="center"/>
                </w:tcPr>
                <w:p w14:paraId="55F1B0C7">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SW59其他工业固体废物</w:t>
                  </w:r>
                  <w:r>
                    <w:rPr>
                      <w:rFonts w:hint="default" w:ascii="Times New Roman" w:hAnsi="Times New Roman" w:eastAsia="仿宋" w:cs="Times New Roman"/>
                      <w:color w:val="auto"/>
                      <w:sz w:val="18"/>
                      <w:szCs w:val="18"/>
                      <w:highlight w:val="none"/>
                    </w:rPr>
                    <w:t>900-</w:t>
                  </w:r>
                  <w:r>
                    <w:rPr>
                      <w:rFonts w:hint="default" w:ascii="Times New Roman" w:hAnsi="Times New Roman" w:eastAsia="仿宋" w:cs="Times New Roman"/>
                      <w:color w:val="auto"/>
                      <w:sz w:val="18"/>
                      <w:szCs w:val="18"/>
                      <w:highlight w:val="none"/>
                      <w:lang w:val="en-US" w:eastAsia="zh-CN"/>
                    </w:rPr>
                    <w:t>099</w:t>
                  </w:r>
                  <w:r>
                    <w:rPr>
                      <w:rFonts w:hint="default" w:ascii="Times New Roman" w:hAnsi="Times New Roman" w:eastAsia="仿宋" w:cs="Times New Roman"/>
                      <w:color w:val="auto"/>
                      <w:sz w:val="18"/>
                      <w:szCs w:val="18"/>
                      <w:highlight w:val="none"/>
                    </w:rPr>
                    <w:t>-</w:t>
                  </w:r>
                  <w:r>
                    <w:rPr>
                      <w:rFonts w:hint="default" w:ascii="Times New Roman" w:hAnsi="Times New Roman" w:eastAsia="仿宋" w:cs="Times New Roman"/>
                      <w:color w:val="auto"/>
                      <w:sz w:val="18"/>
                      <w:szCs w:val="18"/>
                      <w:highlight w:val="none"/>
                      <w:lang w:val="en-US" w:eastAsia="zh-CN"/>
                    </w:rPr>
                    <w:t>59</w:t>
                  </w:r>
                </w:p>
              </w:tc>
              <w:tc>
                <w:tcPr>
                  <w:tcW w:w="430" w:type="pct"/>
                  <w:shd w:val="clear" w:color="auto" w:fill="auto"/>
                  <w:noWrap w:val="0"/>
                  <w:vAlign w:val="center"/>
                </w:tcPr>
                <w:p w14:paraId="2422E759">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0.2</w:t>
                  </w:r>
                </w:p>
              </w:tc>
              <w:tc>
                <w:tcPr>
                  <w:tcW w:w="966" w:type="pct"/>
                  <w:vMerge w:val="continue"/>
                  <w:noWrap w:val="0"/>
                  <w:vAlign w:val="center"/>
                </w:tcPr>
                <w:p w14:paraId="0CCE16A8">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479" w:type="pct"/>
                  <w:vMerge w:val="continue"/>
                  <w:noWrap w:val="0"/>
                  <w:vAlign w:val="center"/>
                </w:tcPr>
                <w:p w14:paraId="1F3224FB">
                  <w:pPr>
                    <w:adjustRightInd w:val="0"/>
                    <w:snapToGrid w:val="0"/>
                    <w:spacing w:line="276" w:lineRule="auto"/>
                    <w:jc w:val="center"/>
                    <w:rPr>
                      <w:rFonts w:hint="default" w:ascii="Times New Roman" w:hAnsi="Times New Roman" w:eastAsia="仿宋" w:cs="Times New Roman"/>
                      <w:color w:val="auto"/>
                      <w:sz w:val="18"/>
                      <w:szCs w:val="18"/>
                      <w:highlight w:val="none"/>
                    </w:rPr>
                  </w:pPr>
                </w:p>
              </w:tc>
            </w:tr>
            <w:tr w14:paraId="323EC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noWrap w:val="0"/>
                  <w:vAlign w:val="center"/>
                </w:tcPr>
                <w:p w14:paraId="1B1C2A26">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3</w:t>
                  </w:r>
                </w:p>
              </w:tc>
              <w:tc>
                <w:tcPr>
                  <w:tcW w:w="451" w:type="pct"/>
                  <w:shd w:val="clear" w:color="auto" w:fill="auto"/>
                  <w:noWrap w:val="0"/>
                  <w:vAlign w:val="center"/>
                </w:tcPr>
                <w:p w14:paraId="7F78AB1F">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废PBT塑料丝</w:t>
                  </w:r>
                </w:p>
              </w:tc>
              <w:tc>
                <w:tcPr>
                  <w:tcW w:w="568" w:type="pct"/>
                  <w:vMerge w:val="continue"/>
                  <w:shd w:val="clear" w:color="auto" w:fill="auto"/>
                  <w:noWrap w:val="0"/>
                  <w:vAlign w:val="center"/>
                </w:tcPr>
                <w:p w14:paraId="582167E1">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p>
              </w:tc>
              <w:tc>
                <w:tcPr>
                  <w:tcW w:w="886" w:type="pct"/>
                  <w:vMerge w:val="continue"/>
                  <w:noWrap w:val="0"/>
                  <w:vAlign w:val="center"/>
                </w:tcPr>
                <w:p w14:paraId="1DD1C218">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980" w:type="pct"/>
                  <w:noWrap w:val="0"/>
                  <w:vAlign w:val="center"/>
                </w:tcPr>
                <w:p w14:paraId="3DA1053D">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SW17可再生类废物</w:t>
                  </w:r>
                  <w:r>
                    <w:rPr>
                      <w:rFonts w:hint="default" w:ascii="Times New Roman" w:hAnsi="Times New Roman" w:eastAsia="仿宋" w:cs="Times New Roman"/>
                      <w:color w:val="auto"/>
                      <w:sz w:val="18"/>
                      <w:szCs w:val="18"/>
                      <w:highlight w:val="none"/>
                      <w:lang w:val="en-US" w:eastAsia="zh-CN"/>
                    </w:rPr>
                    <w:t>900-003-S17</w:t>
                  </w:r>
                </w:p>
              </w:tc>
              <w:tc>
                <w:tcPr>
                  <w:tcW w:w="430" w:type="pct"/>
                  <w:shd w:val="clear" w:color="auto" w:fill="auto"/>
                  <w:noWrap w:val="0"/>
                  <w:vAlign w:val="center"/>
                </w:tcPr>
                <w:p w14:paraId="3FFB8274">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0.4</w:t>
                  </w:r>
                </w:p>
              </w:tc>
              <w:tc>
                <w:tcPr>
                  <w:tcW w:w="966" w:type="pct"/>
                  <w:vMerge w:val="continue"/>
                  <w:noWrap w:val="0"/>
                  <w:vAlign w:val="center"/>
                </w:tcPr>
                <w:p w14:paraId="51F2DA05">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479" w:type="pct"/>
                  <w:vMerge w:val="continue"/>
                  <w:noWrap w:val="0"/>
                  <w:vAlign w:val="center"/>
                </w:tcPr>
                <w:p w14:paraId="770EDA63">
                  <w:pPr>
                    <w:adjustRightInd w:val="0"/>
                    <w:snapToGrid w:val="0"/>
                    <w:spacing w:line="276" w:lineRule="auto"/>
                    <w:jc w:val="center"/>
                    <w:rPr>
                      <w:rFonts w:hint="default" w:ascii="Times New Roman" w:hAnsi="Times New Roman" w:eastAsia="仿宋" w:cs="Times New Roman"/>
                      <w:color w:val="auto"/>
                      <w:sz w:val="18"/>
                      <w:szCs w:val="18"/>
                      <w:highlight w:val="none"/>
                    </w:rPr>
                  </w:pPr>
                </w:p>
              </w:tc>
            </w:tr>
            <w:tr w14:paraId="1AAA3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noWrap w:val="0"/>
                  <w:vAlign w:val="center"/>
                </w:tcPr>
                <w:p w14:paraId="54B35530">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4</w:t>
                  </w:r>
                </w:p>
              </w:tc>
              <w:tc>
                <w:tcPr>
                  <w:tcW w:w="451" w:type="pct"/>
                  <w:shd w:val="clear" w:color="auto" w:fill="auto"/>
                  <w:noWrap w:val="0"/>
                  <w:vAlign w:val="center"/>
                </w:tcPr>
                <w:p w14:paraId="2F41211B">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废铁桶</w:t>
                  </w:r>
                </w:p>
              </w:tc>
              <w:tc>
                <w:tcPr>
                  <w:tcW w:w="568" w:type="pct"/>
                  <w:vMerge w:val="restart"/>
                  <w:shd w:val="clear" w:color="auto" w:fill="auto"/>
                  <w:noWrap w:val="0"/>
                  <w:vAlign w:val="center"/>
                </w:tcPr>
                <w:p w14:paraId="6263441C">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原辅材料使用</w:t>
                  </w:r>
                </w:p>
              </w:tc>
              <w:tc>
                <w:tcPr>
                  <w:tcW w:w="886" w:type="pct"/>
                  <w:vMerge w:val="continue"/>
                  <w:noWrap w:val="0"/>
                  <w:vAlign w:val="center"/>
                </w:tcPr>
                <w:p w14:paraId="60163D8A">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980" w:type="pct"/>
                  <w:noWrap w:val="0"/>
                  <w:vAlign w:val="center"/>
                </w:tcPr>
                <w:p w14:paraId="7E28AB4D">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SW17可再生类废物</w:t>
                  </w:r>
                  <w:r>
                    <w:rPr>
                      <w:rFonts w:hint="default" w:ascii="Times New Roman" w:hAnsi="Times New Roman" w:eastAsia="仿宋" w:cs="Times New Roman"/>
                      <w:color w:val="auto"/>
                      <w:sz w:val="18"/>
                      <w:szCs w:val="18"/>
                      <w:highlight w:val="none"/>
                      <w:lang w:val="en-US" w:eastAsia="zh-CN"/>
                    </w:rPr>
                    <w:t>900-002-S17</w:t>
                  </w:r>
                </w:p>
              </w:tc>
              <w:tc>
                <w:tcPr>
                  <w:tcW w:w="430" w:type="pct"/>
                  <w:shd w:val="clear" w:color="auto" w:fill="auto"/>
                  <w:noWrap w:val="0"/>
                  <w:vAlign w:val="center"/>
                </w:tcPr>
                <w:p w14:paraId="36CE0EDC">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0.566</w:t>
                  </w:r>
                </w:p>
              </w:tc>
              <w:tc>
                <w:tcPr>
                  <w:tcW w:w="966" w:type="pct"/>
                  <w:vMerge w:val="continue"/>
                  <w:noWrap w:val="0"/>
                  <w:vAlign w:val="center"/>
                </w:tcPr>
                <w:p w14:paraId="097D484D">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479" w:type="pct"/>
                  <w:vMerge w:val="continue"/>
                  <w:noWrap w:val="0"/>
                  <w:vAlign w:val="center"/>
                </w:tcPr>
                <w:p w14:paraId="2F70D7EC">
                  <w:pPr>
                    <w:adjustRightInd w:val="0"/>
                    <w:snapToGrid w:val="0"/>
                    <w:spacing w:line="276" w:lineRule="auto"/>
                    <w:jc w:val="center"/>
                    <w:rPr>
                      <w:rFonts w:hint="default" w:ascii="Times New Roman" w:hAnsi="Times New Roman" w:eastAsia="仿宋" w:cs="Times New Roman"/>
                      <w:color w:val="auto"/>
                      <w:sz w:val="18"/>
                      <w:szCs w:val="18"/>
                      <w:highlight w:val="none"/>
                    </w:rPr>
                  </w:pPr>
                </w:p>
              </w:tc>
            </w:tr>
            <w:tr w14:paraId="57837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noWrap w:val="0"/>
                  <w:vAlign w:val="center"/>
                </w:tcPr>
                <w:p w14:paraId="4AB25C68">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5</w:t>
                  </w:r>
                </w:p>
              </w:tc>
              <w:tc>
                <w:tcPr>
                  <w:tcW w:w="451" w:type="pct"/>
                  <w:shd w:val="clear" w:color="auto" w:fill="auto"/>
                  <w:noWrap w:val="0"/>
                  <w:vAlign w:val="center"/>
                </w:tcPr>
                <w:p w14:paraId="0AEA61A9">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废包装</w:t>
                  </w:r>
                  <w:r>
                    <w:rPr>
                      <w:rFonts w:hint="default" w:ascii="Times New Roman" w:hAnsi="Times New Roman" w:eastAsia="仿宋" w:cs="Times New Roman"/>
                      <w:color w:val="auto"/>
                      <w:sz w:val="18"/>
                      <w:szCs w:val="18"/>
                      <w:highlight w:val="none"/>
                      <w:lang w:val="en-US" w:eastAsia="zh-CN"/>
                    </w:rPr>
                    <w:t>材料</w:t>
                  </w:r>
                </w:p>
              </w:tc>
              <w:tc>
                <w:tcPr>
                  <w:tcW w:w="568" w:type="pct"/>
                  <w:vMerge w:val="continue"/>
                  <w:shd w:val="clear" w:color="auto" w:fill="auto"/>
                  <w:noWrap w:val="0"/>
                  <w:vAlign w:val="center"/>
                </w:tcPr>
                <w:p w14:paraId="219CD3E6">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p>
              </w:tc>
              <w:tc>
                <w:tcPr>
                  <w:tcW w:w="886" w:type="pct"/>
                  <w:vMerge w:val="continue"/>
                  <w:noWrap w:val="0"/>
                  <w:vAlign w:val="center"/>
                </w:tcPr>
                <w:p w14:paraId="4D24066F">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980" w:type="pct"/>
                  <w:noWrap w:val="0"/>
                  <w:vAlign w:val="center"/>
                </w:tcPr>
                <w:p w14:paraId="1948359B">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S</w:t>
                  </w:r>
                  <w:r>
                    <w:rPr>
                      <w:rFonts w:hint="default" w:ascii="Times New Roman" w:hAnsi="Times New Roman" w:eastAsia="仿宋" w:cs="Times New Roman"/>
                      <w:color w:val="auto"/>
                      <w:sz w:val="18"/>
                      <w:szCs w:val="18"/>
                      <w:highlight w:val="none"/>
                    </w:rPr>
                    <w:t>W</w:t>
                  </w:r>
                  <w:r>
                    <w:rPr>
                      <w:rFonts w:hint="default" w:ascii="Times New Roman" w:hAnsi="Times New Roman" w:eastAsia="仿宋" w:cs="Times New Roman"/>
                      <w:color w:val="auto"/>
                      <w:sz w:val="18"/>
                      <w:szCs w:val="18"/>
                      <w:highlight w:val="none"/>
                      <w:lang w:val="en-US" w:eastAsia="zh-CN"/>
                    </w:rPr>
                    <w:t>17可再生类废物</w:t>
                  </w:r>
                  <w:r>
                    <w:rPr>
                      <w:rFonts w:hint="default" w:ascii="Times New Roman" w:hAnsi="Times New Roman" w:eastAsia="仿宋" w:cs="Times New Roman"/>
                      <w:color w:val="auto"/>
                      <w:sz w:val="18"/>
                      <w:szCs w:val="18"/>
                      <w:highlight w:val="none"/>
                    </w:rPr>
                    <w:t>900-0</w:t>
                  </w:r>
                  <w:r>
                    <w:rPr>
                      <w:rFonts w:hint="default" w:ascii="Times New Roman" w:hAnsi="Times New Roman" w:eastAsia="仿宋" w:cs="Times New Roman"/>
                      <w:color w:val="auto"/>
                      <w:sz w:val="18"/>
                      <w:szCs w:val="18"/>
                      <w:highlight w:val="none"/>
                      <w:lang w:val="en-US" w:eastAsia="zh-CN"/>
                    </w:rPr>
                    <w:t>03-17</w:t>
                  </w:r>
                </w:p>
              </w:tc>
              <w:tc>
                <w:tcPr>
                  <w:tcW w:w="430" w:type="pct"/>
                  <w:noWrap w:val="0"/>
                  <w:vAlign w:val="center"/>
                </w:tcPr>
                <w:p w14:paraId="09D9F0FA">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1.</w:t>
                  </w:r>
                  <w:r>
                    <w:rPr>
                      <w:rFonts w:hint="eastAsia" w:eastAsia="仿宋" w:cs="Times New Roman"/>
                      <w:color w:val="auto"/>
                      <w:sz w:val="18"/>
                      <w:szCs w:val="18"/>
                      <w:highlight w:val="none"/>
                      <w:lang w:val="en-US" w:eastAsia="zh-CN"/>
                    </w:rPr>
                    <w:t>631</w:t>
                  </w:r>
                </w:p>
              </w:tc>
              <w:tc>
                <w:tcPr>
                  <w:tcW w:w="966" w:type="pct"/>
                  <w:vMerge w:val="continue"/>
                  <w:noWrap w:val="0"/>
                  <w:vAlign w:val="center"/>
                </w:tcPr>
                <w:p w14:paraId="7F02F789">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479" w:type="pct"/>
                  <w:vMerge w:val="continue"/>
                  <w:noWrap w:val="0"/>
                  <w:vAlign w:val="center"/>
                </w:tcPr>
                <w:p w14:paraId="5325C13A">
                  <w:pPr>
                    <w:adjustRightInd w:val="0"/>
                    <w:snapToGrid w:val="0"/>
                    <w:spacing w:line="276" w:lineRule="auto"/>
                    <w:jc w:val="center"/>
                    <w:rPr>
                      <w:rFonts w:hint="default" w:ascii="Times New Roman" w:hAnsi="Times New Roman" w:eastAsia="仿宋" w:cs="Times New Roman"/>
                      <w:color w:val="auto"/>
                      <w:sz w:val="18"/>
                      <w:szCs w:val="18"/>
                      <w:highlight w:val="none"/>
                    </w:rPr>
                  </w:pPr>
                </w:p>
              </w:tc>
            </w:tr>
            <w:tr w14:paraId="1D87F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shd w:val="clear" w:color="auto" w:fill="auto"/>
                  <w:noWrap w:val="0"/>
                  <w:vAlign w:val="center"/>
                </w:tcPr>
                <w:p w14:paraId="24410D64">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6</w:t>
                  </w:r>
                </w:p>
              </w:tc>
              <w:tc>
                <w:tcPr>
                  <w:tcW w:w="451" w:type="pct"/>
                  <w:shd w:val="clear" w:color="auto" w:fill="auto"/>
                  <w:noWrap w:val="0"/>
                  <w:vAlign w:val="center"/>
                </w:tcPr>
                <w:p w14:paraId="5679F4B4">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r>
                    <w:rPr>
                      <w:rFonts w:hint="default" w:ascii="Times New Roman" w:hAnsi="Times New Roman" w:eastAsia="仿宋" w:cs="Times New Roman"/>
                      <w:color w:val="0000FF"/>
                      <w:sz w:val="18"/>
                      <w:szCs w:val="18"/>
                      <w:highlight w:val="none"/>
                    </w:rPr>
                    <w:t>废绒毛</w:t>
                  </w:r>
                </w:p>
              </w:tc>
              <w:tc>
                <w:tcPr>
                  <w:tcW w:w="568" w:type="pct"/>
                  <w:vMerge w:val="restart"/>
                  <w:shd w:val="clear" w:color="auto" w:fill="auto"/>
                  <w:noWrap w:val="0"/>
                  <w:vAlign w:val="center"/>
                </w:tcPr>
                <w:p w14:paraId="1D99BDF8">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r>
                    <w:rPr>
                      <w:rFonts w:hint="default" w:ascii="Times New Roman" w:hAnsi="Times New Roman" w:eastAsia="仿宋" w:cs="Times New Roman"/>
                      <w:color w:val="0000FF"/>
                      <w:sz w:val="18"/>
                      <w:szCs w:val="18"/>
                      <w:highlight w:val="none"/>
                      <w:lang w:val="en-US" w:eastAsia="zh-CN"/>
                    </w:rPr>
                    <w:t>废气治理</w:t>
                  </w:r>
                </w:p>
              </w:tc>
              <w:tc>
                <w:tcPr>
                  <w:tcW w:w="886" w:type="pct"/>
                  <w:vMerge w:val="continue"/>
                  <w:noWrap w:val="0"/>
                  <w:vAlign w:val="center"/>
                </w:tcPr>
                <w:p w14:paraId="414301A4">
                  <w:pPr>
                    <w:adjustRightInd w:val="0"/>
                    <w:snapToGrid w:val="0"/>
                    <w:spacing w:line="276" w:lineRule="auto"/>
                    <w:jc w:val="center"/>
                    <w:rPr>
                      <w:rFonts w:hint="default" w:ascii="Times New Roman" w:hAnsi="Times New Roman" w:eastAsia="仿宋" w:cs="Times New Roman"/>
                      <w:color w:val="0000FF"/>
                      <w:sz w:val="18"/>
                      <w:szCs w:val="18"/>
                      <w:highlight w:val="none"/>
                    </w:rPr>
                  </w:pPr>
                </w:p>
              </w:tc>
              <w:tc>
                <w:tcPr>
                  <w:tcW w:w="980" w:type="pct"/>
                  <w:noWrap w:val="0"/>
                  <w:vAlign w:val="center"/>
                </w:tcPr>
                <w:p w14:paraId="3ECB8C79">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r>
                    <w:rPr>
                      <w:rFonts w:hint="default" w:ascii="Times New Roman" w:hAnsi="Times New Roman" w:eastAsia="仿宋" w:cs="Times New Roman"/>
                      <w:color w:val="0000FF"/>
                      <w:sz w:val="18"/>
                      <w:szCs w:val="18"/>
                      <w:highlight w:val="none"/>
                      <w:lang w:val="en-US" w:eastAsia="zh-CN"/>
                    </w:rPr>
                    <w:t>SW59其他工业固体废物</w:t>
                  </w:r>
                  <w:r>
                    <w:rPr>
                      <w:rFonts w:hint="default" w:ascii="Times New Roman" w:hAnsi="Times New Roman" w:eastAsia="仿宋" w:cs="Times New Roman"/>
                      <w:color w:val="0000FF"/>
                      <w:sz w:val="18"/>
                      <w:szCs w:val="18"/>
                      <w:highlight w:val="none"/>
                    </w:rPr>
                    <w:t>900-</w:t>
                  </w:r>
                  <w:r>
                    <w:rPr>
                      <w:rFonts w:hint="default" w:ascii="Times New Roman" w:hAnsi="Times New Roman" w:eastAsia="仿宋" w:cs="Times New Roman"/>
                      <w:color w:val="0000FF"/>
                      <w:sz w:val="18"/>
                      <w:szCs w:val="18"/>
                      <w:highlight w:val="none"/>
                      <w:lang w:val="en-US" w:eastAsia="zh-CN"/>
                    </w:rPr>
                    <w:t>009</w:t>
                  </w:r>
                  <w:r>
                    <w:rPr>
                      <w:rFonts w:hint="default" w:ascii="Times New Roman" w:hAnsi="Times New Roman" w:eastAsia="仿宋" w:cs="Times New Roman"/>
                      <w:color w:val="0000FF"/>
                      <w:sz w:val="18"/>
                      <w:szCs w:val="18"/>
                      <w:highlight w:val="none"/>
                    </w:rPr>
                    <w:t>-</w:t>
                  </w:r>
                  <w:r>
                    <w:rPr>
                      <w:rFonts w:hint="default" w:ascii="Times New Roman" w:hAnsi="Times New Roman" w:eastAsia="仿宋" w:cs="Times New Roman"/>
                      <w:color w:val="0000FF"/>
                      <w:sz w:val="18"/>
                      <w:szCs w:val="18"/>
                      <w:highlight w:val="none"/>
                      <w:lang w:val="en-US" w:eastAsia="zh-CN"/>
                    </w:rPr>
                    <w:t>59</w:t>
                  </w:r>
                </w:p>
              </w:tc>
              <w:tc>
                <w:tcPr>
                  <w:tcW w:w="430" w:type="pct"/>
                  <w:noWrap w:val="0"/>
                  <w:vAlign w:val="center"/>
                </w:tcPr>
                <w:p w14:paraId="451F22CE">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1.314</w:t>
                  </w:r>
                </w:p>
              </w:tc>
              <w:tc>
                <w:tcPr>
                  <w:tcW w:w="966" w:type="pct"/>
                  <w:vMerge w:val="continue"/>
                  <w:noWrap w:val="0"/>
                  <w:vAlign w:val="center"/>
                </w:tcPr>
                <w:p w14:paraId="4267E123">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479" w:type="pct"/>
                  <w:vMerge w:val="continue"/>
                  <w:noWrap w:val="0"/>
                  <w:vAlign w:val="center"/>
                </w:tcPr>
                <w:p w14:paraId="4C52048E">
                  <w:pPr>
                    <w:adjustRightInd w:val="0"/>
                    <w:snapToGrid w:val="0"/>
                    <w:spacing w:line="276" w:lineRule="auto"/>
                    <w:jc w:val="center"/>
                    <w:rPr>
                      <w:rFonts w:hint="default" w:ascii="Times New Roman" w:hAnsi="Times New Roman" w:eastAsia="仿宋" w:cs="Times New Roman"/>
                      <w:color w:val="auto"/>
                      <w:sz w:val="18"/>
                      <w:szCs w:val="18"/>
                      <w:highlight w:val="none"/>
                    </w:rPr>
                  </w:pPr>
                </w:p>
              </w:tc>
            </w:tr>
            <w:tr w14:paraId="1DAD1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shd w:val="clear" w:color="auto" w:fill="auto"/>
                  <w:noWrap w:val="0"/>
                  <w:vAlign w:val="center"/>
                </w:tcPr>
                <w:p w14:paraId="480494DC">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7</w:t>
                  </w:r>
                </w:p>
              </w:tc>
              <w:tc>
                <w:tcPr>
                  <w:tcW w:w="451" w:type="pct"/>
                  <w:shd w:val="clear" w:color="auto" w:fill="auto"/>
                  <w:noWrap w:val="0"/>
                  <w:vAlign w:val="center"/>
                </w:tcPr>
                <w:p w14:paraId="111C8C24">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废布袋</w:t>
                  </w:r>
                </w:p>
              </w:tc>
              <w:tc>
                <w:tcPr>
                  <w:tcW w:w="568" w:type="pct"/>
                  <w:vMerge w:val="continue"/>
                  <w:shd w:val="clear" w:color="auto" w:fill="auto"/>
                  <w:noWrap w:val="0"/>
                  <w:vAlign w:val="center"/>
                </w:tcPr>
                <w:p w14:paraId="4CE93EEE">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p>
              </w:tc>
              <w:tc>
                <w:tcPr>
                  <w:tcW w:w="886" w:type="pct"/>
                  <w:vMerge w:val="continue"/>
                  <w:noWrap w:val="0"/>
                  <w:vAlign w:val="center"/>
                </w:tcPr>
                <w:p w14:paraId="05817DB8">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980" w:type="pct"/>
                  <w:noWrap w:val="0"/>
                  <w:vAlign w:val="center"/>
                </w:tcPr>
                <w:p w14:paraId="001006CA">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SW59其他工业固体废物</w:t>
                  </w:r>
                  <w:r>
                    <w:rPr>
                      <w:rFonts w:hint="default" w:ascii="Times New Roman" w:hAnsi="Times New Roman" w:eastAsia="仿宋" w:cs="Times New Roman"/>
                      <w:color w:val="auto"/>
                      <w:sz w:val="18"/>
                      <w:szCs w:val="18"/>
                      <w:highlight w:val="none"/>
                    </w:rPr>
                    <w:t>900-</w:t>
                  </w:r>
                  <w:r>
                    <w:rPr>
                      <w:rFonts w:hint="default" w:ascii="Times New Roman" w:hAnsi="Times New Roman" w:eastAsia="仿宋" w:cs="Times New Roman"/>
                      <w:color w:val="auto"/>
                      <w:sz w:val="18"/>
                      <w:szCs w:val="18"/>
                      <w:highlight w:val="none"/>
                      <w:lang w:val="en-US" w:eastAsia="zh-CN"/>
                    </w:rPr>
                    <w:t>099</w:t>
                  </w:r>
                  <w:r>
                    <w:rPr>
                      <w:rFonts w:hint="default" w:ascii="Times New Roman" w:hAnsi="Times New Roman" w:eastAsia="仿宋" w:cs="Times New Roman"/>
                      <w:color w:val="auto"/>
                      <w:sz w:val="18"/>
                      <w:szCs w:val="18"/>
                      <w:highlight w:val="none"/>
                    </w:rPr>
                    <w:t>-</w:t>
                  </w:r>
                  <w:r>
                    <w:rPr>
                      <w:rFonts w:hint="default" w:ascii="Times New Roman" w:hAnsi="Times New Roman" w:eastAsia="仿宋" w:cs="Times New Roman"/>
                      <w:color w:val="auto"/>
                      <w:sz w:val="18"/>
                      <w:szCs w:val="18"/>
                      <w:highlight w:val="none"/>
                      <w:lang w:val="en-US" w:eastAsia="zh-CN"/>
                    </w:rPr>
                    <w:t>59</w:t>
                  </w:r>
                </w:p>
              </w:tc>
              <w:tc>
                <w:tcPr>
                  <w:tcW w:w="430" w:type="pct"/>
                  <w:noWrap w:val="0"/>
                  <w:vAlign w:val="center"/>
                </w:tcPr>
                <w:p w14:paraId="366B977B">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0.01</w:t>
                  </w:r>
                </w:p>
              </w:tc>
              <w:tc>
                <w:tcPr>
                  <w:tcW w:w="966" w:type="pct"/>
                  <w:vMerge w:val="continue"/>
                  <w:noWrap w:val="0"/>
                  <w:vAlign w:val="center"/>
                </w:tcPr>
                <w:p w14:paraId="435C7285">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479" w:type="pct"/>
                  <w:vMerge w:val="continue"/>
                  <w:noWrap w:val="0"/>
                  <w:vAlign w:val="center"/>
                </w:tcPr>
                <w:p w14:paraId="318EBAC0">
                  <w:pPr>
                    <w:adjustRightInd w:val="0"/>
                    <w:snapToGrid w:val="0"/>
                    <w:spacing w:line="276" w:lineRule="auto"/>
                    <w:jc w:val="center"/>
                    <w:rPr>
                      <w:rFonts w:hint="default" w:ascii="Times New Roman" w:hAnsi="Times New Roman" w:eastAsia="仿宋" w:cs="Times New Roman"/>
                      <w:color w:val="auto"/>
                      <w:sz w:val="18"/>
                      <w:szCs w:val="18"/>
                      <w:highlight w:val="none"/>
                    </w:rPr>
                  </w:pPr>
                </w:p>
              </w:tc>
            </w:tr>
            <w:tr w14:paraId="65732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shd w:val="clear" w:color="auto" w:fill="auto"/>
                  <w:noWrap w:val="0"/>
                  <w:vAlign w:val="center"/>
                </w:tcPr>
                <w:p w14:paraId="5E57043A">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8</w:t>
                  </w:r>
                </w:p>
              </w:tc>
              <w:tc>
                <w:tcPr>
                  <w:tcW w:w="451" w:type="pct"/>
                  <w:shd w:val="clear" w:color="auto" w:fill="auto"/>
                  <w:noWrap w:val="0"/>
                  <w:vAlign w:val="center"/>
                </w:tcPr>
                <w:p w14:paraId="080C91E4">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废包装桶</w:t>
                  </w:r>
                </w:p>
              </w:tc>
              <w:tc>
                <w:tcPr>
                  <w:tcW w:w="568" w:type="pct"/>
                  <w:noWrap w:val="0"/>
                  <w:vAlign w:val="center"/>
                </w:tcPr>
                <w:p w14:paraId="6E9C3B9B">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原辅料使用</w:t>
                  </w:r>
                </w:p>
              </w:tc>
              <w:tc>
                <w:tcPr>
                  <w:tcW w:w="886" w:type="pct"/>
                  <w:vMerge w:val="restart"/>
                  <w:noWrap w:val="0"/>
                  <w:vAlign w:val="center"/>
                </w:tcPr>
                <w:p w14:paraId="1BB518E7">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危险废物</w:t>
                  </w:r>
                </w:p>
              </w:tc>
              <w:tc>
                <w:tcPr>
                  <w:tcW w:w="980" w:type="pct"/>
                  <w:noWrap w:val="0"/>
                  <w:vAlign w:val="center"/>
                </w:tcPr>
                <w:p w14:paraId="60BEC13C">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HW49其他废物900-041-49</w:t>
                  </w:r>
                </w:p>
              </w:tc>
              <w:tc>
                <w:tcPr>
                  <w:tcW w:w="430" w:type="pct"/>
                  <w:noWrap w:val="0"/>
                  <w:vAlign w:val="center"/>
                </w:tcPr>
                <w:p w14:paraId="730BE5A2">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0.641</w:t>
                  </w:r>
                </w:p>
              </w:tc>
              <w:tc>
                <w:tcPr>
                  <w:tcW w:w="966" w:type="pct"/>
                  <w:vMerge w:val="restart"/>
                  <w:noWrap w:val="0"/>
                  <w:vAlign w:val="center"/>
                </w:tcPr>
                <w:p w14:paraId="356EAB35">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委托</w:t>
                  </w:r>
                </w:p>
                <w:p w14:paraId="280D5D75">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处置</w:t>
                  </w:r>
                </w:p>
              </w:tc>
              <w:tc>
                <w:tcPr>
                  <w:tcW w:w="479" w:type="pct"/>
                  <w:vMerge w:val="restart"/>
                  <w:noWrap w:val="0"/>
                  <w:vAlign w:val="center"/>
                </w:tcPr>
                <w:p w14:paraId="7B9DCAAD">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有资质单位</w:t>
                  </w:r>
                </w:p>
              </w:tc>
            </w:tr>
            <w:tr w14:paraId="3EC39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shd w:val="clear" w:color="auto" w:fill="auto"/>
                  <w:noWrap w:val="0"/>
                  <w:vAlign w:val="center"/>
                </w:tcPr>
                <w:p w14:paraId="687A3F2E">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9</w:t>
                  </w:r>
                </w:p>
              </w:tc>
              <w:tc>
                <w:tcPr>
                  <w:tcW w:w="451" w:type="pct"/>
                  <w:shd w:val="clear" w:color="auto" w:fill="auto"/>
                  <w:noWrap w:val="0"/>
                  <w:vAlign w:val="center"/>
                </w:tcPr>
                <w:p w14:paraId="196DC996">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废活性炭</w:t>
                  </w:r>
                </w:p>
              </w:tc>
              <w:tc>
                <w:tcPr>
                  <w:tcW w:w="568" w:type="pct"/>
                  <w:vMerge w:val="restart"/>
                  <w:noWrap w:val="0"/>
                  <w:vAlign w:val="center"/>
                </w:tcPr>
                <w:p w14:paraId="05D8330D">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废气治理</w:t>
                  </w:r>
                </w:p>
              </w:tc>
              <w:tc>
                <w:tcPr>
                  <w:tcW w:w="886" w:type="pct"/>
                  <w:vMerge w:val="continue"/>
                  <w:noWrap w:val="0"/>
                  <w:vAlign w:val="center"/>
                </w:tcPr>
                <w:p w14:paraId="113C9D41">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980" w:type="pct"/>
                  <w:shd w:val="clear" w:color="auto" w:fill="auto"/>
                  <w:noWrap w:val="0"/>
                  <w:vAlign w:val="center"/>
                </w:tcPr>
                <w:p w14:paraId="7BEAC2AA">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HW49其他废物900-039-49</w:t>
                  </w:r>
                </w:p>
              </w:tc>
              <w:tc>
                <w:tcPr>
                  <w:tcW w:w="430" w:type="pct"/>
                  <w:noWrap w:val="0"/>
                  <w:vAlign w:val="center"/>
                </w:tcPr>
                <w:p w14:paraId="7EAEAA1C">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11.139</w:t>
                  </w:r>
                </w:p>
              </w:tc>
              <w:tc>
                <w:tcPr>
                  <w:tcW w:w="966" w:type="pct"/>
                  <w:vMerge w:val="continue"/>
                  <w:noWrap w:val="0"/>
                  <w:vAlign w:val="center"/>
                </w:tcPr>
                <w:p w14:paraId="0C902865">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479" w:type="pct"/>
                  <w:vMerge w:val="continue"/>
                  <w:noWrap w:val="0"/>
                  <w:vAlign w:val="center"/>
                </w:tcPr>
                <w:p w14:paraId="148EBD4D">
                  <w:pPr>
                    <w:adjustRightInd w:val="0"/>
                    <w:snapToGrid w:val="0"/>
                    <w:spacing w:line="276" w:lineRule="auto"/>
                    <w:jc w:val="center"/>
                    <w:rPr>
                      <w:rFonts w:hint="default" w:ascii="Times New Roman" w:hAnsi="Times New Roman" w:eastAsia="仿宋" w:cs="Times New Roman"/>
                      <w:color w:val="auto"/>
                      <w:sz w:val="18"/>
                      <w:szCs w:val="18"/>
                      <w:highlight w:val="none"/>
                    </w:rPr>
                  </w:pPr>
                </w:p>
              </w:tc>
            </w:tr>
            <w:tr w14:paraId="60647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shd w:val="clear" w:color="auto" w:fill="auto"/>
                  <w:noWrap w:val="0"/>
                  <w:vAlign w:val="center"/>
                </w:tcPr>
                <w:p w14:paraId="1F208880">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10</w:t>
                  </w:r>
                </w:p>
              </w:tc>
              <w:tc>
                <w:tcPr>
                  <w:tcW w:w="451" w:type="pct"/>
                  <w:shd w:val="clear" w:color="auto" w:fill="auto"/>
                  <w:noWrap w:val="0"/>
                  <w:vAlign w:val="center"/>
                </w:tcPr>
                <w:p w14:paraId="69D3FC05">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rPr>
                  </w:pPr>
                  <w:r>
                    <w:rPr>
                      <w:rFonts w:hint="eastAsia" w:eastAsia="仿宋" w:cs="Times New Roman"/>
                      <w:color w:val="0000FF"/>
                      <w:sz w:val="18"/>
                      <w:szCs w:val="18"/>
                      <w:highlight w:val="none"/>
                      <w:lang w:val="en-US" w:eastAsia="zh-CN"/>
                    </w:rPr>
                    <w:t>废过滤棉和杂质</w:t>
                  </w:r>
                </w:p>
              </w:tc>
              <w:tc>
                <w:tcPr>
                  <w:tcW w:w="568" w:type="pct"/>
                  <w:vMerge w:val="continue"/>
                  <w:noWrap w:val="0"/>
                  <w:vAlign w:val="center"/>
                </w:tcPr>
                <w:p w14:paraId="29C2B61B">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p>
              </w:tc>
              <w:tc>
                <w:tcPr>
                  <w:tcW w:w="886" w:type="pct"/>
                  <w:vMerge w:val="continue"/>
                  <w:noWrap w:val="0"/>
                  <w:vAlign w:val="center"/>
                </w:tcPr>
                <w:p w14:paraId="52522BDB">
                  <w:pPr>
                    <w:adjustRightInd w:val="0"/>
                    <w:snapToGrid w:val="0"/>
                    <w:spacing w:line="276" w:lineRule="auto"/>
                    <w:jc w:val="center"/>
                    <w:rPr>
                      <w:rFonts w:hint="default" w:ascii="Times New Roman" w:hAnsi="Times New Roman" w:eastAsia="仿宋" w:cs="Times New Roman"/>
                      <w:color w:val="0000FF"/>
                      <w:sz w:val="18"/>
                      <w:szCs w:val="18"/>
                      <w:highlight w:val="none"/>
                    </w:rPr>
                  </w:pPr>
                </w:p>
              </w:tc>
              <w:tc>
                <w:tcPr>
                  <w:tcW w:w="980" w:type="pct"/>
                  <w:shd w:val="clear" w:color="auto" w:fill="auto"/>
                  <w:noWrap w:val="0"/>
                  <w:vAlign w:val="center"/>
                </w:tcPr>
                <w:p w14:paraId="119532B6">
                  <w:pPr>
                    <w:adjustRightInd w:val="0"/>
                    <w:snapToGrid w:val="0"/>
                    <w:spacing w:line="276" w:lineRule="auto"/>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HW49其他废物900-041-49</w:t>
                  </w:r>
                </w:p>
              </w:tc>
              <w:tc>
                <w:tcPr>
                  <w:tcW w:w="430" w:type="pct"/>
                  <w:noWrap w:val="0"/>
                  <w:vAlign w:val="center"/>
                </w:tcPr>
                <w:p w14:paraId="59CCD4AA">
                  <w:pPr>
                    <w:adjustRightInd w:val="0"/>
                    <w:snapToGrid w:val="0"/>
                    <w:spacing w:line="276" w:lineRule="auto"/>
                    <w:jc w:val="center"/>
                    <w:rPr>
                      <w:rFonts w:hint="eastAsia"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0.042</w:t>
                  </w:r>
                </w:p>
              </w:tc>
              <w:tc>
                <w:tcPr>
                  <w:tcW w:w="966" w:type="pct"/>
                  <w:vMerge w:val="continue"/>
                  <w:noWrap w:val="0"/>
                  <w:vAlign w:val="center"/>
                </w:tcPr>
                <w:p w14:paraId="3EFE1A15">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479" w:type="pct"/>
                  <w:vMerge w:val="continue"/>
                  <w:noWrap w:val="0"/>
                  <w:vAlign w:val="center"/>
                </w:tcPr>
                <w:p w14:paraId="1F3D3FF3">
                  <w:pPr>
                    <w:adjustRightInd w:val="0"/>
                    <w:snapToGrid w:val="0"/>
                    <w:spacing w:line="276" w:lineRule="auto"/>
                    <w:jc w:val="center"/>
                    <w:rPr>
                      <w:rFonts w:hint="default" w:ascii="Times New Roman" w:hAnsi="Times New Roman" w:eastAsia="仿宋" w:cs="Times New Roman"/>
                      <w:color w:val="auto"/>
                      <w:sz w:val="18"/>
                      <w:szCs w:val="18"/>
                      <w:highlight w:val="none"/>
                    </w:rPr>
                  </w:pPr>
                </w:p>
              </w:tc>
            </w:tr>
            <w:tr w14:paraId="008BF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shd w:val="clear" w:color="auto" w:fill="auto"/>
                  <w:noWrap w:val="0"/>
                  <w:vAlign w:val="center"/>
                </w:tcPr>
                <w:p w14:paraId="6936AEE2">
                  <w:pPr>
                    <w:adjustRightInd w:val="0"/>
                    <w:snapToGrid w:val="0"/>
                    <w:spacing w:line="276" w:lineRule="auto"/>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11</w:t>
                  </w:r>
                </w:p>
              </w:tc>
              <w:tc>
                <w:tcPr>
                  <w:tcW w:w="451" w:type="pct"/>
                  <w:shd w:val="clear" w:color="auto" w:fill="auto"/>
                  <w:noWrap w:val="0"/>
                  <w:vAlign w:val="center"/>
                </w:tcPr>
                <w:p w14:paraId="72BA5807">
                  <w:pPr>
                    <w:adjustRightInd w:val="0"/>
                    <w:snapToGrid w:val="0"/>
                    <w:spacing w:line="276" w:lineRule="auto"/>
                    <w:ind w:left="-105" w:leftChars="-50" w:right="-105" w:rightChars="-50"/>
                    <w:jc w:val="center"/>
                    <w:rPr>
                      <w:rFonts w:hint="default" w:ascii="Times New Roman" w:hAnsi="Times New Roman" w:eastAsia="仿宋" w:cs="Times New Roman"/>
                      <w:color w:val="0000FF"/>
                      <w:sz w:val="18"/>
                      <w:szCs w:val="18"/>
                      <w:highlight w:val="none"/>
                    </w:rPr>
                  </w:pPr>
                  <w:r>
                    <w:rPr>
                      <w:rFonts w:hint="eastAsia" w:eastAsia="仿宋" w:cs="Times New Roman"/>
                      <w:color w:val="0000FF"/>
                      <w:sz w:val="18"/>
                      <w:szCs w:val="18"/>
                      <w:highlight w:val="none"/>
                      <w:lang w:val="en-US" w:eastAsia="zh-CN"/>
                    </w:rPr>
                    <w:t>水旋废液</w:t>
                  </w:r>
                </w:p>
              </w:tc>
              <w:tc>
                <w:tcPr>
                  <w:tcW w:w="568" w:type="pct"/>
                  <w:vMerge w:val="continue"/>
                  <w:noWrap w:val="0"/>
                  <w:vAlign w:val="center"/>
                </w:tcPr>
                <w:p w14:paraId="52080205">
                  <w:pPr>
                    <w:adjustRightInd w:val="0"/>
                    <w:snapToGrid w:val="0"/>
                    <w:spacing w:line="276" w:lineRule="auto"/>
                    <w:jc w:val="center"/>
                    <w:rPr>
                      <w:rFonts w:hint="default" w:ascii="Times New Roman" w:hAnsi="Times New Roman" w:eastAsia="仿宋" w:cs="Times New Roman"/>
                      <w:color w:val="0000FF"/>
                      <w:sz w:val="18"/>
                      <w:szCs w:val="18"/>
                      <w:highlight w:val="none"/>
                      <w:lang w:val="en-US" w:eastAsia="zh-CN"/>
                    </w:rPr>
                  </w:pPr>
                </w:p>
              </w:tc>
              <w:tc>
                <w:tcPr>
                  <w:tcW w:w="886" w:type="pct"/>
                  <w:vMerge w:val="continue"/>
                  <w:noWrap w:val="0"/>
                  <w:vAlign w:val="center"/>
                </w:tcPr>
                <w:p w14:paraId="172AE246">
                  <w:pPr>
                    <w:adjustRightInd w:val="0"/>
                    <w:snapToGrid w:val="0"/>
                    <w:spacing w:line="276" w:lineRule="auto"/>
                    <w:jc w:val="center"/>
                    <w:rPr>
                      <w:rFonts w:hint="default" w:ascii="Times New Roman" w:hAnsi="Times New Roman" w:eastAsia="仿宋" w:cs="Times New Roman"/>
                      <w:color w:val="0000FF"/>
                      <w:sz w:val="18"/>
                      <w:szCs w:val="18"/>
                      <w:highlight w:val="none"/>
                    </w:rPr>
                  </w:pPr>
                </w:p>
              </w:tc>
              <w:tc>
                <w:tcPr>
                  <w:tcW w:w="980" w:type="pct"/>
                  <w:shd w:val="clear" w:color="auto" w:fill="auto"/>
                  <w:noWrap w:val="0"/>
                  <w:vAlign w:val="center"/>
                </w:tcPr>
                <w:p w14:paraId="22E2B72C">
                  <w:pPr>
                    <w:adjustRightInd w:val="0"/>
                    <w:snapToGrid w:val="0"/>
                    <w:spacing w:line="276" w:lineRule="auto"/>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HW49其他废物900-041-49</w:t>
                  </w:r>
                </w:p>
              </w:tc>
              <w:tc>
                <w:tcPr>
                  <w:tcW w:w="430" w:type="pct"/>
                  <w:noWrap w:val="0"/>
                  <w:vAlign w:val="center"/>
                </w:tcPr>
                <w:p w14:paraId="24E947C1">
                  <w:pPr>
                    <w:adjustRightInd w:val="0"/>
                    <w:snapToGrid w:val="0"/>
                    <w:spacing w:line="276" w:lineRule="auto"/>
                    <w:jc w:val="center"/>
                    <w:rPr>
                      <w:rFonts w:hint="eastAsia" w:eastAsia="仿宋" w:cs="Times New Roman"/>
                      <w:color w:val="0000FF"/>
                      <w:sz w:val="18"/>
                      <w:szCs w:val="18"/>
                      <w:highlight w:val="none"/>
                      <w:lang w:val="en-US" w:eastAsia="zh-CN"/>
                    </w:rPr>
                  </w:pPr>
                  <w:r>
                    <w:rPr>
                      <w:rFonts w:hint="eastAsia" w:eastAsia="仿宋" w:cs="Times New Roman"/>
                      <w:color w:val="0000FF"/>
                      <w:sz w:val="18"/>
                      <w:szCs w:val="18"/>
                      <w:highlight w:val="none"/>
                      <w:lang w:val="en-US" w:eastAsia="zh-CN"/>
                    </w:rPr>
                    <w:t>2</w:t>
                  </w:r>
                </w:p>
              </w:tc>
              <w:tc>
                <w:tcPr>
                  <w:tcW w:w="966" w:type="pct"/>
                  <w:vMerge w:val="continue"/>
                  <w:noWrap w:val="0"/>
                  <w:vAlign w:val="center"/>
                </w:tcPr>
                <w:p w14:paraId="2F4D2B15">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479" w:type="pct"/>
                  <w:vMerge w:val="continue"/>
                  <w:noWrap w:val="0"/>
                  <w:vAlign w:val="center"/>
                </w:tcPr>
                <w:p w14:paraId="7A3714B8">
                  <w:pPr>
                    <w:adjustRightInd w:val="0"/>
                    <w:snapToGrid w:val="0"/>
                    <w:spacing w:line="276" w:lineRule="auto"/>
                    <w:jc w:val="center"/>
                    <w:rPr>
                      <w:rFonts w:hint="default" w:ascii="Times New Roman" w:hAnsi="Times New Roman" w:eastAsia="仿宋" w:cs="Times New Roman"/>
                      <w:color w:val="auto"/>
                      <w:sz w:val="18"/>
                      <w:szCs w:val="18"/>
                      <w:highlight w:val="none"/>
                    </w:rPr>
                  </w:pPr>
                </w:p>
              </w:tc>
            </w:tr>
            <w:tr w14:paraId="3AF60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shd w:val="clear" w:color="auto" w:fill="auto"/>
                  <w:noWrap w:val="0"/>
                  <w:vAlign w:val="center"/>
                </w:tcPr>
                <w:p w14:paraId="6374F8ED">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12</w:t>
                  </w:r>
                </w:p>
              </w:tc>
              <w:tc>
                <w:tcPr>
                  <w:tcW w:w="451" w:type="pct"/>
                  <w:noWrap w:val="0"/>
                  <w:vAlign w:val="center"/>
                </w:tcPr>
                <w:p w14:paraId="67FD58BF">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含油废抹布手套</w:t>
                  </w:r>
                </w:p>
              </w:tc>
              <w:tc>
                <w:tcPr>
                  <w:tcW w:w="568" w:type="pct"/>
                  <w:noWrap w:val="0"/>
                  <w:vAlign w:val="center"/>
                </w:tcPr>
                <w:p w14:paraId="243EB501">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设备维护操作</w:t>
                  </w:r>
                </w:p>
              </w:tc>
              <w:tc>
                <w:tcPr>
                  <w:tcW w:w="886" w:type="pct"/>
                  <w:vMerge w:val="continue"/>
                  <w:noWrap w:val="0"/>
                  <w:vAlign w:val="center"/>
                </w:tcPr>
                <w:p w14:paraId="0C492C58">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980" w:type="pct"/>
                  <w:noWrap w:val="0"/>
                  <w:vAlign w:val="center"/>
                </w:tcPr>
                <w:p w14:paraId="16F6075F">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HW49其他废物900-041-49</w:t>
                  </w:r>
                </w:p>
              </w:tc>
              <w:tc>
                <w:tcPr>
                  <w:tcW w:w="430" w:type="pct"/>
                  <w:noWrap w:val="0"/>
                  <w:vAlign w:val="center"/>
                </w:tcPr>
                <w:p w14:paraId="6AF1ABAD">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1.2</w:t>
                  </w:r>
                </w:p>
              </w:tc>
              <w:tc>
                <w:tcPr>
                  <w:tcW w:w="966" w:type="pct"/>
                  <w:vMerge w:val="restart"/>
                  <w:noWrap w:val="0"/>
                  <w:vAlign w:val="center"/>
                </w:tcPr>
                <w:p w14:paraId="5D74227D">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环卫</w:t>
                  </w:r>
                </w:p>
                <w:p w14:paraId="58B3D036">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清运</w:t>
                  </w:r>
                </w:p>
              </w:tc>
              <w:tc>
                <w:tcPr>
                  <w:tcW w:w="479" w:type="pct"/>
                  <w:vMerge w:val="restart"/>
                  <w:noWrap w:val="0"/>
                  <w:vAlign w:val="center"/>
                </w:tcPr>
                <w:p w14:paraId="47B62D59">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lang w:val="en-US" w:eastAsia="zh-CN"/>
                    </w:rPr>
                    <w:t>环卫</w:t>
                  </w:r>
                </w:p>
              </w:tc>
            </w:tr>
            <w:tr w14:paraId="6363D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noWrap w:val="0"/>
                  <w:vAlign w:val="center"/>
                </w:tcPr>
                <w:p w14:paraId="6479AF9E">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eastAsia" w:eastAsia="仿宋" w:cs="Times New Roman"/>
                      <w:color w:val="auto"/>
                      <w:sz w:val="18"/>
                      <w:szCs w:val="18"/>
                      <w:highlight w:val="none"/>
                      <w:lang w:val="en-US" w:eastAsia="zh-CN"/>
                    </w:rPr>
                    <w:t>13</w:t>
                  </w:r>
                </w:p>
              </w:tc>
              <w:tc>
                <w:tcPr>
                  <w:tcW w:w="451" w:type="pct"/>
                  <w:noWrap w:val="0"/>
                  <w:vAlign w:val="center"/>
                </w:tcPr>
                <w:p w14:paraId="0134A822">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生活垃圾</w:t>
                  </w:r>
                </w:p>
              </w:tc>
              <w:tc>
                <w:tcPr>
                  <w:tcW w:w="568" w:type="pct"/>
                  <w:noWrap w:val="0"/>
                  <w:vAlign w:val="center"/>
                </w:tcPr>
                <w:p w14:paraId="0BD807BB">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办公、生活</w:t>
                  </w:r>
                </w:p>
              </w:tc>
              <w:tc>
                <w:tcPr>
                  <w:tcW w:w="886" w:type="pct"/>
                  <w:noWrap w:val="0"/>
                  <w:vAlign w:val="center"/>
                </w:tcPr>
                <w:p w14:paraId="6E6B336F">
                  <w:pPr>
                    <w:adjustRightInd w:val="0"/>
                    <w:snapToGrid w:val="0"/>
                    <w:spacing w:line="276" w:lineRule="auto"/>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一般固体废物</w:t>
                  </w:r>
                </w:p>
              </w:tc>
              <w:tc>
                <w:tcPr>
                  <w:tcW w:w="980" w:type="pct"/>
                  <w:noWrap w:val="0"/>
                  <w:vAlign w:val="center"/>
                </w:tcPr>
                <w:p w14:paraId="50F85CFE">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rPr>
                    <w:t>SW64其他垃圾900-099-S64</w:t>
                  </w:r>
                </w:p>
              </w:tc>
              <w:tc>
                <w:tcPr>
                  <w:tcW w:w="430" w:type="pct"/>
                  <w:noWrap w:val="0"/>
                  <w:vAlign w:val="center"/>
                </w:tcPr>
                <w:p w14:paraId="38739BC5">
                  <w:pPr>
                    <w:adjustRightInd w:val="0"/>
                    <w:snapToGrid w:val="0"/>
                    <w:spacing w:line="276" w:lineRule="auto"/>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5.7</w:t>
                  </w:r>
                </w:p>
              </w:tc>
              <w:tc>
                <w:tcPr>
                  <w:tcW w:w="966" w:type="pct"/>
                  <w:vMerge w:val="continue"/>
                  <w:noWrap w:val="0"/>
                  <w:vAlign w:val="center"/>
                </w:tcPr>
                <w:p w14:paraId="5928B10B">
                  <w:pPr>
                    <w:adjustRightInd w:val="0"/>
                    <w:snapToGrid w:val="0"/>
                    <w:spacing w:line="276" w:lineRule="auto"/>
                    <w:jc w:val="center"/>
                    <w:rPr>
                      <w:rFonts w:hint="default" w:ascii="Times New Roman" w:hAnsi="Times New Roman" w:eastAsia="仿宋" w:cs="Times New Roman"/>
                      <w:color w:val="auto"/>
                      <w:sz w:val="18"/>
                      <w:szCs w:val="18"/>
                      <w:highlight w:val="none"/>
                    </w:rPr>
                  </w:pPr>
                </w:p>
              </w:tc>
              <w:tc>
                <w:tcPr>
                  <w:tcW w:w="479" w:type="pct"/>
                  <w:vMerge w:val="continue"/>
                  <w:noWrap w:val="0"/>
                  <w:vAlign w:val="center"/>
                </w:tcPr>
                <w:p w14:paraId="4D8C5F7E">
                  <w:pPr>
                    <w:adjustRightInd w:val="0"/>
                    <w:snapToGrid w:val="0"/>
                    <w:spacing w:line="276" w:lineRule="auto"/>
                    <w:jc w:val="center"/>
                    <w:rPr>
                      <w:rFonts w:hint="default" w:ascii="Times New Roman" w:hAnsi="Times New Roman" w:eastAsia="仿宋" w:cs="Times New Roman"/>
                      <w:color w:val="auto"/>
                      <w:sz w:val="18"/>
                      <w:szCs w:val="18"/>
                      <w:highlight w:val="none"/>
                    </w:rPr>
                  </w:pPr>
                </w:p>
              </w:tc>
            </w:tr>
          </w:tbl>
          <w:p w14:paraId="757EA7B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仿宋" w:cs="Times New Roman"/>
                <w:color w:val="auto"/>
                <w:sz w:val="10"/>
                <w:szCs w:val="10"/>
                <w:highlight w:val="none"/>
              </w:rPr>
            </w:pPr>
          </w:p>
          <w:p w14:paraId="76BFDA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仿宋" w:cs="Times New Roman"/>
                <w:bCs/>
                <w:color w:val="auto"/>
                <w:sz w:val="28"/>
                <w:szCs w:val="28"/>
                <w:highlight w:val="none"/>
              </w:rPr>
            </w:pPr>
            <w:r>
              <w:rPr>
                <w:rFonts w:hint="default" w:ascii="Times New Roman" w:hAnsi="Times New Roman" w:eastAsia="仿宋" w:cs="Times New Roman"/>
                <w:color w:val="auto"/>
                <w:sz w:val="24"/>
                <w:highlight w:val="none"/>
              </w:rPr>
              <w:t>5、固体废物防治措施</w:t>
            </w:r>
          </w:p>
          <w:p w14:paraId="467803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（1）危险固体废物</w:t>
            </w:r>
          </w:p>
          <w:p w14:paraId="1D8036CA">
            <w:pPr>
              <w:adjustRightInd w:val="0"/>
              <w:snapToGrid w:val="0"/>
              <w:spacing w:line="360" w:lineRule="auto"/>
              <w:ind w:firstLine="464" w:firstLineChars="200"/>
              <w:rPr>
                <w:rFonts w:hint="default" w:ascii="Times New Roman" w:hAnsi="Times New Roman" w:eastAsia="仿宋" w:cs="Times New Roman"/>
                <w:color w:val="auto"/>
                <w:spacing w:val="-4"/>
                <w:sz w:val="24"/>
                <w:highlight w:val="none"/>
              </w:rPr>
            </w:pPr>
            <w:r>
              <w:rPr>
                <w:rFonts w:hint="default" w:ascii="Times New Roman" w:hAnsi="Times New Roman" w:eastAsia="仿宋" w:cs="Times New Roman"/>
                <w:color w:val="auto"/>
                <w:spacing w:val="-4"/>
                <w:sz w:val="24"/>
                <w:highlight w:val="none"/>
              </w:rPr>
              <w:t>1）危险废物处置方式</w:t>
            </w:r>
          </w:p>
          <w:p w14:paraId="694A94C1">
            <w:pPr>
              <w:adjustRightInd w:val="0"/>
              <w:snapToGrid w:val="0"/>
              <w:spacing w:line="360" w:lineRule="auto"/>
              <w:ind w:firstLine="464" w:firstLineChars="200"/>
              <w:rPr>
                <w:rFonts w:hint="default" w:ascii="Times New Roman" w:hAnsi="Times New Roman" w:eastAsia="仿宋" w:cs="Times New Roman"/>
                <w:color w:val="auto"/>
                <w:spacing w:val="-4"/>
                <w:sz w:val="24"/>
                <w:highlight w:val="none"/>
              </w:rPr>
            </w:pPr>
            <w:r>
              <w:rPr>
                <w:rFonts w:hint="default" w:ascii="Times New Roman" w:hAnsi="Times New Roman" w:eastAsia="仿宋" w:cs="Times New Roman"/>
                <w:color w:val="auto"/>
                <w:spacing w:val="-4"/>
                <w:sz w:val="24"/>
                <w:highlight w:val="none"/>
              </w:rPr>
              <w:t>根据《国家危险废物名录》（2025年版）以及危险废物鉴别标准，本项目危险废物</w:t>
            </w:r>
            <w:r>
              <w:rPr>
                <w:rFonts w:hint="default" w:ascii="Times New Roman" w:hAnsi="Times New Roman" w:eastAsia="仿宋" w:cs="Times New Roman"/>
                <w:bCs/>
                <w:color w:val="auto"/>
                <w:sz w:val="24"/>
                <w:highlight w:val="none"/>
                <w:lang w:val="en-US" w:eastAsia="zh-CN"/>
              </w:rPr>
              <w:t>废包装桶</w:t>
            </w:r>
            <w:r>
              <w:rPr>
                <w:rFonts w:hint="default" w:ascii="Times New Roman" w:hAnsi="Times New Roman" w:eastAsia="仿宋" w:cs="Times New Roman"/>
                <w:bCs/>
                <w:color w:val="auto"/>
                <w:sz w:val="24"/>
                <w:highlight w:val="none"/>
                <w:lang w:eastAsia="zh-CN"/>
              </w:rPr>
              <w:t>（HW49其他废物）、</w:t>
            </w:r>
            <w:r>
              <w:rPr>
                <w:rFonts w:hint="default" w:ascii="Times New Roman" w:hAnsi="Times New Roman" w:eastAsia="仿宋" w:cs="Times New Roman"/>
                <w:bCs/>
                <w:color w:val="auto"/>
                <w:sz w:val="24"/>
                <w:highlight w:val="none"/>
                <w:lang w:val="en-US" w:eastAsia="zh-CN"/>
              </w:rPr>
              <w:t>废活性炭（</w:t>
            </w:r>
            <w:r>
              <w:rPr>
                <w:rFonts w:hint="default" w:ascii="Times New Roman" w:hAnsi="Times New Roman" w:eastAsia="仿宋" w:cs="Times New Roman"/>
                <w:bCs/>
                <w:color w:val="auto"/>
                <w:sz w:val="24"/>
                <w:highlight w:val="none"/>
                <w:lang w:eastAsia="zh-CN"/>
              </w:rPr>
              <w:t>HW49其他废物</w:t>
            </w:r>
            <w:r>
              <w:rPr>
                <w:rFonts w:hint="default" w:ascii="Times New Roman" w:hAnsi="Times New Roman" w:eastAsia="仿宋" w:cs="Times New Roman"/>
                <w:bCs/>
                <w:color w:val="auto"/>
                <w:sz w:val="24"/>
                <w:highlight w:val="none"/>
                <w:lang w:val="en-US" w:eastAsia="zh-CN"/>
              </w:rPr>
              <w:t>）</w:t>
            </w:r>
            <w:r>
              <w:rPr>
                <w:rFonts w:hint="eastAsia" w:eastAsia="仿宋" w:cs="Times New Roman"/>
                <w:bCs/>
                <w:color w:val="auto"/>
                <w:sz w:val="24"/>
                <w:highlight w:val="none"/>
                <w:lang w:val="en-US" w:eastAsia="zh-CN"/>
              </w:rPr>
              <w:t>、废过滤棉和杂质（</w:t>
            </w:r>
            <w:r>
              <w:rPr>
                <w:rFonts w:hint="default" w:ascii="Times New Roman" w:hAnsi="Times New Roman" w:eastAsia="仿宋" w:cs="Times New Roman"/>
                <w:bCs/>
                <w:color w:val="auto"/>
                <w:sz w:val="24"/>
                <w:highlight w:val="none"/>
                <w:lang w:eastAsia="zh-CN"/>
              </w:rPr>
              <w:t>HW49其他废物</w:t>
            </w:r>
            <w:r>
              <w:rPr>
                <w:rFonts w:hint="eastAsia" w:eastAsia="仿宋" w:cs="Times New Roman"/>
                <w:bCs/>
                <w:color w:val="auto"/>
                <w:sz w:val="24"/>
                <w:highlight w:val="none"/>
                <w:lang w:val="en-US" w:eastAsia="zh-CN"/>
              </w:rPr>
              <w:t>）、水旋废液（</w:t>
            </w:r>
            <w:r>
              <w:rPr>
                <w:rFonts w:hint="default" w:ascii="Times New Roman" w:hAnsi="Times New Roman" w:eastAsia="仿宋" w:cs="Times New Roman"/>
                <w:bCs/>
                <w:color w:val="auto"/>
                <w:sz w:val="24"/>
                <w:highlight w:val="none"/>
                <w:lang w:eastAsia="zh-CN"/>
              </w:rPr>
              <w:t>HW49其他废物</w:t>
            </w:r>
            <w:r>
              <w:rPr>
                <w:rFonts w:hint="eastAsia" w:eastAsia="仿宋" w:cs="Times New Roman"/>
                <w:bCs/>
                <w:color w:val="auto"/>
                <w:sz w:val="24"/>
                <w:highlight w:val="none"/>
                <w:lang w:val="en-US" w:eastAsia="zh-CN"/>
              </w:rPr>
              <w:t>）</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color w:val="auto"/>
                <w:spacing w:val="-4"/>
                <w:sz w:val="24"/>
                <w:highlight w:val="none"/>
              </w:rPr>
              <w:t>须委托具备处置资质和处置能力的单位进行无害化处置，并在本项目正式投产前落实危险废物处置途径，签订危废处置协议。</w:t>
            </w:r>
          </w:p>
          <w:p w14:paraId="041143F2">
            <w:pPr>
              <w:adjustRightInd w:val="0"/>
              <w:snapToGrid w:val="0"/>
              <w:spacing w:line="360" w:lineRule="auto"/>
              <w:ind w:firstLine="464" w:firstLineChars="200"/>
              <w:rPr>
                <w:rFonts w:hint="default" w:ascii="Times New Roman" w:hAnsi="Times New Roman" w:eastAsia="仿宋" w:cs="Times New Roman"/>
                <w:color w:val="auto"/>
                <w:spacing w:val="-4"/>
                <w:sz w:val="24"/>
                <w:highlight w:val="none"/>
              </w:rPr>
            </w:pPr>
            <w:r>
              <w:rPr>
                <w:rFonts w:hint="default" w:ascii="Times New Roman" w:hAnsi="Times New Roman" w:eastAsia="仿宋" w:cs="Times New Roman"/>
                <w:color w:val="auto"/>
                <w:spacing w:val="-4"/>
                <w:sz w:val="24"/>
                <w:highlight w:val="none"/>
              </w:rPr>
              <w:t>含油抹布及手套（HW49其他废物）经豁免后与生活垃圾一起由环卫部门统一收集清运。</w:t>
            </w:r>
          </w:p>
          <w:p w14:paraId="286C37D0">
            <w:pPr>
              <w:adjustRightInd w:val="0"/>
              <w:snapToGrid w:val="0"/>
              <w:spacing w:line="360" w:lineRule="auto"/>
              <w:ind w:firstLine="464" w:firstLineChars="200"/>
              <w:jc w:val="left"/>
              <w:rPr>
                <w:rFonts w:hint="default" w:ascii="Times New Roman" w:hAnsi="Times New Roman" w:eastAsia="仿宋" w:cs="Times New Roman"/>
                <w:color w:val="auto"/>
                <w:spacing w:val="-4"/>
                <w:sz w:val="24"/>
                <w:highlight w:val="none"/>
              </w:rPr>
            </w:pPr>
            <w:r>
              <w:rPr>
                <w:rFonts w:hint="default" w:ascii="Times New Roman" w:hAnsi="Times New Roman" w:eastAsia="仿宋" w:cs="Times New Roman"/>
                <w:color w:val="auto"/>
                <w:spacing w:val="-4"/>
                <w:sz w:val="24"/>
                <w:highlight w:val="none"/>
              </w:rPr>
              <w:t>2）贮存场所（设施）污染防治措施</w:t>
            </w:r>
          </w:p>
          <w:p w14:paraId="7CD914C6">
            <w:pPr>
              <w:adjustRightInd w:val="0"/>
              <w:snapToGrid w:val="0"/>
              <w:spacing w:line="360" w:lineRule="auto"/>
              <w:ind w:firstLine="480" w:firstLineChars="200"/>
              <w:rPr>
                <w:rFonts w:hint="default" w:ascii="Times New Roman" w:hAnsi="Times New Roman" w:eastAsia="仿宋" w:cs="Times New Roman"/>
                <w:color w:val="auto"/>
                <w:spacing w:val="-4"/>
                <w:sz w:val="24"/>
                <w:highlight w:val="none"/>
              </w:rPr>
            </w:pPr>
            <w:r>
              <w:rPr>
                <w:rFonts w:hint="default" w:ascii="Times New Roman" w:hAnsi="Times New Roman" w:eastAsia="仿宋" w:cs="Times New Roman"/>
                <w:bCs/>
                <w:color w:val="auto"/>
                <w:sz w:val="24"/>
                <w:highlight w:val="none"/>
                <w:lang w:val="en-US" w:eastAsia="zh-CN"/>
              </w:rPr>
              <w:t>本项目依托现有</w:t>
            </w:r>
            <w:r>
              <w:rPr>
                <w:rFonts w:hint="default" w:ascii="Times New Roman" w:hAnsi="Times New Roman" w:eastAsia="仿宋" w:cs="Times New Roman"/>
                <w:bCs/>
                <w:color w:val="auto"/>
                <w:sz w:val="24"/>
                <w:highlight w:val="none"/>
              </w:rPr>
              <w:t>1个面积</w:t>
            </w:r>
            <w:r>
              <w:rPr>
                <w:rFonts w:hint="default" w:ascii="Times New Roman" w:hAnsi="Times New Roman" w:eastAsia="仿宋" w:cs="Times New Roman"/>
                <w:bCs/>
                <w:color w:val="auto"/>
                <w:sz w:val="24"/>
                <w:highlight w:val="none"/>
                <w:lang w:val="en-US" w:eastAsia="zh-CN"/>
              </w:rPr>
              <w:t>20</w:t>
            </w:r>
            <w:r>
              <w:rPr>
                <w:rFonts w:hint="default" w:ascii="Times New Roman" w:hAnsi="Times New Roman" w:eastAsia="仿宋" w:cs="Times New Roman"/>
                <w:bCs/>
                <w:color w:val="auto"/>
                <w:sz w:val="24"/>
                <w:highlight w:val="none"/>
              </w:rPr>
              <w:t>m</w:t>
            </w:r>
            <w:r>
              <w:rPr>
                <w:rFonts w:hint="default" w:ascii="Times New Roman" w:hAnsi="Times New Roman" w:eastAsia="仿宋" w:cs="Times New Roman"/>
                <w:bCs/>
                <w:color w:val="auto"/>
                <w:sz w:val="24"/>
                <w:highlight w:val="none"/>
                <w:vertAlign w:val="superscript"/>
              </w:rPr>
              <w:t>2</w:t>
            </w:r>
            <w:r>
              <w:rPr>
                <w:rFonts w:hint="default" w:ascii="Times New Roman" w:hAnsi="Times New Roman" w:eastAsia="仿宋" w:cs="Times New Roman"/>
                <w:bCs/>
                <w:color w:val="auto"/>
                <w:sz w:val="24"/>
                <w:highlight w:val="none"/>
              </w:rPr>
              <w:t>的危废仓库对各类危险废物进行安全暂存。</w:t>
            </w:r>
            <w:r>
              <w:rPr>
                <w:rFonts w:hint="default" w:ascii="Times New Roman" w:hAnsi="Times New Roman" w:eastAsia="仿宋" w:cs="Times New Roman"/>
                <w:color w:val="auto"/>
                <w:spacing w:val="-4"/>
                <w:sz w:val="24"/>
                <w:highlight w:val="none"/>
              </w:rPr>
              <w:t>危废仓库按《危险废物贮存污染控制标准》（GB18597-2023）、</w:t>
            </w:r>
            <w:r>
              <w:rPr>
                <w:rFonts w:hint="default" w:ascii="Times New Roman" w:hAnsi="Times New Roman" w:eastAsia="仿宋" w:cs="Times New Roman"/>
                <w:bCs/>
                <w:color w:val="auto"/>
                <w:sz w:val="24"/>
                <w:highlight w:val="none"/>
              </w:rPr>
              <w:t>省生态环境厅关于印发《江苏省固体废物全过程环境监管工作意见》的通知（苏环办〔2024〕16 号）相关</w:t>
            </w:r>
            <w:r>
              <w:rPr>
                <w:rFonts w:hint="default" w:ascii="Times New Roman" w:hAnsi="Times New Roman" w:eastAsia="仿宋" w:cs="Times New Roman"/>
                <w:color w:val="auto"/>
                <w:spacing w:val="-4"/>
                <w:sz w:val="24"/>
                <w:highlight w:val="none"/>
              </w:rPr>
              <w:t>要求进行规范化设置，并做到以</w:t>
            </w:r>
            <w:r>
              <w:rPr>
                <w:rFonts w:hint="default" w:ascii="Times New Roman" w:hAnsi="Times New Roman" w:eastAsia="仿宋" w:cs="Times New Roman"/>
                <w:bCs/>
                <w:color w:val="auto"/>
                <w:sz w:val="24"/>
                <w:highlight w:val="none"/>
              </w:rPr>
              <w:t>下几点：</w:t>
            </w:r>
          </w:p>
          <w:p w14:paraId="00EAA99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①按照《环境保护图形标志 固体废物贮存（处置）场》（GB15562.2-1995）（2023年修订）和《危险废物识别标志设置技术规范》（HJ1276-2022）设置标志，并配备通讯设备、照明设施和消防设施。</w:t>
            </w:r>
          </w:p>
          <w:p w14:paraId="24F63739">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②贮存设施应根据危险废物的形态、物理化学性质、包装形式和污染物迁移途径，采取必要的防风、防晒、防雨、防漏、防渗、防腐以及其他环境污染防治措施，不应露天堆放危险废物。</w:t>
            </w:r>
          </w:p>
          <w:p w14:paraId="46DB03CB">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③贮存设施应根据危险废物的类别、数量、形态、物理化学性质和污染防治等要求设置必要的贮存分区，避免不相容的危险废物接触、混合。</w:t>
            </w:r>
          </w:p>
          <w:p w14:paraId="6467784B">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④贮存设施或贮存分区内地面、墙面裙脚、堵截泄漏的围堰、接触危险废物的隔板和墙体等应采用坚固的材料建造，表面无裂缝。</w:t>
            </w:r>
          </w:p>
          <w:p w14:paraId="0BCDDF8A">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⑤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仿宋" w:cs="Times New Roman"/>
                <w:color w:val="auto"/>
                <w:sz w:val="24"/>
                <w:highlight w:val="none"/>
                <w:vertAlign w:val="superscript"/>
              </w:rPr>
              <w:t>-7</w:t>
            </w:r>
            <w:r>
              <w:rPr>
                <w:rFonts w:hint="default" w:ascii="Times New Roman" w:hAnsi="Times New Roman" w:eastAsia="仿宋" w:cs="Times New Roman"/>
                <w:color w:val="auto"/>
                <w:sz w:val="24"/>
                <w:highlight w:val="none"/>
              </w:rPr>
              <w:t>cm/s)，或至少2mm厚高密度聚乙烯膜等人工防渗材料(渗透系数不大于10</w:t>
            </w:r>
            <w:r>
              <w:rPr>
                <w:rFonts w:hint="default" w:ascii="Times New Roman" w:hAnsi="Times New Roman" w:eastAsia="仿宋" w:cs="Times New Roman"/>
                <w:color w:val="auto"/>
                <w:sz w:val="24"/>
                <w:highlight w:val="none"/>
                <w:vertAlign w:val="superscript"/>
              </w:rPr>
              <w:t>-10</w:t>
            </w:r>
            <w:r>
              <w:rPr>
                <w:rFonts w:hint="default" w:ascii="Times New Roman" w:hAnsi="Times New Roman" w:eastAsia="仿宋" w:cs="Times New Roman"/>
                <w:color w:val="auto"/>
                <w:sz w:val="24"/>
                <w:highlight w:val="none"/>
              </w:rPr>
              <w:t>cm/s），或其他防渗性能等效的材料。</w:t>
            </w:r>
          </w:p>
          <w:p w14:paraId="057A6BDA">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⑥同一贮存设施宜采用相同的防渗、防腐工艺（包括防渗、防腐结构或材料），防渗、防腐材料应覆盖所有可能与废物及其渗滤液、渗漏液等接触的构筑物表面；采用不同防渗、防腐工艺应分别建设贮存分区。</w:t>
            </w:r>
          </w:p>
          <w:p w14:paraId="6726E63B">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⑦贮存设施应采取技术和管理措施防止无关人员进入。</w:t>
            </w:r>
          </w:p>
          <w:p w14:paraId="02D3EBF2">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⑧贮存库内不同贮存分区之间应采取隔离措施。隔离措施可根据危险废物特性采用过道、隔板或隔墙等方式。</w:t>
            </w:r>
          </w:p>
          <w:p w14:paraId="3B398E9A">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⑨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2015D892">
            <w:pPr>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color w:val="auto"/>
                <w:sz w:val="24"/>
                <w:highlight w:val="none"/>
              </w:rPr>
              <w:t>⑩</w:t>
            </w:r>
            <w:r>
              <w:rPr>
                <w:rFonts w:hint="default" w:ascii="Times New Roman" w:hAnsi="Times New Roman" w:eastAsia="仿宋" w:cs="Times New Roman"/>
                <w:bCs/>
                <w:color w:val="auto"/>
                <w:sz w:val="24"/>
                <w:highlight w:val="none"/>
              </w:rPr>
              <w:t>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p w14:paraId="54D858BD">
            <w:pPr>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default" w:ascii="Times New Roman" w:hAnsi="Times New Roman" w:eastAsia="仿宋" w:cs="Times New Roman"/>
                <w:b/>
                <w:color w:val="auto"/>
                <w:sz w:val="24"/>
                <w:highlight w:val="none"/>
                <w:lang w:val="en-US" w:eastAsia="zh-CN"/>
              </w:rPr>
              <w:t>3</w:t>
            </w:r>
            <w:r>
              <w:rPr>
                <w:rFonts w:hint="eastAsia" w:eastAsia="仿宋" w:cs="Times New Roman"/>
                <w:b/>
                <w:color w:val="auto"/>
                <w:sz w:val="24"/>
                <w:highlight w:val="none"/>
                <w:lang w:val="en-US" w:eastAsia="zh-CN"/>
              </w:rPr>
              <w:t>6</w:t>
            </w:r>
            <w:r>
              <w:rPr>
                <w:rFonts w:hint="default" w:ascii="Times New Roman" w:hAnsi="Times New Roman" w:eastAsia="仿宋" w:cs="Times New Roman"/>
                <w:b/>
                <w:color w:val="auto"/>
                <w:sz w:val="24"/>
                <w:highlight w:val="none"/>
              </w:rPr>
              <w:t xml:space="preserve">  危险废物贮存场所基本情况表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52"/>
              <w:gridCol w:w="1345"/>
              <w:gridCol w:w="1155"/>
              <w:gridCol w:w="1076"/>
              <w:gridCol w:w="661"/>
              <w:gridCol w:w="768"/>
              <w:gridCol w:w="994"/>
              <w:gridCol w:w="852"/>
              <w:gridCol w:w="897"/>
            </w:tblGrid>
            <w:tr w14:paraId="5D8D9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noWrap w:val="0"/>
                  <w:vAlign w:val="center"/>
                </w:tcPr>
                <w:p w14:paraId="43CCC230">
                  <w:pPr>
                    <w:adjustRightInd w:val="0"/>
                    <w:snapToGrid w:val="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贮存场所名称</w:t>
                  </w:r>
                </w:p>
              </w:tc>
              <w:tc>
                <w:tcPr>
                  <w:tcW w:w="800" w:type="pct"/>
                  <w:noWrap w:val="0"/>
                  <w:vAlign w:val="center"/>
                </w:tcPr>
                <w:p w14:paraId="27258126">
                  <w:pPr>
                    <w:adjustRightInd w:val="0"/>
                    <w:snapToGrid w:val="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固废名称</w:t>
                  </w:r>
                </w:p>
              </w:tc>
              <w:tc>
                <w:tcPr>
                  <w:tcW w:w="687" w:type="pct"/>
                  <w:noWrap w:val="0"/>
                  <w:vAlign w:val="center"/>
                </w:tcPr>
                <w:p w14:paraId="22863A6E">
                  <w:pPr>
                    <w:adjustRightInd w:val="0"/>
                    <w:snapToGrid w:val="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废物类别</w:t>
                  </w:r>
                </w:p>
              </w:tc>
              <w:tc>
                <w:tcPr>
                  <w:tcW w:w="640" w:type="pct"/>
                  <w:noWrap w:val="0"/>
                  <w:vAlign w:val="center"/>
                </w:tcPr>
                <w:p w14:paraId="03FF639D">
                  <w:pPr>
                    <w:adjustRightInd w:val="0"/>
                    <w:snapToGrid w:val="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废物代码</w:t>
                  </w:r>
                </w:p>
              </w:tc>
              <w:tc>
                <w:tcPr>
                  <w:tcW w:w="393" w:type="pct"/>
                  <w:noWrap w:val="0"/>
                  <w:vAlign w:val="center"/>
                </w:tcPr>
                <w:p w14:paraId="509F3280">
                  <w:pPr>
                    <w:adjustRightInd w:val="0"/>
                    <w:snapToGrid w:val="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位置</w:t>
                  </w:r>
                </w:p>
              </w:tc>
              <w:tc>
                <w:tcPr>
                  <w:tcW w:w="457" w:type="pct"/>
                  <w:noWrap w:val="0"/>
                  <w:vAlign w:val="center"/>
                </w:tcPr>
                <w:p w14:paraId="17CE292E">
                  <w:pPr>
                    <w:adjustRightInd w:val="0"/>
                    <w:snapToGrid w:val="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占地面积</w:t>
                  </w:r>
                </w:p>
                <w:p w14:paraId="2C443C11">
                  <w:pPr>
                    <w:adjustRightInd w:val="0"/>
                    <w:snapToGrid w:val="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（m</w:t>
                  </w:r>
                  <w:r>
                    <w:rPr>
                      <w:rFonts w:hint="default" w:ascii="Times New Roman" w:hAnsi="Times New Roman" w:eastAsia="仿宋" w:cs="Times New Roman"/>
                      <w:b/>
                      <w:color w:val="auto"/>
                      <w:sz w:val="18"/>
                      <w:szCs w:val="18"/>
                      <w:highlight w:val="none"/>
                      <w:vertAlign w:val="superscript"/>
                    </w:rPr>
                    <w:t>2</w:t>
                  </w:r>
                  <w:r>
                    <w:rPr>
                      <w:rFonts w:hint="default" w:ascii="Times New Roman" w:hAnsi="Times New Roman" w:eastAsia="仿宋" w:cs="Times New Roman"/>
                      <w:b/>
                      <w:color w:val="auto"/>
                      <w:sz w:val="18"/>
                      <w:szCs w:val="18"/>
                      <w:highlight w:val="none"/>
                    </w:rPr>
                    <w:t>）</w:t>
                  </w:r>
                </w:p>
              </w:tc>
              <w:tc>
                <w:tcPr>
                  <w:tcW w:w="591" w:type="pct"/>
                  <w:noWrap w:val="0"/>
                  <w:vAlign w:val="center"/>
                </w:tcPr>
                <w:p w14:paraId="18B6349E">
                  <w:pPr>
                    <w:adjustRightInd w:val="0"/>
                    <w:snapToGrid w:val="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贮存方式</w:t>
                  </w:r>
                </w:p>
              </w:tc>
              <w:tc>
                <w:tcPr>
                  <w:tcW w:w="507" w:type="pct"/>
                  <w:noWrap w:val="0"/>
                  <w:vAlign w:val="center"/>
                </w:tcPr>
                <w:p w14:paraId="7F172334">
                  <w:pPr>
                    <w:adjustRightInd w:val="0"/>
                    <w:snapToGrid w:val="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贮存能力（m</w:t>
                  </w:r>
                  <w:r>
                    <w:rPr>
                      <w:rFonts w:hint="default" w:ascii="Times New Roman" w:hAnsi="Times New Roman" w:eastAsia="仿宋" w:cs="Times New Roman"/>
                      <w:b/>
                      <w:color w:val="auto"/>
                      <w:sz w:val="18"/>
                      <w:szCs w:val="18"/>
                      <w:highlight w:val="none"/>
                      <w:vertAlign w:val="superscript"/>
                    </w:rPr>
                    <w:t>3</w:t>
                  </w:r>
                  <w:r>
                    <w:rPr>
                      <w:rFonts w:hint="default" w:ascii="Times New Roman" w:hAnsi="Times New Roman" w:eastAsia="仿宋" w:cs="Times New Roman"/>
                      <w:b/>
                      <w:color w:val="auto"/>
                      <w:sz w:val="18"/>
                      <w:szCs w:val="18"/>
                      <w:highlight w:val="none"/>
                    </w:rPr>
                    <w:t>）</w:t>
                  </w:r>
                </w:p>
              </w:tc>
              <w:tc>
                <w:tcPr>
                  <w:tcW w:w="533" w:type="pct"/>
                  <w:noWrap w:val="0"/>
                  <w:vAlign w:val="center"/>
                </w:tcPr>
                <w:p w14:paraId="051C46DC">
                  <w:pPr>
                    <w:adjustRightInd w:val="0"/>
                    <w:snapToGrid w:val="0"/>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贮存周期</w:t>
                  </w:r>
                </w:p>
              </w:tc>
            </w:tr>
            <w:tr w14:paraId="3B85D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vMerge w:val="restart"/>
                  <w:noWrap w:val="0"/>
                  <w:vAlign w:val="center"/>
                </w:tcPr>
                <w:p w14:paraId="05B949D2">
                  <w:pPr>
                    <w:adjustRightInd w:val="0"/>
                    <w:snapToGrid w:val="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危废</w:t>
                  </w:r>
                </w:p>
                <w:p w14:paraId="170FDDF0">
                  <w:pPr>
                    <w:adjustRightInd w:val="0"/>
                    <w:snapToGrid w:val="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仓库</w:t>
                  </w:r>
                </w:p>
              </w:tc>
              <w:tc>
                <w:tcPr>
                  <w:tcW w:w="800" w:type="pct"/>
                  <w:shd w:val="clear" w:color="auto" w:fill="auto"/>
                  <w:noWrap w:val="0"/>
                  <w:vAlign w:val="center"/>
                </w:tcPr>
                <w:p w14:paraId="4867F10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废包装桶</w:t>
                  </w:r>
                </w:p>
              </w:tc>
              <w:tc>
                <w:tcPr>
                  <w:tcW w:w="687" w:type="pct"/>
                  <w:shd w:val="clear" w:color="auto" w:fill="auto"/>
                  <w:noWrap w:val="0"/>
                  <w:vAlign w:val="center"/>
                </w:tcPr>
                <w:p w14:paraId="7040CEC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HW49其他废物</w:t>
                  </w:r>
                </w:p>
              </w:tc>
              <w:tc>
                <w:tcPr>
                  <w:tcW w:w="640" w:type="pct"/>
                  <w:shd w:val="clear" w:color="auto" w:fill="auto"/>
                  <w:noWrap w:val="0"/>
                  <w:vAlign w:val="center"/>
                </w:tcPr>
                <w:p w14:paraId="251826B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rPr>
                    <w:t>900-041-49</w:t>
                  </w:r>
                </w:p>
              </w:tc>
              <w:tc>
                <w:tcPr>
                  <w:tcW w:w="393" w:type="pct"/>
                  <w:vMerge w:val="restart"/>
                  <w:noWrap w:val="0"/>
                  <w:vAlign w:val="center"/>
                </w:tcPr>
                <w:p w14:paraId="6D592451">
                  <w:pPr>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D7车间顶楼</w:t>
                  </w:r>
                </w:p>
              </w:tc>
              <w:tc>
                <w:tcPr>
                  <w:tcW w:w="457" w:type="pct"/>
                  <w:vMerge w:val="restart"/>
                  <w:noWrap w:val="0"/>
                  <w:vAlign w:val="center"/>
                </w:tcPr>
                <w:p w14:paraId="425A699E">
                  <w:pPr>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20</w:t>
                  </w:r>
                </w:p>
              </w:tc>
              <w:tc>
                <w:tcPr>
                  <w:tcW w:w="591" w:type="pct"/>
                  <w:noWrap w:val="0"/>
                  <w:vAlign w:val="center"/>
                </w:tcPr>
                <w:p w14:paraId="740B9990">
                  <w:pPr>
                    <w:adjustRightInd w:val="0"/>
                    <w:snapToGrid w:val="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sz w:val="18"/>
                      <w:szCs w:val="18"/>
                      <w:highlight w:val="none"/>
                      <w:lang w:val="en-US" w:eastAsia="zh-CN"/>
                    </w:rPr>
                    <w:t>托盘装</w:t>
                  </w:r>
                  <w:r>
                    <w:rPr>
                      <w:rFonts w:hint="default" w:ascii="Times New Roman" w:hAnsi="Times New Roman" w:eastAsia="仿宋" w:cs="Times New Roman"/>
                      <w:sz w:val="18"/>
                      <w:szCs w:val="18"/>
                      <w:highlight w:val="none"/>
                    </w:rPr>
                    <w:t>、分区放置</w:t>
                  </w:r>
                </w:p>
              </w:tc>
              <w:tc>
                <w:tcPr>
                  <w:tcW w:w="507" w:type="pct"/>
                  <w:vMerge w:val="restart"/>
                  <w:noWrap w:val="0"/>
                  <w:vAlign w:val="center"/>
                </w:tcPr>
                <w:p w14:paraId="3D464A9D">
                  <w:pPr>
                    <w:adjustRightInd w:val="0"/>
                    <w:snapToGrid w:val="0"/>
                    <w:jc w:val="center"/>
                    <w:rPr>
                      <w:rFonts w:hint="default" w:ascii="Times New Roman" w:hAnsi="Times New Roman" w:eastAsia="仿宋" w:cs="Times New Roman"/>
                      <w:color w:val="auto"/>
                      <w:sz w:val="18"/>
                      <w:szCs w:val="18"/>
                      <w:highlight w:val="none"/>
                      <w:lang w:val="en-US" w:eastAsia="zh-CN"/>
                    </w:rPr>
                  </w:pPr>
                  <w:r>
                    <w:rPr>
                      <w:rFonts w:hint="default" w:ascii="Times New Roman" w:hAnsi="Times New Roman" w:eastAsia="仿宋" w:cs="Times New Roman"/>
                      <w:color w:val="auto"/>
                      <w:sz w:val="18"/>
                      <w:szCs w:val="18"/>
                      <w:highlight w:val="none"/>
                      <w:lang w:val="en-US" w:eastAsia="zh-CN"/>
                    </w:rPr>
                    <w:t>16</w:t>
                  </w:r>
                </w:p>
              </w:tc>
              <w:tc>
                <w:tcPr>
                  <w:tcW w:w="533" w:type="pct"/>
                  <w:vMerge w:val="restart"/>
                  <w:noWrap w:val="0"/>
                  <w:vAlign w:val="center"/>
                </w:tcPr>
                <w:p w14:paraId="7034F86D">
                  <w:pPr>
                    <w:adjustRightInd w:val="0"/>
                    <w:snapToGrid w:val="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不超过</w:t>
                  </w:r>
                </w:p>
                <w:p w14:paraId="2DE8189A">
                  <w:pPr>
                    <w:adjustRightInd w:val="0"/>
                    <w:snapToGrid w:val="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t>90天</w:t>
                  </w:r>
                </w:p>
              </w:tc>
            </w:tr>
            <w:tr w14:paraId="38C4C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vMerge w:val="continue"/>
                  <w:noWrap w:val="0"/>
                  <w:vAlign w:val="center"/>
                </w:tcPr>
                <w:p w14:paraId="1B315D77">
                  <w:pPr>
                    <w:adjustRightInd w:val="0"/>
                    <w:snapToGrid w:val="0"/>
                    <w:jc w:val="center"/>
                    <w:rPr>
                      <w:rFonts w:hint="default" w:ascii="Times New Roman" w:hAnsi="Times New Roman" w:eastAsia="仿宋" w:cs="Times New Roman"/>
                      <w:color w:val="auto"/>
                      <w:sz w:val="18"/>
                      <w:szCs w:val="18"/>
                      <w:highlight w:val="none"/>
                    </w:rPr>
                  </w:pPr>
                </w:p>
              </w:tc>
              <w:tc>
                <w:tcPr>
                  <w:tcW w:w="800" w:type="pct"/>
                  <w:shd w:val="clear" w:color="auto" w:fill="auto"/>
                  <w:noWrap w:val="0"/>
                  <w:vAlign w:val="center"/>
                </w:tcPr>
                <w:p w14:paraId="2C4DF7F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废活性炭</w:t>
                  </w:r>
                </w:p>
              </w:tc>
              <w:tc>
                <w:tcPr>
                  <w:tcW w:w="687" w:type="pct"/>
                  <w:shd w:val="clear" w:color="auto" w:fill="auto"/>
                  <w:noWrap w:val="0"/>
                  <w:vAlign w:val="center"/>
                </w:tcPr>
                <w:p w14:paraId="4D1055A2">
                  <w:pPr>
                    <w:adjustRightInd w:val="0"/>
                    <w:snapToGrid w:val="0"/>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sz w:val="18"/>
                      <w:szCs w:val="18"/>
                      <w:highlight w:val="none"/>
                    </w:rPr>
                    <w:t>HW49其他废物</w:t>
                  </w:r>
                </w:p>
              </w:tc>
              <w:tc>
                <w:tcPr>
                  <w:tcW w:w="640" w:type="pct"/>
                  <w:shd w:val="clear" w:color="auto" w:fill="auto"/>
                  <w:noWrap w:val="0"/>
                  <w:vAlign w:val="center"/>
                </w:tcPr>
                <w:p w14:paraId="0BE060A7">
                  <w:pPr>
                    <w:jc w:val="center"/>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sz w:val="18"/>
                      <w:szCs w:val="18"/>
                      <w:highlight w:val="none"/>
                    </w:rPr>
                    <w:t>900-039-49</w:t>
                  </w:r>
                </w:p>
              </w:tc>
              <w:tc>
                <w:tcPr>
                  <w:tcW w:w="393" w:type="pct"/>
                  <w:vMerge w:val="continue"/>
                  <w:noWrap w:val="0"/>
                  <w:vAlign w:val="center"/>
                </w:tcPr>
                <w:p w14:paraId="5B8F4293">
                  <w:pPr>
                    <w:adjustRightInd w:val="0"/>
                    <w:snapToGrid w:val="0"/>
                    <w:jc w:val="center"/>
                    <w:rPr>
                      <w:rFonts w:hint="default" w:ascii="Times New Roman" w:hAnsi="Times New Roman" w:eastAsia="仿宋" w:cs="Times New Roman"/>
                      <w:color w:val="auto"/>
                      <w:sz w:val="18"/>
                      <w:szCs w:val="18"/>
                      <w:highlight w:val="none"/>
                    </w:rPr>
                  </w:pPr>
                </w:p>
              </w:tc>
              <w:tc>
                <w:tcPr>
                  <w:tcW w:w="457" w:type="pct"/>
                  <w:vMerge w:val="continue"/>
                  <w:noWrap w:val="0"/>
                  <w:vAlign w:val="center"/>
                </w:tcPr>
                <w:p w14:paraId="43884243">
                  <w:pPr>
                    <w:adjustRightInd w:val="0"/>
                    <w:snapToGrid w:val="0"/>
                    <w:jc w:val="center"/>
                    <w:rPr>
                      <w:rFonts w:hint="default" w:ascii="Times New Roman" w:hAnsi="Times New Roman" w:eastAsia="仿宋" w:cs="Times New Roman"/>
                      <w:color w:val="auto"/>
                      <w:sz w:val="18"/>
                      <w:szCs w:val="18"/>
                      <w:highlight w:val="none"/>
                    </w:rPr>
                  </w:pPr>
                </w:p>
              </w:tc>
              <w:tc>
                <w:tcPr>
                  <w:tcW w:w="591" w:type="pct"/>
                  <w:noWrap w:val="0"/>
                  <w:vAlign w:val="center"/>
                </w:tcPr>
                <w:p w14:paraId="6CE9F121">
                  <w:pPr>
                    <w:adjustRightInd w:val="0"/>
                    <w:snapToGrid w:val="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sz w:val="18"/>
                      <w:szCs w:val="18"/>
                      <w:highlight w:val="none"/>
                    </w:rPr>
                    <w:t>袋装密封、分区放置</w:t>
                  </w:r>
                </w:p>
              </w:tc>
              <w:tc>
                <w:tcPr>
                  <w:tcW w:w="507" w:type="pct"/>
                  <w:vMerge w:val="continue"/>
                  <w:noWrap w:val="0"/>
                  <w:vAlign w:val="center"/>
                </w:tcPr>
                <w:p w14:paraId="4F826EF1">
                  <w:pPr>
                    <w:adjustRightInd w:val="0"/>
                    <w:snapToGrid w:val="0"/>
                    <w:jc w:val="center"/>
                    <w:rPr>
                      <w:rFonts w:hint="default" w:ascii="Times New Roman" w:hAnsi="Times New Roman" w:eastAsia="仿宋" w:cs="Times New Roman"/>
                      <w:color w:val="auto"/>
                      <w:sz w:val="18"/>
                      <w:szCs w:val="18"/>
                      <w:highlight w:val="none"/>
                    </w:rPr>
                  </w:pPr>
                </w:p>
              </w:tc>
              <w:tc>
                <w:tcPr>
                  <w:tcW w:w="533" w:type="pct"/>
                  <w:vMerge w:val="continue"/>
                  <w:noWrap w:val="0"/>
                  <w:vAlign w:val="center"/>
                </w:tcPr>
                <w:p w14:paraId="3567C5D3">
                  <w:pPr>
                    <w:adjustRightInd w:val="0"/>
                    <w:snapToGrid w:val="0"/>
                    <w:jc w:val="center"/>
                    <w:rPr>
                      <w:rFonts w:hint="default" w:ascii="Times New Roman" w:hAnsi="Times New Roman" w:eastAsia="仿宋" w:cs="Times New Roman"/>
                      <w:color w:val="auto"/>
                      <w:sz w:val="18"/>
                      <w:szCs w:val="18"/>
                      <w:highlight w:val="none"/>
                    </w:rPr>
                  </w:pPr>
                </w:p>
              </w:tc>
            </w:tr>
            <w:tr w14:paraId="025FF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vMerge w:val="continue"/>
                  <w:noWrap w:val="0"/>
                  <w:vAlign w:val="center"/>
                </w:tcPr>
                <w:p w14:paraId="3E811726">
                  <w:pPr>
                    <w:adjustRightInd w:val="0"/>
                    <w:snapToGrid w:val="0"/>
                    <w:jc w:val="center"/>
                    <w:rPr>
                      <w:rFonts w:hint="default" w:ascii="Times New Roman" w:hAnsi="Times New Roman" w:eastAsia="仿宋" w:cs="Times New Roman"/>
                      <w:color w:val="auto"/>
                      <w:sz w:val="18"/>
                      <w:szCs w:val="18"/>
                      <w:highlight w:val="none"/>
                    </w:rPr>
                  </w:pPr>
                </w:p>
              </w:tc>
              <w:tc>
                <w:tcPr>
                  <w:tcW w:w="800" w:type="pct"/>
                  <w:shd w:val="clear" w:color="auto" w:fill="auto"/>
                  <w:noWrap w:val="0"/>
                  <w:vAlign w:val="center"/>
                </w:tcPr>
                <w:p w14:paraId="5D8BFA96">
                  <w:pPr>
                    <w:adjustRightInd w:val="0"/>
                    <w:snapToGrid w:val="0"/>
                    <w:spacing w:line="276" w:lineRule="auto"/>
                    <w:ind w:left="-105" w:leftChars="-50" w:right="-105" w:rightChars="-50"/>
                    <w:jc w:val="center"/>
                    <w:rPr>
                      <w:rFonts w:hint="default" w:ascii="Times New Roman" w:hAnsi="Times New Roman" w:eastAsia="仿宋" w:cs="Times New Roman"/>
                      <w:color w:val="0000FF"/>
                      <w:kern w:val="2"/>
                      <w:sz w:val="18"/>
                      <w:szCs w:val="18"/>
                      <w:highlight w:val="none"/>
                      <w:lang w:val="en-US" w:eastAsia="zh-CN" w:bidi="ar-SA"/>
                    </w:rPr>
                  </w:pPr>
                  <w:r>
                    <w:rPr>
                      <w:rFonts w:hint="eastAsia" w:eastAsia="仿宋" w:cs="Times New Roman"/>
                      <w:color w:val="0000FF"/>
                      <w:sz w:val="18"/>
                      <w:szCs w:val="18"/>
                      <w:highlight w:val="none"/>
                      <w:lang w:val="en-US" w:eastAsia="zh-CN"/>
                    </w:rPr>
                    <w:t>废过滤棉和杂质</w:t>
                  </w:r>
                </w:p>
              </w:tc>
              <w:tc>
                <w:tcPr>
                  <w:tcW w:w="687" w:type="pct"/>
                  <w:shd w:val="clear" w:color="auto" w:fill="auto"/>
                  <w:noWrap w:val="0"/>
                  <w:vAlign w:val="center"/>
                </w:tcPr>
                <w:p w14:paraId="274327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HW49其他废物</w:t>
                  </w:r>
                </w:p>
              </w:tc>
              <w:tc>
                <w:tcPr>
                  <w:tcW w:w="640" w:type="pct"/>
                  <w:shd w:val="clear" w:color="auto" w:fill="auto"/>
                  <w:noWrap w:val="0"/>
                  <w:vAlign w:val="center"/>
                </w:tcPr>
                <w:p w14:paraId="7F8F451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900-041-49</w:t>
                  </w:r>
                </w:p>
              </w:tc>
              <w:tc>
                <w:tcPr>
                  <w:tcW w:w="393" w:type="pct"/>
                  <w:vMerge w:val="continue"/>
                  <w:noWrap w:val="0"/>
                  <w:vAlign w:val="center"/>
                </w:tcPr>
                <w:p w14:paraId="5A4BB6E5">
                  <w:pPr>
                    <w:adjustRightInd w:val="0"/>
                    <w:snapToGrid w:val="0"/>
                    <w:jc w:val="center"/>
                    <w:rPr>
                      <w:rFonts w:hint="default" w:ascii="Times New Roman" w:hAnsi="Times New Roman" w:eastAsia="仿宋" w:cs="Times New Roman"/>
                      <w:color w:val="0000FF"/>
                      <w:sz w:val="18"/>
                      <w:szCs w:val="18"/>
                      <w:highlight w:val="none"/>
                    </w:rPr>
                  </w:pPr>
                </w:p>
              </w:tc>
              <w:tc>
                <w:tcPr>
                  <w:tcW w:w="457" w:type="pct"/>
                  <w:vMerge w:val="continue"/>
                  <w:noWrap w:val="0"/>
                  <w:vAlign w:val="center"/>
                </w:tcPr>
                <w:p w14:paraId="1EAC91BA">
                  <w:pPr>
                    <w:adjustRightInd w:val="0"/>
                    <w:snapToGrid w:val="0"/>
                    <w:jc w:val="center"/>
                    <w:rPr>
                      <w:rFonts w:hint="default" w:ascii="Times New Roman" w:hAnsi="Times New Roman" w:eastAsia="仿宋" w:cs="Times New Roman"/>
                      <w:color w:val="0000FF"/>
                      <w:sz w:val="18"/>
                      <w:szCs w:val="18"/>
                      <w:highlight w:val="none"/>
                    </w:rPr>
                  </w:pPr>
                </w:p>
              </w:tc>
              <w:tc>
                <w:tcPr>
                  <w:tcW w:w="591" w:type="pct"/>
                  <w:noWrap w:val="0"/>
                  <w:vAlign w:val="center"/>
                </w:tcPr>
                <w:p w14:paraId="3AF87248">
                  <w:pPr>
                    <w:adjustRightInd w:val="0"/>
                    <w:snapToGrid w:val="0"/>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袋装密封、分区放置</w:t>
                  </w:r>
                </w:p>
              </w:tc>
              <w:tc>
                <w:tcPr>
                  <w:tcW w:w="507" w:type="pct"/>
                  <w:vMerge w:val="continue"/>
                  <w:noWrap w:val="0"/>
                  <w:vAlign w:val="center"/>
                </w:tcPr>
                <w:p w14:paraId="544B21FB">
                  <w:pPr>
                    <w:adjustRightInd w:val="0"/>
                    <w:snapToGrid w:val="0"/>
                    <w:jc w:val="center"/>
                    <w:rPr>
                      <w:rFonts w:hint="default" w:ascii="Times New Roman" w:hAnsi="Times New Roman" w:eastAsia="仿宋" w:cs="Times New Roman"/>
                      <w:color w:val="auto"/>
                      <w:sz w:val="18"/>
                      <w:szCs w:val="18"/>
                      <w:highlight w:val="none"/>
                    </w:rPr>
                  </w:pPr>
                </w:p>
              </w:tc>
              <w:tc>
                <w:tcPr>
                  <w:tcW w:w="533" w:type="pct"/>
                  <w:vMerge w:val="continue"/>
                  <w:noWrap w:val="0"/>
                  <w:vAlign w:val="center"/>
                </w:tcPr>
                <w:p w14:paraId="4958D51A">
                  <w:pPr>
                    <w:adjustRightInd w:val="0"/>
                    <w:snapToGrid w:val="0"/>
                    <w:jc w:val="center"/>
                    <w:rPr>
                      <w:rFonts w:hint="default" w:ascii="Times New Roman" w:hAnsi="Times New Roman" w:eastAsia="仿宋" w:cs="Times New Roman"/>
                      <w:color w:val="auto"/>
                      <w:sz w:val="18"/>
                      <w:szCs w:val="18"/>
                      <w:highlight w:val="none"/>
                    </w:rPr>
                  </w:pPr>
                </w:p>
              </w:tc>
            </w:tr>
            <w:tr w14:paraId="542BD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8" w:type="pct"/>
                  <w:vMerge w:val="continue"/>
                  <w:noWrap w:val="0"/>
                  <w:vAlign w:val="center"/>
                </w:tcPr>
                <w:p w14:paraId="6B1AF9F2">
                  <w:pPr>
                    <w:adjustRightInd w:val="0"/>
                    <w:snapToGrid w:val="0"/>
                    <w:jc w:val="center"/>
                    <w:rPr>
                      <w:rFonts w:hint="default" w:ascii="Times New Roman" w:hAnsi="Times New Roman" w:eastAsia="仿宋" w:cs="Times New Roman"/>
                      <w:color w:val="auto"/>
                      <w:sz w:val="18"/>
                      <w:szCs w:val="18"/>
                      <w:highlight w:val="none"/>
                    </w:rPr>
                  </w:pPr>
                </w:p>
              </w:tc>
              <w:tc>
                <w:tcPr>
                  <w:tcW w:w="800" w:type="pct"/>
                  <w:shd w:val="clear" w:color="auto" w:fill="auto"/>
                  <w:noWrap w:val="0"/>
                  <w:vAlign w:val="center"/>
                </w:tcPr>
                <w:p w14:paraId="7DF085F5">
                  <w:pPr>
                    <w:adjustRightInd w:val="0"/>
                    <w:snapToGrid w:val="0"/>
                    <w:spacing w:line="276" w:lineRule="auto"/>
                    <w:ind w:left="-105" w:leftChars="-50" w:right="-105" w:rightChars="-50"/>
                    <w:jc w:val="center"/>
                    <w:rPr>
                      <w:rFonts w:hint="default" w:ascii="Times New Roman" w:hAnsi="Times New Roman" w:eastAsia="仿宋" w:cs="Times New Roman"/>
                      <w:color w:val="0000FF"/>
                      <w:kern w:val="2"/>
                      <w:sz w:val="18"/>
                      <w:szCs w:val="18"/>
                      <w:highlight w:val="none"/>
                      <w:lang w:val="en-US" w:eastAsia="zh-CN" w:bidi="ar-SA"/>
                    </w:rPr>
                  </w:pPr>
                  <w:r>
                    <w:rPr>
                      <w:rFonts w:hint="eastAsia" w:eastAsia="仿宋" w:cs="Times New Roman"/>
                      <w:color w:val="0000FF"/>
                      <w:sz w:val="18"/>
                      <w:szCs w:val="18"/>
                      <w:highlight w:val="none"/>
                      <w:lang w:val="en-US" w:eastAsia="zh-CN"/>
                    </w:rPr>
                    <w:t>水旋废液</w:t>
                  </w:r>
                </w:p>
              </w:tc>
              <w:tc>
                <w:tcPr>
                  <w:tcW w:w="687" w:type="pct"/>
                  <w:shd w:val="clear" w:color="auto" w:fill="auto"/>
                  <w:noWrap w:val="0"/>
                  <w:vAlign w:val="center"/>
                </w:tcPr>
                <w:p w14:paraId="3C89A8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HW49其他废物</w:t>
                  </w:r>
                </w:p>
              </w:tc>
              <w:tc>
                <w:tcPr>
                  <w:tcW w:w="640" w:type="pct"/>
                  <w:shd w:val="clear" w:color="auto" w:fill="auto"/>
                  <w:noWrap w:val="0"/>
                  <w:vAlign w:val="center"/>
                </w:tcPr>
                <w:p w14:paraId="21461E69">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highlight w:val="none"/>
                    </w:rPr>
                    <w:t>900-041-49</w:t>
                  </w:r>
                </w:p>
              </w:tc>
              <w:tc>
                <w:tcPr>
                  <w:tcW w:w="393" w:type="pct"/>
                  <w:vMerge w:val="continue"/>
                  <w:noWrap w:val="0"/>
                  <w:vAlign w:val="center"/>
                </w:tcPr>
                <w:p w14:paraId="29C2D8B9">
                  <w:pPr>
                    <w:adjustRightInd w:val="0"/>
                    <w:snapToGrid w:val="0"/>
                    <w:jc w:val="center"/>
                    <w:rPr>
                      <w:rFonts w:hint="default" w:ascii="Times New Roman" w:hAnsi="Times New Roman" w:eastAsia="仿宋" w:cs="Times New Roman"/>
                      <w:color w:val="0000FF"/>
                      <w:sz w:val="18"/>
                      <w:szCs w:val="18"/>
                      <w:highlight w:val="none"/>
                    </w:rPr>
                  </w:pPr>
                </w:p>
              </w:tc>
              <w:tc>
                <w:tcPr>
                  <w:tcW w:w="457" w:type="pct"/>
                  <w:vMerge w:val="continue"/>
                  <w:noWrap w:val="0"/>
                  <w:vAlign w:val="center"/>
                </w:tcPr>
                <w:p w14:paraId="079A823B">
                  <w:pPr>
                    <w:adjustRightInd w:val="0"/>
                    <w:snapToGrid w:val="0"/>
                    <w:jc w:val="center"/>
                    <w:rPr>
                      <w:rFonts w:hint="default" w:ascii="Times New Roman" w:hAnsi="Times New Roman" w:eastAsia="仿宋" w:cs="Times New Roman"/>
                      <w:color w:val="0000FF"/>
                      <w:sz w:val="18"/>
                      <w:szCs w:val="18"/>
                      <w:highlight w:val="none"/>
                    </w:rPr>
                  </w:pPr>
                </w:p>
              </w:tc>
              <w:tc>
                <w:tcPr>
                  <w:tcW w:w="591" w:type="pct"/>
                  <w:noWrap w:val="0"/>
                  <w:vAlign w:val="center"/>
                </w:tcPr>
                <w:p w14:paraId="6DCDC944">
                  <w:pPr>
                    <w:adjustRightInd w:val="0"/>
                    <w:snapToGrid w:val="0"/>
                    <w:jc w:val="center"/>
                    <w:rPr>
                      <w:rFonts w:hint="default" w:ascii="Times New Roman" w:hAnsi="Times New Roman" w:eastAsia="仿宋" w:cs="Times New Roman"/>
                      <w:color w:val="0000FF"/>
                      <w:sz w:val="18"/>
                      <w:szCs w:val="18"/>
                      <w:highlight w:val="none"/>
                    </w:rPr>
                  </w:pPr>
                  <w:r>
                    <w:rPr>
                      <w:rFonts w:hint="default" w:ascii="Times New Roman" w:hAnsi="Times New Roman" w:eastAsia="仿宋" w:cs="Times New Roman"/>
                      <w:color w:val="0000FF"/>
                      <w:sz w:val="18"/>
                      <w:szCs w:val="18"/>
                    </w:rPr>
                    <w:t>桶装密封、分区放置</w:t>
                  </w:r>
                </w:p>
              </w:tc>
              <w:tc>
                <w:tcPr>
                  <w:tcW w:w="507" w:type="pct"/>
                  <w:vMerge w:val="continue"/>
                  <w:noWrap w:val="0"/>
                  <w:vAlign w:val="center"/>
                </w:tcPr>
                <w:p w14:paraId="6E1C84A9">
                  <w:pPr>
                    <w:adjustRightInd w:val="0"/>
                    <w:snapToGrid w:val="0"/>
                    <w:jc w:val="center"/>
                    <w:rPr>
                      <w:rFonts w:hint="default" w:ascii="Times New Roman" w:hAnsi="Times New Roman" w:eastAsia="仿宋" w:cs="Times New Roman"/>
                      <w:color w:val="auto"/>
                      <w:sz w:val="18"/>
                      <w:szCs w:val="18"/>
                      <w:highlight w:val="none"/>
                    </w:rPr>
                  </w:pPr>
                </w:p>
              </w:tc>
              <w:tc>
                <w:tcPr>
                  <w:tcW w:w="533" w:type="pct"/>
                  <w:vMerge w:val="continue"/>
                  <w:noWrap w:val="0"/>
                  <w:vAlign w:val="center"/>
                </w:tcPr>
                <w:p w14:paraId="61605093">
                  <w:pPr>
                    <w:adjustRightInd w:val="0"/>
                    <w:snapToGrid w:val="0"/>
                    <w:jc w:val="center"/>
                    <w:rPr>
                      <w:rFonts w:hint="default" w:ascii="Times New Roman" w:hAnsi="Times New Roman" w:eastAsia="仿宋" w:cs="Times New Roman"/>
                      <w:color w:val="auto"/>
                      <w:sz w:val="18"/>
                      <w:szCs w:val="18"/>
                      <w:highlight w:val="none"/>
                    </w:rPr>
                  </w:pPr>
                </w:p>
              </w:tc>
            </w:tr>
          </w:tbl>
          <w:p w14:paraId="733B93C4">
            <w:pPr>
              <w:adjustRightInd w:val="0"/>
              <w:snapToGrid w:val="0"/>
              <w:spacing w:before="120" w:beforeLines="50"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贮存能力可行性分析:</w:t>
            </w:r>
          </w:p>
          <w:p w14:paraId="2CD5A33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w:t>
            </w:r>
            <w:r>
              <w:rPr>
                <w:rFonts w:hint="default" w:ascii="Times New Roman" w:hAnsi="Times New Roman" w:eastAsia="仿宋" w:cs="Times New Roman"/>
                <w:bCs/>
                <w:color w:val="auto"/>
                <w:sz w:val="24"/>
                <w:highlight w:val="none"/>
                <w:lang w:val="en-US" w:eastAsia="zh-CN"/>
              </w:rPr>
              <w:t>依托现有</w:t>
            </w:r>
            <w:r>
              <w:rPr>
                <w:rFonts w:hint="default" w:ascii="Times New Roman" w:hAnsi="Times New Roman" w:eastAsia="仿宋" w:cs="Times New Roman"/>
                <w:bCs/>
                <w:color w:val="auto"/>
                <w:sz w:val="24"/>
                <w:highlight w:val="none"/>
              </w:rPr>
              <w:t>1个面积为</w:t>
            </w:r>
            <w:r>
              <w:rPr>
                <w:rFonts w:hint="default" w:ascii="Times New Roman" w:hAnsi="Times New Roman" w:eastAsia="仿宋" w:cs="Times New Roman"/>
                <w:bCs/>
                <w:color w:val="auto"/>
                <w:sz w:val="24"/>
                <w:highlight w:val="none"/>
                <w:lang w:val="en-US" w:eastAsia="zh-CN"/>
              </w:rPr>
              <w:t>20</w:t>
            </w:r>
            <w:r>
              <w:rPr>
                <w:rFonts w:hint="default" w:ascii="Times New Roman" w:hAnsi="Times New Roman" w:eastAsia="仿宋" w:cs="Times New Roman"/>
                <w:bCs/>
                <w:color w:val="auto"/>
                <w:sz w:val="24"/>
                <w:highlight w:val="none"/>
              </w:rPr>
              <w:t>m</w:t>
            </w:r>
            <w:r>
              <w:rPr>
                <w:rFonts w:hint="default" w:ascii="Times New Roman" w:hAnsi="Times New Roman" w:eastAsia="仿宋" w:cs="Times New Roman"/>
                <w:bCs/>
                <w:color w:val="auto"/>
                <w:sz w:val="24"/>
                <w:highlight w:val="none"/>
                <w:vertAlign w:val="superscript"/>
              </w:rPr>
              <w:t>2</w:t>
            </w:r>
            <w:r>
              <w:rPr>
                <w:rFonts w:hint="default" w:ascii="Times New Roman" w:hAnsi="Times New Roman" w:eastAsia="仿宋" w:cs="Times New Roman"/>
                <w:bCs/>
                <w:color w:val="auto"/>
                <w:sz w:val="24"/>
                <w:highlight w:val="none"/>
              </w:rPr>
              <w:t>的危废仓库对各类危险废物进行安全贮存，</w:t>
            </w:r>
            <w:r>
              <w:rPr>
                <w:rFonts w:hint="default" w:ascii="Times New Roman" w:hAnsi="Times New Roman" w:eastAsia="仿宋" w:cs="Times New Roman"/>
                <w:color w:val="auto"/>
                <w:sz w:val="24"/>
                <w:highlight w:val="none"/>
              </w:rPr>
              <w:t>考虑到进出口、过道等，有效存储面积按80%计算，有效存储面积为</w:t>
            </w:r>
            <w:r>
              <w:rPr>
                <w:rFonts w:hint="default" w:ascii="Times New Roman" w:hAnsi="Times New Roman" w:eastAsia="仿宋" w:cs="Times New Roman"/>
                <w:color w:val="auto"/>
                <w:sz w:val="24"/>
                <w:highlight w:val="none"/>
                <w:lang w:val="en-US" w:eastAsia="zh-CN"/>
              </w:rPr>
              <w:t>16</w:t>
            </w:r>
            <w:r>
              <w:rPr>
                <w:rFonts w:hint="default" w:ascii="Times New Roman" w:hAnsi="Times New Roman" w:eastAsia="仿宋" w:cs="Times New Roman"/>
                <w:color w:val="auto"/>
                <w:sz w:val="24"/>
                <w:highlight w:val="none"/>
              </w:rPr>
              <w:t>m</w:t>
            </w:r>
            <w:r>
              <w:rPr>
                <w:rFonts w:hint="default" w:ascii="Times New Roman" w:hAnsi="Times New Roman" w:eastAsia="仿宋" w:cs="Times New Roman"/>
                <w:color w:val="auto"/>
                <w:sz w:val="24"/>
                <w:highlight w:val="none"/>
                <w:vertAlign w:val="superscript"/>
              </w:rPr>
              <w:t>2</w:t>
            </w:r>
            <w:r>
              <w:rPr>
                <w:rFonts w:hint="default" w:ascii="Times New Roman" w:hAnsi="Times New Roman" w:eastAsia="仿宋" w:cs="Times New Roman"/>
                <w:color w:val="auto"/>
                <w:sz w:val="24"/>
                <w:highlight w:val="none"/>
              </w:rPr>
              <w:t>。</w:t>
            </w:r>
            <w:r>
              <w:rPr>
                <w:rFonts w:hint="eastAsia" w:eastAsia="仿宋" w:cs="Times New Roman"/>
                <w:color w:val="auto"/>
                <w:sz w:val="24"/>
                <w:highlight w:val="none"/>
                <w:lang w:val="en-US" w:eastAsia="zh-CN"/>
              </w:rPr>
              <w:t>全厂</w:t>
            </w:r>
            <w:r>
              <w:rPr>
                <w:rFonts w:hint="default" w:ascii="Times New Roman" w:hAnsi="Times New Roman" w:eastAsia="仿宋" w:cs="Times New Roman"/>
                <w:color w:val="auto"/>
                <w:sz w:val="24"/>
                <w:highlight w:val="none"/>
                <w:lang w:val="en-US" w:eastAsia="zh-CN"/>
              </w:rPr>
              <w:t>危险废物在</w:t>
            </w:r>
            <w:r>
              <w:rPr>
                <w:rFonts w:hint="default" w:ascii="Times New Roman" w:hAnsi="Times New Roman" w:eastAsia="仿宋" w:cs="Times New Roman"/>
                <w:bCs/>
                <w:sz w:val="24"/>
              </w:rPr>
              <w:t>危废仓库内最大暂存量分别为：废</w:t>
            </w:r>
            <w:r>
              <w:rPr>
                <w:rFonts w:hint="default" w:ascii="Times New Roman" w:hAnsi="Times New Roman" w:eastAsia="仿宋" w:cs="Times New Roman"/>
                <w:bCs/>
                <w:sz w:val="24"/>
                <w:lang w:val="en-US" w:eastAsia="zh-CN"/>
              </w:rPr>
              <w:t>包装</w:t>
            </w:r>
            <w:r>
              <w:rPr>
                <w:rFonts w:hint="default" w:ascii="Times New Roman" w:hAnsi="Times New Roman" w:eastAsia="仿宋" w:cs="Times New Roman"/>
                <w:bCs/>
                <w:sz w:val="24"/>
              </w:rPr>
              <w:t>桶最大暂存量为0.</w:t>
            </w:r>
            <w:r>
              <w:rPr>
                <w:rFonts w:hint="eastAsia" w:eastAsia="仿宋" w:cs="Times New Roman"/>
                <w:bCs/>
                <w:sz w:val="24"/>
                <w:lang w:val="en-US" w:eastAsia="zh-CN"/>
              </w:rPr>
              <w:t>2</w:t>
            </w:r>
            <w:r>
              <w:rPr>
                <w:rFonts w:hint="default" w:ascii="Times New Roman" w:hAnsi="Times New Roman" w:eastAsia="仿宋" w:cs="Times New Roman"/>
                <w:bCs/>
                <w:sz w:val="24"/>
              </w:rPr>
              <w:t>t，占地面积1m</w:t>
            </w:r>
            <w:r>
              <w:rPr>
                <w:rFonts w:hint="default" w:ascii="Times New Roman" w:hAnsi="Times New Roman" w:eastAsia="仿宋" w:cs="Times New Roman"/>
                <w:bCs/>
                <w:sz w:val="24"/>
                <w:vertAlign w:val="superscript"/>
                <w:lang w:val="en-US" w:eastAsia="zh-CN"/>
              </w:rPr>
              <w:t>2</w:t>
            </w:r>
            <w:r>
              <w:rPr>
                <w:rFonts w:hint="default" w:ascii="Times New Roman" w:hAnsi="Times New Roman" w:eastAsia="仿宋" w:cs="Times New Roman"/>
                <w:bCs/>
                <w:sz w:val="24"/>
                <w:vertAlign w:val="baseline"/>
                <w:lang w:val="en-US" w:eastAsia="zh-CN"/>
              </w:rPr>
              <w:t>；</w:t>
            </w:r>
            <w:r>
              <w:rPr>
                <w:rFonts w:hint="default" w:ascii="Times New Roman" w:hAnsi="Times New Roman" w:eastAsia="仿宋" w:cs="Times New Roman"/>
                <w:bCs/>
                <w:sz w:val="24"/>
              </w:rPr>
              <w:t>废活性炭最大暂存量为</w:t>
            </w:r>
            <w:r>
              <w:rPr>
                <w:rFonts w:hint="eastAsia" w:eastAsia="仿宋" w:cs="Times New Roman"/>
                <w:bCs/>
                <w:sz w:val="24"/>
                <w:lang w:val="en-US" w:eastAsia="zh-CN"/>
              </w:rPr>
              <w:t>2.8</w:t>
            </w:r>
            <w:r>
              <w:rPr>
                <w:rFonts w:hint="default" w:ascii="Times New Roman" w:hAnsi="Times New Roman" w:eastAsia="仿宋" w:cs="Times New Roman"/>
                <w:bCs/>
                <w:sz w:val="24"/>
              </w:rPr>
              <w:t>t，占地面积</w:t>
            </w:r>
            <w:r>
              <w:rPr>
                <w:rFonts w:hint="eastAsia" w:eastAsia="仿宋" w:cs="Times New Roman"/>
                <w:bCs/>
                <w:sz w:val="24"/>
                <w:lang w:val="en-US" w:eastAsia="zh-CN"/>
              </w:rPr>
              <w:t>3</w:t>
            </w:r>
            <w:r>
              <w:rPr>
                <w:rFonts w:hint="default" w:ascii="Times New Roman" w:hAnsi="Times New Roman" w:eastAsia="仿宋" w:cs="Times New Roman"/>
                <w:bCs/>
                <w:sz w:val="24"/>
              </w:rPr>
              <w:t>m</w:t>
            </w:r>
            <w:r>
              <w:rPr>
                <w:rFonts w:hint="default" w:ascii="Times New Roman" w:hAnsi="Times New Roman" w:eastAsia="仿宋" w:cs="Times New Roman"/>
                <w:bCs/>
                <w:sz w:val="24"/>
                <w:vertAlign w:val="superscript"/>
              </w:rPr>
              <w:t>2</w:t>
            </w:r>
            <w:r>
              <w:rPr>
                <w:rFonts w:hint="eastAsia" w:eastAsia="仿宋" w:cs="Times New Roman"/>
                <w:bCs/>
                <w:sz w:val="24"/>
                <w:vertAlign w:val="baseline"/>
                <w:lang w:eastAsia="zh-CN"/>
              </w:rPr>
              <w:t>；</w:t>
            </w:r>
            <w:r>
              <w:rPr>
                <w:rFonts w:hint="default" w:ascii="Times New Roman" w:hAnsi="Times New Roman" w:eastAsia="仿宋" w:cs="Times New Roman"/>
                <w:bCs/>
                <w:color w:val="0000FF"/>
                <w:sz w:val="24"/>
              </w:rPr>
              <w:t>废</w:t>
            </w:r>
            <w:r>
              <w:rPr>
                <w:rFonts w:hint="eastAsia" w:eastAsia="仿宋" w:cs="Times New Roman"/>
                <w:bCs/>
                <w:color w:val="0000FF"/>
                <w:sz w:val="24"/>
                <w:lang w:val="en-US" w:eastAsia="zh-CN"/>
              </w:rPr>
              <w:t>过滤棉和杂质</w:t>
            </w:r>
            <w:r>
              <w:rPr>
                <w:rFonts w:hint="default" w:ascii="Times New Roman" w:hAnsi="Times New Roman" w:eastAsia="仿宋" w:cs="Times New Roman"/>
                <w:bCs/>
                <w:color w:val="0000FF"/>
                <w:sz w:val="24"/>
              </w:rPr>
              <w:t>最大暂存量为</w:t>
            </w:r>
            <w:r>
              <w:rPr>
                <w:rFonts w:hint="eastAsia" w:eastAsia="仿宋" w:cs="Times New Roman"/>
                <w:bCs/>
                <w:color w:val="0000FF"/>
                <w:sz w:val="24"/>
                <w:lang w:val="en-US" w:eastAsia="zh-CN"/>
              </w:rPr>
              <w:t>0.01</w:t>
            </w:r>
            <w:r>
              <w:rPr>
                <w:rFonts w:hint="default" w:ascii="Times New Roman" w:hAnsi="Times New Roman" w:eastAsia="仿宋" w:cs="Times New Roman"/>
                <w:bCs/>
                <w:color w:val="0000FF"/>
                <w:sz w:val="24"/>
              </w:rPr>
              <w:t>t，占地面积1m</w:t>
            </w:r>
            <w:r>
              <w:rPr>
                <w:rFonts w:hint="default" w:ascii="Times New Roman" w:hAnsi="Times New Roman" w:eastAsia="仿宋" w:cs="Times New Roman"/>
                <w:bCs/>
                <w:color w:val="0000FF"/>
                <w:sz w:val="24"/>
                <w:vertAlign w:val="superscript"/>
                <w:lang w:val="en-US" w:eastAsia="zh-CN"/>
              </w:rPr>
              <w:t>2</w:t>
            </w:r>
            <w:r>
              <w:rPr>
                <w:rFonts w:hint="default" w:ascii="Times New Roman" w:hAnsi="Times New Roman" w:eastAsia="仿宋" w:cs="Times New Roman"/>
                <w:bCs/>
                <w:color w:val="0000FF"/>
                <w:sz w:val="24"/>
                <w:vertAlign w:val="baseline"/>
                <w:lang w:val="en-US" w:eastAsia="zh-CN"/>
              </w:rPr>
              <w:t>；</w:t>
            </w:r>
            <w:r>
              <w:rPr>
                <w:rFonts w:hint="eastAsia" w:eastAsia="仿宋" w:cs="Times New Roman"/>
                <w:bCs/>
                <w:color w:val="0000FF"/>
                <w:sz w:val="24"/>
                <w:lang w:val="en-US" w:eastAsia="zh-CN"/>
              </w:rPr>
              <w:t>水旋废液</w:t>
            </w:r>
            <w:r>
              <w:rPr>
                <w:rFonts w:hint="default" w:ascii="Times New Roman" w:hAnsi="Times New Roman" w:eastAsia="仿宋" w:cs="Times New Roman"/>
                <w:bCs/>
                <w:color w:val="0000FF"/>
                <w:sz w:val="24"/>
              </w:rPr>
              <w:t>最大暂存量为</w:t>
            </w:r>
            <w:r>
              <w:rPr>
                <w:rFonts w:hint="eastAsia" w:eastAsia="仿宋" w:cs="Times New Roman"/>
                <w:bCs/>
                <w:color w:val="0000FF"/>
                <w:sz w:val="24"/>
                <w:lang w:val="en-US" w:eastAsia="zh-CN"/>
              </w:rPr>
              <w:t>0.5</w:t>
            </w:r>
            <w:r>
              <w:rPr>
                <w:rFonts w:hint="default" w:ascii="Times New Roman" w:hAnsi="Times New Roman" w:eastAsia="仿宋" w:cs="Times New Roman"/>
                <w:bCs/>
                <w:color w:val="0000FF"/>
                <w:sz w:val="24"/>
              </w:rPr>
              <w:t>t，占地面积</w:t>
            </w:r>
            <w:r>
              <w:rPr>
                <w:rFonts w:hint="eastAsia" w:eastAsia="仿宋" w:cs="Times New Roman"/>
                <w:bCs/>
                <w:color w:val="0000FF"/>
                <w:sz w:val="24"/>
                <w:lang w:val="en-US" w:eastAsia="zh-CN"/>
              </w:rPr>
              <w:t>1</w:t>
            </w:r>
            <w:r>
              <w:rPr>
                <w:rFonts w:hint="default" w:ascii="Times New Roman" w:hAnsi="Times New Roman" w:eastAsia="仿宋" w:cs="Times New Roman"/>
                <w:bCs/>
                <w:color w:val="0000FF"/>
                <w:sz w:val="24"/>
              </w:rPr>
              <w:t>m</w:t>
            </w:r>
            <w:r>
              <w:rPr>
                <w:rFonts w:hint="default" w:ascii="Times New Roman" w:hAnsi="Times New Roman" w:eastAsia="仿宋" w:cs="Times New Roman"/>
                <w:bCs/>
                <w:color w:val="0000FF"/>
                <w:sz w:val="24"/>
                <w:vertAlign w:val="superscript"/>
              </w:rPr>
              <w:t>2</w:t>
            </w:r>
            <w:r>
              <w:rPr>
                <w:rFonts w:hint="eastAsia" w:eastAsia="仿宋" w:cs="Times New Roman"/>
                <w:bCs/>
                <w:sz w:val="24"/>
                <w:vertAlign w:val="baseline"/>
                <w:lang w:eastAsia="zh-CN"/>
              </w:rPr>
              <w:t>。</w:t>
            </w:r>
            <w:r>
              <w:rPr>
                <w:rFonts w:hint="default" w:ascii="Times New Roman" w:hAnsi="Times New Roman" w:eastAsia="仿宋" w:cs="Times New Roman"/>
                <w:bCs/>
                <w:sz w:val="24"/>
              </w:rPr>
              <w:t>综上</w:t>
            </w:r>
            <w:r>
              <w:rPr>
                <w:rFonts w:hint="eastAsia" w:eastAsia="仿宋" w:cs="Times New Roman"/>
                <w:bCs/>
                <w:sz w:val="24"/>
                <w:lang w:val="en-US" w:eastAsia="zh-CN"/>
              </w:rPr>
              <w:t>全厂</w:t>
            </w:r>
            <w:r>
              <w:rPr>
                <w:rFonts w:hint="default" w:ascii="Times New Roman" w:hAnsi="Times New Roman" w:eastAsia="仿宋" w:cs="Times New Roman"/>
                <w:bCs/>
                <w:sz w:val="24"/>
              </w:rPr>
              <w:t>危废占地面积</w:t>
            </w:r>
            <w:r>
              <w:rPr>
                <w:rFonts w:hint="eastAsia" w:eastAsia="仿宋" w:cs="Times New Roman"/>
                <w:bCs/>
                <w:sz w:val="24"/>
                <w:lang w:val="en-US" w:eastAsia="zh-CN"/>
              </w:rPr>
              <w:t>6</w:t>
            </w:r>
            <w:r>
              <w:rPr>
                <w:rFonts w:hint="default" w:ascii="Times New Roman" w:hAnsi="Times New Roman" w:eastAsia="仿宋" w:cs="Times New Roman"/>
                <w:bCs/>
                <w:sz w:val="24"/>
              </w:rPr>
              <w:t>m</w:t>
            </w:r>
            <w:r>
              <w:rPr>
                <w:rFonts w:hint="default" w:ascii="Times New Roman" w:hAnsi="Times New Roman" w:eastAsia="仿宋" w:cs="Times New Roman"/>
                <w:bCs/>
                <w:sz w:val="24"/>
                <w:vertAlign w:val="superscript"/>
              </w:rPr>
              <w:t>2</w:t>
            </w:r>
            <w:r>
              <w:rPr>
                <w:rFonts w:hint="default" w:ascii="Times New Roman" w:hAnsi="Times New Roman" w:eastAsia="仿宋" w:cs="Times New Roman"/>
                <w:bCs/>
                <w:color w:val="auto"/>
                <w:sz w:val="24"/>
                <w:highlight w:val="none"/>
              </w:rPr>
              <w:t>，故危废仓库可满足本项目危废暂存容量、分类分区等贮存能力要求。</w:t>
            </w:r>
          </w:p>
          <w:p w14:paraId="3BCC6100">
            <w:pPr>
              <w:adjustRightInd w:val="0"/>
              <w:snapToGrid w:val="0"/>
              <w:spacing w:line="360" w:lineRule="auto"/>
              <w:ind w:firstLine="482" w:firstLineChars="200"/>
              <w:jc w:val="left"/>
              <w:rPr>
                <w:rFonts w:hint="default" w:ascii="Times New Roman" w:hAnsi="Times New Roman" w:eastAsia="仿宋" w:cs="Times New Roman"/>
                <w:b/>
                <w:bCs/>
                <w:color w:val="auto"/>
                <w:sz w:val="24"/>
                <w:highlight w:val="none"/>
                <w:lang w:val="en-US" w:eastAsia="zh-CN"/>
              </w:rPr>
            </w:pPr>
            <w:r>
              <w:rPr>
                <w:rFonts w:hint="default" w:ascii="Times New Roman" w:hAnsi="Times New Roman" w:eastAsia="仿宋" w:cs="Times New Roman"/>
                <w:b/>
                <w:bCs/>
                <w:color w:val="auto"/>
                <w:sz w:val="24"/>
                <w:highlight w:val="none"/>
              </w:rPr>
              <w:t>贮存安全可行性分析</w:t>
            </w:r>
            <w:r>
              <w:rPr>
                <w:rFonts w:hint="default" w:ascii="Times New Roman" w:hAnsi="Times New Roman" w:eastAsia="仿宋" w:cs="Times New Roman"/>
                <w:b/>
                <w:bCs/>
                <w:color w:val="auto"/>
                <w:sz w:val="24"/>
                <w:highlight w:val="none"/>
                <w:lang w:val="en-US" w:eastAsia="zh-CN"/>
              </w:rPr>
              <w:t>:</w:t>
            </w:r>
          </w:p>
          <w:p w14:paraId="72F022EF">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企业根据各危险废物的形态和危险特性，用专用桶盛装或用专用袋密封，并在盛装容器或包装袋上粘贴标签，分开存放。</w:t>
            </w:r>
            <w:r>
              <w:rPr>
                <w:rFonts w:hint="default" w:ascii="Times New Roman" w:hAnsi="Times New Roman" w:eastAsia="仿宋" w:cs="Times New Roman"/>
                <w:bCs/>
                <w:color w:val="auto"/>
                <w:sz w:val="24"/>
                <w:highlight w:val="none"/>
                <w:lang w:val="en-US" w:eastAsia="zh-CN"/>
              </w:rPr>
              <w:t>同时，危废仓库按要求</w:t>
            </w:r>
            <w:r>
              <w:rPr>
                <w:rFonts w:hint="default" w:ascii="Times New Roman" w:hAnsi="Times New Roman" w:eastAsia="仿宋" w:cs="Times New Roman"/>
                <w:color w:val="auto"/>
                <w:sz w:val="24"/>
                <w:highlight w:val="none"/>
              </w:rPr>
              <w:t>采取必要的防风、防晒、防雨、防漏、防渗、防腐</w:t>
            </w:r>
            <w:r>
              <w:rPr>
                <w:rFonts w:hint="default" w:ascii="Times New Roman" w:hAnsi="Times New Roman" w:eastAsia="仿宋" w:cs="Times New Roman"/>
                <w:color w:val="auto"/>
                <w:sz w:val="24"/>
                <w:highlight w:val="none"/>
                <w:lang w:val="en-US" w:eastAsia="zh-CN"/>
              </w:rPr>
              <w:t>措施，</w:t>
            </w:r>
            <w:r>
              <w:rPr>
                <w:rFonts w:hint="default" w:ascii="Times New Roman" w:hAnsi="Times New Roman" w:eastAsia="仿宋" w:cs="Times New Roman"/>
                <w:bCs/>
                <w:color w:val="auto"/>
                <w:sz w:val="24"/>
                <w:highlight w:val="none"/>
                <w:lang w:val="en-US" w:eastAsia="zh-CN"/>
              </w:rPr>
              <w:t>并设置</w:t>
            </w:r>
            <w:r>
              <w:rPr>
                <w:rFonts w:hint="default" w:ascii="Times New Roman" w:hAnsi="Times New Roman" w:eastAsia="仿宋" w:cs="Times New Roman"/>
                <w:bCs/>
                <w:color w:val="auto"/>
                <w:sz w:val="24"/>
                <w:highlight w:val="none"/>
              </w:rPr>
              <w:t>隔断</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危险废物识别标志。</w:t>
            </w:r>
          </w:p>
          <w:p w14:paraId="4971610D">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综上所述，</w:t>
            </w:r>
            <w:r>
              <w:rPr>
                <w:rFonts w:hint="default" w:ascii="Times New Roman" w:hAnsi="Times New Roman" w:eastAsia="仿宋" w:cs="Times New Roman"/>
                <w:bCs/>
                <w:color w:val="auto"/>
                <w:sz w:val="24"/>
              </w:rPr>
              <w:t>危废按上述要求贮存于该危废仓库可行</w:t>
            </w:r>
            <w:r>
              <w:rPr>
                <w:rFonts w:hint="default" w:ascii="Times New Roman" w:hAnsi="Times New Roman" w:eastAsia="仿宋" w:cs="Times New Roman"/>
                <w:bCs/>
                <w:color w:val="auto"/>
                <w:sz w:val="24"/>
                <w:highlight w:val="none"/>
              </w:rPr>
              <w:t>。</w:t>
            </w:r>
          </w:p>
          <w:p w14:paraId="1CFF9658">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3）容器和包装物污染控制要求</w:t>
            </w:r>
          </w:p>
          <w:p w14:paraId="7732B207">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根据《危险废物贮存污染控制标准》（GB 18597-2023），危险废物容器和包装物污染控制要求如下：</w:t>
            </w:r>
          </w:p>
          <w:p w14:paraId="337979A6">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①容器和包装物材质、内衬应与盛装的危险废物相容。</w:t>
            </w:r>
          </w:p>
          <w:p w14:paraId="5A17B940">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②针对不同类别、形态、物理化学性质的危险废物，其容器和包装物应满足相应的防渗、防漏、防腐和强度等要求。</w:t>
            </w:r>
          </w:p>
          <w:p w14:paraId="7F8DFD4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③硬质容器和包装物及其支护结构堆叠码放时不应有明显变形，无破损泄漏。</w:t>
            </w:r>
          </w:p>
          <w:p w14:paraId="2EA8A5D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④柔性容器和包装物堆叠码放时应封口严密，无破损泄漏。</w:t>
            </w:r>
          </w:p>
          <w:p w14:paraId="153D581C">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⑤使用容器盛装液态、半固态危险废物时，容器内部应留有适当的空间，以适应因温度变化等可能引发的收缩和膨胀，防止其导致容器渗漏或永久变形。</w:t>
            </w:r>
          </w:p>
          <w:p w14:paraId="223C119E">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⑥容器和包装物外表面应保持清洁。</w:t>
            </w:r>
          </w:p>
          <w:p w14:paraId="41F0ED44">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4）贮存过程要求</w:t>
            </w:r>
          </w:p>
          <w:p w14:paraId="5C0BE94C">
            <w:pPr>
              <w:adjustRightInd w:val="0"/>
              <w:snapToGrid w:val="0"/>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根据《危险废物贮存污染控制标准》（GB 18597-2023），危险废物贮存过程污染控制要求如下：</w:t>
            </w:r>
          </w:p>
          <w:p w14:paraId="1FF16EF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①在常温常压下不易水解、不易挥发的固态危险废物可分类堆放贮存，其他固态危险废物应装入容器或包装物内贮存。</w:t>
            </w:r>
          </w:p>
          <w:p w14:paraId="44D263F6">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②液态危险废物应装入容器内贮存，或直接采用贮存池、贮存罐区贮存。</w:t>
            </w:r>
          </w:p>
          <w:p w14:paraId="5044475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③半固态危险废物应装入容器或包装袋内贮存，或者采用贮存池贮存。</w:t>
            </w:r>
          </w:p>
          <w:p w14:paraId="16A73216">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④具有热塑性的危险废物应装入容器或包装袋内进行贮存。</w:t>
            </w:r>
          </w:p>
          <w:p w14:paraId="5D4A7DA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⑤易产生粉尘、VOCs、酸雾、有毒有害大气污染物和刺激性气味气体的危险废物应装入闭口容器或包装物内贮存。</w:t>
            </w:r>
          </w:p>
          <w:p w14:paraId="6A3D577E">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⑥危险废物贮存过程中易产生粉尘等无组织排放的，应采取抑尘等有效措施。</w:t>
            </w:r>
          </w:p>
          <w:p w14:paraId="39FC1C9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5）运输过程的污染防治措施</w:t>
            </w:r>
          </w:p>
          <w:p w14:paraId="5DEE8E4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危险废物运输必须按照《危险废物收集 贮存 运输技术规范》（HJ2025-2012）的要求并做到以下几点：</w:t>
            </w:r>
          </w:p>
          <w:p w14:paraId="2F8272AC">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①危险废物运输应由持有危险废物经营许可证的单位按照其许可证的经营范围组织实施，承担危险废物运输的单位应获得交通运输部门颁发的危险货物运输资质。</w:t>
            </w:r>
          </w:p>
          <w:p w14:paraId="02D750F4">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②危险废物公路运输应按照《道路危险货物运输管理规定》（交通部令[2015年]第9号）、JT</w:t>
            </w:r>
            <w:r>
              <w:rPr>
                <w:rFonts w:hint="default" w:ascii="Times New Roman" w:hAnsi="Times New Roman" w:eastAsia="仿宋" w:cs="Times New Roman"/>
                <w:bCs/>
                <w:color w:val="auto"/>
                <w:sz w:val="24"/>
                <w:highlight w:val="none"/>
                <w:lang w:val="en-US" w:eastAsia="zh-CN"/>
              </w:rPr>
              <w:t>/T</w:t>
            </w:r>
            <w:r>
              <w:rPr>
                <w:rFonts w:hint="default" w:ascii="Times New Roman" w:hAnsi="Times New Roman" w:eastAsia="仿宋" w:cs="Times New Roman"/>
                <w:bCs/>
                <w:color w:val="auto"/>
                <w:sz w:val="24"/>
                <w:highlight w:val="none"/>
              </w:rPr>
              <w:t>617以及</w:t>
            </w:r>
            <w:r>
              <w:rPr>
                <w:rFonts w:hint="default" w:ascii="Times New Roman" w:hAnsi="Times New Roman" w:eastAsia="仿宋" w:cs="Times New Roman"/>
                <w:bCs/>
                <w:color w:val="auto"/>
                <w:sz w:val="24"/>
                <w:highlight w:val="none"/>
                <w:lang w:eastAsia="zh-CN"/>
              </w:rPr>
              <w:t>JT/T618</w:t>
            </w:r>
            <w:r>
              <w:rPr>
                <w:rFonts w:hint="default" w:ascii="Times New Roman" w:hAnsi="Times New Roman" w:eastAsia="仿宋" w:cs="Times New Roman"/>
                <w:bCs/>
                <w:color w:val="auto"/>
                <w:sz w:val="24"/>
                <w:highlight w:val="none"/>
              </w:rPr>
              <w:t>执行。</w:t>
            </w:r>
          </w:p>
          <w:p w14:paraId="0985B7C2">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③运输单位在承运危险废物时，应在危险废物包装上按照GB18597附录A设置标志。</w:t>
            </w:r>
          </w:p>
          <w:p w14:paraId="6D260962">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④危险废物公路运输时，运输车辆按GB13392设置车辆标志。铁路运输和水路运输危险废物时应在集装箱外按GB190规定悬挂标志。</w:t>
            </w:r>
          </w:p>
          <w:p w14:paraId="53BCDA3F">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⑤危险废物运输时的中转、装卸过程应遵守如下技术要求：</w:t>
            </w:r>
          </w:p>
          <w:p w14:paraId="3A28326C">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装卸区的工作人员应熟悉废物的危险特性，并配备适当的个人防护装备，装卸剧毒废物应配备特殊的防护装备；</w:t>
            </w:r>
          </w:p>
          <w:p w14:paraId="09E49779">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装卸区应配备必要的消防设备和设施，并设置明显的指示标志；</w:t>
            </w:r>
          </w:p>
          <w:p w14:paraId="3606DA4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危险废物装卸区应设置隔离设施，液态废物装卸区应设置收集槽和缓冲罐。</w:t>
            </w:r>
          </w:p>
          <w:p w14:paraId="2543CA4A">
            <w:pPr>
              <w:adjustRightInd w:val="0"/>
              <w:snapToGrid w:val="0"/>
              <w:spacing w:line="360" w:lineRule="auto"/>
              <w:ind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（2）一般工业固体废物</w:t>
            </w:r>
          </w:p>
          <w:p w14:paraId="51BE3834">
            <w:pPr>
              <w:adjustRightInd w:val="0"/>
              <w:snapToGrid w:val="0"/>
              <w:spacing w:line="360" w:lineRule="auto"/>
              <w:ind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本项目一般固废</w:t>
            </w:r>
            <w:r>
              <w:rPr>
                <w:rFonts w:hint="default" w:ascii="Times New Roman" w:hAnsi="Times New Roman" w:eastAsia="仿宋" w:cs="Times New Roman"/>
                <w:bCs/>
                <w:sz w:val="24"/>
                <w:lang w:val="en-US" w:eastAsia="zh-CN"/>
              </w:rPr>
              <w:t>绒毛、废布袋、废包装材料</w:t>
            </w:r>
            <w:r>
              <w:rPr>
                <w:rFonts w:hint="default" w:ascii="Times New Roman" w:hAnsi="Times New Roman" w:eastAsia="仿宋" w:cs="Times New Roman"/>
                <w:bCs/>
                <w:sz w:val="24"/>
              </w:rPr>
              <w:t>综合利用，</w:t>
            </w:r>
            <w:r>
              <w:rPr>
                <w:rFonts w:hint="default" w:ascii="Times New Roman" w:hAnsi="Times New Roman" w:eastAsia="仿宋" w:cs="Times New Roman"/>
                <w:bCs/>
                <w:sz w:val="24"/>
                <w:lang w:val="en-US" w:eastAsia="zh-CN"/>
              </w:rPr>
              <w:t>依托现有2</w:t>
            </w:r>
            <w:r>
              <w:rPr>
                <w:rFonts w:hint="default" w:ascii="Times New Roman" w:hAnsi="Times New Roman" w:eastAsia="仿宋" w:cs="Times New Roman"/>
                <w:bCs/>
                <w:sz w:val="24"/>
              </w:rPr>
              <w:t>0m</w:t>
            </w:r>
            <w:r>
              <w:rPr>
                <w:rFonts w:hint="default" w:ascii="Times New Roman" w:hAnsi="Times New Roman" w:eastAsia="仿宋" w:cs="Times New Roman"/>
                <w:bCs/>
                <w:sz w:val="24"/>
                <w:vertAlign w:val="superscript"/>
              </w:rPr>
              <w:t>2</w:t>
            </w:r>
            <w:r>
              <w:rPr>
                <w:rFonts w:hint="default" w:ascii="Times New Roman" w:hAnsi="Times New Roman" w:eastAsia="仿宋" w:cs="Times New Roman"/>
                <w:bCs/>
                <w:sz w:val="24"/>
              </w:rPr>
              <w:t>的一般固废库。</w:t>
            </w:r>
          </w:p>
          <w:p w14:paraId="76E2BECB">
            <w:pPr>
              <w:adjustRightInd w:val="0"/>
              <w:snapToGrid w:val="0"/>
              <w:spacing w:line="360" w:lineRule="auto"/>
              <w:ind w:firstLine="480" w:firstLineChars="200"/>
              <w:rPr>
                <w:rFonts w:hint="default" w:ascii="Times New Roman" w:hAnsi="Times New Roman" w:eastAsia="仿宋" w:cs="Times New Roman"/>
                <w:bCs/>
                <w:sz w:val="24"/>
              </w:rPr>
            </w:pPr>
            <w:r>
              <w:rPr>
                <w:rFonts w:hint="default" w:ascii="Times New Roman" w:hAnsi="Times New Roman" w:eastAsia="仿宋" w:cs="Times New Roman"/>
                <w:bCs/>
                <w:sz w:val="24"/>
              </w:rPr>
              <w:t>暂存场所应按《一般工业固体废物贮存、处置场污染控制标准》（GB18599-2020）要求建设，具体要求如下：</w:t>
            </w:r>
          </w:p>
          <w:p w14:paraId="00A5F516">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①贮存、处置场的建设类型，必须与将要堆放的一般工业固体废物的类别相一致；</w:t>
            </w:r>
          </w:p>
          <w:p w14:paraId="6567D1D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②贮存、处置场应采取防止粉尘污染的措施；</w:t>
            </w:r>
          </w:p>
          <w:p w14:paraId="653D3B51">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③为加强监督管理，贮存、处置场应按GB15562.2 设置环境保护图形标志；</w:t>
            </w:r>
          </w:p>
          <w:p w14:paraId="11F8DD8B">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④一般工业固体废物贮存、处置场禁止危险废物和生活垃圾混入；</w:t>
            </w:r>
          </w:p>
          <w:p w14:paraId="42A3708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⑤贮存、处置场的使用单位，应建立档案制度。应将入场的一般工业固体废物的种类和数量等资料详细记录在案，长期保存，供随时查阅。</w:t>
            </w:r>
          </w:p>
          <w:p w14:paraId="284DFE75">
            <w:pPr>
              <w:widowControl/>
              <w:jc w:val="cente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表4-</w:t>
            </w:r>
            <w:r>
              <w:rPr>
                <w:rFonts w:hint="eastAsia" w:eastAsia="仿宋" w:cs="Times New Roman"/>
                <w:b/>
                <w:color w:val="auto"/>
                <w:sz w:val="24"/>
                <w:lang w:val="en-US" w:eastAsia="zh-CN"/>
              </w:rPr>
              <w:t>37</w:t>
            </w:r>
            <w:r>
              <w:rPr>
                <w:rFonts w:hint="default" w:ascii="Times New Roman" w:hAnsi="Times New Roman" w:eastAsia="仿宋" w:cs="Times New Roman"/>
                <w:b/>
                <w:color w:val="auto"/>
                <w:sz w:val="24"/>
              </w:rPr>
              <w:t xml:space="preserve">  一般工业固体废物贮存场所基本情况表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68"/>
              <w:gridCol w:w="963"/>
              <w:gridCol w:w="1600"/>
              <w:gridCol w:w="894"/>
              <w:gridCol w:w="815"/>
              <w:gridCol w:w="1713"/>
              <w:gridCol w:w="932"/>
              <w:gridCol w:w="715"/>
            </w:tblGrid>
            <w:tr w14:paraId="2B521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7" w:type="pct"/>
                  <w:noWrap w:val="0"/>
                  <w:vAlign w:val="center"/>
                </w:tcPr>
                <w:p w14:paraId="7B8268C1">
                  <w:pPr>
                    <w:spacing w:line="240" w:lineRule="auto"/>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贮存场</w:t>
                  </w:r>
                </w:p>
                <w:p w14:paraId="249EA329">
                  <w:pPr>
                    <w:spacing w:line="240" w:lineRule="auto"/>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所名称</w:t>
                  </w:r>
                </w:p>
              </w:tc>
              <w:tc>
                <w:tcPr>
                  <w:tcW w:w="573" w:type="pct"/>
                  <w:noWrap w:val="0"/>
                  <w:vAlign w:val="center"/>
                </w:tcPr>
                <w:p w14:paraId="3533A9B3">
                  <w:pPr>
                    <w:spacing w:line="240" w:lineRule="auto"/>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固废名称</w:t>
                  </w:r>
                </w:p>
              </w:tc>
              <w:tc>
                <w:tcPr>
                  <w:tcW w:w="952" w:type="pct"/>
                  <w:noWrap w:val="0"/>
                  <w:vAlign w:val="center"/>
                </w:tcPr>
                <w:p w14:paraId="47CB9C57">
                  <w:pPr>
                    <w:spacing w:line="240" w:lineRule="auto"/>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废物类别</w:t>
                  </w:r>
                </w:p>
              </w:tc>
              <w:tc>
                <w:tcPr>
                  <w:tcW w:w="532" w:type="pct"/>
                  <w:tcBorders>
                    <w:bottom w:val="single" w:color="auto" w:sz="4" w:space="0"/>
                  </w:tcBorders>
                  <w:noWrap w:val="0"/>
                  <w:vAlign w:val="center"/>
                </w:tcPr>
                <w:p w14:paraId="0F3D96CF">
                  <w:pPr>
                    <w:spacing w:line="240" w:lineRule="auto"/>
                    <w:jc w:val="center"/>
                    <w:rPr>
                      <w:rFonts w:hint="default" w:ascii="Times New Roman" w:hAnsi="Times New Roman" w:eastAsia="仿宋" w:cs="Times New Roman"/>
                      <w:b/>
                      <w:color w:val="auto"/>
                      <w:sz w:val="18"/>
                      <w:szCs w:val="18"/>
                      <w:highlight w:val="none"/>
                    </w:rPr>
                  </w:pPr>
                  <w:r>
                    <w:rPr>
                      <w:rFonts w:hint="default" w:ascii="Times New Roman" w:hAnsi="Times New Roman" w:eastAsia="仿宋" w:cs="Times New Roman"/>
                      <w:b/>
                      <w:color w:val="auto"/>
                      <w:sz w:val="18"/>
                      <w:szCs w:val="18"/>
                      <w:highlight w:val="none"/>
                    </w:rPr>
                    <w:t>位置</w:t>
                  </w:r>
                </w:p>
              </w:tc>
              <w:tc>
                <w:tcPr>
                  <w:tcW w:w="485" w:type="pct"/>
                  <w:tcBorders>
                    <w:bottom w:val="single" w:color="auto" w:sz="4" w:space="0"/>
                  </w:tcBorders>
                  <w:noWrap w:val="0"/>
                  <w:vAlign w:val="center"/>
                </w:tcPr>
                <w:p w14:paraId="021E56DB">
                  <w:pPr>
                    <w:spacing w:line="240" w:lineRule="auto"/>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面积（m</w:t>
                  </w:r>
                  <w:r>
                    <w:rPr>
                      <w:rFonts w:hint="default" w:ascii="Times New Roman" w:hAnsi="Times New Roman" w:eastAsia="仿宋" w:cs="Times New Roman"/>
                      <w:b/>
                      <w:color w:val="auto"/>
                      <w:sz w:val="18"/>
                      <w:szCs w:val="18"/>
                      <w:vertAlign w:val="superscript"/>
                    </w:rPr>
                    <w:t>2</w:t>
                  </w:r>
                  <w:r>
                    <w:rPr>
                      <w:rFonts w:hint="default" w:ascii="Times New Roman" w:hAnsi="Times New Roman" w:eastAsia="仿宋" w:cs="Times New Roman"/>
                      <w:b/>
                      <w:color w:val="auto"/>
                      <w:sz w:val="18"/>
                      <w:szCs w:val="18"/>
                    </w:rPr>
                    <w:t>）</w:t>
                  </w:r>
                </w:p>
              </w:tc>
              <w:tc>
                <w:tcPr>
                  <w:tcW w:w="1019" w:type="pct"/>
                  <w:noWrap w:val="0"/>
                  <w:vAlign w:val="center"/>
                </w:tcPr>
                <w:p w14:paraId="69633668">
                  <w:pPr>
                    <w:spacing w:line="240" w:lineRule="auto"/>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贮存方式</w:t>
                  </w:r>
                </w:p>
              </w:tc>
              <w:tc>
                <w:tcPr>
                  <w:tcW w:w="554" w:type="pct"/>
                  <w:noWrap w:val="0"/>
                  <w:vAlign w:val="center"/>
                </w:tcPr>
                <w:p w14:paraId="464A3741">
                  <w:pPr>
                    <w:spacing w:line="240" w:lineRule="auto"/>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贮存能力（t）</w:t>
                  </w:r>
                </w:p>
              </w:tc>
              <w:tc>
                <w:tcPr>
                  <w:tcW w:w="425" w:type="pct"/>
                  <w:noWrap w:val="0"/>
                  <w:vAlign w:val="center"/>
                </w:tcPr>
                <w:p w14:paraId="63BE3EC4">
                  <w:pPr>
                    <w:spacing w:line="240" w:lineRule="auto"/>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贮存</w:t>
                  </w:r>
                </w:p>
                <w:p w14:paraId="7E5C6BB5">
                  <w:pPr>
                    <w:spacing w:line="240" w:lineRule="auto"/>
                    <w:jc w:val="center"/>
                    <w:rPr>
                      <w:rFonts w:hint="default" w:ascii="Times New Roman" w:hAnsi="Times New Roman" w:eastAsia="仿宋" w:cs="Times New Roman"/>
                      <w:b/>
                      <w:color w:val="auto"/>
                      <w:sz w:val="18"/>
                      <w:szCs w:val="18"/>
                    </w:rPr>
                  </w:pPr>
                  <w:r>
                    <w:rPr>
                      <w:rFonts w:hint="default" w:ascii="Times New Roman" w:hAnsi="Times New Roman" w:eastAsia="仿宋" w:cs="Times New Roman"/>
                      <w:b/>
                      <w:color w:val="auto"/>
                      <w:sz w:val="18"/>
                      <w:szCs w:val="18"/>
                    </w:rPr>
                    <w:t>周期</w:t>
                  </w:r>
                </w:p>
              </w:tc>
            </w:tr>
            <w:tr w14:paraId="27D7B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7" w:type="pct"/>
                  <w:vMerge w:val="restart"/>
                  <w:noWrap w:val="0"/>
                  <w:vAlign w:val="center"/>
                </w:tcPr>
                <w:p w14:paraId="54A95478">
                  <w:pPr>
                    <w:adjustRightInd w:val="0"/>
                    <w:snapToGrid w:val="0"/>
                    <w:spacing w:line="240" w:lineRule="auto"/>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一般固废仓库</w:t>
                  </w:r>
                </w:p>
              </w:tc>
              <w:tc>
                <w:tcPr>
                  <w:tcW w:w="573" w:type="pct"/>
                  <w:shd w:val="clear" w:color="auto" w:fill="auto"/>
                  <w:noWrap w:val="0"/>
                  <w:vAlign w:val="center"/>
                </w:tcPr>
                <w:p w14:paraId="075C102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废绒毛</w:t>
                  </w:r>
                </w:p>
              </w:tc>
              <w:tc>
                <w:tcPr>
                  <w:tcW w:w="952" w:type="pct"/>
                  <w:shd w:val="clear" w:color="auto" w:fill="auto"/>
                  <w:noWrap w:val="0"/>
                  <w:vAlign w:val="center"/>
                </w:tcPr>
                <w:p w14:paraId="35667B62">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宋体" w:cs="Times New Roman"/>
                      <w:color w:val="000000"/>
                      <w:kern w:val="0"/>
                      <w:sz w:val="18"/>
                      <w:szCs w:val="18"/>
                      <w:lang w:val="en-US" w:eastAsia="zh-CN" w:bidi="ar"/>
                    </w:rPr>
                    <w:t>S</w:t>
                  </w:r>
                  <w:r>
                    <w:rPr>
                      <w:rFonts w:hint="default" w:ascii="Times New Roman" w:hAnsi="Times New Roman" w:eastAsia="仿宋" w:cs="Times New Roman"/>
                      <w:color w:val="auto"/>
                      <w:sz w:val="18"/>
                      <w:szCs w:val="18"/>
                      <w:highlight w:val="none"/>
                      <w:lang w:val="en-US" w:eastAsia="zh-CN"/>
                    </w:rPr>
                    <w:t>W59其他工业固体废物</w:t>
                  </w:r>
                  <w:r>
                    <w:rPr>
                      <w:rFonts w:hint="default" w:ascii="Times New Roman" w:hAnsi="Times New Roman" w:eastAsia="仿宋" w:cs="Times New Roman"/>
                      <w:color w:val="auto"/>
                      <w:sz w:val="18"/>
                      <w:szCs w:val="18"/>
                      <w:highlight w:val="none"/>
                    </w:rPr>
                    <w:t>900-</w:t>
                  </w:r>
                  <w:r>
                    <w:rPr>
                      <w:rFonts w:hint="default" w:ascii="Times New Roman" w:hAnsi="Times New Roman" w:eastAsia="仿宋" w:cs="Times New Roman"/>
                      <w:color w:val="auto"/>
                      <w:sz w:val="18"/>
                      <w:szCs w:val="18"/>
                      <w:highlight w:val="none"/>
                      <w:lang w:val="en-US" w:eastAsia="zh-CN"/>
                    </w:rPr>
                    <w:t>009</w:t>
                  </w:r>
                  <w:r>
                    <w:rPr>
                      <w:rFonts w:hint="default" w:ascii="Times New Roman" w:hAnsi="Times New Roman" w:eastAsia="仿宋" w:cs="Times New Roman"/>
                      <w:color w:val="auto"/>
                      <w:sz w:val="18"/>
                      <w:szCs w:val="18"/>
                      <w:highlight w:val="none"/>
                    </w:rPr>
                    <w:t>-</w:t>
                  </w:r>
                  <w:r>
                    <w:rPr>
                      <w:rFonts w:hint="default" w:ascii="Times New Roman" w:hAnsi="Times New Roman" w:eastAsia="仿宋" w:cs="Times New Roman"/>
                      <w:color w:val="auto"/>
                      <w:sz w:val="18"/>
                      <w:szCs w:val="18"/>
                      <w:highlight w:val="none"/>
                      <w:lang w:val="en-US" w:eastAsia="zh-CN"/>
                    </w:rPr>
                    <w:t>59</w:t>
                  </w:r>
                </w:p>
              </w:tc>
              <w:tc>
                <w:tcPr>
                  <w:tcW w:w="532" w:type="pct"/>
                  <w:vMerge w:val="restart"/>
                  <w:noWrap w:val="0"/>
                  <w:vAlign w:val="center"/>
                </w:tcPr>
                <w:p w14:paraId="13A67645">
                  <w:pPr>
                    <w:spacing w:line="240" w:lineRule="auto"/>
                    <w:jc w:val="center"/>
                    <w:rPr>
                      <w:rFonts w:hint="default" w:ascii="Times New Roman" w:hAnsi="Times New Roman" w:eastAsia="仿宋" w:cs="Times New Roman"/>
                      <w:color w:val="auto"/>
                      <w:sz w:val="18"/>
                      <w:szCs w:val="18"/>
                      <w:highlight w:val="none"/>
                      <w:lang w:val="en-US" w:eastAsia="zh-CN"/>
                    </w:rPr>
                  </w:pPr>
                  <w:r>
                    <w:rPr>
                      <w:rFonts w:hint="eastAsia" w:ascii="Times New Roman" w:hAnsi="Times New Roman" w:eastAsia="仿宋" w:cs="Times New Roman"/>
                      <w:color w:val="auto"/>
                      <w:sz w:val="18"/>
                      <w:szCs w:val="18"/>
                      <w:highlight w:val="none"/>
                      <w:lang w:val="en-US" w:eastAsia="zh-CN"/>
                    </w:rPr>
                    <w:t>D7车间顶层</w:t>
                  </w:r>
                </w:p>
              </w:tc>
              <w:tc>
                <w:tcPr>
                  <w:tcW w:w="485" w:type="pct"/>
                  <w:vMerge w:val="restart"/>
                  <w:noWrap w:val="0"/>
                  <w:vAlign w:val="center"/>
                </w:tcPr>
                <w:p w14:paraId="7C86F880">
                  <w:pPr>
                    <w:spacing w:line="240" w:lineRule="auto"/>
                    <w:jc w:val="center"/>
                    <w:rPr>
                      <w:rFonts w:hint="default" w:ascii="Times New Roman" w:hAnsi="Times New Roman" w:eastAsia="仿宋" w:cs="Times New Roman"/>
                      <w:color w:val="auto"/>
                      <w:sz w:val="18"/>
                      <w:szCs w:val="18"/>
                      <w:lang w:val="en-US" w:eastAsia="zh-CN"/>
                    </w:rPr>
                  </w:pPr>
                  <w:r>
                    <w:rPr>
                      <w:rFonts w:hint="eastAsia" w:ascii="Times New Roman" w:hAnsi="Times New Roman" w:eastAsia="仿宋" w:cs="Times New Roman"/>
                      <w:color w:val="auto"/>
                      <w:sz w:val="18"/>
                      <w:szCs w:val="18"/>
                      <w:lang w:val="en-US" w:eastAsia="zh-CN"/>
                    </w:rPr>
                    <w:t>20</w:t>
                  </w:r>
                </w:p>
              </w:tc>
              <w:tc>
                <w:tcPr>
                  <w:tcW w:w="1019" w:type="pct"/>
                  <w:noWrap w:val="0"/>
                  <w:vAlign w:val="center"/>
                </w:tcPr>
                <w:p w14:paraId="1C7B8559">
                  <w:pPr>
                    <w:spacing w:line="240" w:lineRule="auto"/>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袋装、分区放置</w:t>
                  </w:r>
                </w:p>
              </w:tc>
              <w:tc>
                <w:tcPr>
                  <w:tcW w:w="554" w:type="pct"/>
                  <w:vMerge w:val="restart"/>
                  <w:noWrap w:val="0"/>
                  <w:vAlign w:val="center"/>
                </w:tcPr>
                <w:p w14:paraId="5B223729">
                  <w:pPr>
                    <w:spacing w:line="240" w:lineRule="auto"/>
                    <w:jc w:val="center"/>
                    <w:rPr>
                      <w:rFonts w:hint="default" w:ascii="Times New Roman" w:hAnsi="Times New Roman" w:eastAsia="仿宋" w:cs="Times New Roman"/>
                      <w:color w:val="auto"/>
                      <w:sz w:val="18"/>
                      <w:szCs w:val="18"/>
                      <w:lang w:val="en-US" w:eastAsia="zh-CN"/>
                    </w:rPr>
                  </w:pPr>
                  <w:r>
                    <w:rPr>
                      <w:rFonts w:hint="eastAsia" w:ascii="Times New Roman" w:hAnsi="Times New Roman" w:eastAsia="仿宋" w:cs="Times New Roman"/>
                      <w:color w:val="auto"/>
                      <w:sz w:val="18"/>
                      <w:szCs w:val="18"/>
                      <w:lang w:val="en-US" w:eastAsia="zh-CN"/>
                    </w:rPr>
                    <w:t>16</w:t>
                  </w:r>
                </w:p>
              </w:tc>
              <w:tc>
                <w:tcPr>
                  <w:tcW w:w="425" w:type="pct"/>
                  <w:vMerge w:val="restart"/>
                  <w:noWrap w:val="0"/>
                  <w:vAlign w:val="center"/>
                </w:tcPr>
                <w:p w14:paraId="601E7767">
                  <w:pPr>
                    <w:spacing w:line="240" w:lineRule="auto"/>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不超过</w:t>
                  </w:r>
                  <w:r>
                    <w:rPr>
                      <w:rFonts w:hint="eastAsia" w:ascii="Times New Roman" w:hAnsi="Times New Roman" w:eastAsia="仿宋" w:cs="Times New Roman"/>
                      <w:color w:val="auto"/>
                      <w:sz w:val="18"/>
                      <w:szCs w:val="18"/>
                      <w:lang w:val="en-US" w:eastAsia="zh-CN"/>
                    </w:rPr>
                    <w:t>90</w:t>
                  </w:r>
                  <w:r>
                    <w:rPr>
                      <w:rFonts w:hint="default" w:ascii="Times New Roman" w:hAnsi="Times New Roman" w:eastAsia="仿宋" w:cs="Times New Roman"/>
                      <w:color w:val="auto"/>
                      <w:sz w:val="18"/>
                      <w:szCs w:val="18"/>
                      <w:lang w:val="en-US" w:eastAsia="zh-CN"/>
                    </w:rPr>
                    <w:t>天</w:t>
                  </w:r>
                </w:p>
              </w:tc>
            </w:tr>
            <w:tr w14:paraId="7CA22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7" w:type="pct"/>
                  <w:vMerge w:val="continue"/>
                  <w:noWrap w:val="0"/>
                  <w:vAlign w:val="center"/>
                </w:tcPr>
                <w:p w14:paraId="24151372">
                  <w:pPr>
                    <w:adjustRightInd w:val="0"/>
                    <w:snapToGrid w:val="0"/>
                    <w:spacing w:line="240" w:lineRule="auto"/>
                    <w:jc w:val="center"/>
                    <w:rPr>
                      <w:rFonts w:hint="default" w:ascii="Times New Roman" w:hAnsi="Times New Roman" w:eastAsia="仿宋" w:cs="Times New Roman"/>
                      <w:color w:val="auto"/>
                      <w:sz w:val="18"/>
                      <w:szCs w:val="18"/>
                      <w:lang w:val="en-US" w:eastAsia="zh-CN"/>
                    </w:rPr>
                  </w:pPr>
                </w:p>
              </w:tc>
              <w:tc>
                <w:tcPr>
                  <w:tcW w:w="573" w:type="pct"/>
                  <w:shd w:val="clear" w:color="auto" w:fill="auto"/>
                  <w:noWrap w:val="0"/>
                  <w:vAlign w:val="center"/>
                </w:tcPr>
                <w:p w14:paraId="34AED9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废布袋</w:t>
                  </w:r>
                </w:p>
              </w:tc>
              <w:tc>
                <w:tcPr>
                  <w:tcW w:w="952" w:type="pct"/>
                  <w:shd w:val="clear" w:color="auto" w:fill="auto"/>
                  <w:noWrap w:val="0"/>
                  <w:vAlign w:val="center"/>
                </w:tcPr>
                <w:p w14:paraId="0FF4960F">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宋体" w:cs="Times New Roman"/>
                      <w:color w:val="000000"/>
                      <w:kern w:val="0"/>
                      <w:sz w:val="18"/>
                      <w:szCs w:val="18"/>
                      <w:lang w:val="en-US" w:eastAsia="zh-CN" w:bidi="ar"/>
                    </w:rPr>
                    <w:t>S</w:t>
                  </w:r>
                  <w:r>
                    <w:rPr>
                      <w:rFonts w:hint="default" w:ascii="Times New Roman" w:hAnsi="Times New Roman" w:eastAsia="仿宋" w:cs="Times New Roman"/>
                      <w:color w:val="auto"/>
                      <w:sz w:val="18"/>
                      <w:szCs w:val="18"/>
                      <w:highlight w:val="none"/>
                      <w:lang w:val="en-US" w:eastAsia="zh-CN"/>
                    </w:rPr>
                    <w:t>W59其他工业固体废物</w:t>
                  </w:r>
                  <w:r>
                    <w:rPr>
                      <w:rFonts w:hint="default" w:ascii="Times New Roman" w:hAnsi="Times New Roman" w:eastAsia="仿宋" w:cs="Times New Roman"/>
                      <w:color w:val="auto"/>
                      <w:sz w:val="18"/>
                      <w:szCs w:val="18"/>
                      <w:highlight w:val="none"/>
                    </w:rPr>
                    <w:t>900-</w:t>
                  </w:r>
                  <w:r>
                    <w:rPr>
                      <w:rFonts w:hint="default" w:ascii="Times New Roman" w:hAnsi="Times New Roman" w:eastAsia="仿宋" w:cs="Times New Roman"/>
                      <w:color w:val="auto"/>
                      <w:sz w:val="18"/>
                      <w:szCs w:val="18"/>
                      <w:highlight w:val="none"/>
                      <w:lang w:val="en-US" w:eastAsia="zh-CN"/>
                    </w:rPr>
                    <w:t>0</w:t>
                  </w:r>
                  <w:r>
                    <w:rPr>
                      <w:rFonts w:hint="eastAsia" w:ascii="Times New Roman" w:hAnsi="Times New Roman" w:eastAsia="仿宋" w:cs="Times New Roman"/>
                      <w:color w:val="auto"/>
                      <w:sz w:val="18"/>
                      <w:szCs w:val="18"/>
                      <w:highlight w:val="none"/>
                      <w:lang w:val="en-US" w:eastAsia="zh-CN"/>
                    </w:rPr>
                    <w:t>0</w:t>
                  </w:r>
                  <w:r>
                    <w:rPr>
                      <w:rFonts w:hint="default" w:ascii="Times New Roman" w:hAnsi="Times New Roman" w:eastAsia="仿宋" w:cs="Times New Roman"/>
                      <w:color w:val="auto"/>
                      <w:sz w:val="18"/>
                      <w:szCs w:val="18"/>
                      <w:highlight w:val="none"/>
                      <w:lang w:val="en-US" w:eastAsia="zh-CN"/>
                    </w:rPr>
                    <w:t>9</w:t>
                  </w:r>
                  <w:r>
                    <w:rPr>
                      <w:rFonts w:hint="default" w:ascii="Times New Roman" w:hAnsi="Times New Roman" w:eastAsia="仿宋" w:cs="Times New Roman"/>
                      <w:color w:val="auto"/>
                      <w:sz w:val="18"/>
                      <w:szCs w:val="18"/>
                      <w:highlight w:val="none"/>
                    </w:rPr>
                    <w:t>-</w:t>
                  </w:r>
                  <w:r>
                    <w:rPr>
                      <w:rFonts w:hint="default" w:ascii="Times New Roman" w:hAnsi="Times New Roman" w:eastAsia="仿宋" w:cs="Times New Roman"/>
                      <w:color w:val="auto"/>
                      <w:sz w:val="18"/>
                      <w:szCs w:val="18"/>
                      <w:highlight w:val="none"/>
                      <w:lang w:val="en-US" w:eastAsia="zh-CN"/>
                    </w:rPr>
                    <w:t>59</w:t>
                  </w:r>
                </w:p>
              </w:tc>
              <w:tc>
                <w:tcPr>
                  <w:tcW w:w="532" w:type="pct"/>
                  <w:vMerge w:val="continue"/>
                  <w:noWrap w:val="0"/>
                  <w:vAlign w:val="center"/>
                </w:tcPr>
                <w:p w14:paraId="79E18FC8">
                  <w:pPr>
                    <w:spacing w:line="240" w:lineRule="auto"/>
                    <w:jc w:val="center"/>
                    <w:rPr>
                      <w:rFonts w:hint="default" w:ascii="Times New Roman" w:hAnsi="Times New Roman" w:eastAsia="仿宋" w:cs="Times New Roman"/>
                      <w:color w:val="auto"/>
                      <w:sz w:val="18"/>
                      <w:szCs w:val="18"/>
                      <w:highlight w:val="none"/>
                      <w:lang w:val="en-US" w:eastAsia="zh-CN"/>
                    </w:rPr>
                  </w:pPr>
                </w:p>
              </w:tc>
              <w:tc>
                <w:tcPr>
                  <w:tcW w:w="485" w:type="pct"/>
                  <w:vMerge w:val="continue"/>
                  <w:noWrap w:val="0"/>
                  <w:vAlign w:val="center"/>
                </w:tcPr>
                <w:p w14:paraId="05747DE7">
                  <w:pPr>
                    <w:spacing w:line="240" w:lineRule="auto"/>
                    <w:jc w:val="center"/>
                    <w:rPr>
                      <w:rFonts w:hint="default" w:ascii="Times New Roman" w:hAnsi="Times New Roman" w:eastAsia="仿宋" w:cs="Times New Roman"/>
                      <w:color w:val="auto"/>
                      <w:sz w:val="18"/>
                      <w:szCs w:val="18"/>
                      <w:lang w:val="en-US" w:eastAsia="zh-CN"/>
                    </w:rPr>
                  </w:pPr>
                </w:p>
              </w:tc>
              <w:tc>
                <w:tcPr>
                  <w:tcW w:w="1019" w:type="pct"/>
                  <w:noWrap w:val="0"/>
                  <w:vAlign w:val="center"/>
                </w:tcPr>
                <w:p w14:paraId="2574B185">
                  <w:pPr>
                    <w:spacing w:line="240" w:lineRule="auto"/>
                    <w:jc w:val="center"/>
                    <w:rPr>
                      <w:rFonts w:hint="default" w:ascii="Times New Roman" w:hAnsi="Times New Roman" w:eastAsia="仿宋" w:cs="Times New Roman"/>
                      <w:color w:val="auto"/>
                      <w:sz w:val="18"/>
                      <w:szCs w:val="18"/>
                      <w:lang w:val="en-US" w:eastAsia="zh-CN"/>
                    </w:rPr>
                  </w:pPr>
                  <w:r>
                    <w:rPr>
                      <w:rFonts w:hint="default" w:ascii="Times New Roman" w:hAnsi="Times New Roman" w:eastAsia="仿宋" w:cs="Times New Roman"/>
                      <w:color w:val="auto"/>
                      <w:sz w:val="18"/>
                      <w:szCs w:val="18"/>
                      <w:lang w:val="en-US" w:eastAsia="zh-CN"/>
                    </w:rPr>
                    <w:t>分区放置</w:t>
                  </w:r>
                </w:p>
              </w:tc>
              <w:tc>
                <w:tcPr>
                  <w:tcW w:w="554" w:type="pct"/>
                  <w:vMerge w:val="continue"/>
                  <w:noWrap w:val="0"/>
                  <w:vAlign w:val="center"/>
                </w:tcPr>
                <w:p w14:paraId="260E6469">
                  <w:pPr>
                    <w:spacing w:line="240" w:lineRule="auto"/>
                    <w:jc w:val="center"/>
                    <w:rPr>
                      <w:rFonts w:hint="default" w:ascii="Times New Roman" w:hAnsi="Times New Roman" w:eastAsia="仿宋" w:cs="Times New Roman"/>
                      <w:color w:val="auto"/>
                      <w:sz w:val="18"/>
                      <w:szCs w:val="18"/>
                      <w:lang w:val="en-US" w:eastAsia="zh-CN"/>
                    </w:rPr>
                  </w:pPr>
                </w:p>
              </w:tc>
              <w:tc>
                <w:tcPr>
                  <w:tcW w:w="425" w:type="pct"/>
                  <w:vMerge w:val="continue"/>
                  <w:noWrap w:val="0"/>
                  <w:vAlign w:val="center"/>
                </w:tcPr>
                <w:p w14:paraId="6E957319">
                  <w:pPr>
                    <w:spacing w:line="240" w:lineRule="auto"/>
                    <w:jc w:val="center"/>
                    <w:rPr>
                      <w:rFonts w:hint="default" w:ascii="Times New Roman" w:hAnsi="Times New Roman" w:eastAsia="仿宋" w:cs="Times New Roman"/>
                      <w:color w:val="auto"/>
                      <w:sz w:val="18"/>
                      <w:szCs w:val="18"/>
                      <w:lang w:val="en-US" w:eastAsia="zh-CN"/>
                    </w:rPr>
                  </w:pPr>
                </w:p>
              </w:tc>
            </w:tr>
            <w:tr w14:paraId="03106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457" w:type="pct"/>
                  <w:vMerge w:val="continue"/>
                  <w:noWrap w:val="0"/>
                  <w:vAlign w:val="center"/>
                </w:tcPr>
                <w:p w14:paraId="2DB5AC45">
                  <w:pPr>
                    <w:adjustRightInd w:val="0"/>
                    <w:snapToGrid w:val="0"/>
                    <w:spacing w:line="240" w:lineRule="auto"/>
                    <w:jc w:val="center"/>
                    <w:rPr>
                      <w:rFonts w:hint="default" w:ascii="Times New Roman" w:hAnsi="Times New Roman" w:eastAsia="仿宋" w:cs="Times New Roman"/>
                      <w:color w:val="auto"/>
                      <w:sz w:val="18"/>
                      <w:szCs w:val="18"/>
                    </w:rPr>
                  </w:pPr>
                </w:p>
              </w:tc>
              <w:tc>
                <w:tcPr>
                  <w:tcW w:w="573" w:type="pct"/>
                  <w:shd w:val="clear" w:color="auto" w:fill="auto"/>
                  <w:noWrap w:val="0"/>
                  <w:vAlign w:val="center"/>
                </w:tcPr>
                <w:p w14:paraId="5B4331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废包装材料</w:t>
                  </w:r>
                </w:p>
              </w:tc>
              <w:tc>
                <w:tcPr>
                  <w:tcW w:w="952" w:type="pct"/>
                  <w:shd w:val="clear" w:color="auto" w:fill="auto"/>
                  <w:noWrap w:val="0"/>
                  <w:vAlign w:val="center"/>
                </w:tcPr>
                <w:p w14:paraId="733FE3F1">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仿宋" w:cs="Times New Roman"/>
                      <w:color w:val="auto"/>
                      <w:kern w:val="2"/>
                      <w:sz w:val="18"/>
                      <w:szCs w:val="18"/>
                      <w:highlight w:val="none"/>
                      <w:lang w:val="en-US" w:eastAsia="zh-CN" w:bidi="ar-SA"/>
                    </w:rPr>
                  </w:pPr>
                  <w:r>
                    <w:rPr>
                      <w:rFonts w:hint="default" w:ascii="Times New Roman" w:hAnsi="Times New Roman" w:eastAsia="仿宋" w:cs="Times New Roman"/>
                      <w:color w:val="auto"/>
                      <w:sz w:val="18"/>
                      <w:szCs w:val="18"/>
                      <w:highlight w:val="none"/>
                      <w:lang w:val="en-US" w:eastAsia="zh-CN"/>
                    </w:rPr>
                    <w:t>S</w:t>
                  </w:r>
                  <w:r>
                    <w:rPr>
                      <w:rFonts w:hint="default" w:ascii="Times New Roman" w:hAnsi="Times New Roman" w:eastAsia="仿宋" w:cs="Times New Roman"/>
                      <w:color w:val="auto"/>
                      <w:sz w:val="18"/>
                      <w:szCs w:val="18"/>
                      <w:highlight w:val="none"/>
                    </w:rPr>
                    <w:t>W</w:t>
                  </w:r>
                  <w:r>
                    <w:rPr>
                      <w:rFonts w:hint="default" w:ascii="Times New Roman" w:hAnsi="Times New Roman" w:eastAsia="仿宋" w:cs="Times New Roman"/>
                      <w:color w:val="auto"/>
                      <w:sz w:val="18"/>
                      <w:szCs w:val="18"/>
                      <w:highlight w:val="none"/>
                      <w:lang w:val="en-US" w:eastAsia="zh-CN"/>
                    </w:rPr>
                    <w:t>17可再生类废物</w:t>
                  </w:r>
                  <w:r>
                    <w:rPr>
                      <w:rFonts w:hint="default" w:ascii="Times New Roman" w:hAnsi="Times New Roman" w:eastAsia="仿宋" w:cs="Times New Roman"/>
                      <w:color w:val="auto"/>
                      <w:sz w:val="18"/>
                      <w:szCs w:val="18"/>
                      <w:highlight w:val="none"/>
                    </w:rPr>
                    <w:t>900-0</w:t>
                  </w:r>
                  <w:r>
                    <w:rPr>
                      <w:rFonts w:hint="default" w:ascii="Times New Roman" w:hAnsi="Times New Roman" w:eastAsia="仿宋" w:cs="Times New Roman"/>
                      <w:color w:val="auto"/>
                      <w:sz w:val="18"/>
                      <w:szCs w:val="18"/>
                      <w:highlight w:val="none"/>
                      <w:lang w:val="en-US" w:eastAsia="zh-CN"/>
                    </w:rPr>
                    <w:t>03-17</w:t>
                  </w:r>
                </w:p>
              </w:tc>
              <w:tc>
                <w:tcPr>
                  <w:tcW w:w="532" w:type="pct"/>
                  <w:vMerge w:val="continue"/>
                  <w:noWrap w:val="0"/>
                  <w:vAlign w:val="center"/>
                </w:tcPr>
                <w:p w14:paraId="7B23654A">
                  <w:pPr>
                    <w:spacing w:line="240" w:lineRule="auto"/>
                    <w:jc w:val="center"/>
                    <w:rPr>
                      <w:rFonts w:hint="default" w:ascii="Times New Roman" w:hAnsi="Times New Roman" w:eastAsia="仿宋" w:cs="Times New Roman"/>
                      <w:color w:val="auto"/>
                      <w:sz w:val="18"/>
                      <w:szCs w:val="18"/>
                    </w:rPr>
                  </w:pPr>
                </w:p>
              </w:tc>
              <w:tc>
                <w:tcPr>
                  <w:tcW w:w="485" w:type="pct"/>
                  <w:vMerge w:val="continue"/>
                  <w:noWrap w:val="0"/>
                  <w:vAlign w:val="center"/>
                </w:tcPr>
                <w:p w14:paraId="69F88252">
                  <w:pPr>
                    <w:spacing w:line="240" w:lineRule="auto"/>
                    <w:jc w:val="center"/>
                    <w:rPr>
                      <w:rFonts w:hint="default" w:ascii="Times New Roman" w:hAnsi="Times New Roman" w:eastAsia="仿宋" w:cs="Times New Roman"/>
                      <w:color w:val="auto"/>
                      <w:sz w:val="18"/>
                      <w:szCs w:val="18"/>
                    </w:rPr>
                  </w:pPr>
                </w:p>
              </w:tc>
              <w:tc>
                <w:tcPr>
                  <w:tcW w:w="1019" w:type="pct"/>
                  <w:noWrap w:val="0"/>
                  <w:vAlign w:val="center"/>
                </w:tcPr>
                <w:p w14:paraId="5B31AA1B">
                  <w:pPr>
                    <w:spacing w:line="240" w:lineRule="auto"/>
                    <w:jc w:val="center"/>
                    <w:rPr>
                      <w:rFonts w:hint="default" w:ascii="Times New Roman" w:hAnsi="Times New Roman" w:eastAsia="仿宋" w:cs="Times New Roman"/>
                      <w:color w:val="auto"/>
                      <w:sz w:val="18"/>
                      <w:szCs w:val="18"/>
                    </w:rPr>
                  </w:pPr>
                  <w:r>
                    <w:rPr>
                      <w:rFonts w:hint="default" w:ascii="Times New Roman" w:hAnsi="Times New Roman" w:eastAsia="仿宋" w:cs="Times New Roman"/>
                      <w:color w:val="auto"/>
                      <w:sz w:val="18"/>
                      <w:szCs w:val="18"/>
                      <w:lang w:val="en-US" w:eastAsia="zh-CN"/>
                    </w:rPr>
                    <w:t>分区放置</w:t>
                  </w:r>
                </w:p>
              </w:tc>
              <w:tc>
                <w:tcPr>
                  <w:tcW w:w="554" w:type="pct"/>
                  <w:vMerge w:val="continue"/>
                  <w:noWrap w:val="0"/>
                  <w:vAlign w:val="center"/>
                </w:tcPr>
                <w:p w14:paraId="305F7A58">
                  <w:pPr>
                    <w:spacing w:line="240" w:lineRule="auto"/>
                    <w:jc w:val="center"/>
                    <w:rPr>
                      <w:rFonts w:hint="default" w:ascii="Times New Roman" w:hAnsi="Times New Roman" w:eastAsia="仿宋" w:cs="Times New Roman"/>
                      <w:color w:val="auto"/>
                      <w:sz w:val="18"/>
                      <w:szCs w:val="18"/>
                    </w:rPr>
                  </w:pPr>
                </w:p>
              </w:tc>
              <w:tc>
                <w:tcPr>
                  <w:tcW w:w="425" w:type="pct"/>
                  <w:vMerge w:val="continue"/>
                  <w:noWrap w:val="0"/>
                  <w:vAlign w:val="center"/>
                </w:tcPr>
                <w:p w14:paraId="5961A25C">
                  <w:pPr>
                    <w:spacing w:line="240" w:lineRule="auto"/>
                    <w:jc w:val="center"/>
                    <w:rPr>
                      <w:rFonts w:hint="default" w:ascii="Times New Roman" w:hAnsi="Times New Roman" w:eastAsia="仿宋" w:cs="Times New Roman"/>
                      <w:color w:val="auto"/>
                      <w:sz w:val="18"/>
                      <w:szCs w:val="18"/>
                    </w:rPr>
                  </w:pPr>
                </w:p>
              </w:tc>
            </w:tr>
          </w:tbl>
          <w:p w14:paraId="562A221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贮存能力可行性分析</w:t>
            </w:r>
            <w:r>
              <w:rPr>
                <w:rFonts w:hint="default" w:ascii="Times New Roman" w:hAnsi="Times New Roman" w:eastAsia="仿宋" w:cs="Times New Roman"/>
                <w:b/>
                <w:bCs/>
                <w:color w:val="auto"/>
                <w:sz w:val="24"/>
                <w:lang w:eastAsia="zh-CN"/>
              </w:rPr>
              <w:t>：</w:t>
            </w:r>
          </w:p>
          <w:p w14:paraId="20354DCE">
            <w:pPr>
              <w:adjustRightInd w:val="0"/>
              <w:snapToGrid w:val="0"/>
              <w:spacing w:line="360" w:lineRule="auto"/>
              <w:ind w:firstLine="480" w:firstLineChars="200"/>
              <w:jc w:val="both"/>
              <w:rPr>
                <w:rFonts w:hint="default" w:ascii="Times New Roman" w:hAnsi="Times New Roman" w:eastAsia="仿宋" w:cs="Times New Roman"/>
                <w:bCs/>
                <w:color w:val="auto"/>
                <w:spacing w:val="-6"/>
                <w:sz w:val="24"/>
              </w:rPr>
            </w:pPr>
            <w:r>
              <w:rPr>
                <w:rFonts w:hint="default" w:ascii="Times New Roman" w:hAnsi="Times New Roman" w:eastAsia="仿宋" w:cs="Times New Roman"/>
                <w:bCs/>
                <w:color w:val="auto"/>
                <w:sz w:val="24"/>
              </w:rPr>
              <w:t>本项目依托厂区现有的</w:t>
            </w:r>
            <w:r>
              <w:rPr>
                <w:rFonts w:hint="default" w:ascii="Times New Roman" w:hAnsi="Times New Roman" w:eastAsia="仿宋" w:cs="Times New Roman"/>
                <w:bCs/>
                <w:color w:val="auto"/>
                <w:sz w:val="24"/>
                <w:lang w:val="en-US" w:eastAsia="zh-CN"/>
              </w:rPr>
              <w:t>1个面积</w:t>
            </w:r>
            <w:r>
              <w:rPr>
                <w:rFonts w:hint="eastAsia" w:ascii="Times New Roman" w:hAnsi="Times New Roman" w:eastAsia="仿宋" w:cs="Times New Roman"/>
                <w:bCs/>
                <w:color w:val="auto"/>
                <w:sz w:val="24"/>
                <w:lang w:val="en-US" w:eastAsia="zh-CN"/>
              </w:rPr>
              <w:t>2</w:t>
            </w:r>
            <w:r>
              <w:rPr>
                <w:rFonts w:hint="default" w:ascii="Times New Roman" w:hAnsi="Times New Roman" w:eastAsia="仿宋" w:cs="Times New Roman"/>
                <w:bCs/>
                <w:color w:val="auto"/>
                <w:sz w:val="24"/>
                <w:lang w:val="en-US" w:eastAsia="zh-CN"/>
              </w:rPr>
              <w:t>0</w:t>
            </w:r>
            <w:r>
              <w:rPr>
                <w:rFonts w:hint="default" w:ascii="Times New Roman" w:hAnsi="Times New Roman" w:eastAsia="仿宋" w:cs="Times New Roman"/>
                <w:bCs/>
                <w:color w:val="auto"/>
                <w:sz w:val="24"/>
              </w:rPr>
              <w:t>m</w:t>
            </w:r>
            <w:r>
              <w:rPr>
                <w:rFonts w:hint="default" w:ascii="Times New Roman" w:hAnsi="Times New Roman" w:eastAsia="仿宋" w:cs="Times New Roman"/>
                <w:bCs/>
                <w:color w:val="auto"/>
                <w:sz w:val="24"/>
                <w:vertAlign w:val="superscript"/>
              </w:rPr>
              <w:t>2</w:t>
            </w:r>
            <w:r>
              <w:rPr>
                <w:rFonts w:hint="default" w:ascii="Times New Roman" w:hAnsi="Times New Roman" w:eastAsia="仿宋" w:cs="Times New Roman"/>
                <w:bCs/>
                <w:color w:val="auto"/>
                <w:sz w:val="24"/>
                <w:lang w:val="en-US" w:eastAsia="zh-CN"/>
              </w:rPr>
              <w:t>一般固废仓库</w:t>
            </w:r>
            <w:r>
              <w:rPr>
                <w:rFonts w:hint="default" w:ascii="Times New Roman" w:hAnsi="Times New Roman" w:eastAsia="仿宋" w:cs="Times New Roman"/>
                <w:bCs/>
                <w:color w:val="auto"/>
                <w:sz w:val="24"/>
              </w:rPr>
              <w:t>对</w:t>
            </w:r>
            <w:r>
              <w:rPr>
                <w:rFonts w:hint="eastAsia" w:ascii="Times New Roman" w:hAnsi="Times New Roman" w:eastAsia="仿宋" w:cs="Times New Roman"/>
                <w:bCs/>
                <w:color w:val="auto"/>
                <w:sz w:val="24"/>
                <w:lang w:val="en-US" w:eastAsia="zh-CN"/>
              </w:rPr>
              <w:t>废绒毛、废布袋、废包装材料</w:t>
            </w:r>
            <w:r>
              <w:rPr>
                <w:rFonts w:hint="default" w:ascii="Times New Roman" w:hAnsi="Times New Roman" w:eastAsia="仿宋" w:cs="Times New Roman"/>
                <w:bCs/>
                <w:color w:val="auto"/>
                <w:sz w:val="24"/>
              </w:rPr>
              <w:t>进行安全暂存。</w:t>
            </w:r>
          </w:p>
          <w:p w14:paraId="265CB1B3">
            <w:pPr>
              <w:spacing w:line="360" w:lineRule="auto"/>
              <w:ind w:firstLine="480" w:firstLineChars="200"/>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rPr>
              <w:t>根据一般</w:t>
            </w:r>
            <w:r>
              <w:rPr>
                <w:rFonts w:hint="default" w:ascii="Times New Roman" w:hAnsi="Times New Roman" w:eastAsia="仿宋" w:cs="Times New Roman"/>
                <w:bCs/>
                <w:color w:val="auto"/>
                <w:sz w:val="24"/>
                <w:highlight w:val="none"/>
                <w:lang w:val="en-US" w:eastAsia="zh-CN"/>
              </w:rPr>
              <w:t>工业</w:t>
            </w:r>
            <w:r>
              <w:rPr>
                <w:rFonts w:hint="default" w:ascii="Times New Roman" w:hAnsi="Times New Roman" w:eastAsia="仿宋" w:cs="Times New Roman"/>
                <w:bCs/>
                <w:color w:val="auto"/>
                <w:sz w:val="24"/>
                <w:highlight w:val="none"/>
              </w:rPr>
              <w:t>固废的特性及产生量等因素，合理安排在厂区内的贮存周期，</w:t>
            </w:r>
            <w:r>
              <w:rPr>
                <w:rFonts w:hint="default" w:ascii="Times New Roman" w:hAnsi="Times New Roman" w:eastAsia="仿宋" w:cs="Times New Roman"/>
                <w:color w:val="auto"/>
                <w:sz w:val="24"/>
                <w:highlight w:val="none"/>
              </w:rPr>
              <w:t>仓库内</w:t>
            </w:r>
            <w:r>
              <w:rPr>
                <w:rFonts w:hint="default" w:ascii="Times New Roman" w:hAnsi="Times New Roman" w:eastAsia="仿宋" w:cs="Times New Roman"/>
                <w:color w:val="auto"/>
                <w:sz w:val="24"/>
                <w:highlight w:val="none"/>
                <w:lang w:val="en-US" w:eastAsia="zh-CN"/>
              </w:rPr>
              <w:t>一般工业固废</w:t>
            </w:r>
            <w:r>
              <w:rPr>
                <w:rFonts w:hint="default" w:ascii="Times New Roman" w:hAnsi="Times New Roman" w:eastAsia="仿宋" w:cs="Times New Roman"/>
                <w:color w:val="auto"/>
                <w:sz w:val="24"/>
                <w:highlight w:val="none"/>
              </w:rPr>
              <w:t>均一层堆放，</w:t>
            </w:r>
            <w:r>
              <w:rPr>
                <w:rFonts w:hint="default" w:ascii="Times New Roman" w:hAnsi="Times New Roman" w:eastAsia="仿宋" w:cs="Times New Roman"/>
                <w:color w:val="auto"/>
                <w:sz w:val="24"/>
                <w:highlight w:val="none"/>
                <w:lang w:val="en-US" w:eastAsia="zh-CN"/>
              </w:rPr>
              <w:t>一般固废</w:t>
            </w:r>
            <w:r>
              <w:rPr>
                <w:rFonts w:hint="default" w:ascii="Times New Roman" w:hAnsi="Times New Roman" w:eastAsia="仿宋" w:cs="Times New Roman"/>
                <w:color w:val="auto"/>
                <w:sz w:val="24"/>
                <w:highlight w:val="none"/>
              </w:rPr>
              <w:t>仓库贮存容量以1t/m</w:t>
            </w:r>
            <w:r>
              <w:rPr>
                <w:rFonts w:hint="default" w:ascii="Times New Roman" w:hAnsi="Times New Roman" w:eastAsia="仿宋" w:cs="Times New Roman"/>
                <w:color w:val="auto"/>
                <w:sz w:val="24"/>
                <w:highlight w:val="none"/>
                <w:vertAlign w:val="superscript"/>
              </w:rPr>
              <w:t>2</w:t>
            </w:r>
            <w:r>
              <w:rPr>
                <w:rFonts w:hint="default" w:ascii="Times New Roman" w:hAnsi="Times New Roman" w:eastAsia="仿宋" w:cs="Times New Roman"/>
                <w:color w:val="auto"/>
                <w:sz w:val="24"/>
                <w:highlight w:val="none"/>
              </w:rPr>
              <w:t>计</w:t>
            </w:r>
            <w:r>
              <w:rPr>
                <w:rFonts w:hint="default" w:ascii="Times New Roman" w:hAnsi="Times New Roman" w:eastAsia="仿宋" w:cs="Times New Roman"/>
                <w:color w:val="auto"/>
                <w:sz w:val="24"/>
                <w:highlight w:val="none"/>
                <w:lang w:eastAsia="zh-CN"/>
              </w:rPr>
              <w:t>，</w:t>
            </w:r>
            <w:r>
              <w:rPr>
                <w:rFonts w:hint="default" w:ascii="Times New Roman" w:hAnsi="Times New Roman" w:eastAsia="仿宋" w:cs="Times New Roman"/>
                <w:color w:val="auto"/>
                <w:sz w:val="24"/>
                <w:highlight w:val="none"/>
              </w:rPr>
              <w:t>则</w:t>
            </w:r>
            <w:r>
              <w:rPr>
                <w:rFonts w:hint="default" w:ascii="Times New Roman" w:hAnsi="Times New Roman" w:eastAsia="仿宋" w:cs="Times New Roman"/>
                <w:color w:val="auto"/>
                <w:sz w:val="24"/>
                <w:highlight w:val="none"/>
                <w:lang w:val="en-US" w:eastAsia="zh-CN"/>
              </w:rPr>
              <w:t>1t一般工业固废</w:t>
            </w:r>
            <w:r>
              <w:rPr>
                <w:rFonts w:hint="default" w:ascii="Times New Roman" w:hAnsi="Times New Roman" w:eastAsia="仿宋" w:cs="Times New Roman"/>
                <w:color w:val="auto"/>
                <w:sz w:val="24"/>
                <w:highlight w:val="none"/>
              </w:rPr>
              <w:t>最大储存面积为</w:t>
            </w:r>
            <w:r>
              <w:rPr>
                <w:rFonts w:hint="default" w:ascii="Times New Roman" w:hAnsi="Times New Roman" w:eastAsia="仿宋" w:cs="Times New Roman"/>
                <w:color w:val="auto"/>
                <w:sz w:val="24"/>
                <w:highlight w:val="none"/>
                <w:lang w:val="en-US" w:eastAsia="zh-CN"/>
              </w:rPr>
              <w:t>1</w:t>
            </w:r>
            <w:r>
              <w:rPr>
                <w:rFonts w:hint="default" w:ascii="Times New Roman" w:hAnsi="Times New Roman" w:eastAsia="仿宋" w:cs="Times New Roman"/>
                <w:color w:val="auto"/>
                <w:sz w:val="24"/>
                <w:highlight w:val="none"/>
              </w:rPr>
              <w:t>m</w:t>
            </w:r>
            <w:r>
              <w:rPr>
                <w:rFonts w:hint="default" w:ascii="Times New Roman" w:hAnsi="Times New Roman" w:eastAsia="仿宋" w:cs="Times New Roman"/>
                <w:color w:val="auto"/>
                <w:sz w:val="24"/>
                <w:highlight w:val="none"/>
                <w:vertAlign w:val="superscript"/>
              </w:rPr>
              <w:t>2</w:t>
            </w:r>
            <w:r>
              <w:rPr>
                <w:rFonts w:hint="default" w:ascii="Times New Roman" w:hAnsi="Times New Roman" w:eastAsia="仿宋" w:cs="Times New Roman"/>
                <w:color w:val="auto"/>
                <w:sz w:val="24"/>
                <w:highlight w:val="none"/>
              </w:rPr>
              <w:t>。企业在</w:t>
            </w:r>
            <w:r>
              <w:rPr>
                <w:rFonts w:hint="default" w:ascii="Times New Roman" w:hAnsi="Times New Roman" w:eastAsia="仿宋" w:cs="Times New Roman"/>
                <w:bCs/>
                <w:color w:val="auto"/>
                <w:sz w:val="24"/>
                <w:highlight w:val="none"/>
                <w:lang w:val="en-US" w:eastAsia="zh-CN"/>
              </w:rPr>
              <w:t>一楼车间中部设置的</w:t>
            </w:r>
            <w:r>
              <w:rPr>
                <w:rFonts w:hint="default" w:ascii="Times New Roman" w:hAnsi="Times New Roman" w:eastAsia="仿宋" w:cs="Times New Roman"/>
                <w:color w:val="auto"/>
                <w:sz w:val="24"/>
                <w:highlight w:val="none"/>
                <w:lang w:val="en-US" w:eastAsia="zh-CN"/>
              </w:rPr>
              <w:t>一般固废仓库面积为</w:t>
            </w:r>
            <w:r>
              <w:rPr>
                <w:rFonts w:hint="eastAsia" w:ascii="Times New Roman" w:hAnsi="Times New Roman" w:eastAsia="仿宋" w:cs="Times New Roman"/>
                <w:color w:val="auto"/>
                <w:sz w:val="24"/>
                <w:highlight w:val="none"/>
                <w:lang w:val="en-US" w:eastAsia="zh-CN"/>
              </w:rPr>
              <w:t>2</w:t>
            </w:r>
            <w:r>
              <w:rPr>
                <w:rFonts w:hint="default" w:ascii="Times New Roman" w:hAnsi="Times New Roman" w:eastAsia="仿宋" w:cs="Times New Roman"/>
                <w:color w:val="auto"/>
                <w:sz w:val="24"/>
                <w:highlight w:val="none"/>
                <w:lang w:val="en-US" w:eastAsia="zh-CN"/>
              </w:rPr>
              <w:t>0</w:t>
            </w:r>
            <w:r>
              <w:rPr>
                <w:rFonts w:hint="default" w:ascii="Times New Roman" w:hAnsi="Times New Roman" w:eastAsia="仿宋" w:cs="Times New Roman"/>
                <w:color w:val="auto"/>
                <w:sz w:val="24"/>
                <w:highlight w:val="none"/>
              </w:rPr>
              <w:t>m</w:t>
            </w:r>
            <w:r>
              <w:rPr>
                <w:rFonts w:hint="default" w:ascii="Times New Roman" w:hAnsi="Times New Roman" w:eastAsia="仿宋" w:cs="Times New Roman"/>
                <w:color w:val="auto"/>
                <w:sz w:val="24"/>
                <w:highlight w:val="none"/>
                <w:vertAlign w:val="superscript"/>
              </w:rPr>
              <w:t>2</w:t>
            </w:r>
            <w:r>
              <w:rPr>
                <w:rFonts w:hint="default" w:ascii="Times New Roman" w:hAnsi="Times New Roman" w:eastAsia="仿宋" w:cs="Times New Roman"/>
                <w:color w:val="auto"/>
                <w:sz w:val="24"/>
                <w:highlight w:val="none"/>
                <w:lang w:val="en-US" w:eastAsia="zh-CN"/>
              </w:rPr>
              <w:t>，</w:t>
            </w:r>
            <w:r>
              <w:rPr>
                <w:rFonts w:hint="default" w:ascii="Times New Roman" w:hAnsi="Times New Roman" w:eastAsia="仿宋" w:cs="Times New Roman"/>
                <w:bCs/>
                <w:color w:val="auto"/>
                <w:sz w:val="24"/>
                <w:highlight w:val="none"/>
              </w:rPr>
              <w:t>考虑到进出口、过道等，有效存储面积按80%计算，则有效存储面积为</w:t>
            </w:r>
            <w:r>
              <w:rPr>
                <w:rFonts w:hint="eastAsia" w:ascii="Times New Roman" w:hAnsi="Times New Roman" w:eastAsia="仿宋" w:cs="Times New Roman"/>
                <w:bCs/>
                <w:color w:val="auto"/>
                <w:sz w:val="24"/>
                <w:highlight w:val="none"/>
                <w:vertAlign w:val="baseline"/>
                <w:lang w:val="en-US" w:eastAsia="zh-CN"/>
              </w:rPr>
              <w:t>16</w:t>
            </w:r>
            <w:r>
              <w:rPr>
                <w:rFonts w:hint="default" w:ascii="Times New Roman" w:hAnsi="Times New Roman" w:eastAsia="仿宋" w:cs="Times New Roman"/>
                <w:bCs/>
                <w:color w:val="auto"/>
                <w:sz w:val="24"/>
                <w:highlight w:val="none"/>
              </w:rPr>
              <w:t>m</w:t>
            </w:r>
            <w:r>
              <w:rPr>
                <w:rFonts w:hint="default" w:ascii="Times New Roman" w:hAnsi="Times New Roman" w:eastAsia="仿宋" w:cs="Times New Roman"/>
                <w:bCs/>
                <w:color w:val="auto"/>
                <w:sz w:val="24"/>
                <w:highlight w:val="none"/>
                <w:vertAlign w:val="superscript"/>
              </w:rPr>
              <w:t>2</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color w:val="auto"/>
                <w:sz w:val="24"/>
                <w:lang w:val="en-US" w:eastAsia="zh-CN"/>
              </w:rPr>
              <w:t>最大储存量</w:t>
            </w:r>
            <w:r>
              <w:rPr>
                <w:rFonts w:hint="default" w:ascii="Times New Roman" w:hAnsi="Times New Roman" w:eastAsia="仿宋" w:cs="Times New Roman"/>
                <w:bCs/>
                <w:color w:val="auto"/>
                <w:sz w:val="24"/>
                <w:highlight w:val="none"/>
                <w:lang w:val="en-US" w:eastAsia="zh-CN"/>
              </w:rPr>
              <w:t>为</w:t>
            </w:r>
            <w:r>
              <w:rPr>
                <w:rFonts w:hint="eastAsia" w:ascii="Times New Roman" w:hAnsi="Times New Roman" w:eastAsia="仿宋" w:cs="Times New Roman"/>
                <w:bCs/>
                <w:color w:val="auto"/>
                <w:sz w:val="24"/>
                <w:highlight w:val="none"/>
                <w:lang w:val="en-US" w:eastAsia="zh-CN"/>
              </w:rPr>
              <w:t>16</w:t>
            </w:r>
            <w:r>
              <w:rPr>
                <w:rFonts w:hint="default" w:ascii="Times New Roman" w:hAnsi="Times New Roman" w:eastAsia="仿宋" w:cs="Times New Roman"/>
                <w:bCs/>
                <w:color w:val="auto"/>
                <w:sz w:val="24"/>
                <w:highlight w:val="none"/>
                <w:lang w:val="en-US" w:eastAsia="zh-CN"/>
              </w:rPr>
              <w:t>t。</w:t>
            </w:r>
            <w:r>
              <w:rPr>
                <w:rFonts w:hint="default" w:ascii="Times New Roman" w:hAnsi="Times New Roman" w:eastAsia="仿宋" w:cs="Times New Roman"/>
                <w:bCs/>
                <w:color w:val="0000FF"/>
                <w:sz w:val="24"/>
                <w:highlight w:val="none"/>
                <w:lang w:val="en-US" w:eastAsia="zh-CN"/>
              </w:rPr>
              <w:t>企业</w:t>
            </w:r>
            <w:r>
              <w:rPr>
                <w:rFonts w:hint="eastAsia" w:eastAsia="仿宋" w:cs="Times New Roman"/>
                <w:bCs/>
                <w:color w:val="0000FF"/>
                <w:sz w:val="24"/>
                <w:highlight w:val="none"/>
                <w:lang w:val="en-US" w:eastAsia="zh-CN"/>
              </w:rPr>
              <w:t>全厂</w:t>
            </w:r>
            <w:r>
              <w:rPr>
                <w:rFonts w:hint="default" w:ascii="Times New Roman" w:hAnsi="Times New Roman" w:eastAsia="仿宋" w:cs="Times New Roman"/>
                <w:bCs/>
                <w:color w:val="0000FF"/>
                <w:sz w:val="24"/>
                <w:highlight w:val="none"/>
                <w:lang w:val="en-US" w:eastAsia="zh-CN"/>
              </w:rPr>
              <w:t>一般固废</w:t>
            </w:r>
            <w:r>
              <w:rPr>
                <w:rFonts w:hint="eastAsia" w:eastAsia="仿宋" w:cs="Times New Roman"/>
                <w:bCs/>
                <w:color w:val="0000FF"/>
                <w:sz w:val="24"/>
                <w:highlight w:val="none"/>
                <w:lang w:val="en-US" w:eastAsia="zh-CN"/>
              </w:rPr>
              <w:t>最大</w:t>
            </w:r>
            <w:r>
              <w:rPr>
                <w:rFonts w:hint="default" w:ascii="Times New Roman" w:hAnsi="Times New Roman" w:eastAsia="仿宋" w:cs="Times New Roman"/>
                <w:bCs/>
                <w:color w:val="0000FF"/>
                <w:sz w:val="24"/>
                <w:highlight w:val="none"/>
                <w:lang w:val="en-US" w:eastAsia="zh-CN"/>
              </w:rPr>
              <w:t>暂存量约</w:t>
            </w:r>
            <w:r>
              <w:rPr>
                <w:rFonts w:hint="eastAsia" w:eastAsia="仿宋" w:cs="Times New Roman"/>
                <w:bCs/>
                <w:color w:val="0000FF"/>
                <w:sz w:val="24"/>
                <w:highlight w:val="none"/>
                <w:lang w:val="en-US" w:eastAsia="zh-CN"/>
              </w:rPr>
              <w:t>1.38</w:t>
            </w:r>
            <w:r>
              <w:rPr>
                <w:rFonts w:hint="default" w:ascii="Times New Roman" w:hAnsi="Times New Roman" w:eastAsia="仿宋" w:cs="Times New Roman"/>
                <w:bCs/>
                <w:color w:val="0000FF"/>
                <w:sz w:val="24"/>
                <w:highlight w:val="none"/>
                <w:lang w:eastAsia="zh-CN"/>
              </w:rPr>
              <w:t>t</w:t>
            </w:r>
            <w:r>
              <w:rPr>
                <w:rFonts w:hint="default" w:ascii="Times New Roman" w:hAnsi="Times New Roman" w:eastAsia="仿宋" w:cs="Times New Roman"/>
                <w:bCs/>
                <w:color w:val="0000FF"/>
                <w:sz w:val="24"/>
                <w:highlight w:val="none"/>
                <w:lang w:val="en-US" w:eastAsia="zh-CN"/>
              </w:rPr>
              <w:t>/</w:t>
            </w:r>
            <w:r>
              <w:rPr>
                <w:rFonts w:hint="default" w:ascii="Times New Roman" w:hAnsi="Times New Roman" w:eastAsia="仿宋" w:cs="Times New Roman"/>
                <w:bCs/>
                <w:color w:val="0000FF"/>
                <w:sz w:val="24"/>
                <w:highlight w:val="none"/>
                <w:lang w:eastAsia="zh-CN"/>
              </w:rPr>
              <w:t>a，</w:t>
            </w:r>
            <w:r>
              <w:rPr>
                <w:rFonts w:hint="eastAsia" w:eastAsia="仿宋" w:cs="Times New Roman"/>
                <w:bCs/>
                <w:color w:val="0000FF"/>
                <w:sz w:val="24"/>
                <w:highlight w:val="none"/>
                <w:lang w:val="en-US" w:eastAsia="zh-CN"/>
              </w:rPr>
              <w:t>所以全厂一般固废占地面积为2m</w:t>
            </w:r>
            <w:r>
              <w:rPr>
                <w:rFonts w:hint="eastAsia" w:eastAsia="仿宋" w:cs="Times New Roman"/>
                <w:bCs/>
                <w:color w:val="0000FF"/>
                <w:sz w:val="24"/>
                <w:highlight w:val="none"/>
                <w:vertAlign w:val="superscript"/>
                <w:lang w:val="en-US" w:eastAsia="zh-CN"/>
              </w:rPr>
              <w:t>2</w:t>
            </w:r>
            <w:r>
              <w:rPr>
                <w:rFonts w:hint="default" w:ascii="Times New Roman" w:hAnsi="Times New Roman" w:eastAsia="仿宋" w:cs="Times New Roman"/>
                <w:bCs/>
                <w:color w:val="0000FF"/>
                <w:sz w:val="24"/>
                <w:highlight w:val="none"/>
                <w:lang w:val="en-US" w:eastAsia="zh-CN"/>
              </w:rPr>
              <w:t>，因此，现有一般固废仓库可满足暂存需求</w:t>
            </w:r>
            <w:r>
              <w:rPr>
                <w:rFonts w:hint="default" w:ascii="Times New Roman" w:hAnsi="Times New Roman" w:eastAsia="仿宋" w:cs="Times New Roman"/>
                <w:bCs/>
                <w:color w:val="auto"/>
                <w:sz w:val="24"/>
                <w:highlight w:val="none"/>
                <w:lang w:val="en-US" w:eastAsia="zh-CN"/>
              </w:rPr>
              <w:t>。</w:t>
            </w:r>
          </w:p>
          <w:p w14:paraId="59F039DC">
            <w:pPr>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综上所述，</w:t>
            </w:r>
            <w:r>
              <w:rPr>
                <w:rFonts w:hint="default" w:ascii="Times New Roman" w:hAnsi="Times New Roman" w:eastAsia="仿宋" w:cs="Times New Roman"/>
                <w:bCs/>
                <w:color w:val="auto"/>
                <w:sz w:val="24"/>
                <w:highlight w:val="none"/>
                <w:lang w:val="en-US" w:eastAsia="zh-CN"/>
              </w:rPr>
              <w:t>本</w:t>
            </w:r>
            <w:r>
              <w:rPr>
                <w:rFonts w:hint="default" w:ascii="Times New Roman" w:hAnsi="Times New Roman" w:eastAsia="仿宋" w:cs="Times New Roman"/>
                <w:bCs/>
                <w:color w:val="auto"/>
                <w:sz w:val="24"/>
                <w:highlight w:val="none"/>
              </w:rPr>
              <w:t>项目产生的各项固废均可得到有效处置，固废污染防治措施可行，对周围环境影响较小。</w:t>
            </w:r>
          </w:p>
          <w:p w14:paraId="6405195A">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rPr>
              <w:t>）生活垃圾</w:t>
            </w:r>
          </w:p>
          <w:p w14:paraId="7DECD826">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本项目职工生活垃圾</w:t>
            </w:r>
            <w:r>
              <w:rPr>
                <w:rFonts w:hint="default" w:ascii="Times New Roman" w:hAnsi="Times New Roman" w:eastAsia="仿宋" w:cs="Times New Roman"/>
                <w:color w:val="auto"/>
                <w:sz w:val="24"/>
                <w:highlight w:val="none"/>
                <w:lang w:val="en-US" w:eastAsia="zh-CN"/>
              </w:rPr>
              <w:t>1.2</w:t>
            </w:r>
            <w:r>
              <w:rPr>
                <w:rFonts w:hint="default" w:ascii="Times New Roman" w:hAnsi="Times New Roman" w:eastAsia="仿宋" w:cs="Times New Roman"/>
                <w:color w:val="auto"/>
                <w:sz w:val="24"/>
                <w:highlight w:val="none"/>
              </w:rPr>
              <w:t>t/a，由环卫部门定期清运，可得到有效处置。</w:t>
            </w:r>
          </w:p>
          <w:p w14:paraId="1E527743">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bCs/>
                <w:color w:val="auto"/>
                <w:sz w:val="24"/>
                <w:highlight w:val="none"/>
              </w:rPr>
              <w:t>综上，本项目产生的各类固废均可得到有效处置，固废污染防治措施可行，对周围环境影响较小。</w:t>
            </w:r>
          </w:p>
          <w:p w14:paraId="72854704">
            <w:pPr>
              <w:adjustRightInd w:val="0"/>
              <w:snapToGrid w:val="0"/>
              <w:spacing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五、地下水及土壤</w:t>
            </w:r>
          </w:p>
          <w:p w14:paraId="7CC1E467">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1、污染源和影响途径</w:t>
            </w:r>
          </w:p>
          <w:p w14:paraId="07CB4B23">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本项目可能造成土壤和地下水污染影响的区域有：原料仓库、生产车间（涉及使用胶粘剂、润滑油、液压油各工艺）、危废仓库</w:t>
            </w:r>
            <w:r>
              <w:rPr>
                <w:rFonts w:hint="eastAsia" w:eastAsia="仿宋" w:cs="Times New Roman"/>
                <w:bCs/>
                <w:color w:val="auto"/>
                <w:sz w:val="24"/>
                <w:highlight w:val="none"/>
                <w:lang w:val="en-US" w:eastAsia="zh-CN"/>
              </w:rPr>
              <w:t>、</w:t>
            </w:r>
            <w:r>
              <w:rPr>
                <w:rFonts w:hint="eastAsia" w:eastAsia="仿宋" w:cs="Times New Roman"/>
                <w:bCs/>
                <w:color w:val="0000FF"/>
                <w:sz w:val="24"/>
                <w:highlight w:val="none"/>
                <w:lang w:val="en-US" w:eastAsia="zh-CN"/>
              </w:rPr>
              <w:t>水旋除尘器</w:t>
            </w:r>
            <w:r>
              <w:rPr>
                <w:rFonts w:hint="eastAsia" w:eastAsia="仿宋" w:cs="Times New Roman"/>
                <w:bCs/>
                <w:color w:val="auto"/>
                <w:sz w:val="24"/>
                <w:highlight w:val="none"/>
                <w:lang w:val="en-US" w:eastAsia="zh-CN"/>
              </w:rPr>
              <w:t>区域</w:t>
            </w:r>
            <w:r>
              <w:rPr>
                <w:rFonts w:hint="default" w:ascii="Times New Roman" w:hAnsi="Times New Roman" w:eastAsia="仿宋" w:cs="Times New Roman"/>
                <w:bCs/>
                <w:color w:val="auto"/>
                <w:sz w:val="24"/>
                <w:highlight w:val="none"/>
                <w:lang w:val="en-US" w:eastAsia="zh-CN"/>
              </w:rPr>
              <w:t>。可能的污染途径为：液体原辅料、危险废物在装卸、贮存、使用、输</w:t>
            </w:r>
            <w:r>
              <w:rPr>
                <w:rFonts w:hint="default" w:ascii="Times New Roman" w:hAnsi="Times New Roman" w:eastAsia="仿宋" w:cs="Times New Roman"/>
                <w:bCs/>
                <w:color w:val="auto"/>
                <w:sz w:val="24"/>
                <w:highlight w:val="none"/>
              </w:rPr>
              <w:t>送过程中发生倾覆或者包装容器、输送管道破损，由此导致危险物质发生泄漏，泄漏后渗入到泄漏区附近的土壤和地下水中，从而发生污染事故。</w:t>
            </w:r>
          </w:p>
          <w:p w14:paraId="2E392391">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2、防渗原则</w:t>
            </w:r>
          </w:p>
          <w:p w14:paraId="41CBC4FC">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针对本项目可能发生的土壤和地下水污染，土壤及地下水污染防治措施按照“源头控制、末端防治、应急响应”相结合的原则，企业危废仓库</w:t>
            </w:r>
            <w:r>
              <w:rPr>
                <w:rFonts w:hint="eastAsia" w:ascii="Times New Roman" w:hAnsi="Times New Roman" w:eastAsia="仿宋" w:cs="Times New Roman"/>
                <w:bCs/>
                <w:color w:val="auto"/>
                <w:sz w:val="24"/>
                <w:highlight w:val="none"/>
                <w:lang w:val="en-US" w:eastAsia="zh-CN"/>
              </w:rPr>
              <w:t>等</w:t>
            </w:r>
            <w:r>
              <w:rPr>
                <w:rFonts w:hint="default" w:ascii="Times New Roman" w:hAnsi="Times New Roman" w:eastAsia="仿宋" w:cs="Times New Roman"/>
                <w:bCs/>
                <w:color w:val="auto"/>
                <w:sz w:val="24"/>
                <w:highlight w:val="none"/>
              </w:rPr>
              <w:t>处均需要进行防腐、防渗设计。为减少对土壤及地下水的影响，本项目应从污染物的产生、入渗、扩散、应急响应全阶段进行控制。</w:t>
            </w:r>
          </w:p>
          <w:p w14:paraId="32ECDA93">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（1）源头控制原则</w:t>
            </w:r>
          </w:p>
          <w:p w14:paraId="5CF7A3B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源头控制主要包括在工艺、管理、设备采取相应措施，防止和降低污染物跑、冒、滴、漏，将污染物泄漏的环境风险事故降到最低程度。</w:t>
            </w:r>
          </w:p>
          <w:p w14:paraId="6B917108">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（2）末端控制措施原则</w:t>
            </w:r>
          </w:p>
          <w:p w14:paraId="47BF321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末端控制措施主要包括厂内污染区地面的防渗措施和泄漏、渗漏污染物收集措施，即在污染区地面进行防渗处理，防止洒落地面的污染物渗入地下。</w:t>
            </w:r>
          </w:p>
          <w:p w14:paraId="7FFC2134">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（3）分区管理和控制原则</w:t>
            </w:r>
          </w:p>
          <w:p w14:paraId="11F6AC8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分区管理和控制原则，即根据场址所在地的工程地质、水文地质条件和全厂可能发生泄漏的物料性质、排放量并参照相应标准要求有针对性的分区，并分别设计地面防渗层结构。</w:t>
            </w:r>
          </w:p>
          <w:p w14:paraId="63818321">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3、土壤及地下水污染防治措施</w:t>
            </w:r>
          </w:p>
          <w:p w14:paraId="6E4B180E">
            <w:pPr>
              <w:adjustRightInd w:val="0"/>
              <w:snapToGrid w:val="0"/>
              <w:spacing w:line="360" w:lineRule="auto"/>
              <w:ind w:firstLine="480" w:firstLineChars="200"/>
              <w:rPr>
                <w:rFonts w:hint="default" w:ascii="Times New Roman" w:hAnsi="Times New Roman" w:eastAsia="仿宋" w:cs="Times New Roman"/>
                <w:bCs/>
                <w:sz w:val="24"/>
              </w:rPr>
            </w:pPr>
            <w:r>
              <w:rPr>
                <w:rFonts w:hint="default" w:ascii="Times New Roman" w:hAnsi="Times New Roman" w:eastAsia="仿宋" w:cs="Times New Roman"/>
                <w:bCs/>
                <w:color w:val="auto"/>
                <w:sz w:val="24"/>
                <w:highlight w:val="none"/>
              </w:rPr>
              <w:t>（1）</w:t>
            </w:r>
            <w:r>
              <w:rPr>
                <w:rFonts w:hint="default" w:ascii="Times New Roman" w:hAnsi="Times New Roman" w:eastAsia="仿宋" w:cs="Times New Roman"/>
                <w:bCs/>
                <w:sz w:val="24"/>
              </w:rPr>
              <w:t>为了防止各类污染物泄漏造成地下水污染，应从原料产品储存、装卸、运输、生产过程等全过程控制各种有毒有害原辅材料、中间材料、产品泄漏（含跑、冒、滴、漏），同时对有害物质可能泄漏到地面的区域采取防渗措施，阻止其渗入地下水中，即从源头到末端全方位采取控制措施。</w:t>
            </w:r>
          </w:p>
          <w:p w14:paraId="339517F6">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sz w:val="24"/>
              </w:rPr>
              <w:t>（2）根据本项目可能泄漏至地面区域污染物的性质和生产单元的构筑方式，将厂区划分为重点污染防治区、一般污染防治区和非污染防治区。</w:t>
            </w:r>
          </w:p>
          <w:p w14:paraId="3562F6F9">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重点污染防治区：本项目重点污染防治区主要为</w:t>
            </w:r>
            <w:r>
              <w:rPr>
                <w:rFonts w:hint="default" w:ascii="Times New Roman" w:hAnsi="Times New Roman" w:eastAsia="仿宋" w:cs="Times New Roman"/>
                <w:bCs/>
                <w:color w:val="auto"/>
                <w:sz w:val="24"/>
                <w:highlight w:val="none"/>
                <w:lang w:val="en-US" w:eastAsia="zh-CN"/>
              </w:rPr>
              <w:t>生产车间</w:t>
            </w:r>
            <w:r>
              <w:rPr>
                <w:rFonts w:hint="default" w:ascii="Times New Roman" w:hAnsi="Times New Roman" w:eastAsia="仿宋" w:cs="Times New Roman"/>
                <w:bCs/>
                <w:color w:val="auto"/>
                <w:sz w:val="24"/>
                <w:highlight w:val="none"/>
              </w:rPr>
              <w:t>涉及</w:t>
            </w:r>
            <w:r>
              <w:rPr>
                <w:rFonts w:hint="default" w:ascii="Times New Roman" w:hAnsi="Times New Roman" w:eastAsia="仿宋" w:cs="Times New Roman"/>
                <w:bCs/>
                <w:color w:val="auto"/>
                <w:sz w:val="24"/>
                <w:highlight w:val="none"/>
                <w:lang w:val="en-US" w:eastAsia="zh-CN"/>
              </w:rPr>
              <w:t>液体原料</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原料仓库</w:t>
            </w:r>
            <w:r>
              <w:rPr>
                <w:rFonts w:hint="default" w:ascii="Times New Roman" w:hAnsi="Times New Roman" w:eastAsia="仿宋" w:cs="Times New Roman"/>
                <w:bCs/>
                <w:color w:val="auto"/>
                <w:sz w:val="24"/>
                <w:highlight w:val="none"/>
              </w:rPr>
              <w:t>、危废仓库所在区域</w:t>
            </w:r>
            <w:r>
              <w:rPr>
                <w:rFonts w:hint="eastAsia" w:eastAsia="仿宋" w:cs="Times New Roman"/>
                <w:bCs/>
                <w:color w:val="auto"/>
                <w:sz w:val="24"/>
                <w:highlight w:val="none"/>
                <w:lang w:eastAsia="zh-CN"/>
              </w:rPr>
              <w:t>、</w:t>
            </w:r>
            <w:r>
              <w:rPr>
                <w:rFonts w:hint="eastAsia" w:eastAsia="仿宋" w:cs="Times New Roman"/>
                <w:bCs/>
                <w:color w:val="0000FF"/>
                <w:sz w:val="24"/>
                <w:highlight w:val="none"/>
                <w:lang w:val="en-US" w:eastAsia="zh-CN"/>
              </w:rPr>
              <w:t>水旋除尘器</w:t>
            </w:r>
            <w:r>
              <w:rPr>
                <w:rFonts w:hint="eastAsia" w:eastAsia="仿宋" w:cs="Times New Roman"/>
                <w:bCs/>
                <w:color w:val="auto"/>
                <w:sz w:val="24"/>
                <w:highlight w:val="none"/>
                <w:lang w:val="en-US" w:eastAsia="zh-CN"/>
              </w:rPr>
              <w:t>区域</w:t>
            </w:r>
            <w:r>
              <w:rPr>
                <w:rFonts w:hint="default" w:ascii="Times New Roman" w:hAnsi="Times New Roman" w:eastAsia="仿宋" w:cs="Times New Roman"/>
                <w:bCs/>
                <w:color w:val="auto"/>
                <w:sz w:val="24"/>
                <w:highlight w:val="none"/>
              </w:rPr>
              <w:t>。</w:t>
            </w:r>
          </w:p>
          <w:p w14:paraId="6AF0C872">
            <w:pPr>
              <w:adjustRightInd w:val="0"/>
              <w:snapToGrid w:val="0"/>
              <w:spacing w:line="360" w:lineRule="auto"/>
              <w:ind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一般污染防治区：本项目一般污染防治区主要为其他生产区域。</w:t>
            </w:r>
          </w:p>
          <w:p w14:paraId="365618F2">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sz w:val="24"/>
              </w:rPr>
              <w:t>非污染防治区：本项目非污染防治区为办公所在区域。</w:t>
            </w:r>
          </w:p>
          <w:p w14:paraId="6655B495">
            <w:pPr>
              <w:adjustRightInd w:val="0"/>
              <w:snapToGrid w:val="0"/>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default" w:ascii="Times New Roman" w:hAnsi="Times New Roman" w:eastAsia="仿宋" w:cs="Times New Roman"/>
                <w:b/>
                <w:color w:val="auto"/>
                <w:sz w:val="24"/>
                <w:highlight w:val="none"/>
                <w:lang w:val="en-US" w:eastAsia="zh-CN"/>
              </w:rPr>
              <w:t>3</w:t>
            </w:r>
            <w:r>
              <w:rPr>
                <w:rFonts w:hint="eastAsia" w:eastAsia="仿宋" w:cs="Times New Roman"/>
                <w:b/>
                <w:color w:val="auto"/>
                <w:sz w:val="24"/>
                <w:highlight w:val="none"/>
                <w:lang w:val="en-US" w:eastAsia="zh-CN"/>
              </w:rPr>
              <w:t>8</w:t>
            </w:r>
            <w:r>
              <w:rPr>
                <w:rFonts w:hint="default" w:ascii="Times New Roman" w:hAnsi="Times New Roman" w:eastAsia="仿宋" w:cs="Times New Roman"/>
                <w:b/>
                <w:color w:val="auto"/>
                <w:sz w:val="24"/>
                <w:highlight w:val="none"/>
              </w:rPr>
              <w:t xml:space="preserve">  本项目污染防治分区划分及防渗要求</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3408"/>
              <w:gridCol w:w="3461"/>
            </w:tblGrid>
            <w:tr w14:paraId="3ECCC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pct"/>
                  <w:noWrap w:val="0"/>
                  <w:vAlign w:val="center"/>
                </w:tcPr>
                <w:p w14:paraId="2C254D00">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分区类别</w:t>
                  </w:r>
                </w:p>
              </w:tc>
              <w:tc>
                <w:tcPr>
                  <w:tcW w:w="2028" w:type="pct"/>
                  <w:noWrap w:val="0"/>
                  <w:vAlign w:val="center"/>
                </w:tcPr>
                <w:p w14:paraId="22EFF702">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分区位置</w:t>
                  </w:r>
                </w:p>
              </w:tc>
              <w:tc>
                <w:tcPr>
                  <w:tcW w:w="2059" w:type="pct"/>
                  <w:noWrap w:val="0"/>
                  <w:vAlign w:val="center"/>
                </w:tcPr>
                <w:p w14:paraId="17C88598">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防渗技术要求</w:t>
                  </w:r>
                </w:p>
              </w:tc>
            </w:tr>
            <w:tr w14:paraId="7797E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1" w:type="dxa"/>
                  <w:noWrap w:val="0"/>
                  <w:vAlign w:val="center"/>
                </w:tcPr>
                <w:p w14:paraId="2ECA327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重点防渗区</w:t>
                  </w:r>
                </w:p>
              </w:tc>
              <w:tc>
                <w:tcPr>
                  <w:tcW w:w="3408" w:type="dxa"/>
                  <w:noWrap w:val="0"/>
                  <w:vAlign w:val="center"/>
                </w:tcPr>
                <w:p w14:paraId="00C8EA6D">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bCs/>
                      <w:szCs w:val="21"/>
                      <w:lang w:val="en-US" w:eastAsia="zh-CN"/>
                    </w:rPr>
                    <w:t>生产车间</w:t>
                  </w:r>
                  <w:r>
                    <w:rPr>
                      <w:rFonts w:hint="default" w:ascii="Times New Roman" w:hAnsi="Times New Roman" w:eastAsia="仿宋" w:cs="Times New Roman"/>
                      <w:bCs/>
                      <w:szCs w:val="21"/>
                    </w:rPr>
                    <w:t>、危废仓库</w:t>
                  </w:r>
                  <w:r>
                    <w:rPr>
                      <w:rFonts w:hint="default" w:ascii="Times New Roman" w:hAnsi="Times New Roman" w:eastAsia="仿宋" w:cs="Times New Roman"/>
                      <w:bCs/>
                      <w:szCs w:val="21"/>
                      <w:lang w:eastAsia="zh-CN"/>
                    </w:rPr>
                    <w:t>、</w:t>
                  </w:r>
                  <w:r>
                    <w:rPr>
                      <w:rFonts w:hint="default" w:ascii="Times New Roman" w:hAnsi="Times New Roman" w:eastAsia="仿宋" w:cs="Times New Roman"/>
                      <w:bCs/>
                      <w:szCs w:val="21"/>
                      <w:lang w:val="en-US" w:eastAsia="zh-CN"/>
                    </w:rPr>
                    <w:t>原料仓库</w:t>
                  </w:r>
                  <w:r>
                    <w:rPr>
                      <w:rFonts w:hint="default" w:ascii="Times New Roman" w:hAnsi="Times New Roman" w:eastAsia="仿宋" w:cs="Times New Roman"/>
                      <w:bCs/>
                      <w:szCs w:val="21"/>
                    </w:rPr>
                    <w:t>所在区域</w:t>
                  </w:r>
                  <w:r>
                    <w:rPr>
                      <w:rFonts w:hint="eastAsia" w:eastAsia="仿宋" w:cs="Times New Roman"/>
                      <w:bCs/>
                      <w:szCs w:val="21"/>
                      <w:lang w:eastAsia="zh-CN"/>
                    </w:rPr>
                    <w:t>、</w:t>
                  </w:r>
                  <w:r>
                    <w:rPr>
                      <w:rFonts w:hint="eastAsia" w:eastAsia="仿宋" w:cs="Times New Roman"/>
                      <w:bCs/>
                      <w:color w:val="0000FF"/>
                      <w:szCs w:val="21"/>
                      <w:lang w:val="en-US" w:eastAsia="zh-CN"/>
                    </w:rPr>
                    <w:t>水旋除尘器</w:t>
                  </w:r>
                  <w:r>
                    <w:rPr>
                      <w:rFonts w:hint="eastAsia" w:eastAsia="仿宋" w:cs="Times New Roman"/>
                      <w:bCs/>
                      <w:szCs w:val="21"/>
                      <w:lang w:val="en-US" w:eastAsia="zh-CN"/>
                    </w:rPr>
                    <w:t>区域</w:t>
                  </w:r>
                </w:p>
              </w:tc>
              <w:tc>
                <w:tcPr>
                  <w:tcW w:w="2059" w:type="pct"/>
                  <w:noWrap w:val="0"/>
                  <w:vAlign w:val="center"/>
                </w:tcPr>
                <w:p w14:paraId="1BB942B1">
                  <w:pPr>
                    <w:ind w:left="-105" w:leftChars="-50" w:right="-105" w:rightChars="-5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渗透系数≤10</w:t>
                  </w:r>
                  <w:r>
                    <w:rPr>
                      <w:rFonts w:hint="default" w:ascii="Times New Roman" w:hAnsi="Times New Roman" w:eastAsia="仿宋" w:cs="Times New Roman"/>
                      <w:color w:val="auto"/>
                      <w:szCs w:val="21"/>
                      <w:highlight w:val="none"/>
                      <w:vertAlign w:val="superscript"/>
                    </w:rPr>
                    <w:t>-10</w:t>
                  </w:r>
                  <w:r>
                    <w:rPr>
                      <w:rFonts w:hint="default" w:ascii="Times New Roman" w:hAnsi="Times New Roman" w:eastAsia="仿宋" w:cs="Times New Roman"/>
                      <w:color w:val="auto"/>
                      <w:szCs w:val="21"/>
                      <w:highlight w:val="none"/>
                    </w:rPr>
                    <w:t>cm/s，等效粘土防渗层不小于6m。</w:t>
                  </w:r>
                </w:p>
              </w:tc>
            </w:tr>
            <w:tr w14:paraId="4E30E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1" w:type="dxa"/>
                  <w:noWrap w:val="0"/>
                  <w:vAlign w:val="center"/>
                </w:tcPr>
                <w:p w14:paraId="2591CB56">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一般防渗区</w:t>
                  </w:r>
                </w:p>
              </w:tc>
              <w:tc>
                <w:tcPr>
                  <w:tcW w:w="3408" w:type="dxa"/>
                  <w:noWrap w:val="0"/>
                  <w:vAlign w:val="center"/>
                </w:tcPr>
                <w:p w14:paraId="16D2C0AF">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车间其他生产区域</w:t>
                  </w:r>
                </w:p>
              </w:tc>
              <w:tc>
                <w:tcPr>
                  <w:tcW w:w="2059" w:type="pct"/>
                  <w:noWrap w:val="0"/>
                  <w:vAlign w:val="center"/>
                </w:tcPr>
                <w:p w14:paraId="6EB37358">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渗透系数≤10</w:t>
                  </w:r>
                  <w:r>
                    <w:rPr>
                      <w:rFonts w:hint="default" w:ascii="Times New Roman" w:hAnsi="Times New Roman" w:eastAsia="仿宋" w:cs="Times New Roman"/>
                      <w:color w:val="auto"/>
                      <w:szCs w:val="21"/>
                      <w:highlight w:val="none"/>
                      <w:vertAlign w:val="superscript"/>
                    </w:rPr>
                    <w:t>-7</w:t>
                  </w:r>
                  <w:r>
                    <w:rPr>
                      <w:rFonts w:hint="default" w:ascii="Times New Roman" w:hAnsi="Times New Roman" w:eastAsia="仿宋" w:cs="Times New Roman"/>
                      <w:color w:val="auto"/>
                      <w:szCs w:val="21"/>
                      <w:highlight w:val="none"/>
                    </w:rPr>
                    <w:t>cm/s，等效粘土防渗层不小于1.5m厚粘土层</w:t>
                  </w:r>
                </w:p>
              </w:tc>
            </w:tr>
            <w:tr w14:paraId="247D7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31" w:type="dxa"/>
                  <w:noWrap w:val="0"/>
                  <w:vAlign w:val="center"/>
                </w:tcPr>
                <w:p w14:paraId="6DDCBB07">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简单防渗区</w:t>
                  </w:r>
                </w:p>
              </w:tc>
              <w:tc>
                <w:tcPr>
                  <w:tcW w:w="3408" w:type="dxa"/>
                  <w:noWrap w:val="0"/>
                  <w:vAlign w:val="center"/>
                </w:tcPr>
                <w:p w14:paraId="7DD1F1AA">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szCs w:val="21"/>
                    </w:rPr>
                    <w:t>办公所在区域</w:t>
                  </w:r>
                </w:p>
              </w:tc>
              <w:tc>
                <w:tcPr>
                  <w:tcW w:w="2059" w:type="pct"/>
                  <w:noWrap w:val="0"/>
                  <w:vAlign w:val="center"/>
                </w:tcPr>
                <w:p w14:paraId="72398436">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一般地面硬化</w:t>
                  </w:r>
                </w:p>
              </w:tc>
            </w:tr>
          </w:tbl>
          <w:p w14:paraId="613E9A4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仿宋" w:cs="Times New Roman"/>
                <w:color w:val="auto"/>
                <w:sz w:val="24"/>
                <w:highlight w:val="none"/>
                <w:lang w:eastAsia="zh-CN"/>
              </w:rPr>
            </w:pPr>
            <w:r>
              <w:rPr>
                <w:rFonts w:hint="default" w:ascii="Times New Roman" w:hAnsi="Times New Roman" w:eastAsia="仿宋" w:cs="Times New Roman"/>
                <w:color w:val="auto"/>
                <w:sz w:val="24"/>
                <w:highlight w:val="none"/>
              </w:rPr>
              <w:t>本项目重点防渗区域防渗层剖面图如下</w:t>
            </w:r>
            <w:r>
              <w:rPr>
                <w:rFonts w:hint="default" w:ascii="Times New Roman" w:hAnsi="Times New Roman" w:eastAsia="仿宋" w:cs="Times New Roman"/>
                <w:color w:val="auto"/>
                <w:sz w:val="24"/>
                <w:highlight w:val="none"/>
                <w:lang w:eastAsia="zh-CN"/>
              </w:rPr>
              <w:t>：</w:t>
            </w:r>
          </w:p>
          <w:p w14:paraId="5E99FBB9">
            <w:pPr>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highlight w:val="none"/>
              </w:rPr>
              <w:drawing>
                <wp:inline distT="0" distB="0" distL="114300" distR="114300">
                  <wp:extent cx="2848610" cy="1701800"/>
                  <wp:effectExtent l="0" t="0" r="8890" b="12700"/>
                  <wp:docPr id="31"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9"/>
                          <pic:cNvPicPr>
                            <a:picLocks noChangeAspect="1"/>
                          </pic:cNvPicPr>
                        </pic:nvPicPr>
                        <pic:blipFill>
                          <a:blip r:embed="rId68"/>
                          <a:stretch>
                            <a:fillRect/>
                          </a:stretch>
                        </pic:blipFill>
                        <pic:spPr>
                          <a:xfrm>
                            <a:off x="0" y="0"/>
                            <a:ext cx="2848610" cy="1701800"/>
                          </a:xfrm>
                          <a:prstGeom prst="rect">
                            <a:avLst/>
                          </a:prstGeom>
                          <a:noFill/>
                          <a:ln>
                            <a:noFill/>
                          </a:ln>
                        </pic:spPr>
                      </pic:pic>
                    </a:graphicData>
                  </a:graphic>
                </wp:inline>
              </w:drawing>
            </w:r>
          </w:p>
          <w:p w14:paraId="6C072B1B">
            <w:pPr>
              <w:tabs>
                <w:tab w:val="left" w:pos="3972"/>
              </w:tabs>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图4-</w:t>
            </w:r>
            <w:r>
              <w:rPr>
                <w:rFonts w:hint="eastAsia" w:eastAsia="仿宋" w:cs="Times New Roman"/>
                <w:b/>
                <w:color w:val="auto"/>
                <w:sz w:val="24"/>
                <w:highlight w:val="none"/>
                <w:lang w:val="en-US" w:eastAsia="zh-CN"/>
              </w:rPr>
              <w:t>5</w:t>
            </w:r>
            <w:r>
              <w:rPr>
                <w:rFonts w:hint="default" w:ascii="Times New Roman" w:hAnsi="Times New Roman" w:eastAsia="仿宋" w:cs="Times New Roman"/>
                <w:b/>
                <w:color w:val="auto"/>
                <w:sz w:val="24"/>
                <w:highlight w:val="none"/>
              </w:rPr>
              <w:t xml:space="preserve">  重点区域防渗层剖面图</w:t>
            </w:r>
          </w:p>
          <w:p w14:paraId="38555289">
            <w:pPr>
              <w:adjustRightInd w:val="0"/>
              <w:snapToGrid w:val="0"/>
              <w:spacing w:before="120" w:beforeLines="50"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4、要求</w:t>
            </w:r>
          </w:p>
          <w:p w14:paraId="6833493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w:t>
            </w:r>
            <w:r>
              <w:rPr>
                <w:rFonts w:hint="default" w:ascii="Times New Roman" w:hAnsi="Times New Roman" w:eastAsia="仿宋" w:cs="Times New Roman"/>
                <w:bCs/>
                <w:sz w:val="24"/>
              </w:rPr>
              <w:t>厂区必须严格的按国家标准要求进行防渗处理工作，特别是对土壤及地下水危害性较大的车间</w:t>
            </w:r>
            <w:r>
              <w:rPr>
                <w:rFonts w:hint="default" w:ascii="Times New Roman" w:hAnsi="Times New Roman" w:eastAsia="仿宋" w:cs="Times New Roman"/>
                <w:bCs/>
                <w:sz w:val="24"/>
                <w:lang w:eastAsia="zh-CN"/>
              </w:rPr>
              <w:t>、</w:t>
            </w:r>
            <w:r>
              <w:rPr>
                <w:rFonts w:hint="default" w:ascii="Times New Roman" w:hAnsi="Times New Roman" w:eastAsia="仿宋" w:cs="Times New Roman"/>
                <w:bCs/>
                <w:sz w:val="24"/>
              </w:rPr>
              <w:t>原料</w:t>
            </w:r>
            <w:r>
              <w:rPr>
                <w:rFonts w:hint="default" w:ascii="Times New Roman" w:hAnsi="Times New Roman" w:eastAsia="仿宋" w:cs="Times New Roman"/>
                <w:bCs/>
                <w:sz w:val="24"/>
                <w:lang w:val="en-US" w:eastAsia="zh-CN"/>
              </w:rPr>
              <w:t>仓库</w:t>
            </w:r>
            <w:r>
              <w:rPr>
                <w:rFonts w:hint="default" w:ascii="Times New Roman" w:hAnsi="Times New Roman" w:eastAsia="仿宋" w:cs="Times New Roman"/>
                <w:bCs/>
                <w:sz w:val="24"/>
              </w:rPr>
              <w:t>、危废仓库</w:t>
            </w:r>
            <w:r>
              <w:rPr>
                <w:rFonts w:hint="eastAsia" w:eastAsia="仿宋" w:cs="Times New Roman"/>
                <w:bCs/>
                <w:sz w:val="24"/>
                <w:lang w:eastAsia="zh-CN"/>
              </w:rPr>
              <w:t>、</w:t>
            </w:r>
            <w:r>
              <w:rPr>
                <w:rFonts w:hint="eastAsia" w:eastAsia="仿宋" w:cs="Times New Roman"/>
                <w:bCs/>
                <w:color w:val="0000FF"/>
                <w:sz w:val="24"/>
                <w:lang w:val="en-US" w:eastAsia="zh-CN"/>
              </w:rPr>
              <w:t>水旋除尘器</w:t>
            </w:r>
            <w:r>
              <w:rPr>
                <w:rFonts w:hint="default" w:ascii="Times New Roman" w:hAnsi="Times New Roman" w:eastAsia="仿宋" w:cs="Times New Roman"/>
                <w:bCs/>
                <w:sz w:val="24"/>
              </w:rPr>
              <w:t>所在区域进行重点特殊防渗、防腐处理。</w:t>
            </w:r>
          </w:p>
          <w:p w14:paraId="78C5272D">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（2）防渗处理工作过程中应加强监督管理，对混凝土等防渗材料的质量以及施工质量进行严格检查，防渗工程施工完成后应对其进行验收，确保防渗工程达到预期效果，确保生产过程中废水无渗漏。</w:t>
            </w:r>
          </w:p>
          <w:p w14:paraId="3EE6F4F6">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w:t>
            </w:r>
            <w:r>
              <w:rPr>
                <w:rFonts w:hint="default" w:ascii="Times New Roman" w:hAnsi="Times New Roman" w:eastAsia="仿宋" w:cs="Times New Roman"/>
                <w:bCs/>
                <w:sz w:val="24"/>
              </w:rPr>
              <w:t>加强日常管理和巡视，对化学品包装进行定期检查，减少生产过程中跑冒滴漏的现象发生。</w:t>
            </w:r>
          </w:p>
          <w:p w14:paraId="2C21C372">
            <w:pPr>
              <w:adjustRightInd w:val="0"/>
              <w:snapToGrid w:val="0"/>
              <w:spacing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六、生态</w:t>
            </w:r>
          </w:p>
          <w:p w14:paraId="6D9DBE48">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w:t>
            </w:r>
            <w:r>
              <w:rPr>
                <w:rFonts w:hint="eastAsia" w:eastAsia="仿宋" w:cs="Times New Roman"/>
                <w:bCs/>
                <w:color w:val="auto"/>
                <w:sz w:val="24"/>
                <w:highlight w:val="none"/>
                <w:lang w:val="en-US" w:eastAsia="zh-CN"/>
              </w:rPr>
              <w:t>购置</w:t>
            </w:r>
            <w:r>
              <w:rPr>
                <w:rFonts w:hint="default" w:ascii="Times New Roman" w:hAnsi="Times New Roman" w:eastAsia="仿宋" w:cs="Times New Roman"/>
                <w:bCs/>
                <w:color w:val="auto"/>
                <w:sz w:val="24"/>
                <w:highlight w:val="none"/>
                <w:lang w:val="en-US" w:eastAsia="zh-CN"/>
              </w:rPr>
              <w:t>现有厂房进行生产</w:t>
            </w:r>
            <w:r>
              <w:rPr>
                <w:rFonts w:hint="default" w:ascii="Times New Roman" w:hAnsi="Times New Roman" w:eastAsia="仿宋" w:cs="Times New Roman"/>
                <w:bCs/>
                <w:color w:val="auto"/>
                <w:sz w:val="24"/>
                <w:highlight w:val="none"/>
              </w:rPr>
              <w:t>，不需新建建筑物，因此不会改变现有土地利用的格局，也不会对现有景观造成破坏，更不会引起水土流失，不涉及生态环境影响，故不涉及生态污染防治措施。</w:t>
            </w:r>
          </w:p>
          <w:p w14:paraId="7C656B8F">
            <w:pPr>
              <w:numPr>
                <w:ilvl w:val="0"/>
                <w:numId w:val="12"/>
              </w:numPr>
              <w:adjustRightInd w:val="0"/>
              <w:snapToGrid w:val="0"/>
              <w:spacing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环境风险</w:t>
            </w:r>
          </w:p>
          <w:p w14:paraId="0B0D3031">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1、风险源调查</w:t>
            </w:r>
          </w:p>
          <w:p w14:paraId="7114190C">
            <w:pPr>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根据《建设项目环境风险评价技术导则》（HJ 169-2018）附录B，本项目涉及的危险物质数量及分布情况见下表。</w:t>
            </w:r>
          </w:p>
          <w:p w14:paraId="18F6F02A">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default" w:ascii="Times New Roman" w:hAnsi="Times New Roman" w:eastAsia="仿宋" w:cs="Times New Roman"/>
                <w:b/>
                <w:bCs/>
                <w:color w:val="auto"/>
                <w:sz w:val="24"/>
                <w:highlight w:val="none"/>
                <w:lang w:val="en-US" w:eastAsia="zh-CN"/>
              </w:rPr>
              <w:t>3</w:t>
            </w:r>
            <w:r>
              <w:rPr>
                <w:rFonts w:hint="eastAsia" w:eastAsia="仿宋" w:cs="Times New Roman"/>
                <w:b/>
                <w:bCs/>
                <w:color w:val="auto"/>
                <w:sz w:val="24"/>
                <w:highlight w:val="none"/>
                <w:lang w:val="en-US" w:eastAsia="zh-CN"/>
              </w:rPr>
              <w:t>9</w:t>
            </w:r>
            <w:r>
              <w:rPr>
                <w:rFonts w:hint="default" w:ascii="Times New Roman" w:hAnsi="Times New Roman" w:eastAsia="仿宋" w:cs="Times New Roman"/>
                <w:b/>
                <w:bCs/>
                <w:color w:val="auto"/>
                <w:sz w:val="24"/>
                <w:highlight w:val="none"/>
              </w:rPr>
              <w:t xml:space="preserve">  </w:t>
            </w:r>
            <w:r>
              <w:rPr>
                <w:rFonts w:hint="default" w:ascii="Times New Roman" w:hAnsi="Times New Roman" w:eastAsia="仿宋" w:cs="Times New Roman"/>
                <w:b/>
                <w:bCs/>
                <w:color w:val="auto"/>
                <w:sz w:val="24"/>
                <w:highlight w:val="none"/>
                <w:lang w:val="en-US" w:eastAsia="zh-CN"/>
              </w:rPr>
              <w:t>本项目</w:t>
            </w:r>
            <w:r>
              <w:rPr>
                <w:rFonts w:hint="default" w:ascii="Times New Roman" w:hAnsi="Times New Roman" w:eastAsia="仿宋" w:cs="Times New Roman"/>
                <w:b/>
                <w:bCs/>
                <w:color w:val="auto"/>
                <w:sz w:val="24"/>
                <w:highlight w:val="none"/>
              </w:rPr>
              <w:t>涉及的主要危险物质数量及分布情况</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57"/>
              <w:gridCol w:w="2079"/>
              <w:gridCol w:w="2370"/>
              <w:gridCol w:w="1851"/>
              <w:gridCol w:w="1443"/>
            </w:tblGrid>
            <w:tr w14:paraId="34700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91" w:type="pct"/>
                  <w:noWrap w:val="0"/>
                  <w:vAlign w:val="center"/>
                </w:tcPr>
                <w:p w14:paraId="4CED0A47">
                  <w:pPr>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序号</w:t>
                  </w:r>
                </w:p>
              </w:tc>
              <w:tc>
                <w:tcPr>
                  <w:tcW w:w="1237" w:type="pct"/>
                  <w:noWrap w:val="0"/>
                  <w:vAlign w:val="center"/>
                </w:tcPr>
                <w:p w14:paraId="5629FC84">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kern w:val="0"/>
                      <w:szCs w:val="21"/>
                      <w:highlight w:val="none"/>
                    </w:rPr>
                    <w:t>原料名称</w:t>
                  </w:r>
                </w:p>
              </w:tc>
              <w:tc>
                <w:tcPr>
                  <w:tcW w:w="1410" w:type="pct"/>
                  <w:noWrap w:val="0"/>
                  <w:vAlign w:val="center"/>
                </w:tcPr>
                <w:p w14:paraId="03A594FE">
                  <w:pPr>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szCs w:val="21"/>
                      <w:highlight w:val="none"/>
                      <w:lang w:val="en-GB"/>
                    </w:rPr>
                    <w:t>年使用量/产生量（t/a）</w:t>
                  </w:r>
                </w:p>
              </w:tc>
              <w:tc>
                <w:tcPr>
                  <w:tcW w:w="1101" w:type="pct"/>
                  <w:noWrap w:val="0"/>
                  <w:vAlign w:val="center"/>
                </w:tcPr>
                <w:p w14:paraId="6DDE8EC4">
                  <w:pPr>
                    <w:jc w:val="center"/>
                    <w:rPr>
                      <w:rFonts w:hint="default" w:ascii="Times New Roman" w:hAnsi="Times New Roman" w:eastAsia="仿宋" w:cs="Times New Roman"/>
                      <w:b/>
                      <w:bCs/>
                      <w:color w:val="auto"/>
                      <w:szCs w:val="21"/>
                      <w:highlight w:val="none"/>
                      <w:lang w:val="en-GB"/>
                    </w:rPr>
                  </w:pPr>
                  <w:r>
                    <w:rPr>
                      <w:rFonts w:hint="default" w:ascii="Times New Roman" w:hAnsi="Times New Roman" w:eastAsia="仿宋" w:cs="Times New Roman"/>
                      <w:b/>
                      <w:bCs/>
                      <w:color w:val="auto"/>
                      <w:szCs w:val="21"/>
                      <w:highlight w:val="none"/>
                      <w:lang w:val="en-GB"/>
                    </w:rPr>
                    <w:t>最大储存量（t）</w:t>
                  </w:r>
                </w:p>
              </w:tc>
              <w:tc>
                <w:tcPr>
                  <w:tcW w:w="858" w:type="pct"/>
                  <w:noWrap w:val="0"/>
                  <w:vAlign w:val="center"/>
                </w:tcPr>
                <w:p w14:paraId="300320C7">
                  <w:pPr>
                    <w:jc w:val="center"/>
                    <w:rPr>
                      <w:rFonts w:hint="default" w:ascii="Times New Roman" w:hAnsi="Times New Roman" w:eastAsia="仿宋" w:cs="Times New Roman"/>
                      <w:b/>
                      <w:bCs/>
                      <w:color w:val="auto"/>
                      <w:szCs w:val="21"/>
                      <w:highlight w:val="none"/>
                      <w:lang w:val="en-GB"/>
                    </w:rPr>
                  </w:pPr>
                  <w:r>
                    <w:rPr>
                      <w:rFonts w:hint="default" w:ascii="Times New Roman" w:hAnsi="Times New Roman" w:eastAsia="仿宋" w:cs="Times New Roman"/>
                      <w:b/>
                      <w:bCs/>
                      <w:color w:val="auto"/>
                      <w:szCs w:val="21"/>
                      <w:highlight w:val="none"/>
                      <w:lang w:val="en-GB"/>
                    </w:rPr>
                    <w:t>存储位置</w:t>
                  </w:r>
                </w:p>
              </w:tc>
            </w:tr>
            <w:tr w14:paraId="1967A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91" w:type="pct"/>
                  <w:noWrap w:val="0"/>
                  <w:vAlign w:val="center"/>
                </w:tcPr>
                <w:p w14:paraId="1AE34653">
                  <w:pPr>
                    <w:numPr>
                      <w:ilvl w:val="0"/>
                      <w:numId w:val="0"/>
                    </w:numPr>
                    <w:ind w:left="0" w:leftChars="0"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1</w:t>
                  </w:r>
                </w:p>
              </w:tc>
              <w:tc>
                <w:tcPr>
                  <w:tcW w:w="1237" w:type="pct"/>
                  <w:noWrap w:val="0"/>
                  <w:vAlign w:val="center"/>
                </w:tcPr>
                <w:p w14:paraId="2516883B">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000000"/>
                      <w:kern w:val="0"/>
                      <w:szCs w:val="21"/>
                      <w:lang w:val="en-US" w:eastAsia="zh-CN"/>
                    </w:rPr>
                    <w:t>胶粘剂</w:t>
                  </w:r>
                </w:p>
              </w:tc>
              <w:tc>
                <w:tcPr>
                  <w:tcW w:w="1410" w:type="pct"/>
                  <w:noWrap w:val="0"/>
                  <w:vAlign w:val="center"/>
                </w:tcPr>
                <w:p w14:paraId="66A168BA">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2.7</w:t>
                  </w:r>
                </w:p>
              </w:tc>
              <w:tc>
                <w:tcPr>
                  <w:tcW w:w="1101" w:type="pct"/>
                  <w:noWrap w:val="0"/>
                  <w:vAlign w:val="center"/>
                </w:tcPr>
                <w:p w14:paraId="3AC5DA04">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0.25</w:t>
                  </w:r>
                </w:p>
              </w:tc>
              <w:tc>
                <w:tcPr>
                  <w:tcW w:w="858" w:type="pct"/>
                  <w:vMerge w:val="restart"/>
                  <w:noWrap w:val="0"/>
                  <w:vAlign w:val="center"/>
                </w:tcPr>
                <w:p w14:paraId="575D7383">
                  <w:pPr>
                    <w:jc w:val="cente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原料仓库</w:t>
                  </w:r>
                </w:p>
              </w:tc>
            </w:tr>
            <w:tr w14:paraId="3E507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91" w:type="pct"/>
                  <w:noWrap w:val="0"/>
                  <w:vAlign w:val="center"/>
                </w:tcPr>
                <w:p w14:paraId="50EAC405">
                  <w:pPr>
                    <w:numPr>
                      <w:ilvl w:val="0"/>
                      <w:numId w:val="0"/>
                    </w:numPr>
                    <w:ind w:left="0" w:leftChars="0"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2</w:t>
                  </w:r>
                </w:p>
              </w:tc>
              <w:tc>
                <w:tcPr>
                  <w:tcW w:w="1237" w:type="pct"/>
                  <w:noWrap w:val="0"/>
                  <w:vAlign w:val="center"/>
                </w:tcPr>
                <w:p w14:paraId="4EE0E069">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000000"/>
                      <w:kern w:val="0"/>
                      <w:szCs w:val="21"/>
                      <w:lang w:val="en-US" w:eastAsia="zh-CN"/>
                    </w:rPr>
                    <w:t>润滑油</w:t>
                  </w:r>
                </w:p>
              </w:tc>
              <w:tc>
                <w:tcPr>
                  <w:tcW w:w="1410" w:type="pct"/>
                  <w:noWrap w:val="0"/>
                  <w:vAlign w:val="center"/>
                </w:tcPr>
                <w:p w14:paraId="26EC0BA0">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0.2</w:t>
                  </w:r>
                </w:p>
              </w:tc>
              <w:tc>
                <w:tcPr>
                  <w:tcW w:w="1101" w:type="pct"/>
                  <w:noWrap w:val="0"/>
                  <w:vAlign w:val="center"/>
                </w:tcPr>
                <w:p w14:paraId="3F60B9DA">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0.05</w:t>
                  </w:r>
                </w:p>
              </w:tc>
              <w:tc>
                <w:tcPr>
                  <w:tcW w:w="858" w:type="pct"/>
                  <w:vMerge w:val="continue"/>
                  <w:noWrap w:val="0"/>
                  <w:vAlign w:val="center"/>
                </w:tcPr>
                <w:p w14:paraId="675EA02A">
                  <w:pPr>
                    <w:jc w:val="center"/>
                    <w:rPr>
                      <w:rFonts w:hint="default" w:ascii="Times New Roman" w:hAnsi="Times New Roman" w:eastAsia="仿宋" w:cs="Times New Roman"/>
                      <w:bCs/>
                      <w:color w:val="auto"/>
                      <w:szCs w:val="21"/>
                      <w:highlight w:val="none"/>
                      <w:lang w:val="en-GB"/>
                    </w:rPr>
                  </w:pPr>
                </w:p>
              </w:tc>
            </w:tr>
            <w:tr w14:paraId="62125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91" w:type="pct"/>
                  <w:noWrap w:val="0"/>
                  <w:vAlign w:val="center"/>
                </w:tcPr>
                <w:p w14:paraId="366A4894">
                  <w:pPr>
                    <w:numPr>
                      <w:ilvl w:val="0"/>
                      <w:numId w:val="0"/>
                    </w:numPr>
                    <w:ind w:left="0" w:leftChars="0"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3</w:t>
                  </w:r>
                </w:p>
              </w:tc>
              <w:tc>
                <w:tcPr>
                  <w:tcW w:w="1237" w:type="pct"/>
                  <w:noWrap w:val="0"/>
                  <w:vAlign w:val="center"/>
                </w:tcPr>
                <w:p w14:paraId="2D0869BF">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液压油</w:t>
                  </w:r>
                </w:p>
              </w:tc>
              <w:tc>
                <w:tcPr>
                  <w:tcW w:w="1410" w:type="pct"/>
                  <w:noWrap w:val="0"/>
                  <w:vAlign w:val="center"/>
                </w:tcPr>
                <w:p w14:paraId="2C1B856B">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0.51</w:t>
                  </w:r>
                </w:p>
              </w:tc>
              <w:tc>
                <w:tcPr>
                  <w:tcW w:w="1101" w:type="pct"/>
                  <w:noWrap w:val="0"/>
                  <w:vAlign w:val="center"/>
                </w:tcPr>
                <w:p w14:paraId="2929D11F">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0.34</w:t>
                  </w:r>
                </w:p>
              </w:tc>
              <w:tc>
                <w:tcPr>
                  <w:tcW w:w="858" w:type="pct"/>
                  <w:vMerge w:val="continue"/>
                  <w:noWrap w:val="0"/>
                  <w:vAlign w:val="center"/>
                </w:tcPr>
                <w:p w14:paraId="02B4695E">
                  <w:pPr>
                    <w:jc w:val="center"/>
                    <w:rPr>
                      <w:rFonts w:hint="default" w:ascii="Times New Roman" w:hAnsi="Times New Roman" w:eastAsia="仿宋" w:cs="Times New Roman"/>
                      <w:bCs/>
                      <w:color w:val="auto"/>
                      <w:szCs w:val="21"/>
                      <w:highlight w:val="none"/>
                      <w:lang w:val="en-GB"/>
                    </w:rPr>
                  </w:pPr>
                </w:p>
              </w:tc>
            </w:tr>
            <w:tr w14:paraId="41F9B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91" w:type="pct"/>
                  <w:noWrap w:val="0"/>
                  <w:vAlign w:val="center"/>
                </w:tcPr>
                <w:p w14:paraId="642D1F00">
                  <w:pPr>
                    <w:numPr>
                      <w:ilvl w:val="0"/>
                      <w:numId w:val="0"/>
                    </w:numPr>
                    <w:ind w:left="0" w:leftChars="0"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4</w:t>
                  </w:r>
                </w:p>
              </w:tc>
              <w:tc>
                <w:tcPr>
                  <w:tcW w:w="1237" w:type="pct"/>
                  <w:shd w:val="clear" w:color="auto" w:fill="auto"/>
                  <w:noWrap w:val="0"/>
                  <w:vAlign w:val="center"/>
                </w:tcPr>
                <w:p w14:paraId="1666FA6E">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废包装桶</w:t>
                  </w:r>
                </w:p>
              </w:tc>
              <w:tc>
                <w:tcPr>
                  <w:tcW w:w="1410" w:type="pct"/>
                  <w:shd w:val="clear" w:color="auto" w:fill="auto"/>
                  <w:noWrap w:val="0"/>
                  <w:vAlign w:val="center"/>
                </w:tcPr>
                <w:p w14:paraId="08B3CE87">
                  <w:pPr>
                    <w:jc w:val="center"/>
                    <w:rPr>
                      <w:rFonts w:hint="default" w:ascii="Times New Roman" w:hAnsi="Times New Roman" w:eastAsia="仿宋" w:cs="Times New Roman"/>
                      <w:color w:val="000000"/>
                      <w:kern w:val="0"/>
                      <w:szCs w:val="21"/>
                      <w:lang w:val="en-US" w:eastAsia="zh-CN"/>
                    </w:rPr>
                  </w:pPr>
                  <w:r>
                    <w:rPr>
                      <w:rFonts w:hint="eastAsia" w:ascii="Times New Roman" w:hAnsi="Times New Roman" w:eastAsia="仿宋" w:cs="Times New Roman"/>
                      <w:color w:val="000000"/>
                      <w:kern w:val="0"/>
                      <w:szCs w:val="21"/>
                      <w:lang w:val="en-US" w:eastAsia="zh-CN"/>
                    </w:rPr>
                    <w:t>0.36</w:t>
                  </w:r>
                </w:p>
              </w:tc>
              <w:tc>
                <w:tcPr>
                  <w:tcW w:w="1101" w:type="pct"/>
                  <w:noWrap w:val="0"/>
                  <w:vAlign w:val="center"/>
                </w:tcPr>
                <w:p w14:paraId="35E8F8A6">
                  <w:pPr>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0.0</w:t>
                  </w:r>
                  <w:r>
                    <w:rPr>
                      <w:rFonts w:hint="eastAsia" w:ascii="Times New Roman" w:hAnsi="Times New Roman" w:eastAsia="仿宋" w:cs="Times New Roman"/>
                      <w:color w:val="auto"/>
                      <w:szCs w:val="21"/>
                      <w:highlight w:val="none"/>
                      <w:lang w:val="en-US" w:eastAsia="zh-CN"/>
                    </w:rPr>
                    <w:t>9</w:t>
                  </w:r>
                </w:p>
              </w:tc>
              <w:tc>
                <w:tcPr>
                  <w:tcW w:w="858" w:type="pct"/>
                  <w:vMerge w:val="restart"/>
                  <w:noWrap w:val="0"/>
                  <w:vAlign w:val="center"/>
                </w:tcPr>
                <w:p w14:paraId="52930BE3">
                  <w:pPr>
                    <w:jc w:val="center"/>
                    <w:rPr>
                      <w:rFonts w:hint="default" w:ascii="Times New Roman" w:hAnsi="Times New Roman" w:eastAsia="仿宋" w:cs="Times New Roman"/>
                      <w:bCs/>
                      <w:color w:val="auto"/>
                      <w:szCs w:val="21"/>
                      <w:highlight w:val="none"/>
                      <w:lang w:val="en-US" w:eastAsia="zh-CN"/>
                    </w:rPr>
                  </w:pPr>
                  <w:r>
                    <w:rPr>
                      <w:rFonts w:hint="default" w:ascii="Times New Roman" w:hAnsi="Times New Roman" w:eastAsia="仿宋" w:cs="Times New Roman"/>
                      <w:bCs/>
                      <w:color w:val="auto"/>
                      <w:szCs w:val="21"/>
                      <w:highlight w:val="none"/>
                      <w:lang w:val="en-US" w:eastAsia="zh-CN"/>
                    </w:rPr>
                    <w:t>危废仓库</w:t>
                  </w:r>
                </w:p>
              </w:tc>
            </w:tr>
            <w:tr w14:paraId="3A8CD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91" w:type="pct"/>
                  <w:noWrap w:val="0"/>
                  <w:vAlign w:val="center"/>
                </w:tcPr>
                <w:p w14:paraId="50FB686B">
                  <w:pPr>
                    <w:numPr>
                      <w:ilvl w:val="0"/>
                      <w:numId w:val="0"/>
                    </w:numPr>
                    <w:ind w:left="0" w:leftChars="0"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5</w:t>
                  </w:r>
                </w:p>
              </w:tc>
              <w:tc>
                <w:tcPr>
                  <w:tcW w:w="1237" w:type="pct"/>
                  <w:shd w:val="clear" w:color="auto" w:fill="auto"/>
                  <w:noWrap w:val="0"/>
                  <w:vAlign w:val="center"/>
                </w:tcPr>
                <w:p w14:paraId="5FD6FAE1">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废活性炭</w:t>
                  </w:r>
                </w:p>
              </w:tc>
              <w:tc>
                <w:tcPr>
                  <w:tcW w:w="1410" w:type="pct"/>
                  <w:shd w:val="clear" w:color="auto" w:fill="auto"/>
                  <w:noWrap w:val="0"/>
                  <w:vAlign w:val="center"/>
                </w:tcPr>
                <w:p w14:paraId="1FF91617">
                  <w:pPr>
                    <w:jc w:val="center"/>
                    <w:rPr>
                      <w:rFonts w:hint="default" w:ascii="Times New Roman" w:hAnsi="Times New Roman" w:eastAsia="仿宋" w:cs="Times New Roman"/>
                      <w:color w:val="000000"/>
                      <w:kern w:val="0"/>
                      <w:szCs w:val="21"/>
                      <w:lang w:val="en-US" w:eastAsia="zh-CN"/>
                    </w:rPr>
                  </w:pPr>
                  <w:r>
                    <w:rPr>
                      <w:rFonts w:hint="eastAsia" w:ascii="Times New Roman" w:hAnsi="Times New Roman" w:eastAsia="仿宋" w:cs="Times New Roman"/>
                      <w:color w:val="000000"/>
                      <w:kern w:val="0"/>
                      <w:szCs w:val="21"/>
                      <w:lang w:val="en-US" w:eastAsia="zh-CN"/>
                    </w:rPr>
                    <w:t>3.292</w:t>
                  </w:r>
                </w:p>
              </w:tc>
              <w:tc>
                <w:tcPr>
                  <w:tcW w:w="1101" w:type="pct"/>
                  <w:noWrap w:val="0"/>
                  <w:vAlign w:val="center"/>
                </w:tcPr>
                <w:p w14:paraId="1D813B62">
                  <w:pPr>
                    <w:jc w:val="center"/>
                    <w:rPr>
                      <w:rFonts w:hint="default" w:ascii="Times New Roman" w:hAnsi="Times New Roman" w:eastAsia="仿宋" w:cs="Times New Roman"/>
                      <w:color w:val="000000"/>
                      <w:kern w:val="0"/>
                      <w:szCs w:val="21"/>
                      <w:lang w:val="en-US" w:eastAsia="zh-CN"/>
                    </w:rPr>
                  </w:pPr>
                  <w:r>
                    <w:rPr>
                      <w:rFonts w:hint="default" w:ascii="Times New Roman" w:hAnsi="Times New Roman" w:eastAsia="仿宋" w:cs="Times New Roman"/>
                      <w:color w:val="000000"/>
                      <w:kern w:val="0"/>
                      <w:szCs w:val="21"/>
                      <w:lang w:val="en-US" w:eastAsia="zh-CN"/>
                    </w:rPr>
                    <w:t>0.</w:t>
                  </w:r>
                  <w:r>
                    <w:rPr>
                      <w:rFonts w:hint="eastAsia" w:ascii="Times New Roman" w:hAnsi="Times New Roman" w:eastAsia="仿宋" w:cs="Times New Roman"/>
                      <w:color w:val="000000"/>
                      <w:kern w:val="0"/>
                      <w:szCs w:val="21"/>
                      <w:lang w:val="en-US" w:eastAsia="zh-CN"/>
                    </w:rPr>
                    <w:t>9</w:t>
                  </w:r>
                </w:p>
              </w:tc>
              <w:tc>
                <w:tcPr>
                  <w:tcW w:w="858" w:type="pct"/>
                  <w:vMerge w:val="continue"/>
                  <w:noWrap w:val="0"/>
                  <w:vAlign w:val="center"/>
                </w:tcPr>
                <w:p w14:paraId="4099C4FE">
                  <w:pPr>
                    <w:jc w:val="center"/>
                    <w:rPr>
                      <w:rFonts w:hint="default" w:ascii="Times New Roman" w:hAnsi="Times New Roman" w:eastAsia="仿宋" w:cs="Times New Roman"/>
                      <w:bCs/>
                      <w:color w:val="auto"/>
                      <w:szCs w:val="21"/>
                      <w:highlight w:val="none"/>
                      <w:lang w:val="en-GB"/>
                    </w:rPr>
                  </w:pPr>
                </w:p>
              </w:tc>
            </w:tr>
            <w:tr w14:paraId="27534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91" w:type="pct"/>
                  <w:noWrap w:val="0"/>
                  <w:vAlign w:val="center"/>
                </w:tcPr>
                <w:p w14:paraId="6D9C588F">
                  <w:pPr>
                    <w:numPr>
                      <w:ilvl w:val="0"/>
                      <w:numId w:val="0"/>
                    </w:numPr>
                    <w:ind w:left="0" w:leftChars="0" w:firstLine="0" w:firstLineChars="0"/>
                    <w:jc w:val="center"/>
                    <w:rPr>
                      <w:rFonts w:hint="default" w:ascii="Times New Roman" w:hAnsi="Times New Roman" w:eastAsia="仿宋" w:cs="Times New Roman"/>
                      <w:color w:val="0000FF"/>
                      <w:kern w:val="2"/>
                      <w:sz w:val="21"/>
                      <w:szCs w:val="21"/>
                      <w:lang w:val="en-US" w:eastAsia="zh-CN" w:bidi="ar-SA"/>
                    </w:rPr>
                  </w:pPr>
                  <w:r>
                    <w:rPr>
                      <w:rFonts w:hint="eastAsia" w:eastAsia="仿宋" w:cs="Times New Roman"/>
                      <w:color w:val="0000FF"/>
                      <w:kern w:val="2"/>
                      <w:sz w:val="21"/>
                      <w:szCs w:val="21"/>
                      <w:lang w:val="en-US" w:eastAsia="zh-CN" w:bidi="ar-SA"/>
                    </w:rPr>
                    <w:t>6</w:t>
                  </w:r>
                </w:p>
              </w:tc>
              <w:tc>
                <w:tcPr>
                  <w:tcW w:w="1237" w:type="pct"/>
                  <w:shd w:val="clear" w:color="auto" w:fill="auto"/>
                  <w:noWrap w:val="0"/>
                  <w:vAlign w:val="center"/>
                </w:tcPr>
                <w:p w14:paraId="59FE21F8">
                  <w:pPr>
                    <w:jc w:val="center"/>
                    <w:rPr>
                      <w:rFonts w:hint="default" w:ascii="Times New Roman" w:hAnsi="Times New Roman" w:eastAsia="仿宋" w:cs="Times New Roman"/>
                      <w:color w:val="0000FF"/>
                      <w:kern w:val="0"/>
                      <w:szCs w:val="21"/>
                      <w:lang w:val="en-US" w:eastAsia="zh-CN"/>
                    </w:rPr>
                  </w:pPr>
                  <w:r>
                    <w:rPr>
                      <w:rFonts w:hint="eastAsia" w:ascii="Times New Roman" w:hAnsi="Times New Roman" w:eastAsia="仿宋" w:cs="Times New Roman"/>
                      <w:color w:val="0000FF"/>
                      <w:kern w:val="0"/>
                      <w:szCs w:val="21"/>
                      <w:lang w:val="en-US" w:eastAsia="zh-CN"/>
                    </w:rPr>
                    <w:t>废过滤棉和杂质</w:t>
                  </w:r>
                </w:p>
              </w:tc>
              <w:tc>
                <w:tcPr>
                  <w:tcW w:w="1410" w:type="pct"/>
                  <w:shd w:val="clear" w:color="auto" w:fill="auto"/>
                  <w:noWrap w:val="0"/>
                  <w:vAlign w:val="center"/>
                </w:tcPr>
                <w:p w14:paraId="5B73CCB3">
                  <w:pPr>
                    <w:jc w:val="center"/>
                    <w:rPr>
                      <w:rFonts w:hint="eastAsia" w:ascii="Times New Roman" w:hAnsi="Times New Roman" w:eastAsia="仿宋" w:cs="Times New Roman"/>
                      <w:color w:val="0000FF"/>
                      <w:kern w:val="0"/>
                      <w:szCs w:val="21"/>
                      <w:lang w:val="en-US" w:eastAsia="zh-CN"/>
                    </w:rPr>
                  </w:pPr>
                  <w:r>
                    <w:rPr>
                      <w:rFonts w:hint="eastAsia" w:ascii="Times New Roman" w:hAnsi="Times New Roman" w:eastAsia="仿宋" w:cs="Times New Roman"/>
                      <w:color w:val="0000FF"/>
                      <w:kern w:val="0"/>
                      <w:szCs w:val="21"/>
                      <w:lang w:val="en-US" w:eastAsia="zh-CN"/>
                    </w:rPr>
                    <w:t>0.042</w:t>
                  </w:r>
                </w:p>
              </w:tc>
              <w:tc>
                <w:tcPr>
                  <w:tcW w:w="1101" w:type="pct"/>
                  <w:noWrap w:val="0"/>
                  <w:vAlign w:val="center"/>
                </w:tcPr>
                <w:p w14:paraId="21020983">
                  <w:pPr>
                    <w:jc w:val="center"/>
                    <w:rPr>
                      <w:rFonts w:hint="default" w:ascii="Times New Roman" w:hAnsi="Times New Roman" w:eastAsia="仿宋" w:cs="Times New Roman"/>
                      <w:color w:val="0000FF"/>
                      <w:kern w:val="0"/>
                      <w:szCs w:val="21"/>
                      <w:lang w:val="en-US" w:eastAsia="zh-CN"/>
                    </w:rPr>
                  </w:pPr>
                  <w:r>
                    <w:rPr>
                      <w:rFonts w:hint="eastAsia" w:ascii="Times New Roman" w:hAnsi="Times New Roman" w:eastAsia="仿宋" w:cs="Times New Roman"/>
                      <w:color w:val="0000FF"/>
                      <w:kern w:val="0"/>
                      <w:szCs w:val="21"/>
                      <w:lang w:val="en-US" w:eastAsia="zh-CN"/>
                    </w:rPr>
                    <w:t>0.01</w:t>
                  </w:r>
                </w:p>
              </w:tc>
              <w:tc>
                <w:tcPr>
                  <w:tcW w:w="858" w:type="pct"/>
                  <w:vMerge w:val="continue"/>
                  <w:noWrap w:val="0"/>
                  <w:vAlign w:val="center"/>
                </w:tcPr>
                <w:p w14:paraId="635E265D">
                  <w:pPr>
                    <w:jc w:val="center"/>
                    <w:rPr>
                      <w:rFonts w:hint="default" w:ascii="Times New Roman" w:hAnsi="Times New Roman" w:eastAsia="仿宋" w:cs="Times New Roman"/>
                      <w:bCs/>
                      <w:color w:val="auto"/>
                      <w:szCs w:val="21"/>
                      <w:highlight w:val="none"/>
                      <w:lang w:val="en-GB"/>
                    </w:rPr>
                  </w:pPr>
                </w:p>
              </w:tc>
            </w:tr>
            <w:tr w14:paraId="2559D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91" w:type="pct"/>
                  <w:noWrap w:val="0"/>
                  <w:vAlign w:val="center"/>
                </w:tcPr>
                <w:p w14:paraId="56F7A631">
                  <w:pPr>
                    <w:numPr>
                      <w:ilvl w:val="0"/>
                      <w:numId w:val="0"/>
                    </w:numPr>
                    <w:ind w:left="0" w:leftChars="0" w:firstLine="0" w:firstLineChars="0"/>
                    <w:jc w:val="center"/>
                    <w:rPr>
                      <w:rFonts w:hint="default" w:ascii="Times New Roman" w:hAnsi="Times New Roman" w:eastAsia="仿宋" w:cs="Times New Roman"/>
                      <w:color w:val="0000FF"/>
                      <w:kern w:val="2"/>
                      <w:sz w:val="21"/>
                      <w:szCs w:val="21"/>
                      <w:lang w:val="en-US" w:eastAsia="zh-CN" w:bidi="ar-SA"/>
                    </w:rPr>
                  </w:pPr>
                  <w:r>
                    <w:rPr>
                      <w:rFonts w:hint="eastAsia" w:eastAsia="仿宋" w:cs="Times New Roman"/>
                      <w:color w:val="0000FF"/>
                      <w:kern w:val="2"/>
                      <w:sz w:val="21"/>
                      <w:szCs w:val="21"/>
                      <w:lang w:val="en-US" w:eastAsia="zh-CN" w:bidi="ar-SA"/>
                    </w:rPr>
                    <w:t>7</w:t>
                  </w:r>
                </w:p>
              </w:tc>
              <w:tc>
                <w:tcPr>
                  <w:tcW w:w="1237" w:type="pct"/>
                  <w:shd w:val="clear" w:color="auto" w:fill="auto"/>
                  <w:noWrap w:val="0"/>
                  <w:vAlign w:val="center"/>
                </w:tcPr>
                <w:p w14:paraId="086EFC62">
                  <w:pPr>
                    <w:jc w:val="center"/>
                    <w:rPr>
                      <w:rFonts w:hint="default" w:ascii="Times New Roman" w:hAnsi="Times New Roman" w:eastAsia="仿宋" w:cs="Times New Roman"/>
                      <w:color w:val="0000FF"/>
                      <w:kern w:val="0"/>
                      <w:szCs w:val="21"/>
                      <w:lang w:val="en-US" w:eastAsia="zh-CN"/>
                    </w:rPr>
                  </w:pPr>
                  <w:r>
                    <w:rPr>
                      <w:rFonts w:hint="eastAsia" w:ascii="Times New Roman" w:hAnsi="Times New Roman" w:eastAsia="仿宋" w:cs="Times New Roman"/>
                      <w:color w:val="0000FF"/>
                      <w:kern w:val="0"/>
                      <w:szCs w:val="21"/>
                      <w:lang w:val="en-US" w:eastAsia="zh-CN"/>
                    </w:rPr>
                    <w:t>水旋废液</w:t>
                  </w:r>
                </w:p>
              </w:tc>
              <w:tc>
                <w:tcPr>
                  <w:tcW w:w="1410" w:type="pct"/>
                  <w:shd w:val="clear" w:color="auto" w:fill="auto"/>
                  <w:noWrap w:val="0"/>
                  <w:vAlign w:val="center"/>
                </w:tcPr>
                <w:p w14:paraId="4439ED02">
                  <w:pPr>
                    <w:jc w:val="center"/>
                    <w:rPr>
                      <w:rFonts w:hint="eastAsia" w:ascii="Times New Roman" w:hAnsi="Times New Roman" w:eastAsia="仿宋" w:cs="Times New Roman"/>
                      <w:color w:val="0000FF"/>
                      <w:kern w:val="0"/>
                      <w:szCs w:val="21"/>
                      <w:lang w:val="en-US" w:eastAsia="zh-CN"/>
                    </w:rPr>
                  </w:pPr>
                  <w:r>
                    <w:rPr>
                      <w:rFonts w:hint="eastAsia" w:ascii="Times New Roman" w:hAnsi="Times New Roman" w:eastAsia="仿宋" w:cs="Times New Roman"/>
                      <w:color w:val="0000FF"/>
                      <w:kern w:val="0"/>
                      <w:szCs w:val="21"/>
                      <w:lang w:val="en-US" w:eastAsia="zh-CN"/>
                    </w:rPr>
                    <w:t>2</w:t>
                  </w:r>
                </w:p>
              </w:tc>
              <w:tc>
                <w:tcPr>
                  <w:tcW w:w="1101" w:type="pct"/>
                  <w:noWrap w:val="0"/>
                  <w:vAlign w:val="center"/>
                </w:tcPr>
                <w:p w14:paraId="1503507C">
                  <w:pPr>
                    <w:jc w:val="center"/>
                    <w:rPr>
                      <w:rFonts w:hint="default" w:ascii="Times New Roman" w:hAnsi="Times New Roman" w:eastAsia="仿宋" w:cs="Times New Roman"/>
                      <w:color w:val="0000FF"/>
                      <w:kern w:val="0"/>
                      <w:szCs w:val="21"/>
                      <w:lang w:val="en-US" w:eastAsia="zh-CN"/>
                    </w:rPr>
                  </w:pPr>
                  <w:r>
                    <w:rPr>
                      <w:rFonts w:hint="eastAsia" w:ascii="Times New Roman" w:hAnsi="Times New Roman" w:eastAsia="仿宋" w:cs="Times New Roman"/>
                      <w:color w:val="0000FF"/>
                      <w:kern w:val="0"/>
                      <w:szCs w:val="21"/>
                      <w:lang w:val="en-US" w:eastAsia="zh-CN"/>
                    </w:rPr>
                    <w:t>0.5</w:t>
                  </w:r>
                </w:p>
              </w:tc>
              <w:tc>
                <w:tcPr>
                  <w:tcW w:w="858" w:type="pct"/>
                  <w:vMerge w:val="continue"/>
                  <w:noWrap w:val="0"/>
                  <w:vAlign w:val="center"/>
                </w:tcPr>
                <w:p w14:paraId="54889C0A">
                  <w:pPr>
                    <w:jc w:val="center"/>
                    <w:rPr>
                      <w:rFonts w:hint="default" w:ascii="Times New Roman" w:hAnsi="Times New Roman" w:eastAsia="仿宋" w:cs="Times New Roman"/>
                      <w:bCs/>
                      <w:color w:val="auto"/>
                      <w:szCs w:val="21"/>
                      <w:highlight w:val="none"/>
                      <w:lang w:val="en-GB"/>
                    </w:rPr>
                  </w:pPr>
                </w:p>
              </w:tc>
            </w:tr>
            <w:tr w14:paraId="502F3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91" w:type="pct"/>
                  <w:noWrap w:val="0"/>
                  <w:vAlign w:val="center"/>
                </w:tcPr>
                <w:p w14:paraId="40478A0B">
                  <w:pPr>
                    <w:numPr>
                      <w:ilvl w:val="0"/>
                      <w:numId w:val="0"/>
                    </w:numPr>
                    <w:ind w:left="0" w:leftChars="0" w:firstLine="0" w:firstLineChars="0"/>
                    <w:jc w:val="center"/>
                    <w:rPr>
                      <w:rFonts w:hint="default" w:eastAsia="仿宋" w:cs="Times New Roman"/>
                      <w:color w:val="0000FF"/>
                      <w:kern w:val="2"/>
                      <w:sz w:val="21"/>
                      <w:szCs w:val="21"/>
                      <w:lang w:val="en-US" w:eastAsia="zh-CN" w:bidi="ar-SA"/>
                    </w:rPr>
                  </w:pPr>
                  <w:r>
                    <w:rPr>
                      <w:rFonts w:hint="eastAsia" w:eastAsia="仿宋" w:cs="Times New Roman"/>
                      <w:color w:val="0000FF"/>
                      <w:kern w:val="2"/>
                      <w:sz w:val="21"/>
                      <w:szCs w:val="21"/>
                      <w:lang w:val="en-US" w:eastAsia="zh-CN" w:bidi="ar-SA"/>
                    </w:rPr>
                    <w:t>8</w:t>
                  </w:r>
                </w:p>
              </w:tc>
              <w:tc>
                <w:tcPr>
                  <w:tcW w:w="1237" w:type="pct"/>
                  <w:shd w:val="clear" w:color="auto" w:fill="auto"/>
                  <w:noWrap w:val="0"/>
                  <w:vAlign w:val="center"/>
                </w:tcPr>
                <w:p w14:paraId="31ACFB5B">
                  <w:pPr>
                    <w:jc w:val="center"/>
                    <w:rPr>
                      <w:rFonts w:hint="default" w:ascii="Times New Roman" w:hAnsi="Times New Roman" w:eastAsia="仿宋" w:cs="Times New Roman"/>
                      <w:color w:val="0000FF"/>
                      <w:kern w:val="0"/>
                      <w:szCs w:val="21"/>
                      <w:lang w:val="en-US" w:eastAsia="zh-CN"/>
                    </w:rPr>
                  </w:pPr>
                  <w:r>
                    <w:rPr>
                      <w:rFonts w:hint="eastAsia" w:eastAsia="仿宋" w:cs="Times New Roman"/>
                      <w:color w:val="0000FF"/>
                      <w:kern w:val="0"/>
                      <w:szCs w:val="21"/>
                      <w:lang w:val="en-US" w:eastAsia="zh-CN"/>
                    </w:rPr>
                    <w:t>水旋用水（在线量）</w:t>
                  </w:r>
                </w:p>
              </w:tc>
              <w:tc>
                <w:tcPr>
                  <w:tcW w:w="1410" w:type="pct"/>
                  <w:shd w:val="clear" w:color="auto" w:fill="auto"/>
                  <w:noWrap w:val="0"/>
                  <w:vAlign w:val="center"/>
                </w:tcPr>
                <w:p w14:paraId="6888CFAD">
                  <w:pPr>
                    <w:jc w:val="center"/>
                    <w:rPr>
                      <w:rFonts w:hint="default" w:ascii="Times New Roman" w:hAnsi="Times New Roman" w:eastAsia="仿宋" w:cs="Times New Roman"/>
                      <w:color w:val="0000FF"/>
                      <w:kern w:val="0"/>
                      <w:szCs w:val="21"/>
                      <w:lang w:val="en-US" w:eastAsia="zh-CN"/>
                    </w:rPr>
                  </w:pPr>
                  <w:r>
                    <w:rPr>
                      <w:rFonts w:hint="eastAsia" w:eastAsia="仿宋" w:cs="Times New Roman"/>
                      <w:color w:val="0000FF"/>
                      <w:kern w:val="0"/>
                      <w:szCs w:val="21"/>
                      <w:lang w:val="en-US" w:eastAsia="zh-CN"/>
                    </w:rPr>
                    <w:t>/</w:t>
                  </w:r>
                </w:p>
              </w:tc>
              <w:tc>
                <w:tcPr>
                  <w:tcW w:w="1101" w:type="pct"/>
                  <w:noWrap w:val="0"/>
                  <w:vAlign w:val="center"/>
                </w:tcPr>
                <w:p w14:paraId="1A33DBA8">
                  <w:pPr>
                    <w:jc w:val="center"/>
                    <w:rPr>
                      <w:rFonts w:hint="default" w:ascii="Times New Roman" w:hAnsi="Times New Roman" w:eastAsia="仿宋" w:cs="Times New Roman"/>
                      <w:color w:val="0000FF"/>
                      <w:kern w:val="0"/>
                      <w:szCs w:val="21"/>
                      <w:lang w:val="en-US" w:eastAsia="zh-CN"/>
                    </w:rPr>
                  </w:pPr>
                  <w:r>
                    <w:rPr>
                      <w:rFonts w:hint="eastAsia" w:eastAsia="仿宋" w:cs="Times New Roman"/>
                      <w:color w:val="0000FF"/>
                      <w:kern w:val="0"/>
                      <w:szCs w:val="21"/>
                      <w:lang w:val="en-US" w:eastAsia="zh-CN"/>
                    </w:rPr>
                    <w:t>0.252</w:t>
                  </w:r>
                </w:p>
              </w:tc>
              <w:tc>
                <w:tcPr>
                  <w:tcW w:w="858" w:type="pct"/>
                  <w:noWrap w:val="0"/>
                  <w:vAlign w:val="center"/>
                </w:tcPr>
                <w:p w14:paraId="3DF86506">
                  <w:pPr>
                    <w:jc w:val="center"/>
                    <w:rPr>
                      <w:rFonts w:hint="default" w:ascii="Times New Roman" w:hAnsi="Times New Roman" w:eastAsia="仿宋" w:cs="Times New Roman"/>
                      <w:bCs/>
                      <w:color w:val="auto"/>
                      <w:szCs w:val="21"/>
                      <w:highlight w:val="none"/>
                      <w:lang w:val="en-US" w:eastAsia="zh-CN"/>
                    </w:rPr>
                  </w:pPr>
                  <w:r>
                    <w:rPr>
                      <w:rFonts w:hint="eastAsia" w:eastAsia="仿宋" w:cs="Times New Roman"/>
                      <w:bCs/>
                      <w:color w:val="0000FF"/>
                      <w:szCs w:val="21"/>
                      <w:highlight w:val="none"/>
                      <w:lang w:val="en-US" w:eastAsia="zh-CN"/>
                    </w:rPr>
                    <w:t>水旋除尘器</w:t>
                  </w:r>
                </w:p>
              </w:tc>
            </w:tr>
          </w:tbl>
          <w:p w14:paraId="24FCCB89">
            <w:pPr>
              <w:adjustRightInd w:val="0"/>
              <w:snapToGrid w:val="0"/>
              <w:spacing w:before="120" w:beforeLines="50"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2、风险潜势初判</w:t>
            </w:r>
          </w:p>
          <w:p w14:paraId="4539695F">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根据《建设项目环境风险评价技术导则》（HJ 169-2018）中附录C，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33500EBF">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当只涉及一种危险物质时，计算该物质的总量与其临界量比值，即为Q；当存在多种危险物质时，则按式（C.1）计算物质总量与其临界量比值（Q）：</w:t>
            </w:r>
          </w:p>
          <w:p w14:paraId="392376A7">
            <w:pPr>
              <w:spacing w:line="360"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Q= q1/Q1+ q2/Q2+ q3/Q3+ ······+ qn/Qn</w:t>
            </w:r>
          </w:p>
          <w:p w14:paraId="4F2D0CD5">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式中： q1，q2，...，qn ——每种危险物质的最大存在总量， t；</w:t>
            </w:r>
          </w:p>
          <w:p w14:paraId="1E2BCC0A">
            <w:pPr>
              <w:spacing w:line="360" w:lineRule="auto"/>
              <w:ind w:firstLine="420" w:firstLineChars="200"/>
              <w:rPr>
                <w:rFonts w:hint="default" w:ascii="Times New Roman" w:hAnsi="Times New Roman" w:eastAsia="仿宋" w:cs="Times New Roman"/>
                <w:color w:val="auto"/>
                <w:szCs w:val="21"/>
                <w:highlight w:val="none"/>
              </w:rPr>
            </w:pPr>
            <w:r>
              <w:rPr>
                <w:rFonts w:hint="default" w:ascii="Times New Roman" w:hAnsi="Times New Roman" w:eastAsia="仿宋" w:cs="Times New Roman"/>
                <w:i/>
                <w:iCs/>
                <w:color w:val="auto"/>
                <w:highlight w:val="none"/>
              </w:rPr>
              <w:t>Q</w:t>
            </w:r>
            <w:r>
              <w:rPr>
                <w:rFonts w:hint="default" w:ascii="Times New Roman" w:hAnsi="Times New Roman" w:eastAsia="仿宋" w:cs="Times New Roman"/>
                <w:color w:val="auto"/>
                <w:sz w:val="14"/>
                <w:szCs w:val="14"/>
                <w:highlight w:val="none"/>
              </w:rPr>
              <w:t>1</w:t>
            </w:r>
            <w:r>
              <w:rPr>
                <w:rFonts w:hint="default" w:ascii="Times New Roman" w:hAnsi="Times New Roman" w:eastAsia="仿宋" w:cs="Times New Roman"/>
                <w:color w:val="auto"/>
                <w:highlight w:val="none"/>
              </w:rPr>
              <w:t xml:space="preserve">, </w:t>
            </w:r>
            <w:r>
              <w:rPr>
                <w:rFonts w:hint="default" w:ascii="Times New Roman" w:hAnsi="Times New Roman" w:eastAsia="仿宋" w:cs="Times New Roman"/>
                <w:i/>
                <w:iCs/>
                <w:color w:val="auto"/>
                <w:highlight w:val="none"/>
              </w:rPr>
              <w:t>Q</w:t>
            </w:r>
            <w:r>
              <w:rPr>
                <w:rFonts w:hint="default" w:ascii="Times New Roman" w:hAnsi="Times New Roman" w:eastAsia="仿宋" w:cs="Times New Roman"/>
                <w:color w:val="auto"/>
                <w:sz w:val="14"/>
                <w:szCs w:val="14"/>
                <w:highlight w:val="none"/>
              </w:rPr>
              <w:t>2</w:t>
            </w:r>
            <w:r>
              <w:rPr>
                <w:rFonts w:hint="default" w:ascii="Times New Roman" w:hAnsi="Times New Roman" w:eastAsia="仿宋" w:cs="Times New Roman"/>
                <w:color w:val="auto"/>
                <w:highlight w:val="none"/>
              </w:rPr>
              <w:t xml:space="preserve">, ..., </w:t>
            </w:r>
            <w:r>
              <w:rPr>
                <w:rFonts w:hint="default" w:ascii="Times New Roman" w:hAnsi="Times New Roman" w:eastAsia="仿宋" w:cs="Times New Roman"/>
                <w:i/>
                <w:iCs/>
                <w:color w:val="auto"/>
                <w:highlight w:val="none"/>
              </w:rPr>
              <w:t>Q</w:t>
            </w:r>
            <w:r>
              <w:rPr>
                <w:rFonts w:hint="default" w:ascii="Times New Roman" w:hAnsi="Times New Roman" w:eastAsia="仿宋" w:cs="Times New Roman"/>
                <w:i/>
                <w:iCs/>
                <w:color w:val="auto"/>
                <w:sz w:val="14"/>
                <w:szCs w:val="14"/>
                <w:highlight w:val="none"/>
              </w:rPr>
              <w:t xml:space="preserve">n </w:t>
            </w:r>
            <w:r>
              <w:rPr>
                <w:rFonts w:hint="default" w:ascii="Times New Roman" w:hAnsi="Times New Roman" w:eastAsia="仿宋" w:cs="Times New Roman"/>
                <w:color w:val="auto"/>
                <w:highlight w:val="none"/>
              </w:rPr>
              <w:t>——</w:t>
            </w:r>
            <w:r>
              <w:rPr>
                <w:rFonts w:hint="default" w:ascii="Times New Roman" w:hAnsi="Times New Roman" w:eastAsia="仿宋" w:cs="Times New Roman"/>
                <w:color w:val="auto"/>
                <w:sz w:val="24"/>
                <w:highlight w:val="none"/>
              </w:rPr>
              <w:t>每种危险物质的临界量</w:t>
            </w:r>
            <w:r>
              <w:rPr>
                <w:rFonts w:hint="default" w:ascii="Times New Roman" w:hAnsi="Times New Roman" w:eastAsia="仿宋" w:cs="Times New Roman"/>
                <w:color w:val="auto"/>
                <w:highlight w:val="none"/>
              </w:rPr>
              <w:t>，t。</w:t>
            </w:r>
          </w:p>
          <w:p w14:paraId="67186AC4">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当Q＜1时，该项目环境风险潜势为Ⅰ。</w:t>
            </w:r>
          </w:p>
          <w:p w14:paraId="62B65CE1">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当Q≥1时，将Q值划分为：（1）1≤Q＜10；（2）10≤Q＜100；（3）Q≥100。</w:t>
            </w:r>
          </w:p>
          <w:p w14:paraId="13B92044">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根据</w:t>
            </w:r>
            <w:r>
              <w:rPr>
                <w:rFonts w:hint="eastAsia" w:eastAsia="仿宋" w:cs="Times New Roman"/>
                <w:color w:val="auto"/>
                <w:sz w:val="24"/>
                <w:highlight w:val="none"/>
                <w:lang w:val="en-US" w:eastAsia="zh-CN"/>
              </w:rPr>
              <w:t>全厂</w:t>
            </w:r>
            <w:r>
              <w:rPr>
                <w:rFonts w:hint="default" w:ascii="Times New Roman" w:hAnsi="Times New Roman" w:eastAsia="仿宋" w:cs="Times New Roman"/>
                <w:color w:val="auto"/>
                <w:sz w:val="24"/>
                <w:highlight w:val="none"/>
              </w:rPr>
              <w:t>涉及的每种危险物质在厂界内的最大存在总量与其在附录B中对应临界量进行计算。</w:t>
            </w:r>
          </w:p>
          <w:p w14:paraId="0B54CB0C">
            <w:pPr>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eastAsia" w:eastAsia="仿宋" w:cs="Times New Roman"/>
                <w:b/>
                <w:bCs/>
                <w:color w:val="auto"/>
                <w:sz w:val="24"/>
                <w:highlight w:val="none"/>
                <w:lang w:val="en-US" w:eastAsia="zh-CN"/>
              </w:rPr>
              <w:t>40</w:t>
            </w:r>
            <w:r>
              <w:rPr>
                <w:rFonts w:hint="default" w:ascii="Times New Roman" w:hAnsi="Times New Roman" w:eastAsia="仿宋" w:cs="Times New Roman"/>
                <w:b/>
                <w:bCs/>
                <w:color w:val="auto"/>
                <w:sz w:val="24"/>
                <w:highlight w:val="none"/>
              </w:rPr>
              <w:t xml:space="preserve">  </w:t>
            </w:r>
            <w:r>
              <w:rPr>
                <w:rFonts w:hint="eastAsia" w:eastAsia="仿宋" w:cs="Times New Roman"/>
                <w:b/>
                <w:bCs/>
                <w:color w:val="auto"/>
                <w:sz w:val="24"/>
                <w:highlight w:val="none"/>
                <w:lang w:val="en-US" w:eastAsia="zh-CN"/>
              </w:rPr>
              <w:t>全厂</w:t>
            </w:r>
            <w:r>
              <w:rPr>
                <w:rFonts w:hint="default" w:ascii="Times New Roman" w:hAnsi="Times New Roman" w:eastAsia="仿宋" w:cs="Times New Roman"/>
                <w:b/>
                <w:bCs/>
                <w:color w:val="auto"/>
                <w:sz w:val="24"/>
                <w:highlight w:val="none"/>
              </w:rPr>
              <w:t>危险物质使用量及临界量</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0"/>
              <w:gridCol w:w="2783"/>
              <w:gridCol w:w="1976"/>
              <w:gridCol w:w="1776"/>
              <w:gridCol w:w="1185"/>
            </w:tblGrid>
            <w:tr w14:paraId="19D4D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5" w:type="pct"/>
                  <w:noWrap w:val="0"/>
                  <w:vAlign w:val="center"/>
                </w:tcPr>
                <w:p w14:paraId="6E20009F">
                  <w:pPr>
                    <w:jc w:val="center"/>
                    <w:rPr>
                      <w:rFonts w:hint="default" w:ascii="Times New Roman" w:hAnsi="Times New Roman" w:eastAsia="仿宋" w:cs="Times New Roman"/>
                      <w:b/>
                      <w:bCs/>
                      <w:color w:val="auto"/>
                      <w:kern w:val="0"/>
                      <w:szCs w:val="21"/>
                      <w:highlight w:val="none"/>
                    </w:rPr>
                  </w:pPr>
                  <w:r>
                    <w:rPr>
                      <w:rFonts w:hint="default" w:ascii="Times New Roman" w:hAnsi="Times New Roman" w:eastAsia="仿宋" w:cs="Times New Roman"/>
                      <w:b/>
                      <w:bCs/>
                      <w:color w:val="auto"/>
                      <w:kern w:val="0"/>
                      <w:szCs w:val="21"/>
                      <w:highlight w:val="none"/>
                    </w:rPr>
                    <w:t>序号</w:t>
                  </w:r>
                </w:p>
              </w:tc>
              <w:tc>
                <w:tcPr>
                  <w:tcW w:w="1656" w:type="pct"/>
                  <w:noWrap w:val="0"/>
                  <w:vAlign w:val="center"/>
                </w:tcPr>
                <w:p w14:paraId="5EBFD3F4">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kern w:val="0"/>
                      <w:szCs w:val="21"/>
                      <w:highlight w:val="none"/>
                    </w:rPr>
                    <w:t>原料名称</w:t>
                  </w:r>
                </w:p>
              </w:tc>
              <w:tc>
                <w:tcPr>
                  <w:tcW w:w="1175" w:type="pct"/>
                  <w:noWrap w:val="0"/>
                  <w:vAlign w:val="center"/>
                </w:tcPr>
                <w:p w14:paraId="7F0C846E">
                  <w:pPr>
                    <w:jc w:val="center"/>
                    <w:rPr>
                      <w:rFonts w:hint="default" w:ascii="Times New Roman" w:hAnsi="Times New Roman" w:eastAsia="仿宋" w:cs="Times New Roman"/>
                      <w:b/>
                      <w:bCs/>
                      <w:color w:val="auto"/>
                      <w:szCs w:val="21"/>
                      <w:highlight w:val="none"/>
                      <w:lang w:val="en-GB"/>
                    </w:rPr>
                  </w:pPr>
                  <w:r>
                    <w:rPr>
                      <w:rFonts w:hint="default" w:ascii="Times New Roman" w:hAnsi="Times New Roman" w:eastAsia="仿宋" w:cs="Times New Roman"/>
                      <w:b/>
                      <w:bCs/>
                      <w:color w:val="auto"/>
                      <w:szCs w:val="21"/>
                      <w:highlight w:val="none"/>
                      <w:lang w:val="en-GB"/>
                    </w:rPr>
                    <w:t>最大储存量（t）</w:t>
                  </w:r>
                  <w:r>
                    <w:rPr>
                      <w:rFonts w:hint="default" w:ascii="Times New Roman" w:hAnsi="Times New Roman" w:eastAsia="仿宋" w:cs="Times New Roman"/>
                      <w:b/>
                      <w:bCs/>
                      <w:color w:val="auto"/>
                      <w:szCs w:val="21"/>
                      <w:highlight w:val="none"/>
                    </w:rPr>
                    <w:t>q</w:t>
                  </w:r>
                </w:p>
              </w:tc>
              <w:tc>
                <w:tcPr>
                  <w:tcW w:w="1057" w:type="pct"/>
                  <w:noWrap w:val="0"/>
                  <w:vAlign w:val="center"/>
                </w:tcPr>
                <w:p w14:paraId="0C9A90E3">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临界量（t）Q</w:t>
                  </w:r>
                </w:p>
              </w:tc>
              <w:tc>
                <w:tcPr>
                  <w:tcW w:w="705" w:type="pct"/>
                  <w:noWrap w:val="0"/>
                  <w:vAlign w:val="center"/>
                </w:tcPr>
                <w:p w14:paraId="213DA5FE">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q/Q</w:t>
                  </w:r>
                </w:p>
              </w:tc>
            </w:tr>
            <w:tr w14:paraId="4D145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5" w:type="pct"/>
                  <w:noWrap w:val="0"/>
                  <w:vAlign w:val="center"/>
                </w:tcPr>
                <w:p w14:paraId="69145A54">
                  <w:pPr>
                    <w:numPr>
                      <w:ilvl w:val="0"/>
                      <w:numId w:val="0"/>
                    </w:numPr>
                    <w:ind w:left="0" w:leftChars="0"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1</w:t>
                  </w:r>
                </w:p>
              </w:tc>
              <w:tc>
                <w:tcPr>
                  <w:tcW w:w="1656" w:type="pct"/>
                  <w:shd w:val="clear" w:color="auto" w:fill="auto"/>
                  <w:noWrap w:val="0"/>
                  <w:vAlign w:val="center"/>
                </w:tcPr>
                <w:p w14:paraId="2DA1BE5F">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kern w:val="0"/>
                      <w:szCs w:val="21"/>
                      <w:lang w:val="en-US" w:eastAsia="zh-CN"/>
                    </w:rPr>
                    <w:t>胶粘剂</w:t>
                  </w:r>
                </w:p>
              </w:tc>
              <w:tc>
                <w:tcPr>
                  <w:tcW w:w="1175" w:type="pct"/>
                  <w:noWrap w:val="0"/>
                  <w:vAlign w:val="center"/>
                </w:tcPr>
                <w:p w14:paraId="30C95FD1">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0.25</w:t>
                  </w:r>
                </w:p>
              </w:tc>
              <w:tc>
                <w:tcPr>
                  <w:tcW w:w="1057" w:type="pct"/>
                  <w:noWrap w:val="0"/>
                  <w:vAlign w:val="center"/>
                </w:tcPr>
                <w:p w14:paraId="5C794207">
                  <w:pPr>
                    <w:snapToGrid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50</w:t>
                  </w:r>
                </w:p>
              </w:tc>
              <w:tc>
                <w:tcPr>
                  <w:tcW w:w="705" w:type="pct"/>
                  <w:noWrap w:val="0"/>
                  <w:vAlign w:val="center"/>
                </w:tcPr>
                <w:p w14:paraId="1C36DE94">
                  <w:pPr>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0.005</w:t>
                  </w:r>
                </w:p>
              </w:tc>
            </w:tr>
            <w:tr w14:paraId="23EBD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5" w:type="pct"/>
                  <w:noWrap w:val="0"/>
                  <w:vAlign w:val="center"/>
                </w:tcPr>
                <w:p w14:paraId="7C0C9406">
                  <w:pPr>
                    <w:numPr>
                      <w:ilvl w:val="0"/>
                      <w:numId w:val="0"/>
                    </w:numPr>
                    <w:ind w:left="0" w:leftChars="0"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2</w:t>
                  </w:r>
                </w:p>
              </w:tc>
              <w:tc>
                <w:tcPr>
                  <w:tcW w:w="1656" w:type="pct"/>
                  <w:shd w:val="clear" w:color="auto" w:fill="auto"/>
                  <w:noWrap w:val="0"/>
                  <w:vAlign w:val="center"/>
                </w:tcPr>
                <w:p w14:paraId="55EFB378">
                  <w:pPr>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000000"/>
                      <w:kern w:val="0"/>
                      <w:szCs w:val="21"/>
                      <w:lang w:val="en-US" w:eastAsia="zh-CN"/>
                    </w:rPr>
                    <w:t>润滑油</w:t>
                  </w:r>
                </w:p>
              </w:tc>
              <w:tc>
                <w:tcPr>
                  <w:tcW w:w="1175" w:type="pct"/>
                  <w:noWrap w:val="0"/>
                  <w:vAlign w:val="center"/>
                </w:tcPr>
                <w:p w14:paraId="2E6E81E6">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0.05</w:t>
                  </w:r>
                </w:p>
              </w:tc>
              <w:tc>
                <w:tcPr>
                  <w:tcW w:w="1057" w:type="pct"/>
                  <w:noWrap w:val="0"/>
                  <w:vAlign w:val="center"/>
                </w:tcPr>
                <w:p w14:paraId="357D7959">
                  <w:pPr>
                    <w:snapToGrid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2500</w:t>
                  </w:r>
                </w:p>
              </w:tc>
              <w:tc>
                <w:tcPr>
                  <w:tcW w:w="705" w:type="pct"/>
                  <w:noWrap w:val="0"/>
                  <w:vAlign w:val="center"/>
                </w:tcPr>
                <w:p w14:paraId="09AB474F">
                  <w:pPr>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0.00002</w:t>
                  </w:r>
                </w:p>
              </w:tc>
            </w:tr>
            <w:tr w14:paraId="0C3D0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5" w:type="pct"/>
                  <w:noWrap w:val="0"/>
                  <w:vAlign w:val="center"/>
                </w:tcPr>
                <w:p w14:paraId="1B252AA8">
                  <w:pPr>
                    <w:numPr>
                      <w:ilvl w:val="0"/>
                      <w:numId w:val="0"/>
                    </w:numPr>
                    <w:ind w:left="0" w:leftChars="0"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2"/>
                      <w:sz w:val="21"/>
                      <w:szCs w:val="21"/>
                      <w:lang w:val="en-US" w:eastAsia="zh-CN" w:bidi="ar-SA"/>
                    </w:rPr>
                    <w:t>3</w:t>
                  </w:r>
                </w:p>
              </w:tc>
              <w:tc>
                <w:tcPr>
                  <w:tcW w:w="1656" w:type="pct"/>
                  <w:shd w:val="clear" w:color="auto" w:fill="auto"/>
                  <w:noWrap w:val="0"/>
                  <w:vAlign w:val="center"/>
                </w:tcPr>
                <w:p w14:paraId="09607BF6">
                  <w:pPr>
                    <w:jc w:val="center"/>
                    <w:rPr>
                      <w:rFonts w:hint="default" w:ascii="Times New Roman" w:hAnsi="Times New Roman" w:eastAsia="仿宋" w:cs="Times New Roman"/>
                      <w:color w:val="000000"/>
                      <w:kern w:val="0"/>
                      <w:sz w:val="21"/>
                      <w:szCs w:val="21"/>
                      <w:lang w:val="en-US" w:eastAsia="zh-CN" w:bidi="ar-SA"/>
                    </w:rPr>
                  </w:pPr>
                  <w:r>
                    <w:rPr>
                      <w:rFonts w:hint="default" w:ascii="Times New Roman" w:hAnsi="Times New Roman" w:eastAsia="仿宋" w:cs="Times New Roman"/>
                      <w:color w:val="000000"/>
                      <w:kern w:val="0"/>
                      <w:szCs w:val="21"/>
                      <w:lang w:val="en-US" w:eastAsia="zh-CN"/>
                    </w:rPr>
                    <w:t>液压油</w:t>
                  </w:r>
                </w:p>
              </w:tc>
              <w:tc>
                <w:tcPr>
                  <w:tcW w:w="1175" w:type="pct"/>
                  <w:noWrap w:val="0"/>
                  <w:vAlign w:val="center"/>
                </w:tcPr>
                <w:p w14:paraId="3C51581F">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val="en-US" w:eastAsia="zh-CN"/>
                    </w:rPr>
                    <w:t>0.34</w:t>
                  </w:r>
                </w:p>
              </w:tc>
              <w:tc>
                <w:tcPr>
                  <w:tcW w:w="1057" w:type="pct"/>
                  <w:noWrap w:val="0"/>
                  <w:vAlign w:val="center"/>
                </w:tcPr>
                <w:p w14:paraId="7B20EEC0">
                  <w:pPr>
                    <w:snapToGrid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2500</w:t>
                  </w:r>
                </w:p>
              </w:tc>
              <w:tc>
                <w:tcPr>
                  <w:tcW w:w="705" w:type="pct"/>
                  <w:noWrap w:val="0"/>
                  <w:vAlign w:val="center"/>
                </w:tcPr>
                <w:p w14:paraId="6060AB25">
                  <w:pPr>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0.000136</w:t>
                  </w:r>
                </w:p>
              </w:tc>
            </w:tr>
            <w:tr w14:paraId="7B157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5" w:type="pct"/>
                  <w:noWrap w:val="0"/>
                  <w:vAlign w:val="center"/>
                </w:tcPr>
                <w:p w14:paraId="5B2DDA86">
                  <w:pPr>
                    <w:numPr>
                      <w:ilvl w:val="0"/>
                      <w:numId w:val="0"/>
                    </w:numPr>
                    <w:ind w:left="0" w:leftChars="0" w:firstLine="0" w:firstLineChars="0"/>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4</w:t>
                  </w:r>
                </w:p>
              </w:tc>
              <w:tc>
                <w:tcPr>
                  <w:tcW w:w="1656" w:type="pct"/>
                  <w:shd w:val="clear" w:color="auto" w:fill="auto"/>
                  <w:noWrap w:val="0"/>
                  <w:vAlign w:val="center"/>
                </w:tcPr>
                <w:p w14:paraId="13B4FAF5">
                  <w:pPr>
                    <w:jc w:val="center"/>
                    <w:rPr>
                      <w:rFonts w:hint="default" w:ascii="Times New Roman" w:hAnsi="Times New Roman" w:eastAsia="仿宋" w:cs="Times New Roman"/>
                      <w:color w:val="000000"/>
                      <w:kern w:val="0"/>
                      <w:szCs w:val="21"/>
                      <w:lang w:val="en-US" w:eastAsia="zh-CN"/>
                    </w:rPr>
                  </w:pPr>
                  <w:r>
                    <w:rPr>
                      <w:rFonts w:hint="eastAsia" w:ascii="Times New Roman" w:hAnsi="Times New Roman" w:eastAsia="仿宋" w:cs="Times New Roman"/>
                      <w:color w:val="000000"/>
                      <w:kern w:val="0"/>
                      <w:szCs w:val="21"/>
                      <w:lang w:val="en-US" w:eastAsia="zh-CN"/>
                    </w:rPr>
                    <w:t>溶剂型胶粘剂</w:t>
                  </w:r>
                </w:p>
              </w:tc>
              <w:tc>
                <w:tcPr>
                  <w:tcW w:w="1175" w:type="pct"/>
                  <w:noWrap w:val="0"/>
                  <w:vAlign w:val="center"/>
                </w:tcPr>
                <w:p w14:paraId="20593E8A">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0.01</w:t>
                  </w:r>
                </w:p>
              </w:tc>
              <w:tc>
                <w:tcPr>
                  <w:tcW w:w="1057" w:type="pct"/>
                  <w:noWrap w:val="0"/>
                  <w:vAlign w:val="center"/>
                </w:tcPr>
                <w:p w14:paraId="79AEA31A">
                  <w:pPr>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50</w:t>
                  </w:r>
                </w:p>
              </w:tc>
              <w:tc>
                <w:tcPr>
                  <w:tcW w:w="705" w:type="pct"/>
                  <w:noWrap w:val="0"/>
                  <w:vAlign w:val="center"/>
                </w:tcPr>
                <w:p w14:paraId="17802ED5">
                  <w:pPr>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0.0002</w:t>
                  </w:r>
                </w:p>
              </w:tc>
            </w:tr>
            <w:tr w14:paraId="60EFC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5" w:type="pct"/>
                  <w:shd w:val="clear" w:color="auto" w:fill="auto"/>
                  <w:noWrap w:val="0"/>
                  <w:vAlign w:val="center"/>
                </w:tcPr>
                <w:p w14:paraId="77D71273">
                  <w:pPr>
                    <w:numPr>
                      <w:ilvl w:val="0"/>
                      <w:numId w:val="0"/>
                    </w:numPr>
                    <w:ind w:left="0" w:leftChars="0"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lang w:val="en-US" w:eastAsia="zh-CN" w:bidi="ar-SA"/>
                    </w:rPr>
                    <w:t>5</w:t>
                  </w:r>
                </w:p>
              </w:tc>
              <w:tc>
                <w:tcPr>
                  <w:tcW w:w="1656" w:type="pct"/>
                  <w:shd w:val="clear" w:color="auto" w:fill="auto"/>
                  <w:noWrap w:val="0"/>
                  <w:vAlign w:val="center"/>
                </w:tcPr>
                <w:p w14:paraId="2F68EA0B">
                  <w:pPr>
                    <w:jc w:val="center"/>
                    <w:rPr>
                      <w:rFonts w:hint="default" w:ascii="Times New Roman" w:hAnsi="Times New Roman" w:eastAsia="仿宋" w:cs="Times New Roman"/>
                      <w:color w:val="000000"/>
                      <w:kern w:val="0"/>
                      <w:szCs w:val="21"/>
                      <w:lang w:val="en-US" w:eastAsia="zh-CN"/>
                    </w:rPr>
                  </w:pPr>
                  <w:r>
                    <w:rPr>
                      <w:rFonts w:hint="eastAsia" w:ascii="Times New Roman" w:hAnsi="Times New Roman" w:eastAsia="仿宋" w:cs="Times New Roman"/>
                      <w:color w:val="000000"/>
                      <w:kern w:val="0"/>
                      <w:szCs w:val="21"/>
                      <w:lang w:val="en-US" w:eastAsia="zh-CN"/>
                    </w:rPr>
                    <w:t>固化剂</w:t>
                  </w:r>
                </w:p>
              </w:tc>
              <w:tc>
                <w:tcPr>
                  <w:tcW w:w="1175" w:type="pct"/>
                  <w:noWrap w:val="0"/>
                  <w:vAlign w:val="center"/>
                </w:tcPr>
                <w:p w14:paraId="07040AE7">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0.01</w:t>
                  </w:r>
                </w:p>
              </w:tc>
              <w:tc>
                <w:tcPr>
                  <w:tcW w:w="1057" w:type="pct"/>
                  <w:noWrap w:val="0"/>
                  <w:vAlign w:val="center"/>
                </w:tcPr>
                <w:p w14:paraId="5B540238">
                  <w:pPr>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50</w:t>
                  </w:r>
                </w:p>
              </w:tc>
              <w:tc>
                <w:tcPr>
                  <w:tcW w:w="705" w:type="pct"/>
                  <w:noWrap w:val="0"/>
                  <w:vAlign w:val="center"/>
                </w:tcPr>
                <w:p w14:paraId="5EE2315B">
                  <w:pPr>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0.0002</w:t>
                  </w:r>
                </w:p>
              </w:tc>
            </w:tr>
            <w:tr w14:paraId="36440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5" w:type="pct"/>
                  <w:shd w:val="clear" w:color="auto" w:fill="auto"/>
                  <w:noWrap w:val="0"/>
                  <w:vAlign w:val="center"/>
                </w:tcPr>
                <w:p w14:paraId="4AA8E9C1">
                  <w:pPr>
                    <w:numPr>
                      <w:ilvl w:val="0"/>
                      <w:numId w:val="0"/>
                    </w:numPr>
                    <w:ind w:left="0" w:leftChars="0"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lang w:val="en-US" w:eastAsia="zh-CN"/>
                    </w:rPr>
                    <w:t>6</w:t>
                  </w:r>
                </w:p>
              </w:tc>
              <w:tc>
                <w:tcPr>
                  <w:tcW w:w="1656" w:type="pct"/>
                  <w:shd w:val="clear" w:color="auto" w:fill="auto"/>
                  <w:noWrap w:val="0"/>
                  <w:vAlign w:val="center"/>
                </w:tcPr>
                <w:p w14:paraId="63975ADC">
                  <w:pPr>
                    <w:jc w:val="center"/>
                    <w:rPr>
                      <w:rFonts w:hint="default" w:ascii="Times New Roman" w:hAnsi="Times New Roman" w:eastAsia="仿宋" w:cs="Times New Roman"/>
                      <w:color w:val="000000"/>
                      <w:kern w:val="0"/>
                      <w:sz w:val="21"/>
                      <w:szCs w:val="21"/>
                      <w:lang w:val="en-US" w:eastAsia="zh-CN" w:bidi="ar-SA"/>
                    </w:rPr>
                  </w:pPr>
                  <w:r>
                    <w:rPr>
                      <w:rFonts w:hint="default" w:ascii="Times New Roman" w:hAnsi="Times New Roman" w:eastAsia="仿宋" w:cs="Times New Roman"/>
                      <w:color w:val="000000"/>
                      <w:kern w:val="0"/>
                      <w:szCs w:val="21"/>
                      <w:lang w:val="en-US" w:eastAsia="zh-CN"/>
                    </w:rPr>
                    <w:t>废包装桶</w:t>
                  </w:r>
                </w:p>
              </w:tc>
              <w:tc>
                <w:tcPr>
                  <w:tcW w:w="1175" w:type="pct"/>
                  <w:noWrap w:val="0"/>
                  <w:vAlign w:val="center"/>
                </w:tcPr>
                <w:p w14:paraId="3AADDBA2">
                  <w:pPr>
                    <w:jc w:val="center"/>
                    <w:rPr>
                      <w:rFonts w:hint="default" w:ascii="Times New Roman" w:hAnsi="Times New Roman" w:eastAsia="仿宋" w:cs="Times New Roman"/>
                      <w:color w:val="auto"/>
                      <w:szCs w:val="21"/>
                      <w:highlight w:val="none"/>
                      <w:lang w:val="en-US"/>
                    </w:rPr>
                  </w:pPr>
                  <w:r>
                    <w:rPr>
                      <w:rFonts w:hint="eastAsia" w:eastAsia="仿宋" w:cs="Times New Roman"/>
                      <w:color w:val="auto"/>
                      <w:szCs w:val="21"/>
                      <w:highlight w:val="none"/>
                      <w:lang w:val="en-US" w:eastAsia="zh-CN"/>
                    </w:rPr>
                    <w:t>0.2</w:t>
                  </w:r>
                </w:p>
              </w:tc>
              <w:tc>
                <w:tcPr>
                  <w:tcW w:w="1057" w:type="pct"/>
                  <w:noWrap w:val="0"/>
                  <w:vAlign w:val="center"/>
                </w:tcPr>
                <w:p w14:paraId="5DF27333">
                  <w:pPr>
                    <w:snapToGrid w:val="0"/>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100</w:t>
                  </w:r>
                </w:p>
              </w:tc>
              <w:tc>
                <w:tcPr>
                  <w:tcW w:w="705" w:type="pct"/>
                  <w:noWrap w:val="0"/>
                  <w:vAlign w:val="center"/>
                </w:tcPr>
                <w:p w14:paraId="61D2723E">
                  <w:pPr>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0.002</w:t>
                  </w:r>
                </w:p>
              </w:tc>
            </w:tr>
            <w:tr w14:paraId="504CE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5" w:type="pct"/>
                  <w:noWrap w:val="0"/>
                  <w:vAlign w:val="center"/>
                </w:tcPr>
                <w:p w14:paraId="17BBD6F3">
                  <w:pPr>
                    <w:numPr>
                      <w:ilvl w:val="0"/>
                      <w:numId w:val="0"/>
                    </w:numPr>
                    <w:ind w:leftChars="0"/>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7</w:t>
                  </w:r>
                </w:p>
              </w:tc>
              <w:tc>
                <w:tcPr>
                  <w:tcW w:w="1656" w:type="pct"/>
                  <w:shd w:val="clear" w:color="auto" w:fill="auto"/>
                  <w:noWrap w:val="0"/>
                  <w:vAlign w:val="center"/>
                </w:tcPr>
                <w:p w14:paraId="7D23CFAC">
                  <w:pPr>
                    <w:jc w:val="center"/>
                    <w:rPr>
                      <w:rFonts w:hint="default" w:ascii="Times New Roman" w:hAnsi="Times New Roman" w:eastAsia="仿宋" w:cs="Times New Roman"/>
                      <w:color w:val="000000"/>
                      <w:kern w:val="0"/>
                      <w:sz w:val="21"/>
                      <w:szCs w:val="21"/>
                      <w:lang w:val="en-US" w:eastAsia="zh-CN" w:bidi="ar-SA"/>
                    </w:rPr>
                  </w:pPr>
                  <w:r>
                    <w:rPr>
                      <w:rFonts w:hint="default" w:ascii="Times New Roman" w:hAnsi="Times New Roman" w:eastAsia="仿宋" w:cs="Times New Roman"/>
                      <w:color w:val="000000"/>
                      <w:kern w:val="0"/>
                      <w:szCs w:val="21"/>
                      <w:lang w:val="en-US" w:eastAsia="zh-CN"/>
                    </w:rPr>
                    <w:t>废活性炭</w:t>
                  </w:r>
                </w:p>
              </w:tc>
              <w:tc>
                <w:tcPr>
                  <w:tcW w:w="1175" w:type="pct"/>
                  <w:noWrap w:val="0"/>
                  <w:vAlign w:val="center"/>
                </w:tcPr>
                <w:p w14:paraId="3A014107">
                  <w:pPr>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2.8</w:t>
                  </w:r>
                </w:p>
              </w:tc>
              <w:tc>
                <w:tcPr>
                  <w:tcW w:w="1057" w:type="pct"/>
                  <w:noWrap w:val="0"/>
                  <w:vAlign w:val="center"/>
                </w:tcPr>
                <w:p w14:paraId="43DC2A3C">
                  <w:pPr>
                    <w:snapToGrid w:val="0"/>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100</w:t>
                  </w:r>
                </w:p>
              </w:tc>
              <w:tc>
                <w:tcPr>
                  <w:tcW w:w="705" w:type="pct"/>
                  <w:noWrap w:val="0"/>
                  <w:vAlign w:val="center"/>
                </w:tcPr>
                <w:p w14:paraId="137D17C9">
                  <w:pPr>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0.02</w:t>
                  </w:r>
                  <w:r>
                    <w:rPr>
                      <w:rFonts w:hint="eastAsia" w:eastAsia="仿宋" w:cs="Times New Roman"/>
                      <w:color w:val="auto"/>
                      <w:szCs w:val="21"/>
                      <w:highlight w:val="none"/>
                      <w:lang w:val="en-US" w:eastAsia="zh-CN"/>
                    </w:rPr>
                    <w:t>8</w:t>
                  </w:r>
                </w:p>
              </w:tc>
            </w:tr>
            <w:tr w14:paraId="0B5F9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5" w:type="pct"/>
                  <w:noWrap w:val="0"/>
                  <w:vAlign w:val="center"/>
                </w:tcPr>
                <w:p w14:paraId="44EFAB13">
                  <w:pPr>
                    <w:numPr>
                      <w:ilvl w:val="0"/>
                      <w:numId w:val="0"/>
                    </w:numPr>
                    <w:ind w:leftChars="0"/>
                    <w:jc w:val="center"/>
                    <w:rPr>
                      <w:rFonts w:hint="default" w:eastAsia="仿宋" w:cs="Times New Roman"/>
                      <w:color w:val="0000FF"/>
                      <w:szCs w:val="21"/>
                      <w:highlight w:val="none"/>
                      <w:lang w:val="en-US" w:eastAsia="zh-CN"/>
                    </w:rPr>
                  </w:pPr>
                  <w:r>
                    <w:rPr>
                      <w:rFonts w:hint="eastAsia" w:eastAsia="仿宋" w:cs="Times New Roman"/>
                      <w:color w:val="0000FF"/>
                      <w:szCs w:val="21"/>
                      <w:highlight w:val="none"/>
                      <w:lang w:val="en-US" w:eastAsia="zh-CN"/>
                    </w:rPr>
                    <w:t>8</w:t>
                  </w:r>
                </w:p>
              </w:tc>
              <w:tc>
                <w:tcPr>
                  <w:tcW w:w="1656" w:type="pct"/>
                  <w:shd w:val="clear" w:color="auto" w:fill="auto"/>
                  <w:noWrap w:val="0"/>
                  <w:vAlign w:val="center"/>
                </w:tcPr>
                <w:p w14:paraId="1EB9DDEF">
                  <w:pPr>
                    <w:jc w:val="center"/>
                    <w:rPr>
                      <w:rFonts w:hint="default" w:ascii="Times New Roman" w:hAnsi="Times New Roman" w:eastAsia="仿宋" w:cs="Times New Roman"/>
                      <w:color w:val="0000FF"/>
                      <w:kern w:val="0"/>
                      <w:sz w:val="21"/>
                      <w:szCs w:val="21"/>
                      <w:lang w:val="en-US" w:eastAsia="zh-CN" w:bidi="ar-SA"/>
                    </w:rPr>
                  </w:pPr>
                  <w:r>
                    <w:rPr>
                      <w:rFonts w:hint="eastAsia" w:eastAsia="仿宋" w:cs="Times New Roman"/>
                      <w:color w:val="0000FF"/>
                      <w:kern w:val="0"/>
                      <w:szCs w:val="21"/>
                      <w:lang w:val="en-US" w:eastAsia="zh-CN"/>
                    </w:rPr>
                    <w:t>水旋废液</w:t>
                  </w:r>
                </w:p>
              </w:tc>
              <w:tc>
                <w:tcPr>
                  <w:tcW w:w="1175" w:type="pct"/>
                  <w:shd w:val="clear" w:color="auto" w:fill="auto"/>
                  <w:noWrap w:val="0"/>
                  <w:vAlign w:val="center"/>
                </w:tcPr>
                <w:p w14:paraId="053AA8B7">
                  <w:pPr>
                    <w:jc w:val="center"/>
                    <w:rPr>
                      <w:rFonts w:hint="default" w:ascii="Times New Roman" w:hAnsi="Times New Roman" w:eastAsia="仿宋" w:cs="Times New Roman"/>
                      <w:color w:val="0000FF"/>
                      <w:kern w:val="0"/>
                      <w:sz w:val="21"/>
                      <w:szCs w:val="21"/>
                      <w:lang w:val="en-US" w:eastAsia="zh-CN" w:bidi="ar-SA"/>
                    </w:rPr>
                  </w:pPr>
                  <w:r>
                    <w:rPr>
                      <w:rFonts w:hint="eastAsia" w:eastAsia="仿宋" w:cs="Times New Roman"/>
                      <w:color w:val="0000FF"/>
                      <w:kern w:val="0"/>
                      <w:szCs w:val="21"/>
                      <w:lang w:val="en-US" w:eastAsia="zh-CN"/>
                    </w:rPr>
                    <w:t>0.5</w:t>
                  </w:r>
                </w:p>
              </w:tc>
              <w:tc>
                <w:tcPr>
                  <w:tcW w:w="1057" w:type="pct"/>
                  <w:shd w:val="clear" w:color="auto" w:fill="auto"/>
                  <w:noWrap w:val="0"/>
                  <w:vAlign w:val="center"/>
                </w:tcPr>
                <w:p w14:paraId="368FD89C">
                  <w:pPr>
                    <w:jc w:val="center"/>
                    <w:rPr>
                      <w:rFonts w:hint="default" w:ascii="Times New Roman" w:hAnsi="Times New Roman" w:eastAsia="仿宋" w:cs="Times New Roman"/>
                      <w:color w:val="0000FF"/>
                      <w:kern w:val="0"/>
                      <w:sz w:val="21"/>
                      <w:szCs w:val="21"/>
                      <w:lang w:val="en-US" w:eastAsia="zh-CN" w:bidi="ar-SA"/>
                    </w:rPr>
                  </w:pPr>
                  <w:r>
                    <w:rPr>
                      <w:rFonts w:hint="eastAsia" w:eastAsia="仿宋" w:cs="Times New Roman"/>
                      <w:color w:val="0000FF"/>
                      <w:kern w:val="0"/>
                      <w:sz w:val="21"/>
                      <w:szCs w:val="21"/>
                      <w:lang w:val="en-US" w:eastAsia="zh-CN" w:bidi="ar-SA"/>
                    </w:rPr>
                    <w:t>100</w:t>
                  </w:r>
                </w:p>
              </w:tc>
              <w:tc>
                <w:tcPr>
                  <w:tcW w:w="705" w:type="pct"/>
                  <w:noWrap w:val="0"/>
                  <w:vAlign w:val="center"/>
                </w:tcPr>
                <w:p w14:paraId="639E4C7A">
                  <w:pPr>
                    <w:snapToGrid w:val="0"/>
                    <w:jc w:val="center"/>
                    <w:rPr>
                      <w:rFonts w:hint="eastAsia" w:ascii="Times New Roman" w:hAnsi="Times New Roman" w:eastAsia="仿宋" w:cs="Times New Roman"/>
                      <w:color w:val="0000FF"/>
                      <w:szCs w:val="21"/>
                      <w:highlight w:val="none"/>
                      <w:lang w:val="en-US" w:eastAsia="zh-CN"/>
                    </w:rPr>
                  </w:pPr>
                  <w:r>
                    <w:rPr>
                      <w:rFonts w:hint="eastAsia" w:ascii="Times New Roman" w:hAnsi="Times New Roman" w:eastAsia="仿宋" w:cs="Times New Roman"/>
                      <w:color w:val="0000FF"/>
                      <w:szCs w:val="21"/>
                      <w:highlight w:val="none"/>
                      <w:lang w:val="en-US" w:eastAsia="zh-CN"/>
                    </w:rPr>
                    <w:t>0.00</w:t>
                  </w:r>
                  <w:r>
                    <w:rPr>
                      <w:rFonts w:hint="eastAsia" w:eastAsia="仿宋" w:cs="Times New Roman"/>
                      <w:color w:val="0000FF"/>
                      <w:szCs w:val="21"/>
                      <w:highlight w:val="none"/>
                      <w:lang w:val="en-US" w:eastAsia="zh-CN"/>
                    </w:rPr>
                    <w:t>5</w:t>
                  </w:r>
                </w:p>
              </w:tc>
            </w:tr>
            <w:tr w14:paraId="56FCA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5" w:type="pct"/>
                  <w:noWrap w:val="0"/>
                  <w:vAlign w:val="center"/>
                </w:tcPr>
                <w:p w14:paraId="51009B9A">
                  <w:pPr>
                    <w:numPr>
                      <w:ilvl w:val="0"/>
                      <w:numId w:val="0"/>
                    </w:numPr>
                    <w:ind w:leftChars="0"/>
                    <w:jc w:val="center"/>
                    <w:rPr>
                      <w:rFonts w:hint="default" w:eastAsia="仿宋" w:cs="Times New Roman"/>
                      <w:color w:val="0000FF"/>
                      <w:szCs w:val="21"/>
                      <w:highlight w:val="none"/>
                      <w:lang w:val="en-US" w:eastAsia="zh-CN"/>
                    </w:rPr>
                  </w:pPr>
                  <w:r>
                    <w:rPr>
                      <w:rFonts w:hint="eastAsia" w:eastAsia="仿宋" w:cs="Times New Roman"/>
                      <w:color w:val="0000FF"/>
                      <w:szCs w:val="21"/>
                      <w:highlight w:val="none"/>
                      <w:lang w:val="en-US" w:eastAsia="zh-CN"/>
                    </w:rPr>
                    <w:t>9</w:t>
                  </w:r>
                </w:p>
              </w:tc>
              <w:tc>
                <w:tcPr>
                  <w:tcW w:w="1656" w:type="pct"/>
                  <w:shd w:val="clear" w:color="auto" w:fill="auto"/>
                  <w:noWrap w:val="0"/>
                  <w:vAlign w:val="center"/>
                </w:tcPr>
                <w:p w14:paraId="070C868F">
                  <w:pPr>
                    <w:jc w:val="center"/>
                    <w:rPr>
                      <w:rFonts w:hint="default" w:ascii="Times New Roman" w:hAnsi="Times New Roman" w:eastAsia="仿宋" w:cs="Times New Roman"/>
                      <w:color w:val="0000FF"/>
                      <w:kern w:val="0"/>
                      <w:sz w:val="21"/>
                      <w:szCs w:val="21"/>
                      <w:lang w:val="en-US" w:eastAsia="zh-CN" w:bidi="ar-SA"/>
                    </w:rPr>
                  </w:pPr>
                  <w:r>
                    <w:rPr>
                      <w:rFonts w:hint="eastAsia" w:ascii="Times New Roman" w:hAnsi="Times New Roman" w:eastAsia="仿宋" w:cs="Times New Roman"/>
                      <w:color w:val="0000FF"/>
                      <w:kern w:val="0"/>
                      <w:szCs w:val="21"/>
                      <w:lang w:val="en-US" w:eastAsia="zh-CN"/>
                    </w:rPr>
                    <w:t>废过滤棉和杂质</w:t>
                  </w:r>
                </w:p>
              </w:tc>
              <w:tc>
                <w:tcPr>
                  <w:tcW w:w="1175" w:type="pct"/>
                  <w:shd w:val="clear" w:color="auto" w:fill="auto"/>
                  <w:noWrap w:val="0"/>
                  <w:vAlign w:val="center"/>
                </w:tcPr>
                <w:p w14:paraId="2327815E">
                  <w:pPr>
                    <w:jc w:val="center"/>
                    <w:rPr>
                      <w:rFonts w:hint="eastAsia" w:ascii="Times New Roman" w:hAnsi="Times New Roman" w:eastAsia="仿宋" w:cs="Times New Roman"/>
                      <w:color w:val="0000FF"/>
                      <w:kern w:val="0"/>
                      <w:sz w:val="21"/>
                      <w:szCs w:val="21"/>
                      <w:lang w:val="en-US" w:eastAsia="zh-CN" w:bidi="ar-SA"/>
                    </w:rPr>
                  </w:pPr>
                  <w:r>
                    <w:rPr>
                      <w:rFonts w:hint="eastAsia" w:ascii="Times New Roman" w:hAnsi="Times New Roman" w:eastAsia="仿宋" w:cs="Times New Roman"/>
                      <w:color w:val="0000FF"/>
                      <w:kern w:val="0"/>
                      <w:szCs w:val="21"/>
                      <w:lang w:val="en-US" w:eastAsia="zh-CN"/>
                    </w:rPr>
                    <w:t>0.01</w:t>
                  </w:r>
                </w:p>
              </w:tc>
              <w:tc>
                <w:tcPr>
                  <w:tcW w:w="1057" w:type="pct"/>
                  <w:shd w:val="clear" w:color="auto" w:fill="auto"/>
                  <w:noWrap w:val="0"/>
                  <w:vAlign w:val="center"/>
                </w:tcPr>
                <w:p w14:paraId="7663E9EE">
                  <w:pPr>
                    <w:jc w:val="center"/>
                    <w:rPr>
                      <w:rFonts w:hint="default" w:ascii="Times New Roman" w:hAnsi="Times New Roman" w:eastAsia="仿宋" w:cs="Times New Roman"/>
                      <w:color w:val="0000FF"/>
                      <w:kern w:val="0"/>
                      <w:sz w:val="21"/>
                      <w:szCs w:val="21"/>
                      <w:lang w:val="en-US" w:eastAsia="zh-CN" w:bidi="ar-SA"/>
                    </w:rPr>
                  </w:pPr>
                  <w:r>
                    <w:rPr>
                      <w:rFonts w:hint="eastAsia" w:eastAsia="仿宋" w:cs="Times New Roman"/>
                      <w:color w:val="0000FF"/>
                      <w:kern w:val="0"/>
                      <w:sz w:val="21"/>
                      <w:szCs w:val="21"/>
                      <w:lang w:val="en-US" w:eastAsia="zh-CN" w:bidi="ar-SA"/>
                    </w:rPr>
                    <w:t>100</w:t>
                  </w:r>
                </w:p>
              </w:tc>
              <w:tc>
                <w:tcPr>
                  <w:tcW w:w="705" w:type="pct"/>
                  <w:noWrap w:val="0"/>
                  <w:vAlign w:val="center"/>
                </w:tcPr>
                <w:p w14:paraId="2BCD5906">
                  <w:pPr>
                    <w:snapToGrid w:val="0"/>
                    <w:jc w:val="center"/>
                    <w:rPr>
                      <w:rFonts w:hint="eastAsia" w:ascii="Times New Roman" w:hAnsi="Times New Roman" w:eastAsia="仿宋" w:cs="Times New Roman"/>
                      <w:color w:val="0000FF"/>
                      <w:szCs w:val="21"/>
                      <w:highlight w:val="none"/>
                      <w:lang w:val="en-US" w:eastAsia="zh-CN"/>
                    </w:rPr>
                  </w:pPr>
                  <w:r>
                    <w:rPr>
                      <w:rFonts w:hint="eastAsia" w:ascii="Times New Roman" w:hAnsi="Times New Roman" w:eastAsia="仿宋" w:cs="Times New Roman"/>
                      <w:color w:val="0000FF"/>
                      <w:szCs w:val="21"/>
                      <w:highlight w:val="none"/>
                      <w:lang w:val="en-US" w:eastAsia="zh-CN"/>
                    </w:rPr>
                    <w:t>0.0001</w:t>
                  </w:r>
                </w:p>
              </w:tc>
            </w:tr>
            <w:tr w14:paraId="06A06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05" w:type="pct"/>
                  <w:noWrap w:val="0"/>
                  <w:vAlign w:val="center"/>
                </w:tcPr>
                <w:p w14:paraId="52641A81">
                  <w:pPr>
                    <w:numPr>
                      <w:ilvl w:val="0"/>
                      <w:numId w:val="0"/>
                    </w:numPr>
                    <w:ind w:leftChars="0"/>
                    <w:jc w:val="center"/>
                    <w:rPr>
                      <w:rFonts w:hint="default" w:eastAsia="仿宋" w:cs="Times New Roman"/>
                      <w:color w:val="0000FF"/>
                      <w:szCs w:val="21"/>
                      <w:highlight w:val="none"/>
                      <w:lang w:val="en-US" w:eastAsia="zh-CN"/>
                    </w:rPr>
                  </w:pPr>
                  <w:r>
                    <w:rPr>
                      <w:rFonts w:hint="eastAsia" w:eastAsia="仿宋" w:cs="Times New Roman"/>
                      <w:color w:val="0000FF"/>
                      <w:szCs w:val="21"/>
                      <w:highlight w:val="none"/>
                      <w:lang w:val="en-US" w:eastAsia="zh-CN"/>
                    </w:rPr>
                    <w:t>10</w:t>
                  </w:r>
                </w:p>
              </w:tc>
              <w:tc>
                <w:tcPr>
                  <w:tcW w:w="1656" w:type="pct"/>
                  <w:shd w:val="clear" w:color="auto" w:fill="auto"/>
                  <w:noWrap w:val="0"/>
                  <w:vAlign w:val="center"/>
                </w:tcPr>
                <w:p w14:paraId="07A93CD6">
                  <w:pPr>
                    <w:jc w:val="center"/>
                    <w:rPr>
                      <w:rFonts w:hint="eastAsia" w:ascii="Times New Roman" w:hAnsi="Times New Roman" w:eastAsia="仿宋" w:cs="Times New Roman"/>
                      <w:color w:val="0000FF"/>
                      <w:kern w:val="0"/>
                      <w:sz w:val="21"/>
                      <w:szCs w:val="21"/>
                      <w:lang w:val="en-US" w:eastAsia="zh-CN" w:bidi="ar-SA"/>
                    </w:rPr>
                  </w:pPr>
                  <w:r>
                    <w:rPr>
                      <w:rFonts w:hint="eastAsia" w:eastAsia="仿宋" w:cs="Times New Roman"/>
                      <w:color w:val="0000FF"/>
                      <w:kern w:val="0"/>
                      <w:szCs w:val="21"/>
                      <w:lang w:val="en-US" w:eastAsia="zh-CN"/>
                    </w:rPr>
                    <w:t>水旋用水（在线量）</w:t>
                  </w:r>
                </w:p>
              </w:tc>
              <w:tc>
                <w:tcPr>
                  <w:tcW w:w="1175" w:type="pct"/>
                  <w:shd w:val="clear" w:color="auto" w:fill="auto"/>
                  <w:noWrap w:val="0"/>
                  <w:vAlign w:val="center"/>
                </w:tcPr>
                <w:p w14:paraId="377713DD">
                  <w:pPr>
                    <w:jc w:val="center"/>
                    <w:rPr>
                      <w:rFonts w:hint="eastAsia" w:ascii="Times New Roman" w:hAnsi="Times New Roman" w:eastAsia="仿宋" w:cs="Times New Roman"/>
                      <w:color w:val="0000FF"/>
                      <w:kern w:val="0"/>
                      <w:sz w:val="21"/>
                      <w:szCs w:val="21"/>
                      <w:lang w:val="en-US" w:eastAsia="zh-CN" w:bidi="ar-SA"/>
                    </w:rPr>
                  </w:pPr>
                  <w:r>
                    <w:rPr>
                      <w:rFonts w:hint="eastAsia" w:eastAsia="仿宋" w:cs="Times New Roman"/>
                      <w:color w:val="0000FF"/>
                      <w:kern w:val="0"/>
                      <w:szCs w:val="21"/>
                      <w:lang w:val="en-US" w:eastAsia="zh-CN"/>
                    </w:rPr>
                    <w:t>0.252</w:t>
                  </w:r>
                </w:p>
              </w:tc>
              <w:tc>
                <w:tcPr>
                  <w:tcW w:w="1057" w:type="pct"/>
                  <w:shd w:val="clear" w:color="auto" w:fill="auto"/>
                  <w:noWrap w:val="0"/>
                  <w:vAlign w:val="center"/>
                </w:tcPr>
                <w:p w14:paraId="3FD2E61A">
                  <w:pPr>
                    <w:jc w:val="center"/>
                    <w:rPr>
                      <w:rFonts w:hint="default" w:ascii="Times New Roman" w:hAnsi="Times New Roman" w:eastAsia="仿宋" w:cs="Times New Roman"/>
                      <w:color w:val="0000FF"/>
                      <w:kern w:val="0"/>
                      <w:sz w:val="21"/>
                      <w:szCs w:val="21"/>
                      <w:lang w:val="en-US" w:eastAsia="zh-CN" w:bidi="ar-SA"/>
                    </w:rPr>
                  </w:pPr>
                  <w:r>
                    <w:rPr>
                      <w:rFonts w:hint="eastAsia" w:eastAsia="仿宋" w:cs="Times New Roman"/>
                      <w:color w:val="0000FF"/>
                      <w:kern w:val="0"/>
                      <w:sz w:val="21"/>
                      <w:szCs w:val="21"/>
                      <w:lang w:val="en-US" w:eastAsia="zh-CN" w:bidi="ar-SA"/>
                    </w:rPr>
                    <w:t>100</w:t>
                  </w:r>
                </w:p>
              </w:tc>
              <w:tc>
                <w:tcPr>
                  <w:tcW w:w="705" w:type="pct"/>
                  <w:noWrap w:val="0"/>
                  <w:vAlign w:val="center"/>
                </w:tcPr>
                <w:p w14:paraId="30C34F1F">
                  <w:pPr>
                    <w:snapToGrid w:val="0"/>
                    <w:jc w:val="center"/>
                    <w:rPr>
                      <w:rFonts w:hint="eastAsia" w:ascii="Times New Roman" w:hAnsi="Times New Roman" w:eastAsia="仿宋" w:cs="Times New Roman"/>
                      <w:color w:val="0000FF"/>
                      <w:szCs w:val="21"/>
                      <w:highlight w:val="none"/>
                      <w:lang w:val="en-US" w:eastAsia="zh-CN"/>
                    </w:rPr>
                  </w:pPr>
                  <w:r>
                    <w:rPr>
                      <w:rFonts w:hint="eastAsia" w:ascii="Times New Roman" w:hAnsi="Times New Roman" w:eastAsia="仿宋" w:cs="Times New Roman"/>
                      <w:color w:val="0000FF"/>
                      <w:szCs w:val="21"/>
                      <w:highlight w:val="none"/>
                      <w:lang w:val="en-US" w:eastAsia="zh-CN"/>
                    </w:rPr>
                    <w:t>0.00252</w:t>
                  </w:r>
                </w:p>
              </w:tc>
            </w:tr>
            <w:tr w14:paraId="5C1EC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37" w:type="pct"/>
                  <w:gridSpan w:val="3"/>
                  <w:noWrap w:val="0"/>
                  <w:vAlign w:val="center"/>
                </w:tcPr>
                <w:p w14:paraId="26B3265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合计</w:t>
                  </w:r>
                </w:p>
              </w:tc>
              <w:tc>
                <w:tcPr>
                  <w:tcW w:w="1057" w:type="pct"/>
                  <w:noWrap w:val="0"/>
                  <w:vAlign w:val="center"/>
                </w:tcPr>
                <w:p w14:paraId="41E7D5E4">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∑qn/Qn</w:t>
                  </w:r>
                </w:p>
              </w:tc>
              <w:tc>
                <w:tcPr>
                  <w:tcW w:w="705" w:type="pct"/>
                  <w:shd w:val="clear" w:color="auto" w:fill="auto"/>
                  <w:noWrap w:val="0"/>
                  <w:vAlign w:val="center"/>
                </w:tcPr>
                <w:p w14:paraId="2543EA9C">
                  <w:pPr>
                    <w:snapToGrid w:val="0"/>
                    <w:jc w:val="center"/>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仿宋" w:cs="Times New Roman"/>
                      <w:color w:val="0000FF"/>
                      <w:szCs w:val="21"/>
                      <w:highlight w:val="none"/>
                      <w:lang w:val="en-US" w:eastAsia="zh-CN"/>
                    </w:rPr>
                    <w:t>0.043176</w:t>
                  </w:r>
                </w:p>
              </w:tc>
            </w:tr>
          </w:tbl>
          <w:p w14:paraId="43BF0757">
            <w:pPr>
              <w:spacing w:before="120" w:beforeLines="50"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由上表可知，</w:t>
            </w:r>
            <w:r>
              <w:rPr>
                <w:rFonts w:hint="eastAsia" w:eastAsia="仿宋" w:cs="Times New Roman"/>
                <w:bCs/>
                <w:color w:val="auto"/>
                <w:sz w:val="24"/>
                <w:highlight w:val="none"/>
                <w:lang w:val="en-US" w:eastAsia="zh-CN"/>
              </w:rPr>
              <w:t>全厂</w:t>
            </w:r>
            <w:r>
              <w:rPr>
                <w:rFonts w:hint="default" w:ascii="Times New Roman" w:hAnsi="Times New Roman" w:eastAsia="仿宋" w:cs="Times New Roman"/>
                <w:bCs/>
                <w:color w:val="auto"/>
                <w:sz w:val="24"/>
                <w:highlight w:val="none"/>
              </w:rPr>
              <w:t>涉及的风险物质总量与其临界量比值Q＜1，环境风险潜势为Ⅰ。</w:t>
            </w:r>
          </w:p>
          <w:p w14:paraId="19BDE078">
            <w:pPr>
              <w:pStyle w:val="15"/>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3、评价等级判定</w:t>
            </w:r>
          </w:p>
          <w:p w14:paraId="7977466F">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根据</w:t>
            </w:r>
            <w:r>
              <w:rPr>
                <w:rFonts w:hint="default" w:ascii="Times New Roman" w:hAnsi="Times New Roman" w:eastAsia="仿宋" w:cs="Times New Roman"/>
                <w:bCs/>
                <w:color w:val="auto"/>
                <w:sz w:val="24"/>
                <w:highlight w:val="none"/>
              </w:rPr>
              <w:t>《建设项目环境风险评价技术导则》（HJ 169-2018），项目环境风险潜势为Ⅰ，</w:t>
            </w:r>
            <w:r>
              <w:rPr>
                <w:rFonts w:hint="default" w:ascii="Times New Roman" w:hAnsi="Times New Roman" w:eastAsia="仿宋" w:cs="Times New Roman"/>
                <w:color w:val="auto"/>
                <w:sz w:val="24"/>
                <w:highlight w:val="none"/>
              </w:rPr>
              <w:t>评价等级为简单分析。</w:t>
            </w:r>
          </w:p>
          <w:p w14:paraId="05F7E296">
            <w:pPr>
              <w:jc w:val="center"/>
              <w:rPr>
                <w:rFonts w:hint="default" w:ascii="Times New Roman" w:hAnsi="Times New Roman" w:eastAsia="仿宋" w:cs="Times New Roman"/>
                <w:b/>
                <w:color w:val="auto"/>
                <w:sz w:val="24"/>
                <w:highlight w:val="none"/>
              </w:rPr>
            </w:pPr>
            <w:r>
              <w:rPr>
                <w:rFonts w:hint="default" w:ascii="Times New Roman" w:hAnsi="Times New Roman" w:eastAsia="仿宋" w:cs="Times New Roman"/>
                <w:b/>
                <w:color w:val="auto"/>
                <w:sz w:val="24"/>
                <w:highlight w:val="none"/>
              </w:rPr>
              <w:t>表4-</w:t>
            </w:r>
            <w:r>
              <w:rPr>
                <w:rFonts w:hint="eastAsia" w:eastAsia="仿宋" w:cs="Times New Roman"/>
                <w:b/>
                <w:color w:val="auto"/>
                <w:sz w:val="24"/>
                <w:highlight w:val="none"/>
                <w:lang w:val="en-US" w:eastAsia="zh-CN"/>
              </w:rPr>
              <w:t>41</w:t>
            </w:r>
            <w:r>
              <w:rPr>
                <w:rFonts w:hint="default" w:ascii="Times New Roman" w:hAnsi="Times New Roman" w:eastAsia="仿宋" w:cs="Times New Roman"/>
                <w:b/>
                <w:color w:val="auto"/>
                <w:sz w:val="24"/>
                <w:highlight w:val="none"/>
              </w:rPr>
              <w:t xml:space="preserve">  风险评价工作等级划分</w:t>
            </w:r>
          </w:p>
          <w:tbl>
            <w:tblPr>
              <w:tblStyle w:val="2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784"/>
              <w:gridCol w:w="1371"/>
              <w:gridCol w:w="1290"/>
              <w:gridCol w:w="1398"/>
              <w:gridCol w:w="1557"/>
            </w:tblGrid>
            <w:tr w14:paraId="53DF22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57" w:type="pct"/>
                  <w:tcBorders>
                    <w:top w:val="single" w:color="000000" w:sz="12" w:space="0"/>
                    <w:bottom w:val="single" w:color="000000" w:sz="4" w:space="0"/>
                    <w:right w:val="single" w:color="000000" w:sz="4" w:space="0"/>
                  </w:tcBorders>
                  <w:noWrap w:val="0"/>
                  <w:vAlign w:val="center"/>
                </w:tcPr>
                <w:p w14:paraId="343E8061">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环境风险潜势</w:t>
                  </w:r>
                </w:p>
              </w:tc>
              <w:tc>
                <w:tcPr>
                  <w:tcW w:w="816" w:type="pct"/>
                  <w:tcBorders>
                    <w:top w:val="single" w:color="000000" w:sz="12" w:space="0"/>
                    <w:left w:val="single" w:color="000000" w:sz="4" w:space="0"/>
                    <w:bottom w:val="single" w:color="000000" w:sz="4" w:space="0"/>
                    <w:right w:val="single" w:color="000000" w:sz="4" w:space="0"/>
                  </w:tcBorders>
                  <w:noWrap w:val="0"/>
                  <w:vAlign w:val="center"/>
                </w:tcPr>
                <w:p w14:paraId="61F2B938">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Ⅳ、Ⅳ</w:t>
                  </w:r>
                  <w:r>
                    <w:rPr>
                      <w:rFonts w:hint="default" w:ascii="Times New Roman" w:hAnsi="Times New Roman" w:eastAsia="仿宋" w:cs="Times New Roman"/>
                      <w:b/>
                      <w:color w:val="auto"/>
                      <w:szCs w:val="21"/>
                      <w:highlight w:val="none"/>
                      <w:vertAlign w:val="superscript"/>
                    </w:rPr>
                    <w:t>+</w:t>
                  </w:r>
                </w:p>
              </w:tc>
              <w:tc>
                <w:tcPr>
                  <w:tcW w:w="768" w:type="pct"/>
                  <w:tcBorders>
                    <w:top w:val="single" w:color="000000" w:sz="12" w:space="0"/>
                    <w:left w:val="single" w:color="000000" w:sz="4" w:space="0"/>
                    <w:bottom w:val="single" w:color="000000" w:sz="4" w:space="0"/>
                    <w:right w:val="single" w:color="000000" w:sz="4" w:space="0"/>
                  </w:tcBorders>
                  <w:noWrap w:val="0"/>
                  <w:vAlign w:val="center"/>
                </w:tcPr>
                <w:p w14:paraId="1563E799">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Ⅲ</w:t>
                  </w:r>
                </w:p>
              </w:tc>
              <w:tc>
                <w:tcPr>
                  <w:tcW w:w="832" w:type="pct"/>
                  <w:tcBorders>
                    <w:top w:val="single" w:color="000000" w:sz="12" w:space="0"/>
                    <w:left w:val="single" w:color="000000" w:sz="4" w:space="0"/>
                    <w:bottom w:val="single" w:color="000000" w:sz="4" w:space="0"/>
                    <w:right w:val="single" w:color="000000" w:sz="4" w:space="0"/>
                  </w:tcBorders>
                  <w:noWrap w:val="0"/>
                  <w:vAlign w:val="center"/>
                </w:tcPr>
                <w:p w14:paraId="4A6768EE">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Ⅱ</w:t>
                  </w:r>
                </w:p>
              </w:tc>
              <w:tc>
                <w:tcPr>
                  <w:tcW w:w="927" w:type="pct"/>
                  <w:tcBorders>
                    <w:top w:val="single" w:color="000000" w:sz="12" w:space="0"/>
                    <w:left w:val="single" w:color="000000" w:sz="4" w:space="0"/>
                    <w:bottom w:val="single" w:color="000000" w:sz="4" w:space="0"/>
                  </w:tcBorders>
                  <w:noWrap w:val="0"/>
                  <w:vAlign w:val="center"/>
                </w:tcPr>
                <w:p w14:paraId="47F1FC76">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Ⅰ</w:t>
                  </w:r>
                </w:p>
              </w:tc>
            </w:tr>
            <w:tr w14:paraId="48B8A3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57" w:type="pct"/>
                  <w:tcBorders>
                    <w:top w:val="single" w:color="000000" w:sz="4" w:space="0"/>
                    <w:bottom w:val="single" w:color="000000" w:sz="4" w:space="0"/>
                    <w:right w:val="single" w:color="000000" w:sz="4" w:space="0"/>
                  </w:tcBorders>
                  <w:shd w:val="clear" w:color="auto" w:fill="auto"/>
                  <w:noWrap w:val="0"/>
                  <w:vAlign w:val="center"/>
                </w:tcPr>
                <w:p w14:paraId="1342E217">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评价工作等级</w:t>
                  </w:r>
                </w:p>
              </w:tc>
              <w:tc>
                <w:tcPr>
                  <w:tcW w:w="81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F8866">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一</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9948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二</w:t>
                  </w:r>
                </w:p>
              </w:tc>
              <w:tc>
                <w:tcPr>
                  <w:tcW w:w="8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D9759">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三</w:t>
                  </w:r>
                </w:p>
              </w:tc>
              <w:tc>
                <w:tcPr>
                  <w:tcW w:w="927" w:type="pct"/>
                  <w:tcBorders>
                    <w:top w:val="single" w:color="000000" w:sz="4" w:space="0"/>
                    <w:left w:val="single" w:color="000000" w:sz="4" w:space="0"/>
                    <w:bottom w:val="single" w:color="000000" w:sz="4" w:space="0"/>
                    <w:right w:val="nil"/>
                  </w:tcBorders>
                  <w:shd w:val="clear" w:color="auto" w:fill="FFC000"/>
                  <w:noWrap w:val="0"/>
                  <w:vAlign w:val="center"/>
                </w:tcPr>
                <w:p w14:paraId="03D24F24">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简单分析</w:t>
                  </w:r>
                  <w:r>
                    <w:rPr>
                      <w:rFonts w:hint="default" w:ascii="Times New Roman" w:hAnsi="Times New Roman" w:eastAsia="仿宋" w:cs="Times New Roman"/>
                      <w:color w:val="auto"/>
                      <w:szCs w:val="21"/>
                      <w:highlight w:val="none"/>
                      <w:vertAlign w:val="superscript"/>
                    </w:rPr>
                    <w:t>a</w:t>
                  </w:r>
                </w:p>
              </w:tc>
            </w:tr>
            <w:tr w14:paraId="73AC6D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5"/>
                  <w:tcBorders>
                    <w:top w:val="single" w:color="000000" w:sz="4" w:space="0"/>
                    <w:bottom w:val="single" w:color="000000" w:sz="12" w:space="0"/>
                  </w:tcBorders>
                  <w:noWrap w:val="0"/>
                  <w:vAlign w:val="center"/>
                </w:tcPr>
                <w:p w14:paraId="2444737C">
                  <w:pP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a  是对于详细评价工作内容而言，在描述危险物质、环境影响途径、环境危害后果、风险防范措施等方面给出定性的说明。见附录A。</w:t>
                  </w:r>
                </w:p>
              </w:tc>
            </w:tr>
          </w:tbl>
          <w:p w14:paraId="53092FB3">
            <w:pPr>
              <w:spacing w:before="120" w:beforeLines="50"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4、环境风险识别及环境风险分析</w:t>
            </w:r>
          </w:p>
          <w:p w14:paraId="5FFFF6E8">
            <w:pPr>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bCs/>
                <w:color w:val="auto"/>
                <w:sz w:val="24"/>
                <w:highlight w:val="none"/>
              </w:rPr>
              <w:t>本项目危险物质主要分布在</w:t>
            </w:r>
            <w:r>
              <w:rPr>
                <w:rFonts w:hint="default" w:ascii="Times New Roman" w:hAnsi="Times New Roman" w:eastAsia="仿宋" w:cs="Times New Roman"/>
                <w:bCs/>
                <w:color w:val="auto"/>
                <w:sz w:val="24"/>
                <w:highlight w:val="none"/>
                <w:lang w:val="en-US" w:eastAsia="zh-CN"/>
              </w:rPr>
              <w:t>原料仓库、危废仓库</w:t>
            </w:r>
            <w:r>
              <w:rPr>
                <w:rFonts w:hint="eastAsia" w:eastAsia="仿宋" w:cs="Times New Roman"/>
                <w:bCs/>
                <w:color w:val="auto"/>
                <w:sz w:val="24"/>
                <w:highlight w:val="none"/>
                <w:lang w:val="en-US" w:eastAsia="zh-CN"/>
              </w:rPr>
              <w:t>、</w:t>
            </w:r>
            <w:r>
              <w:rPr>
                <w:rFonts w:hint="eastAsia" w:eastAsia="仿宋" w:cs="Times New Roman"/>
                <w:bCs/>
                <w:color w:val="0000FF"/>
                <w:sz w:val="24"/>
                <w:highlight w:val="none"/>
                <w:lang w:val="en-US" w:eastAsia="zh-CN"/>
              </w:rPr>
              <w:t>水旋除尘器</w:t>
            </w:r>
            <w:r>
              <w:rPr>
                <w:rFonts w:hint="default" w:ascii="Times New Roman" w:hAnsi="Times New Roman" w:eastAsia="仿宋" w:cs="Times New Roman"/>
                <w:bCs/>
                <w:color w:val="auto"/>
                <w:sz w:val="24"/>
                <w:highlight w:val="none"/>
              </w:rPr>
              <w:t>，对环境影响途径包括以上场所发生危险物质泄漏，液体进入雨水管网向外环境扩散，泄漏的危险物质扩散进水中，通过雨水管网进入附近水体，危险物质在下渗过程中会污染地下水，进而流入周围的河流，造成整个周围地区水环境的污染；发生火灾产生的伴生/次生污染物对环境空气造成污染；配套的环保设备不能正常工作，会产生环境污染。</w:t>
            </w:r>
          </w:p>
          <w:p w14:paraId="0145D724">
            <w:pPr>
              <w:adjustRightInd w:val="0"/>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bCs/>
                <w:color w:val="auto"/>
                <w:sz w:val="24"/>
                <w:highlight w:val="none"/>
              </w:rPr>
              <w:t>5、环境风险防范措施及应急要求</w:t>
            </w:r>
          </w:p>
          <w:p w14:paraId="056C2914">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（1）应急组织机构</w:t>
            </w:r>
          </w:p>
          <w:p w14:paraId="4E9AA3D6">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企业已成立突发环境应急事件应急组织机构，统一负责可能发生突发环境事件的应急处置工作。依据突发环境事故危害程度的级别设置分级应急救援组织机构，由各部门领导组成，下设应急救援办公室、日常工作由生产部门兼管。发生重大事故时，以指挥领导小组为基础，立即成立突发环境事件应急救援指挥部，由总监任总指挥，负责全厂应急救援工作的组织和指挥。</w:t>
            </w:r>
          </w:p>
          <w:p w14:paraId="5918A1DE">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w:t>
            </w:r>
            <w:r>
              <w:rPr>
                <w:rFonts w:hint="default" w:ascii="Times New Roman" w:hAnsi="Times New Roman" w:eastAsia="仿宋" w:cs="Times New Roman"/>
                <w:color w:val="auto"/>
                <w:szCs w:val="24"/>
                <w:highlight w:val="none"/>
                <w:lang w:val="en-US" w:eastAsia="zh-CN"/>
              </w:rPr>
              <w:t>2</w:t>
            </w:r>
            <w:r>
              <w:rPr>
                <w:rFonts w:hint="default" w:ascii="Times New Roman" w:hAnsi="Times New Roman" w:eastAsia="仿宋" w:cs="Times New Roman"/>
                <w:color w:val="auto"/>
                <w:szCs w:val="24"/>
                <w:highlight w:val="none"/>
              </w:rPr>
              <w:t>）环境风险防范措施</w:t>
            </w:r>
          </w:p>
          <w:p w14:paraId="4AE0346A">
            <w:pPr>
              <w:pStyle w:val="15"/>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Cs w:val="24"/>
                <w:highlight w:val="none"/>
              </w:rPr>
            </w:pPr>
            <w:r>
              <w:rPr>
                <w:rFonts w:hint="default" w:ascii="Times New Roman" w:hAnsi="Times New Roman" w:eastAsia="仿宋" w:cs="Times New Roman"/>
                <w:b/>
                <w:bCs/>
                <w:color w:val="auto"/>
                <w:szCs w:val="24"/>
                <w:highlight w:val="none"/>
              </w:rPr>
              <w:t>表4-</w:t>
            </w:r>
            <w:r>
              <w:rPr>
                <w:rFonts w:hint="eastAsia" w:eastAsia="仿宋" w:cs="Times New Roman"/>
                <w:b/>
                <w:bCs/>
                <w:color w:val="auto"/>
                <w:szCs w:val="24"/>
                <w:highlight w:val="none"/>
                <w:lang w:val="en-US" w:eastAsia="zh-CN"/>
              </w:rPr>
              <w:t>42</w:t>
            </w:r>
            <w:r>
              <w:rPr>
                <w:rFonts w:hint="default" w:ascii="Times New Roman" w:hAnsi="Times New Roman" w:eastAsia="仿宋" w:cs="Times New Roman"/>
                <w:b/>
                <w:bCs/>
                <w:color w:val="auto"/>
                <w:szCs w:val="24"/>
                <w:highlight w:val="none"/>
              </w:rPr>
              <w:t xml:space="preserve">  企业现有风险防控措施</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6438"/>
            </w:tblGrid>
            <w:tr w14:paraId="3A8BC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8" w:type="pct"/>
                  <w:noWrap w:val="0"/>
                  <w:vAlign w:val="center"/>
                </w:tcPr>
                <w:p w14:paraId="0B018F6A">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名称</w:t>
                  </w:r>
                </w:p>
              </w:tc>
              <w:tc>
                <w:tcPr>
                  <w:tcW w:w="3831" w:type="pct"/>
                  <w:noWrap w:val="0"/>
                  <w:vAlign w:val="center"/>
                </w:tcPr>
                <w:p w14:paraId="64405E3E">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落实情况</w:t>
                  </w:r>
                </w:p>
              </w:tc>
            </w:tr>
            <w:tr w14:paraId="4E282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8" w:type="pct"/>
                  <w:noWrap w:val="0"/>
                  <w:vAlign w:val="center"/>
                </w:tcPr>
                <w:p w14:paraId="48EAF5AC">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应急救援队伍</w:t>
                  </w:r>
                </w:p>
              </w:tc>
              <w:tc>
                <w:tcPr>
                  <w:tcW w:w="3831" w:type="pct"/>
                  <w:noWrap w:val="0"/>
                  <w:vAlign w:val="center"/>
                </w:tcPr>
                <w:p w14:paraId="357D3648">
                  <w:pPr>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已经建立了应急救援队伍，包括抢险抢修、物资供应等职责。</w:t>
                  </w:r>
                </w:p>
              </w:tc>
            </w:tr>
            <w:tr w14:paraId="21512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8" w:type="pct"/>
                  <w:noWrap w:val="0"/>
                  <w:vAlign w:val="center"/>
                </w:tcPr>
                <w:p w14:paraId="1C058A8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环境风险管理制度</w:t>
                  </w:r>
                </w:p>
              </w:tc>
              <w:tc>
                <w:tcPr>
                  <w:tcW w:w="3831" w:type="pct"/>
                  <w:noWrap w:val="0"/>
                  <w:vAlign w:val="center"/>
                </w:tcPr>
                <w:p w14:paraId="36CEFFE5">
                  <w:pPr>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已建立初步的设备仪器检查与日常维护制度、培训制度、演练制度等。</w:t>
                  </w:r>
                </w:p>
              </w:tc>
            </w:tr>
            <w:tr w14:paraId="5AD8C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8" w:type="pct"/>
                  <w:noWrap w:val="0"/>
                  <w:vAlign w:val="center"/>
                </w:tcPr>
                <w:p w14:paraId="1F07D48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环境风险防控及应急措施</w:t>
                  </w:r>
                </w:p>
              </w:tc>
              <w:tc>
                <w:tcPr>
                  <w:tcW w:w="3831" w:type="pct"/>
                  <w:noWrap w:val="0"/>
                  <w:vAlign w:val="center"/>
                </w:tcPr>
                <w:p w14:paraId="5FD194A7">
                  <w:pPr>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eastAsia="zh-CN"/>
                    </w:rPr>
                    <w:t>1.</w:t>
                  </w:r>
                  <w:r>
                    <w:rPr>
                      <w:rFonts w:hint="default" w:ascii="Times New Roman" w:hAnsi="Times New Roman" w:eastAsia="仿宋" w:cs="Times New Roman"/>
                      <w:color w:val="auto"/>
                      <w:szCs w:val="21"/>
                      <w:highlight w:val="none"/>
                    </w:rPr>
                    <w:t>已配备的应急物资和应急装备包括消防栓、灭火器、应急灯、医疗救援箱等。</w:t>
                  </w:r>
                </w:p>
                <w:p w14:paraId="6ACB9AD5">
                  <w:pPr>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eastAsia="zh-CN"/>
                    </w:rPr>
                    <w:t>2.</w:t>
                  </w:r>
                  <w:r>
                    <w:rPr>
                      <w:rFonts w:hint="default" w:ascii="Times New Roman" w:hAnsi="Times New Roman" w:eastAsia="仿宋" w:cs="Times New Roman"/>
                      <w:color w:val="auto"/>
                      <w:szCs w:val="21"/>
                      <w:highlight w:val="none"/>
                    </w:rPr>
                    <w:t>已与有资质监测单位签订突发环境事件应急监测协议。</w:t>
                  </w:r>
                </w:p>
                <w:p w14:paraId="54F4FBC7">
                  <w:pPr>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eastAsia="zh-CN"/>
                    </w:rPr>
                    <w:t>3.</w:t>
                  </w:r>
                  <w:r>
                    <w:rPr>
                      <w:rFonts w:hint="default" w:ascii="Times New Roman" w:hAnsi="Times New Roman" w:eastAsia="仿宋" w:cs="Times New Roman"/>
                      <w:color w:val="auto"/>
                      <w:szCs w:val="21"/>
                      <w:highlight w:val="none"/>
                    </w:rPr>
                    <w:t>已设置兼职人员组成的应急救援队伍。</w:t>
                  </w:r>
                </w:p>
                <w:p w14:paraId="29D3B352">
                  <w:pPr>
                    <w:jc w:val="left"/>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lang w:eastAsia="zh-CN"/>
                    </w:rPr>
                    <w:t>4.</w:t>
                  </w:r>
                  <w:r>
                    <w:rPr>
                      <w:rFonts w:hint="default" w:ascii="Times New Roman" w:hAnsi="Times New Roman" w:eastAsia="仿宋" w:cs="Times New Roman"/>
                      <w:color w:val="auto"/>
                      <w:szCs w:val="21"/>
                      <w:highlight w:val="none"/>
                    </w:rPr>
                    <w:t>已与周边单位签订应急救援协议。</w:t>
                  </w:r>
                </w:p>
              </w:tc>
            </w:tr>
          </w:tbl>
          <w:p w14:paraId="547B87EB">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生产过程中，企业还需完善以下风险防范措施：</w:t>
            </w:r>
          </w:p>
          <w:p w14:paraId="06011DAE">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①物料储运安全防范措施</w:t>
            </w:r>
          </w:p>
          <w:p w14:paraId="35ECD009">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包装过程要求包装材料与危险物相适应、包装封口与危险物相适应；包装标志执行GB190-2009《危险货物包装标志》和GB/T</w:t>
            </w:r>
            <w:r>
              <w:rPr>
                <w:rFonts w:hint="default" w:ascii="Times New Roman" w:hAnsi="Times New Roman" w:eastAsia="仿宋" w:cs="Times New Roman"/>
                <w:color w:val="auto"/>
                <w:szCs w:val="24"/>
                <w:highlight w:val="none"/>
                <w:lang w:val="en-US" w:eastAsia="zh-CN"/>
              </w:rPr>
              <w:t xml:space="preserve"> </w:t>
            </w:r>
            <w:r>
              <w:rPr>
                <w:rFonts w:hint="default" w:ascii="Times New Roman" w:hAnsi="Times New Roman" w:eastAsia="仿宋" w:cs="Times New Roman"/>
                <w:color w:val="auto"/>
                <w:szCs w:val="24"/>
                <w:highlight w:val="none"/>
              </w:rPr>
              <w:t>191-2</w:t>
            </w:r>
            <w:r>
              <w:rPr>
                <w:rFonts w:hint="eastAsia" w:eastAsia="仿宋" w:cs="Times New Roman"/>
                <w:color w:val="auto"/>
                <w:szCs w:val="24"/>
                <w:highlight w:val="none"/>
                <w:lang w:val="en-US" w:eastAsia="zh-CN"/>
              </w:rPr>
              <w:t>025</w:t>
            </w:r>
            <w:r>
              <w:rPr>
                <w:rFonts w:hint="default" w:ascii="Times New Roman" w:hAnsi="Times New Roman" w:eastAsia="仿宋" w:cs="Times New Roman"/>
                <w:color w:val="auto"/>
                <w:szCs w:val="24"/>
                <w:highlight w:val="none"/>
              </w:rPr>
              <w:t>《</w:t>
            </w:r>
            <w:r>
              <w:rPr>
                <w:rFonts w:hint="default" w:ascii="Times New Roman" w:hAnsi="Times New Roman" w:eastAsia="仿宋" w:cs="Times New Roman"/>
                <w:color w:val="auto"/>
                <w:szCs w:val="24"/>
                <w:highlight w:val="none"/>
                <w:lang w:eastAsia="zh-CN"/>
              </w:rPr>
              <w:t>包装储运图示标志</w:t>
            </w:r>
            <w:r>
              <w:rPr>
                <w:rFonts w:hint="default" w:ascii="Times New Roman" w:hAnsi="Times New Roman" w:eastAsia="仿宋" w:cs="Times New Roman"/>
                <w:color w:val="auto"/>
                <w:szCs w:val="24"/>
                <w:highlight w:val="none"/>
              </w:rPr>
              <w:t>》。运输过程应执行GB1246</w:t>
            </w:r>
            <w:r>
              <w:rPr>
                <w:rFonts w:hint="default" w:ascii="Times New Roman" w:hAnsi="Times New Roman" w:eastAsia="仿宋" w:cs="Times New Roman"/>
                <w:color w:val="auto"/>
                <w:szCs w:val="24"/>
                <w:highlight w:val="none"/>
                <w:lang w:val="en-US" w:eastAsia="zh-CN"/>
              </w:rPr>
              <w:t>3</w:t>
            </w:r>
            <w:r>
              <w:rPr>
                <w:rFonts w:hint="default" w:ascii="Times New Roman" w:hAnsi="Times New Roman" w:eastAsia="仿宋" w:cs="Times New Roman"/>
                <w:color w:val="auto"/>
                <w:szCs w:val="24"/>
                <w:highlight w:val="none"/>
              </w:rPr>
              <w:t>-2009《危险货物运输包装通用技术条件》和各种运输方式的《危险货物运输规则》。装卸过程要求防震、防撞、防倾斜；断火源、禁火种；通风和降温。</w:t>
            </w:r>
          </w:p>
          <w:p w14:paraId="7F5A412D">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②物料储存、泄漏事故的防范措施</w:t>
            </w:r>
          </w:p>
          <w:p w14:paraId="4D4291C6">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仓库设置防止物料泄漏流失和扩散到环境的设施，以及收集系统，严禁吸烟，并按规定设置安全警示标志。原料包装必须严密，保持库房内干燥通风、密封避光，安装通风设施，夏季高温时应采取如喷淋降温、遮阳和防高温隔绝涂料等措施。装卸、搬运时应做到轻装、轻卸，严禁摔、碰、撞、击、拖拉、倾倒和滚动。操作人员应根据物品危险性，穿戴相应的防护用品。作业中不得饮食，不得用手擦嘴、脸、眼睛。每次作业完毕，应及时用肥皂（或专用洗涤剂）洗净面部、手部，用清水漱口，防护用具应及时清洗，集中存放。装卸作业结束后，应当对库区进行检查，确认安全后，方可离开。通过加强管理，提高员工的安全意识，可降低发生泄漏的概率。</w:t>
            </w:r>
          </w:p>
          <w:p w14:paraId="648034D1">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③火灾爆炸事故的防范措施</w:t>
            </w:r>
          </w:p>
          <w:p w14:paraId="3DDAFFE3">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按照《建筑设计防火规范》等标准的要求设置防火间距、平面布置等。定期对设备进行安全检测，检测内容、时间、人员应有记录保存。安全检测根据设备的安全性、危险性设定检测频次。设备检修过程中，要严格按照操作规程进行，防止火灾事故的发生。加强火源的管理，严禁烟火带入，对设备需进行维修焊接，经安全部门确认、准许，并有记录。机动车在厂内行驶，须安装阻火器，必要设备安装防火装置。要有完善的安全消防措施。各重点部位需设置灭火器，并且对其</w:t>
            </w:r>
            <w:r>
              <w:rPr>
                <w:rFonts w:hint="default" w:ascii="Times New Roman" w:hAnsi="Times New Roman" w:eastAsia="仿宋" w:cs="Times New Roman"/>
                <w:color w:val="auto"/>
                <w:szCs w:val="24"/>
                <w:highlight w:val="none"/>
                <w:lang w:eastAsia="zh-CN"/>
              </w:rPr>
              <w:t>做</w:t>
            </w:r>
            <w:r>
              <w:rPr>
                <w:rFonts w:hint="default" w:ascii="Times New Roman" w:hAnsi="Times New Roman" w:eastAsia="仿宋" w:cs="Times New Roman"/>
                <w:color w:val="auto"/>
                <w:szCs w:val="24"/>
                <w:highlight w:val="none"/>
              </w:rPr>
              <w:t>定期检查。</w:t>
            </w:r>
          </w:p>
          <w:p w14:paraId="2D73EAA3">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④</w:t>
            </w:r>
            <w:r>
              <w:rPr>
                <w:rFonts w:hint="default" w:ascii="Times New Roman" w:hAnsi="Times New Roman" w:eastAsia="仿宋" w:cs="Times New Roman"/>
                <w:color w:val="auto"/>
                <w:szCs w:val="24"/>
                <w:highlight w:val="none"/>
                <w:lang w:eastAsia="zh-CN"/>
              </w:rPr>
              <w:t>危废仓库</w:t>
            </w:r>
            <w:r>
              <w:rPr>
                <w:rFonts w:hint="default" w:ascii="Times New Roman" w:hAnsi="Times New Roman" w:eastAsia="仿宋" w:cs="Times New Roman"/>
                <w:color w:val="auto"/>
                <w:szCs w:val="24"/>
                <w:highlight w:val="none"/>
              </w:rPr>
              <w:t>风险防范措施</w:t>
            </w:r>
          </w:p>
          <w:p w14:paraId="4D8DE2CD">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危险废物分类存放到</w:t>
            </w:r>
            <w:r>
              <w:rPr>
                <w:rFonts w:hint="default" w:ascii="Times New Roman" w:hAnsi="Times New Roman" w:eastAsia="仿宋" w:cs="Times New Roman"/>
                <w:color w:val="auto"/>
                <w:szCs w:val="24"/>
                <w:highlight w:val="none"/>
                <w:lang w:eastAsia="zh-CN"/>
              </w:rPr>
              <w:t>危废仓库</w:t>
            </w:r>
            <w:r>
              <w:rPr>
                <w:rFonts w:hint="default" w:ascii="Times New Roman" w:hAnsi="Times New Roman" w:eastAsia="仿宋" w:cs="Times New Roman"/>
                <w:color w:val="auto"/>
                <w:szCs w:val="24"/>
                <w:highlight w:val="none"/>
              </w:rPr>
              <w:t>，做好进出库管理，及时登记，账物相符，并做好贮存场所和危废包装的标识工作。危废堆场要做到“四防”，即：防风、防雨、防晒、防渗漏；地面与裙脚要用坚固、防渗的材料建造，建筑材料必须与危险废物相容。通道、出入口和通向消防设施的道路保持畅通，同时配置合格的消防器材，并确保其处于完好状态。</w:t>
            </w:r>
          </w:p>
          <w:p w14:paraId="1A64241C">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⑤废气事故排放防范措施</w:t>
            </w:r>
          </w:p>
          <w:p w14:paraId="16F4C84A">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lang w:val="en-US" w:eastAsia="zh-CN"/>
              </w:rPr>
              <w:t>&lt;1&gt;</w:t>
            </w:r>
            <w:r>
              <w:rPr>
                <w:rFonts w:hint="default" w:ascii="Times New Roman" w:hAnsi="Times New Roman" w:eastAsia="仿宋" w:cs="Times New Roman"/>
                <w:color w:val="auto"/>
                <w:szCs w:val="24"/>
                <w:highlight w:val="none"/>
              </w:rPr>
              <w:t>由专人负责日常环境管理工作，制订“环保管理人员职责”和“环境污染防治措施”制度，加强废气治理设施的监督和管理。</w:t>
            </w:r>
          </w:p>
          <w:p w14:paraId="35D8C38C">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lang w:val="en-US" w:eastAsia="zh-CN"/>
              </w:rPr>
              <w:t>&lt;2&gt;</w:t>
            </w:r>
            <w:r>
              <w:rPr>
                <w:rFonts w:hint="default" w:ascii="Times New Roman" w:hAnsi="Times New Roman" w:eastAsia="仿宋" w:cs="Times New Roman"/>
                <w:color w:val="auto"/>
                <w:szCs w:val="24"/>
                <w:highlight w:val="none"/>
              </w:rPr>
              <w:t>加强生产设备和环保设施的定期检修和维护工作，发现事故隐患，及时解决，主要的生产设备和环保设施要有备用件。例如风机、泵等动力设备均应当做到一用一备。现场操作人员及巡视人员应定期检查风机和泵的运行情况，如发现异常调换备用设备及时进行检修处理。</w:t>
            </w:r>
          </w:p>
          <w:p w14:paraId="55774AFB">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lang w:val="en-US" w:eastAsia="zh-CN"/>
              </w:rPr>
              <w:t>⑥</w:t>
            </w:r>
            <w:r>
              <w:rPr>
                <w:rFonts w:hint="default" w:ascii="Times New Roman" w:hAnsi="Times New Roman" w:eastAsia="仿宋" w:cs="Times New Roman"/>
                <w:color w:val="auto"/>
                <w:szCs w:val="24"/>
                <w:highlight w:val="none"/>
              </w:rPr>
              <w:t>“三级”防控</w:t>
            </w:r>
          </w:p>
          <w:p w14:paraId="3438D128">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●第一级防控措施</w:t>
            </w:r>
          </w:p>
          <w:p w14:paraId="2D2BECDC">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第一级防控措施是设置在</w:t>
            </w:r>
            <w:r>
              <w:rPr>
                <w:rFonts w:hint="default" w:ascii="Times New Roman" w:hAnsi="Times New Roman" w:eastAsia="仿宋" w:cs="Times New Roman"/>
                <w:bCs/>
                <w:color w:val="auto"/>
                <w:sz w:val="24"/>
                <w:highlight w:val="none"/>
                <w:lang w:val="en-US" w:eastAsia="zh-CN"/>
              </w:rPr>
              <w:t>原料仓库、生产车间、危废仓库</w:t>
            </w:r>
            <w:r>
              <w:rPr>
                <w:rFonts w:hint="eastAsia" w:eastAsia="仿宋" w:cs="Times New Roman"/>
                <w:bCs/>
                <w:color w:val="auto"/>
                <w:sz w:val="24"/>
                <w:highlight w:val="none"/>
                <w:lang w:val="en-US" w:eastAsia="zh-CN"/>
              </w:rPr>
              <w:t>、</w:t>
            </w:r>
            <w:r>
              <w:rPr>
                <w:rFonts w:hint="eastAsia" w:eastAsia="仿宋" w:cs="Times New Roman"/>
                <w:bCs/>
                <w:color w:val="0000FF"/>
                <w:sz w:val="24"/>
                <w:highlight w:val="none"/>
                <w:lang w:val="en-US" w:eastAsia="zh-CN"/>
              </w:rPr>
              <w:t>水旋除尘器</w:t>
            </w:r>
            <w:r>
              <w:rPr>
                <w:rFonts w:hint="default" w:ascii="Times New Roman" w:hAnsi="Times New Roman" w:eastAsia="仿宋" w:cs="Times New Roman"/>
                <w:bCs/>
                <w:color w:val="auto"/>
                <w:sz w:val="24"/>
                <w:highlight w:val="none"/>
              </w:rPr>
              <w:t>，构筑生产过程中环境安全的第一层防控网，使泄漏物料转移到容器或</w:t>
            </w:r>
            <w:r>
              <w:rPr>
                <w:rFonts w:hint="default" w:ascii="Times New Roman" w:hAnsi="Times New Roman" w:eastAsia="仿宋" w:cs="Times New Roman"/>
                <w:bCs/>
                <w:color w:val="auto"/>
                <w:sz w:val="24"/>
                <w:highlight w:val="none"/>
                <w:lang w:val="en-US" w:eastAsia="zh-CN"/>
              </w:rPr>
              <w:t>惰性</w:t>
            </w:r>
            <w:r>
              <w:rPr>
                <w:rFonts w:hint="default" w:ascii="Times New Roman" w:hAnsi="Times New Roman" w:eastAsia="仿宋" w:cs="Times New Roman"/>
                <w:bCs/>
                <w:color w:val="auto"/>
                <w:sz w:val="24"/>
                <w:highlight w:val="none"/>
              </w:rPr>
              <w:t>吸附物料中，将泄漏物料控制在生产车间、原料储存区、</w:t>
            </w:r>
            <w:r>
              <w:rPr>
                <w:rFonts w:hint="default" w:ascii="Times New Roman" w:hAnsi="Times New Roman" w:eastAsia="仿宋" w:cs="Times New Roman"/>
                <w:bCs/>
                <w:color w:val="auto"/>
                <w:sz w:val="24"/>
                <w:highlight w:val="none"/>
                <w:lang w:eastAsia="zh-CN"/>
              </w:rPr>
              <w:t>危废仓库</w:t>
            </w:r>
            <w:r>
              <w:rPr>
                <w:rFonts w:hint="eastAsia" w:eastAsia="仿宋" w:cs="Times New Roman"/>
                <w:bCs/>
                <w:color w:val="auto"/>
                <w:sz w:val="24"/>
                <w:highlight w:val="none"/>
                <w:lang w:eastAsia="zh-CN"/>
              </w:rPr>
              <w:t>、</w:t>
            </w:r>
            <w:r>
              <w:rPr>
                <w:rFonts w:hint="eastAsia" w:eastAsia="仿宋" w:cs="Times New Roman"/>
                <w:bCs/>
                <w:color w:val="0000FF"/>
                <w:sz w:val="24"/>
                <w:highlight w:val="none"/>
                <w:lang w:val="en-US" w:eastAsia="zh-CN"/>
              </w:rPr>
              <w:t>水旋除尘器</w:t>
            </w:r>
            <w:r>
              <w:rPr>
                <w:rFonts w:hint="default" w:ascii="Times New Roman" w:hAnsi="Times New Roman" w:eastAsia="仿宋" w:cs="Times New Roman"/>
                <w:bCs/>
                <w:color w:val="auto"/>
                <w:sz w:val="24"/>
                <w:highlight w:val="none"/>
              </w:rPr>
              <w:t>内部，防止污染雨水和轻微事故泄漏造成的环境污染。</w:t>
            </w:r>
          </w:p>
          <w:p w14:paraId="2958EDF2">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具体措施如下：</w:t>
            </w:r>
          </w:p>
          <w:p w14:paraId="6A5E46CA">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a、生产车间地面铺设不发火地坪，配备围档物、吸附材料、灭火器材等应急物资，若发生少量物料泄漏，采用吸附棉或其它惰性吸附材料进行吸附，及时转移进废弃物容器内；若发生大量物料泄漏，采用档板、沙土或砂包进行围档，用应急泵泵入废弃物容器内，并采用吸附材料清理地面。收集的泄漏物及沾染了泄漏物的吸附材料均作为危险废物，委托有资质单位处置。</w:t>
            </w:r>
          </w:p>
          <w:p w14:paraId="356B44C0">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b、原料</w:t>
            </w:r>
            <w:r>
              <w:rPr>
                <w:rFonts w:hint="default" w:ascii="Times New Roman" w:hAnsi="Times New Roman" w:eastAsia="仿宋" w:cs="Times New Roman"/>
                <w:bCs/>
                <w:color w:val="auto"/>
                <w:sz w:val="24"/>
                <w:lang w:val="en-US" w:eastAsia="zh-CN"/>
              </w:rPr>
              <w:t>仓库</w:t>
            </w:r>
            <w:r>
              <w:rPr>
                <w:rFonts w:hint="default" w:ascii="Times New Roman" w:hAnsi="Times New Roman" w:eastAsia="仿宋" w:cs="Times New Roman"/>
                <w:bCs/>
                <w:color w:val="auto"/>
                <w:sz w:val="24"/>
              </w:rPr>
              <w:t>地面防腐防渗，配备防渗漏托盘、围档物、吸附材料、灭火器材等应急物资，若发生少量化学品泄漏，采用吸附棉或其它惰性吸附材料进行吸附，及时转移进废弃物容器内；若发生大量化学品泄漏，采用档板、沙土或砂包进行围档，用应急泵泵入废弃物容器内，并采用吸附材料清理地面。收集的泄漏物及沾染了泄漏物的吸附材料均作为危险废物，委托有资质单位处置。</w:t>
            </w:r>
          </w:p>
          <w:p w14:paraId="4BCD6980">
            <w:pPr>
              <w:pStyle w:val="15"/>
              <w:snapToGrid w:val="0"/>
              <w:ind w:firstLineChars="200"/>
              <w:jc w:val="both"/>
              <w:rPr>
                <w:rFonts w:hint="eastAsia" w:ascii="Times New Roman" w:hAnsi="Times New Roman" w:eastAsia="仿宋" w:cs="Times New Roman"/>
                <w:bCs/>
                <w:color w:val="0000FF"/>
                <w:sz w:val="24"/>
                <w:lang w:val="en-US" w:eastAsia="zh-CN"/>
              </w:rPr>
            </w:pPr>
            <w:r>
              <w:rPr>
                <w:rFonts w:hint="default" w:ascii="Times New Roman" w:hAnsi="Times New Roman" w:eastAsia="仿宋" w:cs="Times New Roman"/>
                <w:bCs/>
                <w:color w:val="auto"/>
                <w:sz w:val="24"/>
              </w:rPr>
              <w:t>c、</w:t>
            </w:r>
            <w:r>
              <w:rPr>
                <w:rFonts w:hint="default" w:ascii="Times New Roman" w:hAnsi="Times New Roman" w:eastAsia="仿宋" w:cs="Times New Roman"/>
                <w:bCs/>
                <w:color w:val="auto"/>
                <w:sz w:val="24"/>
                <w:lang w:eastAsia="zh-CN"/>
              </w:rPr>
              <w:t>危废仓库</w:t>
            </w:r>
            <w:r>
              <w:rPr>
                <w:rFonts w:hint="default" w:ascii="Times New Roman" w:hAnsi="Times New Roman" w:eastAsia="仿宋" w:cs="Times New Roman"/>
                <w:bCs/>
                <w:color w:val="auto"/>
                <w:sz w:val="24"/>
              </w:rPr>
              <w:t>地面防腐防渗，并铺设不发火地坪，库内配备围档物、吸附材料、灭火器材等应急物资。若发生少量危废泄漏，采用吸附棉或其它惰性吸附材料进行吸附，及时转移进废弃物容器内；若发生大量危废泄漏，采用档板、沙土或砂包进行围档，用应急泵泵入废弃物容器内，并采用吸附材料清理地面。收集的泄漏物及沾染了泄漏物的吸附材料均作为危险废物，委托有资质单位处置。</w:t>
            </w:r>
          </w:p>
          <w:p w14:paraId="24218A12">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●第二级防控措施</w:t>
            </w:r>
          </w:p>
          <w:p w14:paraId="6B5F149B">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bCs/>
                <w:color w:val="auto"/>
                <w:sz w:val="24"/>
                <w:szCs w:val="24"/>
              </w:rPr>
              <w:t>第二级防控措施是在厂区设置事故池，切断污染物与外部的通道，将污染物控制在厂内，防止较大事故泄漏物料和消防废水造成环境污染。</w:t>
            </w:r>
          </w:p>
          <w:p w14:paraId="021AD82E">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企业所在厂区需设置一套完整的事故收集系统，包括事故应急池及相应的事故收集管道。制定严格的排水规划，设置事故应急池、管网、切换阀和监控等，使消防废水排水处于监控状态，严禁事故废水排出厂外，次生危害造成水体污染。</w:t>
            </w:r>
          </w:p>
          <w:p w14:paraId="72C69628">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8"/>
                <w:highlight w:val="none"/>
              </w:rPr>
              <w:t>参照《石油化工环境保护设计规范》(SH/T 3024-2017)和《水体环境风险防控要点</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lang w:val="en-US" w:eastAsia="zh-CN"/>
              </w:rPr>
              <w:t>试行</w:t>
            </w:r>
            <w:r>
              <w:rPr>
                <w:rFonts w:hint="default" w:ascii="Times New Roman" w:hAnsi="Times New Roman" w:eastAsia="仿宋" w:cs="Times New Roman"/>
                <w:color w:val="auto"/>
                <w:szCs w:val="28"/>
                <w:highlight w:val="none"/>
                <w:lang w:eastAsia="zh-CN"/>
              </w:rPr>
              <w:t>）</w:t>
            </w:r>
            <w:r>
              <w:rPr>
                <w:rFonts w:hint="default" w:ascii="Times New Roman" w:hAnsi="Times New Roman" w:eastAsia="仿宋" w:cs="Times New Roman"/>
                <w:color w:val="auto"/>
                <w:szCs w:val="28"/>
                <w:highlight w:val="none"/>
              </w:rPr>
              <w:t>》(中国石化安环</w:t>
            </w:r>
            <w:r>
              <w:rPr>
                <w:rFonts w:hint="default" w:ascii="Times New Roman" w:hAnsi="Times New Roman" w:eastAsia="仿宋" w:cs="Times New Roman"/>
                <w:color w:val="auto"/>
                <w:szCs w:val="28"/>
                <w:highlight w:val="none"/>
                <w:lang w:eastAsia="zh-CN"/>
              </w:rPr>
              <w:t>〔2006〕10号</w:t>
            </w:r>
            <w:r>
              <w:rPr>
                <w:rFonts w:hint="default" w:ascii="Times New Roman" w:hAnsi="Times New Roman" w:eastAsia="仿宋" w:cs="Times New Roman"/>
                <w:color w:val="auto"/>
                <w:szCs w:val="28"/>
                <w:highlight w:val="none"/>
              </w:rPr>
              <w:t>)中相关规定来确定企业所需事故应急池的容积。具体计算公式如下：</w:t>
            </w:r>
          </w:p>
          <w:p w14:paraId="56FB204B">
            <w:pPr>
              <w:pStyle w:val="15"/>
              <w:snapToGrid w:val="0"/>
              <w:ind w:firstLine="0"/>
              <w:jc w:val="center"/>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事故应急池容量V</w:t>
            </w:r>
            <w:r>
              <w:rPr>
                <w:rFonts w:hint="default" w:ascii="Times New Roman" w:hAnsi="Times New Roman" w:eastAsia="仿宋" w:cs="Times New Roman"/>
                <w:color w:val="auto"/>
                <w:szCs w:val="24"/>
                <w:highlight w:val="none"/>
                <w:vertAlign w:val="subscript"/>
              </w:rPr>
              <w:t>总</w:t>
            </w:r>
            <w:r>
              <w:rPr>
                <w:rFonts w:hint="default" w:ascii="Times New Roman" w:hAnsi="Times New Roman" w:eastAsia="仿宋" w:cs="Times New Roman"/>
                <w:color w:val="auto"/>
                <w:szCs w:val="24"/>
                <w:highlight w:val="none"/>
              </w:rPr>
              <w:t>=（V</w:t>
            </w:r>
            <w:r>
              <w:rPr>
                <w:rFonts w:hint="default" w:ascii="Times New Roman" w:hAnsi="Times New Roman" w:eastAsia="仿宋" w:cs="Times New Roman"/>
                <w:color w:val="auto"/>
                <w:szCs w:val="24"/>
                <w:highlight w:val="none"/>
                <w:vertAlign w:val="subscript"/>
              </w:rPr>
              <w:t>1</w:t>
            </w:r>
            <w:r>
              <w:rPr>
                <w:rFonts w:hint="default" w:ascii="Times New Roman" w:hAnsi="Times New Roman" w:eastAsia="仿宋" w:cs="Times New Roman"/>
                <w:color w:val="auto"/>
                <w:szCs w:val="24"/>
                <w:highlight w:val="none"/>
              </w:rPr>
              <w:t>+V</w:t>
            </w:r>
            <w:r>
              <w:rPr>
                <w:rFonts w:hint="default" w:ascii="Times New Roman" w:hAnsi="Times New Roman" w:eastAsia="仿宋" w:cs="Times New Roman"/>
                <w:color w:val="auto"/>
                <w:szCs w:val="24"/>
                <w:highlight w:val="none"/>
                <w:vertAlign w:val="subscript"/>
              </w:rPr>
              <w:t>2</w:t>
            </w:r>
            <w:r>
              <w:rPr>
                <w:rFonts w:hint="default" w:ascii="Times New Roman" w:hAnsi="Times New Roman" w:eastAsia="仿宋" w:cs="Times New Roman"/>
                <w:color w:val="auto"/>
                <w:szCs w:val="24"/>
                <w:highlight w:val="none"/>
              </w:rPr>
              <w:t>-V</w:t>
            </w:r>
            <w:r>
              <w:rPr>
                <w:rFonts w:hint="default" w:ascii="Times New Roman" w:hAnsi="Times New Roman" w:eastAsia="仿宋" w:cs="Times New Roman"/>
                <w:color w:val="auto"/>
                <w:szCs w:val="24"/>
                <w:highlight w:val="none"/>
                <w:vertAlign w:val="subscript"/>
              </w:rPr>
              <w:t>3</w:t>
            </w:r>
            <w:r>
              <w:rPr>
                <w:rFonts w:hint="default" w:ascii="Times New Roman" w:hAnsi="Times New Roman" w:eastAsia="仿宋" w:cs="Times New Roman"/>
                <w:color w:val="auto"/>
                <w:szCs w:val="24"/>
                <w:highlight w:val="none"/>
              </w:rPr>
              <w:t>）+V</w:t>
            </w:r>
            <w:r>
              <w:rPr>
                <w:rFonts w:hint="default" w:ascii="Times New Roman" w:hAnsi="Times New Roman" w:eastAsia="仿宋" w:cs="Times New Roman"/>
                <w:color w:val="auto"/>
                <w:szCs w:val="24"/>
                <w:highlight w:val="none"/>
                <w:vertAlign w:val="subscript"/>
              </w:rPr>
              <w:t>4</w:t>
            </w:r>
            <w:r>
              <w:rPr>
                <w:rFonts w:hint="default" w:ascii="Times New Roman" w:hAnsi="Times New Roman" w:eastAsia="仿宋" w:cs="Times New Roman"/>
                <w:color w:val="auto"/>
                <w:szCs w:val="24"/>
                <w:highlight w:val="none"/>
              </w:rPr>
              <w:t>+V</w:t>
            </w:r>
            <w:r>
              <w:rPr>
                <w:rFonts w:hint="default" w:ascii="Times New Roman" w:hAnsi="Times New Roman" w:eastAsia="仿宋" w:cs="Times New Roman"/>
                <w:color w:val="auto"/>
                <w:szCs w:val="24"/>
                <w:highlight w:val="none"/>
                <w:vertAlign w:val="subscript"/>
              </w:rPr>
              <w:t>5</w:t>
            </w:r>
          </w:p>
          <w:p w14:paraId="783A46EC">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V</w:t>
            </w:r>
            <w:r>
              <w:rPr>
                <w:rFonts w:hint="default" w:ascii="Times New Roman" w:hAnsi="Times New Roman" w:eastAsia="仿宋" w:cs="Times New Roman"/>
                <w:color w:val="auto"/>
                <w:szCs w:val="24"/>
                <w:highlight w:val="none"/>
                <w:vertAlign w:val="subscript"/>
              </w:rPr>
              <w:t>1</w:t>
            </w:r>
            <w:r>
              <w:rPr>
                <w:rFonts w:hint="default" w:ascii="Times New Roman" w:hAnsi="Times New Roman" w:eastAsia="仿宋" w:cs="Times New Roman"/>
                <w:color w:val="auto"/>
                <w:szCs w:val="24"/>
                <w:highlight w:val="none"/>
              </w:rPr>
              <w:t>：事故一个罐或一个装置物料量，m</w:t>
            </w:r>
            <w:r>
              <w:rPr>
                <w:rFonts w:hint="default" w:ascii="Times New Roman" w:hAnsi="Times New Roman" w:eastAsia="仿宋" w:cs="Times New Roman"/>
                <w:color w:val="auto"/>
                <w:szCs w:val="24"/>
                <w:highlight w:val="none"/>
                <w:vertAlign w:val="superscript"/>
              </w:rPr>
              <w:t>3</w:t>
            </w:r>
            <w:r>
              <w:rPr>
                <w:rFonts w:hint="default" w:ascii="Times New Roman" w:hAnsi="Times New Roman" w:eastAsia="仿宋" w:cs="Times New Roman"/>
                <w:color w:val="auto"/>
                <w:szCs w:val="24"/>
                <w:highlight w:val="none"/>
              </w:rPr>
              <w:t>；</w:t>
            </w:r>
          </w:p>
          <w:p w14:paraId="614CF30F">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V</w:t>
            </w:r>
            <w:r>
              <w:rPr>
                <w:rFonts w:hint="default" w:ascii="Times New Roman" w:hAnsi="Times New Roman" w:eastAsia="仿宋" w:cs="Times New Roman"/>
                <w:color w:val="auto"/>
                <w:szCs w:val="24"/>
                <w:highlight w:val="none"/>
                <w:vertAlign w:val="subscript"/>
              </w:rPr>
              <w:t>2</w:t>
            </w:r>
            <w:r>
              <w:rPr>
                <w:rFonts w:hint="default" w:ascii="Times New Roman" w:hAnsi="Times New Roman" w:eastAsia="仿宋" w:cs="Times New Roman"/>
                <w:color w:val="auto"/>
                <w:szCs w:val="24"/>
                <w:highlight w:val="none"/>
              </w:rPr>
              <w:t>：事故状态下最大消防水量，m</w:t>
            </w:r>
            <w:r>
              <w:rPr>
                <w:rFonts w:hint="default" w:ascii="Times New Roman" w:hAnsi="Times New Roman" w:eastAsia="仿宋" w:cs="Times New Roman"/>
                <w:color w:val="auto"/>
                <w:szCs w:val="24"/>
                <w:highlight w:val="none"/>
                <w:vertAlign w:val="superscript"/>
              </w:rPr>
              <w:t>3</w:t>
            </w:r>
            <w:r>
              <w:rPr>
                <w:rFonts w:hint="default" w:ascii="Times New Roman" w:hAnsi="Times New Roman" w:eastAsia="仿宋" w:cs="Times New Roman"/>
                <w:color w:val="auto"/>
                <w:szCs w:val="24"/>
                <w:highlight w:val="none"/>
              </w:rPr>
              <w:t>；</w:t>
            </w:r>
          </w:p>
          <w:p w14:paraId="6AA8262D">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V</w:t>
            </w:r>
            <w:r>
              <w:rPr>
                <w:rFonts w:hint="default" w:ascii="Times New Roman" w:hAnsi="Times New Roman" w:eastAsia="仿宋" w:cs="Times New Roman"/>
                <w:color w:val="auto"/>
                <w:szCs w:val="24"/>
                <w:highlight w:val="none"/>
                <w:vertAlign w:val="subscript"/>
              </w:rPr>
              <w:t>3</w:t>
            </w:r>
            <w:r>
              <w:rPr>
                <w:rFonts w:hint="default" w:ascii="Times New Roman" w:hAnsi="Times New Roman" w:eastAsia="仿宋" w:cs="Times New Roman"/>
                <w:color w:val="auto"/>
                <w:szCs w:val="24"/>
                <w:highlight w:val="none"/>
              </w:rPr>
              <w:t>：事故时可以转移到其他储存或处理设施的物料量，m</w:t>
            </w:r>
            <w:r>
              <w:rPr>
                <w:rFonts w:hint="default" w:ascii="Times New Roman" w:hAnsi="Times New Roman" w:eastAsia="仿宋" w:cs="Times New Roman"/>
                <w:color w:val="auto"/>
                <w:szCs w:val="24"/>
                <w:highlight w:val="none"/>
                <w:vertAlign w:val="superscript"/>
              </w:rPr>
              <w:t>3</w:t>
            </w:r>
            <w:r>
              <w:rPr>
                <w:rFonts w:hint="default" w:ascii="Times New Roman" w:hAnsi="Times New Roman" w:eastAsia="仿宋" w:cs="Times New Roman"/>
                <w:color w:val="auto"/>
                <w:szCs w:val="24"/>
                <w:highlight w:val="none"/>
              </w:rPr>
              <w:t>；</w:t>
            </w:r>
          </w:p>
          <w:p w14:paraId="66546C23">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V</w:t>
            </w:r>
            <w:r>
              <w:rPr>
                <w:rFonts w:hint="default" w:ascii="Times New Roman" w:hAnsi="Times New Roman" w:eastAsia="仿宋" w:cs="Times New Roman"/>
                <w:color w:val="auto"/>
                <w:szCs w:val="24"/>
                <w:highlight w:val="none"/>
                <w:vertAlign w:val="subscript"/>
              </w:rPr>
              <w:t>4</w:t>
            </w:r>
            <w:r>
              <w:rPr>
                <w:rFonts w:hint="default" w:ascii="Times New Roman" w:hAnsi="Times New Roman" w:eastAsia="仿宋" w:cs="Times New Roman"/>
                <w:color w:val="auto"/>
                <w:szCs w:val="24"/>
                <w:highlight w:val="none"/>
              </w:rPr>
              <w:t>：发生事故时必须进入该收集系统的生产废水量，m</w:t>
            </w:r>
            <w:r>
              <w:rPr>
                <w:rFonts w:hint="default" w:ascii="Times New Roman" w:hAnsi="Times New Roman" w:eastAsia="仿宋" w:cs="Times New Roman"/>
                <w:color w:val="auto"/>
                <w:szCs w:val="24"/>
                <w:highlight w:val="none"/>
                <w:vertAlign w:val="superscript"/>
              </w:rPr>
              <w:t>3</w:t>
            </w:r>
            <w:r>
              <w:rPr>
                <w:rFonts w:hint="default" w:ascii="Times New Roman" w:hAnsi="Times New Roman" w:eastAsia="仿宋" w:cs="Times New Roman"/>
                <w:color w:val="auto"/>
                <w:szCs w:val="24"/>
                <w:highlight w:val="none"/>
              </w:rPr>
              <w:t>；</w:t>
            </w:r>
          </w:p>
          <w:p w14:paraId="2AEED555">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V</w:t>
            </w:r>
            <w:r>
              <w:rPr>
                <w:rFonts w:hint="default" w:ascii="Times New Roman" w:hAnsi="Times New Roman" w:eastAsia="仿宋" w:cs="Times New Roman"/>
                <w:color w:val="auto"/>
                <w:szCs w:val="24"/>
                <w:highlight w:val="none"/>
                <w:vertAlign w:val="subscript"/>
              </w:rPr>
              <w:t>5</w:t>
            </w:r>
            <w:r>
              <w:rPr>
                <w:rFonts w:hint="default" w:ascii="Times New Roman" w:hAnsi="Times New Roman" w:eastAsia="仿宋" w:cs="Times New Roman"/>
                <w:color w:val="auto"/>
                <w:szCs w:val="24"/>
                <w:highlight w:val="none"/>
              </w:rPr>
              <w:t>：发生事故时可能进入该收集系统的降雨量，m</w:t>
            </w:r>
            <w:r>
              <w:rPr>
                <w:rFonts w:hint="default" w:ascii="Times New Roman" w:hAnsi="Times New Roman" w:eastAsia="仿宋" w:cs="Times New Roman"/>
                <w:color w:val="auto"/>
                <w:szCs w:val="24"/>
                <w:highlight w:val="none"/>
                <w:vertAlign w:val="superscript"/>
              </w:rPr>
              <w:t>3</w:t>
            </w:r>
            <w:r>
              <w:rPr>
                <w:rFonts w:hint="default" w:ascii="Times New Roman" w:hAnsi="Times New Roman" w:eastAsia="仿宋" w:cs="Times New Roman"/>
                <w:color w:val="auto"/>
                <w:szCs w:val="24"/>
                <w:highlight w:val="none"/>
              </w:rPr>
              <w:t>。</w:t>
            </w:r>
          </w:p>
          <w:p w14:paraId="583418E1">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事故应急池具体容量大小计算如下：</w:t>
            </w:r>
          </w:p>
          <w:p w14:paraId="68E2AF7B">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①V</w:t>
            </w:r>
            <w:r>
              <w:rPr>
                <w:rFonts w:hint="default" w:ascii="Times New Roman" w:hAnsi="Times New Roman" w:eastAsia="仿宋" w:cs="Times New Roman"/>
                <w:color w:val="auto"/>
                <w:szCs w:val="24"/>
                <w:highlight w:val="none"/>
                <w:vertAlign w:val="subscript"/>
              </w:rPr>
              <w:t>1</w:t>
            </w:r>
            <w:r>
              <w:rPr>
                <w:rFonts w:hint="default" w:ascii="Times New Roman" w:hAnsi="Times New Roman" w:eastAsia="仿宋" w:cs="Times New Roman"/>
                <w:color w:val="auto"/>
                <w:szCs w:val="24"/>
                <w:highlight w:val="none"/>
              </w:rPr>
              <w:t>：厂内装置最大存在物料量为</w:t>
            </w:r>
            <w:r>
              <w:rPr>
                <w:rFonts w:hint="default" w:ascii="Times New Roman" w:hAnsi="Times New Roman" w:eastAsia="仿宋" w:cs="Times New Roman"/>
                <w:color w:val="auto"/>
                <w:szCs w:val="24"/>
                <w:highlight w:val="none"/>
                <w:lang w:val="en-US" w:eastAsia="zh-CN"/>
              </w:rPr>
              <w:t>液压油桶，最大暂存量约0.2</w:t>
            </w:r>
            <w:r>
              <w:rPr>
                <w:rFonts w:hint="default" w:ascii="Times New Roman" w:hAnsi="Times New Roman" w:eastAsia="仿宋" w:cs="Times New Roman"/>
                <w:color w:val="auto"/>
                <w:szCs w:val="24"/>
                <w:highlight w:val="none"/>
              </w:rPr>
              <w:t>m</w:t>
            </w:r>
            <w:r>
              <w:rPr>
                <w:rFonts w:hint="default" w:ascii="Times New Roman" w:hAnsi="Times New Roman" w:eastAsia="仿宋" w:cs="Times New Roman"/>
                <w:color w:val="auto"/>
                <w:szCs w:val="24"/>
                <w:highlight w:val="none"/>
                <w:vertAlign w:val="superscript"/>
              </w:rPr>
              <w:t>3</w:t>
            </w:r>
            <w:r>
              <w:rPr>
                <w:rFonts w:hint="default" w:ascii="Times New Roman" w:hAnsi="Times New Roman" w:eastAsia="仿宋" w:cs="Times New Roman"/>
                <w:color w:val="auto"/>
                <w:szCs w:val="24"/>
                <w:highlight w:val="none"/>
              </w:rPr>
              <w:t>，即V</w:t>
            </w:r>
            <w:r>
              <w:rPr>
                <w:rFonts w:hint="default" w:ascii="Times New Roman" w:hAnsi="Times New Roman" w:eastAsia="仿宋" w:cs="Times New Roman"/>
                <w:color w:val="auto"/>
                <w:szCs w:val="24"/>
                <w:highlight w:val="none"/>
                <w:vertAlign w:val="subscript"/>
              </w:rPr>
              <w:t>1</w:t>
            </w:r>
            <w:r>
              <w:rPr>
                <w:rFonts w:hint="default" w:ascii="Times New Roman" w:hAnsi="Times New Roman" w:eastAsia="仿宋" w:cs="Times New Roman"/>
                <w:color w:val="auto"/>
                <w:szCs w:val="24"/>
                <w:highlight w:val="none"/>
              </w:rPr>
              <w:t>=</w:t>
            </w:r>
            <w:r>
              <w:rPr>
                <w:rFonts w:hint="default" w:ascii="Times New Roman" w:hAnsi="Times New Roman" w:eastAsia="仿宋" w:cs="Times New Roman"/>
                <w:color w:val="auto"/>
                <w:szCs w:val="24"/>
                <w:highlight w:val="none"/>
                <w:lang w:val="en-US" w:eastAsia="zh-CN"/>
              </w:rPr>
              <w:t>0.2</w:t>
            </w:r>
            <w:r>
              <w:rPr>
                <w:rFonts w:hint="default" w:ascii="Times New Roman" w:hAnsi="Times New Roman" w:eastAsia="仿宋" w:cs="Times New Roman"/>
                <w:color w:val="auto"/>
                <w:szCs w:val="24"/>
                <w:highlight w:val="none"/>
              </w:rPr>
              <w:t>m</w:t>
            </w:r>
            <w:r>
              <w:rPr>
                <w:rFonts w:hint="default" w:ascii="Times New Roman" w:hAnsi="Times New Roman" w:eastAsia="仿宋" w:cs="Times New Roman"/>
                <w:color w:val="auto"/>
                <w:szCs w:val="24"/>
                <w:highlight w:val="none"/>
                <w:vertAlign w:val="superscript"/>
              </w:rPr>
              <w:t>3</w:t>
            </w:r>
            <w:r>
              <w:rPr>
                <w:rFonts w:hint="default" w:ascii="Times New Roman" w:hAnsi="Times New Roman" w:eastAsia="仿宋" w:cs="Times New Roman"/>
                <w:color w:val="auto"/>
                <w:szCs w:val="24"/>
                <w:highlight w:val="none"/>
              </w:rPr>
              <w:t>；</w:t>
            </w:r>
          </w:p>
          <w:p w14:paraId="17CA40A3">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②V</w:t>
            </w:r>
            <w:r>
              <w:rPr>
                <w:rFonts w:hint="default" w:ascii="Times New Roman" w:hAnsi="Times New Roman" w:eastAsia="仿宋" w:cs="Times New Roman"/>
                <w:color w:val="auto"/>
                <w:szCs w:val="24"/>
                <w:highlight w:val="none"/>
                <w:vertAlign w:val="subscript"/>
              </w:rPr>
              <w:t>2</w:t>
            </w:r>
            <w:r>
              <w:rPr>
                <w:rFonts w:hint="default" w:ascii="Times New Roman" w:hAnsi="Times New Roman" w:eastAsia="仿宋" w:cs="Times New Roman"/>
                <w:color w:val="auto"/>
                <w:szCs w:val="24"/>
                <w:highlight w:val="none"/>
              </w:rPr>
              <w:t>：</w:t>
            </w:r>
            <w:r>
              <w:rPr>
                <w:rFonts w:hint="default" w:ascii="Times New Roman" w:hAnsi="Times New Roman" w:eastAsia="仿宋" w:cs="Times New Roman"/>
                <w:color w:val="auto"/>
                <w:szCs w:val="28"/>
                <w:highlight w:val="none"/>
              </w:rPr>
              <w:t>根据《建筑设计防火规范》（</w:t>
            </w:r>
            <w:r>
              <w:rPr>
                <w:rFonts w:hint="default" w:ascii="Times New Roman" w:hAnsi="Times New Roman" w:eastAsia="仿宋" w:cs="Times New Roman"/>
                <w:color w:val="auto"/>
                <w:szCs w:val="28"/>
                <w:highlight w:val="none"/>
                <w:lang w:eastAsia="zh-CN"/>
              </w:rPr>
              <w:t>GB 50016-2014[2018年版]</w:t>
            </w:r>
            <w:r>
              <w:rPr>
                <w:rFonts w:hint="default" w:ascii="Times New Roman" w:hAnsi="Times New Roman" w:eastAsia="仿宋" w:cs="Times New Roman"/>
                <w:color w:val="auto"/>
                <w:szCs w:val="28"/>
                <w:highlight w:val="none"/>
              </w:rPr>
              <w:t>）及《消防给水及消火栓系统技术规范》（GB50974-2014）第3.5.2条及第3.6.2条，室内消火栓用水量为20L/s，同一时间内的火灾次数按1次考虑，火灾延续时间以1h计，则消防水量为V</w:t>
            </w:r>
            <w:r>
              <w:rPr>
                <w:rFonts w:hint="default" w:ascii="Times New Roman" w:hAnsi="Times New Roman" w:eastAsia="仿宋" w:cs="Times New Roman"/>
                <w:color w:val="auto"/>
                <w:szCs w:val="28"/>
                <w:highlight w:val="none"/>
                <w:vertAlign w:val="subscript"/>
              </w:rPr>
              <w:t>2</w:t>
            </w:r>
            <w:r>
              <w:rPr>
                <w:rFonts w:hint="default" w:ascii="Times New Roman" w:hAnsi="Times New Roman" w:eastAsia="仿宋" w:cs="Times New Roman"/>
                <w:color w:val="auto"/>
                <w:szCs w:val="28"/>
                <w:highlight w:val="none"/>
              </w:rPr>
              <w:t>=0.02×3600×1=72m</w:t>
            </w:r>
            <w:r>
              <w:rPr>
                <w:rFonts w:hint="default" w:ascii="Times New Roman" w:hAnsi="Times New Roman" w:eastAsia="仿宋" w:cs="Times New Roman"/>
                <w:color w:val="auto"/>
                <w:szCs w:val="28"/>
                <w:highlight w:val="none"/>
                <w:vertAlign w:val="superscript"/>
              </w:rPr>
              <w:t>3</w:t>
            </w:r>
            <w:r>
              <w:rPr>
                <w:rFonts w:hint="default" w:ascii="Times New Roman" w:hAnsi="Times New Roman" w:eastAsia="仿宋" w:cs="Times New Roman"/>
                <w:color w:val="auto"/>
                <w:szCs w:val="28"/>
                <w:highlight w:val="none"/>
              </w:rPr>
              <w:t>；</w:t>
            </w:r>
          </w:p>
          <w:p w14:paraId="7C487C73">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③V</w:t>
            </w:r>
            <w:r>
              <w:rPr>
                <w:rFonts w:hint="default" w:ascii="Times New Roman" w:hAnsi="Times New Roman" w:eastAsia="仿宋" w:cs="Times New Roman"/>
                <w:color w:val="auto"/>
                <w:szCs w:val="24"/>
                <w:highlight w:val="none"/>
                <w:vertAlign w:val="subscript"/>
              </w:rPr>
              <w:t>3</w:t>
            </w:r>
            <w:r>
              <w:rPr>
                <w:rFonts w:hint="default" w:ascii="Times New Roman" w:hAnsi="Times New Roman" w:eastAsia="仿宋" w:cs="Times New Roman"/>
                <w:color w:val="auto"/>
                <w:szCs w:val="24"/>
                <w:highlight w:val="none"/>
              </w:rPr>
              <w:t>：</w:t>
            </w:r>
            <w:r>
              <w:rPr>
                <w:rFonts w:hint="default" w:ascii="Times New Roman" w:hAnsi="Times New Roman" w:eastAsia="仿宋" w:cs="Times New Roman"/>
                <w:color w:val="auto"/>
                <w:szCs w:val="28"/>
                <w:highlight w:val="none"/>
              </w:rPr>
              <w:t>厂区无可以转移的其他储存或处理设施，故V</w:t>
            </w:r>
            <w:r>
              <w:rPr>
                <w:rFonts w:hint="default" w:ascii="Times New Roman" w:hAnsi="Times New Roman" w:eastAsia="仿宋" w:cs="Times New Roman"/>
                <w:color w:val="auto"/>
                <w:szCs w:val="28"/>
                <w:highlight w:val="none"/>
                <w:vertAlign w:val="subscript"/>
              </w:rPr>
              <w:t>3</w:t>
            </w:r>
            <w:r>
              <w:rPr>
                <w:rFonts w:hint="default" w:ascii="Times New Roman" w:hAnsi="Times New Roman" w:eastAsia="仿宋" w:cs="Times New Roman"/>
                <w:color w:val="auto"/>
                <w:szCs w:val="28"/>
                <w:highlight w:val="none"/>
              </w:rPr>
              <w:t>=0m</w:t>
            </w:r>
            <w:r>
              <w:rPr>
                <w:rFonts w:hint="default" w:ascii="Times New Roman" w:hAnsi="Times New Roman" w:eastAsia="仿宋" w:cs="Times New Roman"/>
                <w:color w:val="auto"/>
                <w:szCs w:val="28"/>
                <w:highlight w:val="none"/>
                <w:vertAlign w:val="superscript"/>
              </w:rPr>
              <w:t>3</w:t>
            </w:r>
            <w:r>
              <w:rPr>
                <w:rFonts w:hint="default" w:ascii="Times New Roman" w:hAnsi="Times New Roman" w:eastAsia="仿宋" w:cs="Times New Roman"/>
                <w:color w:val="auto"/>
                <w:szCs w:val="28"/>
                <w:highlight w:val="none"/>
              </w:rPr>
              <w:t>；</w:t>
            </w:r>
          </w:p>
          <w:p w14:paraId="20205644">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④V</w:t>
            </w:r>
            <w:r>
              <w:rPr>
                <w:rFonts w:hint="default" w:ascii="Times New Roman" w:hAnsi="Times New Roman" w:eastAsia="仿宋" w:cs="Times New Roman"/>
                <w:color w:val="auto"/>
                <w:szCs w:val="24"/>
                <w:highlight w:val="none"/>
                <w:vertAlign w:val="subscript"/>
              </w:rPr>
              <w:t>4</w:t>
            </w:r>
            <w:r>
              <w:rPr>
                <w:rFonts w:hint="default" w:ascii="Times New Roman" w:hAnsi="Times New Roman" w:eastAsia="仿宋" w:cs="Times New Roman"/>
                <w:color w:val="auto"/>
                <w:szCs w:val="24"/>
                <w:highlight w:val="none"/>
              </w:rPr>
              <w:t>：发生事故时无生产废水进入该系统，故V4=0m</w:t>
            </w:r>
            <w:r>
              <w:rPr>
                <w:rFonts w:hint="default" w:ascii="Times New Roman" w:hAnsi="Times New Roman" w:eastAsia="仿宋" w:cs="Times New Roman"/>
                <w:color w:val="auto"/>
                <w:szCs w:val="24"/>
                <w:highlight w:val="none"/>
                <w:vertAlign w:val="superscript"/>
              </w:rPr>
              <w:t>3</w:t>
            </w:r>
            <w:r>
              <w:rPr>
                <w:rFonts w:hint="default" w:ascii="Times New Roman" w:hAnsi="Times New Roman" w:eastAsia="仿宋" w:cs="Times New Roman"/>
                <w:color w:val="auto"/>
                <w:szCs w:val="24"/>
                <w:highlight w:val="none"/>
              </w:rPr>
              <w:t>；</w:t>
            </w:r>
          </w:p>
          <w:p w14:paraId="47EFE13F">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⑤V</w:t>
            </w:r>
            <w:r>
              <w:rPr>
                <w:rFonts w:hint="default" w:ascii="Times New Roman" w:hAnsi="Times New Roman" w:eastAsia="仿宋" w:cs="Times New Roman"/>
                <w:color w:val="auto"/>
                <w:szCs w:val="24"/>
                <w:highlight w:val="none"/>
                <w:vertAlign w:val="subscript"/>
              </w:rPr>
              <w:t>5</w:t>
            </w:r>
            <w:r>
              <w:rPr>
                <w:rFonts w:hint="default" w:ascii="Times New Roman" w:hAnsi="Times New Roman" w:eastAsia="仿宋" w:cs="Times New Roman"/>
                <w:color w:val="auto"/>
                <w:szCs w:val="24"/>
                <w:highlight w:val="none"/>
              </w:rPr>
              <w:t>：</w:t>
            </w:r>
            <w:r>
              <w:rPr>
                <w:rFonts w:hint="default" w:ascii="Times New Roman" w:hAnsi="Times New Roman" w:eastAsia="仿宋" w:cs="Times New Roman"/>
                <w:color w:val="auto"/>
                <w:szCs w:val="28"/>
                <w:highlight w:val="none"/>
              </w:rPr>
              <w:t>金坛平均降雨量1503.9mm，多年平均降雨天数140天，平均日降雨量q=10.74mm，事故状态下</w:t>
            </w:r>
            <w:r>
              <w:rPr>
                <w:rFonts w:hint="default" w:ascii="Times New Roman" w:hAnsi="Times New Roman" w:eastAsia="仿宋" w:cs="Times New Roman"/>
                <w:color w:val="auto"/>
                <w:szCs w:val="28"/>
                <w:highlight w:val="none"/>
                <w:lang w:val="en-US" w:eastAsia="zh-CN"/>
              </w:rPr>
              <w:t>全厂</w:t>
            </w:r>
            <w:r>
              <w:rPr>
                <w:rFonts w:hint="default" w:ascii="Times New Roman" w:hAnsi="Times New Roman" w:eastAsia="仿宋" w:cs="Times New Roman"/>
                <w:color w:val="auto"/>
                <w:szCs w:val="28"/>
                <w:highlight w:val="none"/>
              </w:rPr>
              <w:t>汇水面积</w:t>
            </w:r>
            <w:r>
              <w:rPr>
                <w:rFonts w:hint="default" w:ascii="Times New Roman" w:hAnsi="Times New Roman" w:eastAsia="仿宋" w:cs="Times New Roman"/>
                <w:color w:val="auto"/>
                <w:szCs w:val="28"/>
                <w:highlight w:val="none"/>
                <w:lang w:val="en-US" w:eastAsia="zh-CN"/>
              </w:rPr>
              <w:t>约</w:t>
            </w:r>
            <w:r>
              <w:rPr>
                <w:rFonts w:hint="default" w:ascii="Times New Roman" w:hAnsi="Times New Roman" w:eastAsia="仿宋" w:cs="Times New Roman"/>
                <w:color w:val="auto"/>
                <w:szCs w:val="28"/>
                <w:highlight w:val="none"/>
              </w:rPr>
              <w:t>1</w:t>
            </w:r>
            <w:r>
              <w:rPr>
                <w:rFonts w:hint="default" w:ascii="Times New Roman" w:hAnsi="Times New Roman" w:eastAsia="仿宋" w:cs="Times New Roman"/>
                <w:color w:val="auto"/>
                <w:szCs w:val="28"/>
                <w:highlight w:val="none"/>
                <w:lang w:val="en-US" w:eastAsia="zh-CN"/>
              </w:rPr>
              <w:t>2</w:t>
            </w:r>
            <w:r>
              <w:rPr>
                <w:rFonts w:hint="default" w:ascii="Times New Roman" w:hAnsi="Times New Roman" w:eastAsia="仿宋" w:cs="Times New Roman"/>
                <w:color w:val="auto"/>
                <w:szCs w:val="28"/>
                <w:highlight w:val="none"/>
              </w:rPr>
              <w:t>00m</w:t>
            </w:r>
            <w:r>
              <w:rPr>
                <w:rFonts w:hint="default" w:ascii="Times New Roman" w:hAnsi="Times New Roman" w:eastAsia="仿宋" w:cs="Times New Roman"/>
                <w:color w:val="auto"/>
                <w:szCs w:val="28"/>
                <w:highlight w:val="none"/>
                <w:vertAlign w:val="superscript"/>
              </w:rPr>
              <w:t>2</w:t>
            </w:r>
            <w:r>
              <w:rPr>
                <w:rFonts w:hint="default" w:ascii="Times New Roman" w:hAnsi="Times New Roman" w:eastAsia="仿宋" w:cs="Times New Roman"/>
                <w:color w:val="auto"/>
                <w:szCs w:val="28"/>
                <w:highlight w:val="none"/>
              </w:rPr>
              <w:t>，通过下式计算V</w:t>
            </w:r>
            <w:r>
              <w:rPr>
                <w:rFonts w:hint="default" w:ascii="Times New Roman" w:hAnsi="Times New Roman" w:eastAsia="仿宋" w:cs="Times New Roman"/>
                <w:color w:val="auto"/>
                <w:szCs w:val="28"/>
                <w:highlight w:val="none"/>
                <w:vertAlign w:val="subscript"/>
              </w:rPr>
              <w:t>5</w:t>
            </w:r>
            <w:r>
              <w:rPr>
                <w:rFonts w:hint="default" w:ascii="Times New Roman" w:hAnsi="Times New Roman" w:eastAsia="仿宋" w:cs="Times New Roman"/>
                <w:color w:val="auto"/>
                <w:szCs w:val="28"/>
                <w:highlight w:val="none"/>
              </w:rPr>
              <w:t>=</w:t>
            </w:r>
            <w:r>
              <w:rPr>
                <w:rFonts w:hint="default" w:ascii="Times New Roman" w:hAnsi="Times New Roman" w:eastAsia="仿宋" w:cs="Times New Roman"/>
                <w:color w:val="auto"/>
                <w:szCs w:val="28"/>
                <w:highlight w:val="none"/>
                <w:lang w:val="en-US" w:eastAsia="zh-CN"/>
              </w:rPr>
              <w:t>12.89</w:t>
            </w:r>
            <w:r>
              <w:rPr>
                <w:rFonts w:hint="default" w:ascii="Times New Roman" w:hAnsi="Times New Roman" w:eastAsia="仿宋" w:cs="Times New Roman"/>
                <w:color w:val="auto"/>
                <w:szCs w:val="28"/>
                <w:highlight w:val="none"/>
              </w:rPr>
              <w:t>m</w:t>
            </w:r>
            <w:r>
              <w:rPr>
                <w:rFonts w:hint="default" w:ascii="Times New Roman" w:hAnsi="Times New Roman" w:eastAsia="仿宋" w:cs="Times New Roman"/>
                <w:color w:val="auto"/>
                <w:szCs w:val="28"/>
                <w:highlight w:val="none"/>
                <w:vertAlign w:val="superscript"/>
              </w:rPr>
              <w:t>3</w:t>
            </w:r>
            <w:r>
              <w:rPr>
                <w:rFonts w:hint="default" w:ascii="Times New Roman" w:hAnsi="Times New Roman" w:eastAsia="仿宋" w:cs="Times New Roman"/>
                <w:color w:val="auto"/>
                <w:szCs w:val="28"/>
                <w:highlight w:val="none"/>
              </w:rPr>
              <w:t>。</w:t>
            </w:r>
          </w:p>
          <w:p w14:paraId="2511D95A">
            <w:pPr>
              <w:pStyle w:val="15"/>
              <w:snapToGrid w:val="0"/>
              <w:ind w:firstLine="0"/>
              <w:jc w:val="center"/>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V</w:t>
            </w:r>
            <w:r>
              <w:rPr>
                <w:rFonts w:hint="default" w:ascii="Times New Roman" w:hAnsi="Times New Roman" w:eastAsia="仿宋" w:cs="Times New Roman"/>
                <w:color w:val="auto"/>
                <w:szCs w:val="24"/>
                <w:highlight w:val="none"/>
                <w:vertAlign w:val="subscript"/>
              </w:rPr>
              <w:t>5</w:t>
            </w:r>
            <w:r>
              <w:rPr>
                <w:rFonts w:hint="default" w:ascii="Times New Roman" w:hAnsi="Times New Roman" w:eastAsia="仿宋" w:cs="Times New Roman"/>
                <w:color w:val="auto"/>
                <w:szCs w:val="24"/>
                <w:highlight w:val="none"/>
              </w:rPr>
              <w:t>=10qF</w:t>
            </w:r>
          </w:p>
          <w:p w14:paraId="409E94C7">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式中：q——降雨强度，mm；</w:t>
            </w:r>
          </w:p>
          <w:p w14:paraId="4F277300">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 xml:space="preserve">      F——必须进入事故废水收集系统的雨水汇水面积，ha。</w:t>
            </w:r>
          </w:p>
          <w:p w14:paraId="36747837">
            <w:pPr>
              <w:pStyle w:val="15"/>
              <w:adjustRightInd w:val="0"/>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⑥事故应急池容量</w:t>
            </w:r>
          </w:p>
          <w:p w14:paraId="0D984651">
            <w:pPr>
              <w:adjustRightInd w:val="0"/>
              <w:snapToGrid w:val="0"/>
              <w:spacing w:line="360" w:lineRule="auto"/>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V</w:t>
            </w:r>
            <w:r>
              <w:rPr>
                <w:rFonts w:hint="default" w:ascii="Times New Roman" w:hAnsi="Times New Roman" w:eastAsia="仿宋" w:cs="Times New Roman"/>
                <w:color w:val="auto"/>
                <w:sz w:val="24"/>
                <w:highlight w:val="none"/>
                <w:vertAlign w:val="subscript"/>
              </w:rPr>
              <w:t>总</w:t>
            </w:r>
            <w:r>
              <w:rPr>
                <w:rFonts w:hint="default" w:ascii="Times New Roman" w:hAnsi="Times New Roman" w:eastAsia="仿宋" w:cs="Times New Roman"/>
                <w:color w:val="auto"/>
                <w:sz w:val="24"/>
                <w:highlight w:val="none"/>
              </w:rPr>
              <w:t>=（V</w:t>
            </w:r>
            <w:r>
              <w:rPr>
                <w:rFonts w:hint="default" w:ascii="Times New Roman" w:hAnsi="Times New Roman" w:eastAsia="仿宋" w:cs="Times New Roman"/>
                <w:color w:val="auto"/>
                <w:sz w:val="24"/>
                <w:highlight w:val="none"/>
                <w:vertAlign w:val="subscript"/>
              </w:rPr>
              <w:t>1</w:t>
            </w:r>
            <w:r>
              <w:rPr>
                <w:rFonts w:hint="default" w:ascii="Times New Roman" w:hAnsi="Times New Roman" w:eastAsia="仿宋" w:cs="Times New Roman"/>
                <w:color w:val="auto"/>
                <w:sz w:val="24"/>
                <w:highlight w:val="none"/>
              </w:rPr>
              <w:t>+V</w:t>
            </w:r>
            <w:r>
              <w:rPr>
                <w:rFonts w:hint="default" w:ascii="Times New Roman" w:hAnsi="Times New Roman" w:eastAsia="仿宋" w:cs="Times New Roman"/>
                <w:color w:val="auto"/>
                <w:sz w:val="24"/>
                <w:highlight w:val="none"/>
                <w:vertAlign w:val="subscript"/>
              </w:rPr>
              <w:t>2</w:t>
            </w:r>
            <w:r>
              <w:rPr>
                <w:rFonts w:hint="default" w:ascii="Times New Roman" w:hAnsi="Times New Roman" w:eastAsia="仿宋" w:cs="Times New Roman"/>
                <w:color w:val="auto"/>
                <w:sz w:val="24"/>
                <w:highlight w:val="none"/>
              </w:rPr>
              <w:t>-V</w:t>
            </w:r>
            <w:r>
              <w:rPr>
                <w:rFonts w:hint="default" w:ascii="Times New Roman" w:hAnsi="Times New Roman" w:eastAsia="仿宋" w:cs="Times New Roman"/>
                <w:color w:val="auto"/>
                <w:sz w:val="24"/>
                <w:highlight w:val="none"/>
                <w:vertAlign w:val="subscript"/>
              </w:rPr>
              <w:t>3</w:t>
            </w:r>
            <w:r>
              <w:rPr>
                <w:rFonts w:hint="default" w:ascii="Times New Roman" w:hAnsi="Times New Roman" w:eastAsia="仿宋" w:cs="Times New Roman"/>
                <w:color w:val="auto"/>
                <w:sz w:val="24"/>
                <w:highlight w:val="none"/>
              </w:rPr>
              <w:t>）+V</w:t>
            </w:r>
            <w:r>
              <w:rPr>
                <w:rFonts w:hint="default" w:ascii="Times New Roman" w:hAnsi="Times New Roman" w:eastAsia="仿宋" w:cs="Times New Roman"/>
                <w:color w:val="auto"/>
                <w:sz w:val="24"/>
                <w:highlight w:val="none"/>
                <w:vertAlign w:val="subscript"/>
              </w:rPr>
              <w:t>4</w:t>
            </w:r>
            <w:r>
              <w:rPr>
                <w:rFonts w:hint="default" w:ascii="Times New Roman" w:hAnsi="Times New Roman" w:eastAsia="仿宋" w:cs="Times New Roman"/>
                <w:color w:val="auto"/>
                <w:sz w:val="24"/>
                <w:highlight w:val="none"/>
              </w:rPr>
              <w:t>+V</w:t>
            </w:r>
            <w:r>
              <w:rPr>
                <w:rFonts w:hint="default" w:ascii="Times New Roman" w:hAnsi="Times New Roman" w:eastAsia="仿宋" w:cs="Times New Roman"/>
                <w:color w:val="auto"/>
                <w:sz w:val="24"/>
                <w:highlight w:val="none"/>
                <w:vertAlign w:val="subscript"/>
              </w:rPr>
              <w:t>5</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val="en-US" w:eastAsia="zh-CN"/>
              </w:rPr>
              <w:t>0.2</w:t>
            </w:r>
            <w:r>
              <w:rPr>
                <w:rFonts w:hint="default" w:ascii="Times New Roman" w:hAnsi="Times New Roman" w:eastAsia="仿宋" w:cs="Times New Roman"/>
                <w:color w:val="auto"/>
                <w:sz w:val="24"/>
                <w:highlight w:val="none"/>
              </w:rPr>
              <w:t>+72-0）+0+</w:t>
            </w:r>
            <w:r>
              <w:rPr>
                <w:rFonts w:hint="default" w:ascii="Times New Roman" w:hAnsi="Times New Roman" w:eastAsia="仿宋" w:cs="Times New Roman"/>
                <w:color w:val="auto"/>
                <w:sz w:val="24"/>
                <w:highlight w:val="none"/>
                <w:lang w:val="en-US" w:eastAsia="zh-CN"/>
              </w:rPr>
              <w:t>12.89</w:t>
            </w:r>
            <w:r>
              <w:rPr>
                <w:rFonts w:hint="default" w:ascii="Times New Roman" w:hAnsi="Times New Roman" w:eastAsia="仿宋" w:cs="Times New Roman"/>
                <w:color w:val="auto"/>
                <w:sz w:val="24"/>
                <w:highlight w:val="none"/>
              </w:rPr>
              <w:t>=8</w:t>
            </w:r>
            <w:r>
              <w:rPr>
                <w:rFonts w:hint="default" w:ascii="Times New Roman" w:hAnsi="Times New Roman" w:eastAsia="仿宋" w:cs="Times New Roman"/>
                <w:color w:val="auto"/>
                <w:sz w:val="24"/>
                <w:highlight w:val="none"/>
                <w:lang w:val="en-US" w:eastAsia="zh-CN"/>
              </w:rPr>
              <w:t>5.09</w:t>
            </w:r>
            <w:r>
              <w:rPr>
                <w:rFonts w:hint="default" w:ascii="Times New Roman" w:hAnsi="Times New Roman" w:eastAsia="仿宋" w:cs="Times New Roman"/>
                <w:color w:val="auto"/>
                <w:sz w:val="24"/>
                <w:highlight w:val="none"/>
              </w:rPr>
              <w:t>m</w:t>
            </w:r>
            <w:r>
              <w:rPr>
                <w:rFonts w:hint="default" w:ascii="Times New Roman" w:hAnsi="Times New Roman" w:eastAsia="仿宋" w:cs="Times New Roman"/>
                <w:color w:val="auto"/>
                <w:sz w:val="24"/>
                <w:highlight w:val="none"/>
                <w:vertAlign w:val="superscript"/>
              </w:rPr>
              <w:t>3</w:t>
            </w:r>
          </w:p>
          <w:p w14:paraId="274EAC60">
            <w:pPr>
              <w:pStyle w:val="15"/>
              <w:tabs>
                <w:tab w:val="left" w:pos="6510"/>
              </w:tabs>
              <w:snapToGrid w:val="0"/>
              <w:ind w:firstLineChars="200"/>
              <w:jc w:val="both"/>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lang w:val="en-US" w:eastAsia="zh-CN"/>
              </w:rPr>
              <w:t>因此，企业需建设1个至少</w:t>
            </w:r>
            <w:r>
              <w:rPr>
                <w:rFonts w:hint="eastAsia" w:eastAsia="仿宋" w:cs="Times New Roman"/>
                <w:bCs/>
                <w:color w:val="auto"/>
                <w:sz w:val="24"/>
                <w:lang w:val="en-US" w:eastAsia="zh-CN"/>
              </w:rPr>
              <w:t>86</w:t>
            </w:r>
            <w:r>
              <w:rPr>
                <w:rFonts w:hint="default" w:ascii="Times New Roman" w:hAnsi="Times New Roman" w:eastAsia="仿宋" w:cs="Times New Roman"/>
                <w:bCs/>
                <w:color w:val="auto"/>
                <w:sz w:val="24"/>
                <w:lang w:val="en-US" w:eastAsia="zh-CN"/>
              </w:rPr>
              <w:t>m</w:t>
            </w:r>
            <w:r>
              <w:rPr>
                <w:rFonts w:hint="default" w:ascii="Times New Roman" w:hAnsi="Times New Roman" w:eastAsia="仿宋" w:cs="Times New Roman"/>
                <w:bCs/>
                <w:color w:val="auto"/>
                <w:sz w:val="24"/>
                <w:vertAlign w:val="superscript"/>
                <w:lang w:val="en-US" w:eastAsia="zh-CN"/>
              </w:rPr>
              <w:t>3</w:t>
            </w:r>
            <w:r>
              <w:rPr>
                <w:rFonts w:hint="default" w:ascii="Times New Roman" w:hAnsi="Times New Roman" w:eastAsia="仿宋" w:cs="Times New Roman"/>
                <w:bCs/>
                <w:color w:val="auto"/>
                <w:sz w:val="24"/>
                <w:lang w:val="en-US" w:eastAsia="zh-CN"/>
              </w:rPr>
              <w:t>的事故应急池来接收消防事故废水。目前园区已建成一个容积为500m</w:t>
            </w:r>
            <w:r>
              <w:rPr>
                <w:rFonts w:hint="default" w:ascii="Times New Roman" w:hAnsi="Times New Roman" w:eastAsia="仿宋" w:cs="Times New Roman"/>
                <w:bCs/>
                <w:color w:val="auto"/>
                <w:sz w:val="24"/>
                <w:vertAlign w:val="superscript"/>
                <w:lang w:val="en-US" w:eastAsia="zh-CN"/>
              </w:rPr>
              <w:t>3</w:t>
            </w:r>
            <w:r>
              <w:rPr>
                <w:rFonts w:hint="default" w:ascii="Times New Roman" w:hAnsi="Times New Roman" w:eastAsia="仿宋" w:cs="Times New Roman"/>
                <w:bCs/>
                <w:color w:val="auto"/>
                <w:sz w:val="24"/>
                <w:lang w:val="en-US" w:eastAsia="zh-CN"/>
              </w:rPr>
              <w:t>的事故应急池，并在雨水管网和事故池之间、雨水总排口处设置截流阀。事故状态下，雨污水排口的截流阀关闭，雨水管网和事故池之间的截留阀打开，可确保消防废水控制在园区内，不外排。收集的消防废水必须根据水质处理，杜绝不经处理直接排入外环境。</w:t>
            </w:r>
          </w:p>
          <w:p w14:paraId="2B7AD6AC">
            <w:pPr>
              <w:pStyle w:val="15"/>
              <w:tabs>
                <w:tab w:val="left" w:pos="6510"/>
              </w:tabs>
              <w:snapToGrid w:val="0"/>
              <w:ind w:firstLineChars="200"/>
              <w:jc w:val="both"/>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color w:val="auto"/>
                <w:kern w:val="0"/>
                <w:sz w:val="24"/>
                <w:lang w:val="en-US" w:eastAsia="zh-CN"/>
              </w:rPr>
              <w:t>园区</w:t>
            </w:r>
            <w:r>
              <w:rPr>
                <w:rFonts w:hint="default" w:ascii="Times New Roman" w:hAnsi="Times New Roman" w:eastAsia="仿宋" w:cs="Times New Roman"/>
                <w:bCs/>
                <w:color w:val="auto"/>
                <w:sz w:val="24"/>
              </w:rPr>
              <w:t>已按照《建设项目环境风险评价技术导则》（HJ169-2018）、《石化企业水体环境风险防控技术要求》（Q/SH0729-2018）要求在</w:t>
            </w:r>
            <w:r>
              <w:rPr>
                <w:rFonts w:hint="default" w:ascii="Times New Roman" w:hAnsi="Times New Roman" w:eastAsia="仿宋" w:cs="Times New Roman"/>
                <w:bCs/>
                <w:color w:val="auto"/>
                <w:sz w:val="24"/>
                <w:lang w:val="en-US" w:eastAsia="zh-CN"/>
              </w:rPr>
              <w:t>园区东南</w:t>
            </w:r>
            <w:r>
              <w:rPr>
                <w:rFonts w:hint="default" w:ascii="Times New Roman" w:hAnsi="Times New Roman" w:eastAsia="仿宋" w:cs="Times New Roman"/>
                <w:bCs/>
                <w:color w:val="auto"/>
                <w:sz w:val="24"/>
              </w:rPr>
              <w:t>侧建设了一座容积</w:t>
            </w:r>
            <w:r>
              <w:rPr>
                <w:rFonts w:hint="default" w:ascii="Times New Roman" w:hAnsi="Times New Roman" w:eastAsia="仿宋" w:cs="Times New Roman"/>
                <w:bCs/>
                <w:color w:val="auto"/>
                <w:sz w:val="24"/>
                <w:lang w:val="en-US" w:eastAsia="zh-CN"/>
              </w:rPr>
              <w:t>500</w:t>
            </w:r>
            <w:r>
              <w:rPr>
                <w:rFonts w:hint="default" w:ascii="Times New Roman" w:hAnsi="Times New Roman" w:eastAsia="仿宋" w:cs="Times New Roman"/>
                <w:bCs/>
                <w:color w:val="auto"/>
                <w:sz w:val="24"/>
              </w:rPr>
              <w:t>立方米的事故应急池，事故应急池与</w:t>
            </w:r>
            <w:r>
              <w:rPr>
                <w:rFonts w:hint="default" w:ascii="Times New Roman" w:hAnsi="Times New Roman" w:eastAsia="仿宋" w:cs="Times New Roman"/>
                <w:bCs/>
                <w:color w:val="auto"/>
                <w:sz w:val="24"/>
                <w:lang w:val="en-US" w:eastAsia="zh-CN"/>
              </w:rPr>
              <w:t>园区</w:t>
            </w:r>
            <w:r>
              <w:rPr>
                <w:rFonts w:hint="default" w:ascii="Times New Roman" w:hAnsi="Times New Roman" w:eastAsia="仿宋" w:cs="Times New Roman"/>
                <w:bCs/>
                <w:color w:val="auto"/>
                <w:sz w:val="24"/>
              </w:rPr>
              <w:t>雨水管网相连通，并设有控制阀门。</w:t>
            </w:r>
            <w:r>
              <w:rPr>
                <w:rFonts w:hint="default" w:ascii="Times New Roman" w:hAnsi="Times New Roman" w:eastAsia="仿宋" w:cs="Times New Roman"/>
                <w:bCs/>
                <w:color w:val="auto"/>
                <w:sz w:val="24"/>
                <w:lang w:val="en-US" w:eastAsia="zh-CN"/>
              </w:rPr>
              <w:t>由于本公司与园区内其他企业最大风险值均低于行业风险统计值，且同时发生两起及两起以上风险事故的概率极低，因此，本公司依托园区现有雨污水管网、事故应急池可行。</w:t>
            </w:r>
          </w:p>
          <w:p w14:paraId="2A4E3C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Style w:val="122"/>
                <w:rFonts w:hint="default" w:ascii="Times New Roman" w:hAnsi="Times New Roman" w:eastAsia="仿宋" w:cs="Times New Roman"/>
                <w:bCs/>
                <w:color w:val="auto"/>
                <w:lang w:val="en-US" w:eastAsia="zh-CN"/>
              </w:rPr>
            </w:pPr>
            <w:r>
              <w:rPr>
                <w:rStyle w:val="122"/>
                <w:rFonts w:hint="default" w:ascii="Times New Roman" w:hAnsi="Times New Roman" w:eastAsia="仿宋" w:cs="Times New Roman"/>
                <w:bCs/>
                <w:color w:val="auto"/>
                <w:lang w:val="en-US" w:eastAsia="zh-CN"/>
              </w:rPr>
              <w:drawing>
                <wp:inline distT="0" distB="0" distL="114300" distR="114300">
                  <wp:extent cx="3567430" cy="1029970"/>
                  <wp:effectExtent l="0" t="0" r="13970" b="17780"/>
                  <wp:docPr id="3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2"/>
                          <pic:cNvPicPr>
                            <a:picLocks noChangeAspect="1"/>
                          </pic:cNvPicPr>
                        </pic:nvPicPr>
                        <pic:blipFill>
                          <a:blip r:embed="rId69"/>
                          <a:srcRect b="32558"/>
                          <a:stretch>
                            <a:fillRect/>
                          </a:stretch>
                        </pic:blipFill>
                        <pic:spPr>
                          <a:xfrm>
                            <a:off x="0" y="0"/>
                            <a:ext cx="3567430" cy="1029970"/>
                          </a:xfrm>
                          <a:prstGeom prst="rect">
                            <a:avLst/>
                          </a:prstGeom>
                          <a:noFill/>
                          <a:ln>
                            <a:noFill/>
                          </a:ln>
                        </pic:spPr>
                      </pic:pic>
                    </a:graphicData>
                  </a:graphic>
                </wp:inline>
              </w:drawing>
            </w:r>
          </w:p>
          <w:p w14:paraId="730438A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Style w:val="122"/>
                <w:rFonts w:hint="default" w:ascii="Times New Roman" w:hAnsi="Times New Roman" w:eastAsia="仿宋" w:cs="Times New Roman"/>
                <w:b/>
                <w:bCs/>
                <w:color w:val="auto"/>
                <w:sz w:val="24"/>
                <w:szCs w:val="24"/>
                <w:lang w:val="en-US" w:eastAsia="zh-CN"/>
              </w:rPr>
            </w:pPr>
            <w:r>
              <w:rPr>
                <w:rStyle w:val="122"/>
                <w:rFonts w:hint="default" w:ascii="Times New Roman" w:hAnsi="Times New Roman" w:eastAsia="仿宋" w:cs="Times New Roman"/>
                <w:b/>
                <w:bCs/>
                <w:color w:val="auto"/>
                <w:sz w:val="24"/>
                <w:szCs w:val="24"/>
                <w:lang w:val="en-US" w:eastAsia="zh-CN"/>
              </w:rPr>
              <w:t>图4-6  事故排水控制和封堵示意图</w:t>
            </w:r>
          </w:p>
          <w:p w14:paraId="75BA1902">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●第三级防控措施</w:t>
            </w:r>
          </w:p>
          <w:p w14:paraId="5AD6E605">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具体措施如下：</w:t>
            </w:r>
          </w:p>
          <w:p w14:paraId="42CFEC9A">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启动Ⅰ级、Ⅱ级应急响应，第一时间关闭雨水排口阀门，将管网收集的事故废水泵入事故应急池，防止造成环境污染。</w:t>
            </w:r>
          </w:p>
          <w:p w14:paraId="13FDC4C4">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若未及时收集，消防废水或泄漏物料将通过雨水管网流到厂外，此时应上报企业</w:t>
            </w:r>
            <w:r>
              <w:rPr>
                <w:rFonts w:hint="default" w:ascii="Times New Roman" w:hAnsi="Times New Roman" w:eastAsia="仿宋" w:cs="Times New Roman"/>
                <w:bCs/>
                <w:color w:val="auto"/>
                <w:sz w:val="24"/>
                <w:lang w:val="zh-CN" w:eastAsia="zh-CN"/>
              </w:rPr>
              <w:t>应急指挥部</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highlight w:val="none"/>
              </w:rPr>
              <w:t>同时上报</w:t>
            </w:r>
            <w:r>
              <w:rPr>
                <w:rFonts w:hint="default" w:ascii="Times New Roman" w:hAnsi="Times New Roman" w:eastAsia="仿宋" w:cs="Times New Roman"/>
                <w:bCs/>
                <w:color w:val="auto"/>
                <w:sz w:val="24"/>
                <w:highlight w:val="none"/>
                <w:lang w:val="en-US" w:eastAsia="zh-CN"/>
              </w:rPr>
              <w:t>金坛</w:t>
            </w:r>
            <w:r>
              <w:rPr>
                <w:rFonts w:hint="default" w:ascii="Times New Roman" w:hAnsi="Times New Roman" w:eastAsia="仿宋" w:cs="Times New Roman"/>
                <w:bCs/>
                <w:color w:val="auto"/>
                <w:sz w:val="24"/>
                <w:highlight w:val="none"/>
              </w:rPr>
              <w:t>生态环境局；</w:t>
            </w:r>
            <w:r>
              <w:rPr>
                <w:rFonts w:hint="default" w:ascii="Times New Roman" w:hAnsi="Times New Roman" w:eastAsia="仿宋" w:cs="Times New Roman"/>
                <w:bCs/>
                <w:color w:val="auto"/>
                <w:sz w:val="24"/>
              </w:rPr>
              <w:t>企业应急指挥部携应急物资赶赴现场进行应急处置，寻求消防、周边企业援助；应迅速用堵漏工具对管网进行封堵，构筑围堤、造坑导流、挖坑收容，避免事故废水进入河流；就地投加药剂处置，降低危险性；启动应急泵，收集事故废水，利用企业及周边企业事故应急水箱、槽车或专用收集池/水箱等进行暂存。在进入河流前的市政雨水管网设切断点，进行阻断，若事故废水不慎进入河流，在污染区上、下游迅速用拦污锁或筑坝拦截污染物，投加活性炭等吸附材料，就地投加药剂处置，或将污染水抽至安全地方处置。</w:t>
            </w:r>
          </w:p>
          <w:p w14:paraId="0E5DD5A0">
            <w:pPr>
              <w:pStyle w:val="15"/>
              <w:tabs>
                <w:tab w:val="left" w:pos="6510"/>
              </w:tabs>
              <w:snapToGrid w:val="0"/>
              <w:ind w:firstLineChars="200"/>
              <w:jc w:val="both"/>
              <w:rPr>
                <w:rFonts w:hint="default" w:ascii="Times New Roman" w:hAnsi="Times New Roman" w:eastAsia="仿宋" w:cs="Times New Roman"/>
                <w:bCs/>
                <w:color w:val="auto"/>
                <w:sz w:val="24"/>
                <w:lang w:val="en-US" w:eastAsia="zh-CN"/>
              </w:rPr>
            </w:pPr>
            <w:r>
              <w:rPr>
                <w:rFonts w:hint="default" w:ascii="Times New Roman" w:hAnsi="Times New Roman" w:eastAsia="仿宋" w:cs="Times New Roman"/>
                <w:bCs/>
                <w:color w:val="auto"/>
                <w:sz w:val="24"/>
              </w:rPr>
              <w:t>“三级防控”机制的设置能确保厂区事故状态下的泄漏物料、消防废水等全部处于受控状态，实现对水污染源头、过程和终端的预防和控制，使环境风险可控，对厂区外界环境造成的影响较小。同时</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lang w:val="en-US" w:eastAsia="zh-CN"/>
              </w:rPr>
              <w:t>企业</w:t>
            </w:r>
            <w:r>
              <w:rPr>
                <w:rFonts w:hint="default" w:ascii="Times New Roman" w:hAnsi="Times New Roman" w:eastAsia="仿宋" w:cs="Times New Roman"/>
                <w:bCs/>
                <w:color w:val="auto"/>
                <w:sz w:val="24"/>
              </w:rPr>
              <w:t>应加强自身管理，不断完善、充实应急组织机构人员，制定操作规程和规定，确保三级防控系统的各项设施始终处于完好状态，具有稳定、长期的应急能力。</w:t>
            </w:r>
          </w:p>
          <w:p w14:paraId="32441E05">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（3）应急要求</w:t>
            </w:r>
          </w:p>
          <w:p w14:paraId="34D1E685">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发生泄漏事故后，最早发现者应立即通知公司负责人及值班领导报110，报告危险物料外泄部位（或装置），并根据召集应急救援小组，及时采取一切办法控制泄漏蔓延。如果是车间等发生泄漏，立即检查泄漏事故所在车间的事故</w:t>
            </w:r>
            <w:r>
              <w:rPr>
                <w:rFonts w:hint="default" w:ascii="Times New Roman" w:hAnsi="Times New Roman" w:eastAsia="仿宋" w:cs="Times New Roman"/>
                <w:bCs/>
                <w:color w:val="auto"/>
                <w:sz w:val="24"/>
                <w:lang w:val="en-US" w:eastAsia="zh-CN"/>
              </w:rPr>
              <w:t>废液</w:t>
            </w:r>
            <w:r>
              <w:rPr>
                <w:rFonts w:hint="default" w:ascii="Times New Roman" w:hAnsi="Times New Roman" w:eastAsia="仿宋" w:cs="Times New Roman"/>
                <w:bCs/>
                <w:color w:val="auto"/>
                <w:sz w:val="24"/>
              </w:rPr>
              <w:t>收集系统切断装置，确保其均处于切断状态，并将事故废液通过事故沟等收集进入事故应急池内暂存，如果是运输、装卸过程中（室外）发生泄漏，则应立即检查厂区雨水管网切断装置，确保其处于切断状态，从而防止泄漏的物料通过雨水管网流入外环境。一旦事故污染物进入雨水管网，本单位立即启动应急预案，并报告相关主管部门，及时根据应急预案做好隔离措施和应对处理方案。</w:t>
            </w:r>
          </w:p>
          <w:p w14:paraId="3750A8AC">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1）发生物料泄漏事故应急措施</w:t>
            </w:r>
          </w:p>
          <w:p w14:paraId="33B85EEE">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①对泄漏点的应急处理</w:t>
            </w:r>
          </w:p>
          <w:p w14:paraId="207D6DD9">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因工作失误造成原料桶破损，立即堵住原料桶破裂口，用砂土之类惰性材料覆盖泄漏物或用泵将泄漏液体抽到容器中，集中进行处理，同时将附近</w:t>
            </w:r>
            <w:r>
              <w:rPr>
                <w:rFonts w:hint="default" w:ascii="Times New Roman" w:hAnsi="Times New Roman" w:eastAsia="仿宋" w:cs="Times New Roman"/>
                <w:bCs/>
                <w:color w:val="auto"/>
                <w:sz w:val="24"/>
                <w:lang w:eastAsia="zh-CN"/>
              </w:rPr>
              <w:t>其他原料</w:t>
            </w:r>
            <w:r>
              <w:rPr>
                <w:rFonts w:hint="default" w:ascii="Times New Roman" w:hAnsi="Times New Roman" w:eastAsia="仿宋" w:cs="Times New Roman"/>
                <w:bCs/>
                <w:color w:val="auto"/>
                <w:sz w:val="24"/>
              </w:rPr>
              <w:t>桶搬离泄漏区域。</w:t>
            </w:r>
          </w:p>
          <w:p w14:paraId="6758085D">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②对泄漏物的应急处理</w:t>
            </w:r>
          </w:p>
          <w:p w14:paraId="665A46A9">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一旦发生物料泄漏需要先尽快堵住泄漏点，并用</w:t>
            </w:r>
            <w:r>
              <w:rPr>
                <w:rFonts w:hint="default" w:ascii="Times New Roman" w:hAnsi="Times New Roman" w:eastAsia="仿宋" w:cs="Times New Roman"/>
                <w:bCs/>
                <w:color w:val="auto"/>
                <w:sz w:val="24"/>
                <w:lang w:eastAsia="zh-CN"/>
              </w:rPr>
              <w:t>黄砂</w:t>
            </w:r>
            <w:r>
              <w:rPr>
                <w:rFonts w:hint="default" w:ascii="Times New Roman" w:hAnsi="Times New Roman" w:eastAsia="仿宋" w:cs="Times New Roman"/>
                <w:bCs/>
                <w:color w:val="auto"/>
                <w:sz w:val="24"/>
              </w:rPr>
              <w:t>等吸附地面上的泄漏物料，再进行收集处理。</w:t>
            </w:r>
          </w:p>
          <w:p w14:paraId="60D6EC27">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2</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eastAsia="zh-CN"/>
              </w:rPr>
              <w:t>危废仓库</w:t>
            </w:r>
            <w:r>
              <w:rPr>
                <w:rFonts w:hint="default" w:ascii="Times New Roman" w:hAnsi="Times New Roman" w:eastAsia="仿宋" w:cs="Times New Roman"/>
                <w:bCs/>
                <w:color w:val="auto"/>
                <w:sz w:val="24"/>
              </w:rPr>
              <w:t>应急措施</w:t>
            </w:r>
          </w:p>
          <w:p w14:paraId="3AC6A005">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eastAsia="zh-CN"/>
              </w:rPr>
              <w:t>危废仓库</w:t>
            </w:r>
            <w:r>
              <w:rPr>
                <w:rFonts w:hint="default" w:ascii="Times New Roman" w:hAnsi="Times New Roman" w:eastAsia="仿宋" w:cs="Times New Roman"/>
                <w:bCs/>
                <w:color w:val="auto"/>
                <w:sz w:val="24"/>
              </w:rPr>
              <w:t>的废料若发生泄漏，若地面未做防渗处理，泄漏物将通过地面泄漏，进而影响土壤和地下水。应急措施主要包括：</w:t>
            </w:r>
            <w:r>
              <w:rPr>
                <w:rFonts w:hint="default" w:ascii="Times New Roman" w:hAnsi="Times New Roman" w:eastAsia="仿宋" w:cs="Times New Roman"/>
                <w:bCs/>
                <w:color w:val="auto"/>
                <w:sz w:val="24"/>
                <w:lang w:eastAsia="zh-CN"/>
              </w:rPr>
              <w:t>危废仓库</w:t>
            </w:r>
            <w:r>
              <w:rPr>
                <w:rFonts w:hint="default" w:ascii="Times New Roman" w:hAnsi="Times New Roman" w:eastAsia="仿宋" w:cs="Times New Roman"/>
                <w:bCs/>
                <w:color w:val="auto"/>
                <w:sz w:val="24"/>
              </w:rPr>
              <w:t>发生漏雨，应将储存物料搬离漏雨点；包装如果受潮及时更换；地面如果受污染，将地面废物清扫后重新装袋，并对地面进行清洁；对地面清洁不能使用大量水冲洗，应先将污物擦净后，再用抹布清洗至少三遍；处理过程中应严禁火源，使用的清理工具应能有效防静电；处理时应正确穿戴防护用品，不能直接接触泄漏物。</w:t>
            </w:r>
          </w:p>
          <w:p w14:paraId="50F2E983">
            <w:pPr>
              <w:adjustRightInd w:val="0"/>
              <w:snapToGrid w:val="0"/>
              <w:spacing w:line="360" w:lineRule="auto"/>
              <w:ind w:firstLine="480" w:firstLineChars="200"/>
              <w:jc w:val="both"/>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lang w:val="en-US" w:eastAsia="zh-CN"/>
              </w:rPr>
              <w:t>3</w:t>
            </w:r>
            <w:r>
              <w:rPr>
                <w:rFonts w:hint="default" w:ascii="Times New Roman" w:hAnsi="Times New Roman" w:eastAsia="仿宋" w:cs="Times New Roman"/>
                <w:bCs/>
                <w:color w:val="auto"/>
                <w:sz w:val="24"/>
              </w:rPr>
              <w:t>）应急物资</w:t>
            </w:r>
          </w:p>
          <w:p w14:paraId="40A1B481">
            <w:pPr>
              <w:adjustRightInd w:val="0"/>
              <w:snapToGrid w:val="0"/>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已根据应急预案要求，建立了处理突发环境事件的日常和战时两级物资储备，增加了必要的应急处置、快速机动和自身防护装备和物资的储备、维护、保养好应急仪器和设备，使之始终保持良好的技术状态，确保参加处置突发环境事件时救助人员自身安全，及时有效地防止环境污染和扩散。</w:t>
            </w:r>
          </w:p>
          <w:p w14:paraId="67169B22">
            <w:pPr>
              <w:adjustRightInd w:val="0"/>
              <w:snapToGrid w:val="0"/>
              <w:spacing w:line="360" w:lineRule="auto"/>
              <w:ind w:firstLine="480" w:firstLineChars="20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rPr>
              <w:t>厂内应急储备物资主要包括</w:t>
            </w:r>
            <w:r>
              <w:rPr>
                <w:rFonts w:hint="default" w:ascii="Times New Roman" w:hAnsi="Times New Roman" w:eastAsia="仿宋" w:cs="Times New Roman"/>
                <w:bCs/>
                <w:color w:val="auto"/>
                <w:sz w:val="24"/>
                <w:lang w:eastAsia="zh-CN"/>
              </w:rPr>
              <w:t>消防砂</w:t>
            </w:r>
            <w:r>
              <w:rPr>
                <w:rFonts w:hint="default" w:ascii="Times New Roman" w:hAnsi="Times New Roman" w:eastAsia="仿宋" w:cs="Times New Roman"/>
                <w:bCs/>
                <w:color w:val="auto"/>
                <w:sz w:val="24"/>
                <w:lang w:val="en-US" w:eastAsia="zh-CN"/>
              </w:rPr>
              <w:t>、</w:t>
            </w:r>
            <w:r>
              <w:rPr>
                <w:rFonts w:hint="default" w:ascii="Times New Roman" w:hAnsi="Times New Roman" w:eastAsia="仿宋" w:cs="Times New Roman"/>
                <w:bCs/>
                <w:color w:val="auto"/>
                <w:sz w:val="24"/>
              </w:rPr>
              <w:t>灭火器、防护用品等，按规定放在适当的位置并作明</w:t>
            </w:r>
            <w:r>
              <w:rPr>
                <w:rFonts w:hint="default" w:ascii="Times New Roman" w:hAnsi="Times New Roman" w:eastAsia="仿宋" w:cs="Times New Roman"/>
                <w:bCs/>
                <w:color w:val="auto"/>
                <w:sz w:val="24"/>
                <w:szCs w:val="24"/>
              </w:rPr>
              <w:t>显的标识；应急物资装备保障工作由后勤</w:t>
            </w:r>
            <w:r>
              <w:rPr>
                <w:rFonts w:hint="default" w:ascii="Times New Roman" w:hAnsi="Times New Roman" w:eastAsia="仿宋" w:cs="Times New Roman"/>
                <w:bCs/>
                <w:color w:val="auto"/>
                <w:sz w:val="24"/>
                <w:szCs w:val="24"/>
                <w:lang w:val="en-US" w:eastAsia="zh-CN"/>
              </w:rPr>
              <w:t>保障</w:t>
            </w:r>
            <w:r>
              <w:rPr>
                <w:rFonts w:hint="default" w:ascii="Times New Roman" w:hAnsi="Times New Roman" w:eastAsia="仿宋" w:cs="Times New Roman"/>
                <w:bCs/>
                <w:color w:val="auto"/>
                <w:sz w:val="24"/>
                <w:szCs w:val="24"/>
              </w:rPr>
              <w:t>组负责。现有应急设施及物资明细表如下表。</w:t>
            </w:r>
          </w:p>
          <w:p w14:paraId="257ADE87">
            <w:pPr>
              <w:adjustRightInd w:val="0"/>
              <w:snapToGrid w:val="0"/>
              <w:spacing w:line="240" w:lineRule="auto"/>
              <w:jc w:val="center"/>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表4-</w:t>
            </w:r>
            <w:r>
              <w:rPr>
                <w:rFonts w:hint="eastAsia" w:eastAsia="仿宋" w:cs="Times New Roman"/>
                <w:b/>
                <w:color w:val="auto"/>
                <w:sz w:val="24"/>
                <w:szCs w:val="24"/>
                <w:lang w:val="en-US" w:eastAsia="zh-CN"/>
              </w:rPr>
              <w:t>43</w:t>
            </w:r>
            <w:r>
              <w:rPr>
                <w:rFonts w:hint="default" w:ascii="Times New Roman" w:hAnsi="Times New Roman" w:eastAsia="仿宋" w:cs="Times New Roman"/>
                <w:b/>
                <w:color w:val="auto"/>
                <w:sz w:val="24"/>
                <w:szCs w:val="24"/>
              </w:rPr>
              <w:t xml:space="preserve">  现有应急物资明细表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2880"/>
              <w:gridCol w:w="1782"/>
              <w:gridCol w:w="3046"/>
            </w:tblGrid>
            <w:tr w14:paraId="626AB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tcBorders>
                    <w:tl2br w:val="nil"/>
                    <w:tr2bl w:val="nil"/>
                  </w:tcBorders>
                  <w:noWrap w:val="0"/>
                  <w:vAlign w:val="center"/>
                </w:tcPr>
                <w:p w14:paraId="3DB243B0">
                  <w:pPr>
                    <w:adjustRightInd w:val="0"/>
                    <w:snapToGrid w:val="0"/>
                    <w:jc w:val="center"/>
                    <w:rPr>
                      <w:rFonts w:hint="default" w:ascii="Times New Roman" w:hAnsi="Times New Roman" w:eastAsia="仿宋" w:cs="Times New Roman"/>
                      <w:b/>
                      <w:bCs/>
                      <w:color w:val="auto"/>
                      <w:sz w:val="21"/>
                      <w:szCs w:val="21"/>
                    </w:rPr>
                  </w:pPr>
                  <w:bookmarkStart w:id="6" w:name="_Hlk118295267"/>
                  <w:r>
                    <w:rPr>
                      <w:rFonts w:hint="default" w:ascii="Times New Roman" w:hAnsi="Times New Roman" w:eastAsia="仿宋" w:cs="Times New Roman"/>
                      <w:b/>
                      <w:bCs/>
                      <w:color w:val="auto"/>
                      <w:sz w:val="21"/>
                      <w:szCs w:val="21"/>
                    </w:rPr>
                    <w:t>序号</w:t>
                  </w:r>
                </w:p>
              </w:tc>
              <w:tc>
                <w:tcPr>
                  <w:tcW w:w="1714" w:type="pct"/>
                  <w:tcBorders>
                    <w:tl2br w:val="nil"/>
                    <w:tr2bl w:val="nil"/>
                  </w:tcBorders>
                  <w:noWrap w:val="0"/>
                  <w:vAlign w:val="center"/>
                </w:tcPr>
                <w:p w14:paraId="4DA33298">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应急器材名称</w:t>
                  </w:r>
                </w:p>
              </w:tc>
              <w:tc>
                <w:tcPr>
                  <w:tcW w:w="1061" w:type="pct"/>
                  <w:tcBorders>
                    <w:tl2br w:val="nil"/>
                    <w:tr2bl w:val="nil"/>
                  </w:tcBorders>
                  <w:noWrap w:val="0"/>
                  <w:vAlign w:val="center"/>
                </w:tcPr>
                <w:p w14:paraId="11A83C83">
                  <w:pPr>
                    <w:adjustRightInd w:val="0"/>
                    <w:snapToGrid w:val="0"/>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rPr>
                    <w:t>数量</w:t>
                  </w:r>
                  <w:r>
                    <w:rPr>
                      <w:rFonts w:hint="default"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lang w:val="en-US" w:eastAsia="zh-CN"/>
                    </w:rPr>
                    <w:t>个/套</w:t>
                  </w:r>
                  <w:r>
                    <w:rPr>
                      <w:rFonts w:hint="default" w:ascii="Times New Roman" w:hAnsi="Times New Roman" w:eastAsia="仿宋" w:cs="Times New Roman"/>
                      <w:b/>
                      <w:bCs/>
                      <w:color w:val="auto"/>
                      <w:sz w:val="21"/>
                      <w:szCs w:val="21"/>
                      <w:lang w:eastAsia="zh-CN"/>
                    </w:rPr>
                    <w:t>）</w:t>
                  </w:r>
                </w:p>
              </w:tc>
              <w:tc>
                <w:tcPr>
                  <w:tcW w:w="1813" w:type="pct"/>
                  <w:tcBorders>
                    <w:tl2br w:val="nil"/>
                    <w:tr2bl w:val="nil"/>
                  </w:tcBorders>
                  <w:noWrap w:val="0"/>
                  <w:vAlign w:val="center"/>
                </w:tcPr>
                <w:p w14:paraId="7DA000BE">
                  <w:pPr>
                    <w:adjustRightInd w:val="0"/>
                    <w:snapToGrid w:val="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分布区域</w:t>
                  </w:r>
                </w:p>
              </w:tc>
            </w:tr>
            <w:tr w14:paraId="0FD54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tcBorders>
                    <w:tl2br w:val="nil"/>
                    <w:tr2bl w:val="nil"/>
                  </w:tcBorders>
                  <w:noWrap w:val="0"/>
                  <w:vAlign w:val="center"/>
                </w:tcPr>
                <w:p w14:paraId="0F073E07">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714" w:type="pct"/>
                  <w:tcBorders>
                    <w:tl2br w:val="nil"/>
                    <w:tr2bl w:val="nil"/>
                  </w:tcBorders>
                  <w:shd w:val="clear" w:color="auto" w:fill="auto"/>
                  <w:noWrap w:val="0"/>
                  <w:vAlign w:val="center"/>
                </w:tcPr>
                <w:p w14:paraId="057EF2D4">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安全帽</w:t>
                  </w:r>
                </w:p>
              </w:tc>
              <w:tc>
                <w:tcPr>
                  <w:tcW w:w="1061" w:type="pct"/>
                  <w:tcBorders>
                    <w:tl2br w:val="nil"/>
                    <w:tr2bl w:val="nil"/>
                  </w:tcBorders>
                  <w:shd w:val="clear" w:color="auto" w:fill="auto"/>
                  <w:noWrap w:val="0"/>
                  <w:vAlign w:val="center"/>
                </w:tcPr>
                <w:p w14:paraId="2F43E939">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rPr>
                    <w:t>1</w:t>
                  </w:r>
                  <w:r>
                    <w:rPr>
                      <w:rFonts w:hint="default" w:ascii="Times New Roman" w:hAnsi="Times New Roman" w:eastAsia="仿宋" w:cs="Times New Roman"/>
                      <w:bCs/>
                      <w:szCs w:val="21"/>
                      <w:lang w:val="en-US" w:eastAsia="zh-CN"/>
                    </w:rPr>
                    <w:t>5</w:t>
                  </w:r>
                </w:p>
              </w:tc>
              <w:tc>
                <w:tcPr>
                  <w:tcW w:w="1813" w:type="pct"/>
                  <w:vMerge w:val="restart"/>
                  <w:tcBorders>
                    <w:tl2br w:val="nil"/>
                    <w:tr2bl w:val="nil"/>
                  </w:tcBorders>
                  <w:noWrap w:val="0"/>
                  <w:vAlign w:val="center"/>
                </w:tcPr>
                <w:p w14:paraId="61B39589">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rPr>
                    <w:t>车间、厂区各处</w:t>
                  </w:r>
                </w:p>
              </w:tc>
            </w:tr>
            <w:tr w14:paraId="6084C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tcBorders>
                    <w:tl2br w:val="nil"/>
                    <w:tr2bl w:val="nil"/>
                  </w:tcBorders>
                  <w:noWrap w:val="0"/>
                  <w:vAlign w:val="center"/>
                </w:tcPr>
                <w:p w14:paraId="759EC25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714" w:type="pct"/>
                  <w:tcBorders>
                    <w:tl2br w:val="nil"/>
                    <w:tr2bl w:val="nil"/>
                  </w:tcBorders>
                  <w:shd w:val="clear" w:color="auto" w:fill="auto"/>
                  <w:noWrap w:val="0"/>
                  <w:vAlign w:val="center"/>
                </w:tcPr>
                <w:p w14:paraId="4937B2D7">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护目镜</w:t>
                  </w:r>
                </w:p>
              </w:tc>
              <w:tc>
                <w:tcPr>
                  <w:tcW w:w="1061" w:type="pct"/>
                  <w:tcBorders>
                    <w:tl2br w:val="nil"/>
                    <w:tr2bl w:val="nil"/>
                  </w:tcBorders>
                  <w:shd w:val="clear" w:color="auto" w:fill="auto"/>
                  <w:noWrap w:val="0"/>
                  <w:vAlign w:val="center"/>
                </w:tcPr>
                <w:p w14:paraId="305672E0">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rPr>
                    <w:t>1</w:t>
                  </w:r>
                  <w:r>
                    <w:rPr>
                      <w:rFonts w:hint="default" w:ascii="Times New Roman" w:hAnsi="Times New Roman" w:eastAsia="仿宋" w:cs="Times New Roman"/>
                      <w:bCs/>
                      <w:szCs w:val="21"/>
                      <w:lang w:val="en-US" w:eastAsia="zh-CN"/>
                    </w:rPr>
                    <w:t>2</w:t>
                  </w:r>
                </w:p>
              </w:tc>
              <w:tc>
                <w:tcPr>
                  <w:tcW w:w="1813" w:type="pct"/>
                  <w:vMerge w:val="continue"/>
                  <w:tcBorders>
                    <w:tl2br w:val="nil"/>
                    <w:tr2bl w:val="nil"/>
                  </w:tcBorders>
                  <w:noWrap w:val="0"/>
                  <w:vAlign w:val="center"/>
                </w:tcPr>
                <w:p w14:paraId="5EEB21EE">
                  <w:pPr>
                    <w:adjustRightInd w:val="0"/>
                    <w:snapToGrid w:val="0"/>
                    <w:jc w:val="center"/>
                    <w:rPr>
                      <w:rFonts w:hint="default" w:ascii="Times New Roman" w:hAnsi="Times New Roman" w:eastAsia="仿宋" w:cs="Times New Roman"/>
                      <w:color w:val="auto"/>
                      <w:sz w:val="21"/>
                      <w:szCs w:val="21"/>
                      <w:lang w:val="en-US" w:eastAsia="zh-CN"/>
                    </w:rPr>
                  </w:pPr>
                </w:p>
              </w:tc>
            </w:tr>
            <w:tr w14:paraId="65ADB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tcBorders>
                    <w:tl2br w:val="nil"/>
                    <w:tr2bl w:val="nil"/>
                  </w:tcBorders>
                  <w:noWrap w:val="0"/>
                  <w:vAlign w:val="center"/>
                </w:tcPr>
                <w:p w14:paraId="0937CEA7">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714" w:type="pct"/>
                  <w:tcBorders>
                    <w:tl2br w:val="nil"/>
                    <w:tr2bl w:val="nil"/>
                  </w:tcBorders>
                  <w:shd w:val="clear" w:color="auto" w:fill="auto"/>
                  <w:noWrap w:val="0"/>
                  <w:vAlign w:val="center"/>
                </w:tcPr>
                <w:p w14:paraId="6280299F">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安全鞋</w:t>
                  </w:r>
                </w:p>
              </w:tc>
              <w:tc>
                <w:tcPr>
                  <w:tcW w:w="1061" w:type="pct"/>
                  <w:tcBorders>
                    <w:tl2br w:val="nil"/>
                    <w:tr2bl w:val="nil"/>
                  </w:tcBorders>
                  <w:shd w:val="clear" w:color="auto" w:fill="auto"/>
                  <w:noWrap w:val="0"/>
                  <w:vAlign w:val="center"/>
                </w:tcPr>
                <w:p w14:paraId="43088569">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rPr>
                    <w:t>1</w:t>
                  </w:r>
                  <w:r>
                    <w:rPr>
                      <w:rFonts w:hint="default" w:ascii="Times New Roman" w:hAnsi="Times New Roman" w:eastAsia="仿宋" w:cs="Times New Roman"/>
                      <w:bCs/>
                      <w:szCs w:val="21"/>
                      <w:lang w:val="en-US" w:eastAsia="zh-CN"/>
                    </w:rPr>
                    <w:t>5</w:t>
                  </w:r>
                </w:p>
              </w:tc>
              <w:tc>
                <w:tcPr>
                  <w:tcW w:w="1813" w:type="pct"/>
                  <w:vMerge w:val="continue"/>
                  <w:tcBorders>
                    <w:tl2br w:val="nil"/>
                    <w:tr2bl w:val="nil"/>
                  </w:tcBorders>
                  <w:noWrap w:val="0"/>
                  <w:vAlign w:val="center"/>
                </w:tcPr>
                <w:p w14:paraId="1446EDF2">
                  <w:pPr>
                    <w:adjustRightInd w:val="0"/>
                    <w:snapToGrid w:val="0"/>
                    <w:jc w:val="center"/>
                    <w:rPr>
                      <w:rFonts w:hint="default" w:ascii="Times New Roman" w:hAnsi="Times New Roman" w:eastAsia="仿宋" w:cs="Times New Roman"/>
                      <w:color w:val="auto"/>
                      <w:sz w:val="21"/>
                      <w:szCs w:val="21"/>
                    </w:rPr>
                  </w:pPr>
                </w:p>
              </w:tc>
            </w:tr>
            <w:tr w14:paraId="311AA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tcBorders>
                    <w:tl2br w:val="nil"/>
                    <w:tr2bl w:val="nil"/>
                  </w:tcBorders>
                  <w:noWrap w:val="0"/>
                  <w:vAlign w:val="center"/>
                </w:tcPr>
                <w:p w14:paraId="287BCDEB">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714" w:type="pct"/>
                  <w:tcBorders>
                    <w:tl2br w:val="nil"/>
                    <w:tr2bl w:val="nil"/>
                  </w:tcBorders>
                  <w:shd w:val="clear" w:color="auto" w:fill="auto"/>
                  <w:noWrap w:val="0"/>
                  <w:vAlign w:val="center"/>
                </w:tcPr>
                <w:p w14:paraId="6853CA21">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一次性橡胶手套</w:t>
                  </w:r>
                </w:p>
              </w:tc>
              <w:tc>
                <w:tcPr>
                  <w:tcW w:w="1061" w:type="pct"/>
                  <w:tcBorders>
                    <w:tl2br w:val="nil"/>
                    <w:tr2bl w:val="nil"/>
                  </w:tcBorders>
                  <w:shd w:val="clear" w:color="auto" w:fill="auto"/>
                  <w:noWrap w:val="0"/>
                  <w:vAlign w:val="center"/>
                </w:tcPr>
                <w:p w14:paraId="649E6398">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rPr>
                    <w:t>20</w:t>
                  </w:r>
                </w:p>
              </w:tc>
              <w:tc>
                <w:tcPr>
                  <w:tcW w:w="1813" w:type="pct"/>
                  <w:vMerge w:val="continue"/>
                  <w:tcBorders>
                    <w:tl2br w:val="nil"/>
                    <w:tr2bl w:val="nil"/>
                  </w:tcBorders>
                  <w:noWrap w:val="0"/>
                  <w:vAlign w:val="center"/>
                </w:tcPr>
                <w:p w14:paraId="06284560">
                  <w:pPr>
                    <w:adjustRightInd w:val="0"/>
                    <w:snapToGrid w:val="0"/>
                    <w:jc w:val="center"/>
                    <w:rPr>
                      <w:rFonts w:hint="default" w:ascii="Times New Roman" w:hAnsi="Times New Roman" w:eastAsia="仿宋" w:cs="Times New Roman"/>
                      <w:color w:val="auto"/>
                      <w:sz w:val="21"/>
                      <w:szCs w:val="21"/>
                    </w:rPr>
                  </w:pPr>
                </w:p>
              </w:tc>
            </w:tr>
            <w:tr w14:paraId="79D62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tcBorders>
                    <w:tl2br w:val="nil"/>
                    <w:tr2bl w:val="nil"/>
                  </w:tcBorders>
                  <w:noWrap w:val="0"/>
                  <w:vAlign w:val="center"/>
                </w:tcPr>
                <w:p w14:paraId="066824C5">
                  <w:pPr>
                    <w:adjustRightInd w:val="0"/>
                    <w:snapToGrid w:val="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714" w:type="pct"/>
                  <w:tcBorders>
                    <w:tl2br w:val="nil"/>
                    <w:tr2bl w:val="nil"/>
                  </w:tcBorders>
                  <w:shd w:val="clear" w:color="auto" w:fill="auto"/>
                  <w:noWrap w:val="0"/>
                  <w:vAlign w:val="center"/>
                </w:tcPr>
                <w:p w14:paraId="541EAC67">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纱手套</w:t>
                  </w:r>
                </w:p>
              </w:tc>
              <w:tc>
                <w:tcPr>
                  <w:tcW w:w="1061" w:type="pct"/>
                  <w:tcBorders>
                    <w:tl2br w:val="nil"/>
                    <w:tr2bl w:val="nil"/>
                  </w:tcBorders>
                  <w:shd w:val="clear" w:color="auto" w:fill="auto"/>
                  <w:noWrap w:val="0"/>
                  <w:vAlign w:val="center"/>
                </w:tcPr>
                <w:p w14:paraId="40519256">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lang w:val="en-US" w:eastAsia="zh-CN"/>
                    </w:rPr>
                    <w:t>7</w:t>
                  </w:r>
                  <w:r>
                    <w:rPr>
                      <w:rFonts w:hint="default" w:ascii="Times New Roman" w:hAnsi="Times New Roman" w:eastAsia="仿宋" w:cs="Times New Roman"/>
                      <w:bCs/>
                      <w:szCs w:val="21"/>
                    </w:rPr>
                    <w:t>0</w:t>
                  </w:r>
                </w:p>
              </w:tc>
              <w:tc>
                <w:tcPr>
                  <w:tcW w:w="1813" w:type="pct"/>
                  <w:vMerge w:val="continue"/>
                  <w:tcBorders>
                    <w:tl2br w:val="nil"/>
                    <w:tr2bl w:val="nil"/>
                  </w:tcBorders>
                  <w:noWrap w:val="0"/>
                  <w:vAlign w:val="center"/>
                </w:tcPr>
                <w:p w14:paraId="0BCB0824">
                  <w:pPr>
                    <w:adjustRightInd w:val="0"/>
                    <w:snapToGrid w:val="0"/>
                    <w:jc w:val="center"/>
                    <w:rPr>
                      <w:rFonts w:hint="default" w:ascii="Times New Roman" w:hAnsi="Times New Roman" w:eastAsia="仿宋" w:cs="Times New Roman"/>
                      <w:color w:val="auto"/>
                      <w:sz w:val="21"/>
                      <w:szCs w:val="21"/>
                    </w:rPr>
                  </w:pPr>
                </w:p>
              </w:tc>
            </w:tr>
            <w:tr w14:paraId="7822E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tcBorders>
                    <w:tl2br w:val="nil"/>
                    <w:tr2bl w:val="nil"/>
                  </w:tcBorders>
                  <w:noWrap w:val="0"/>
                  <w:vAlign w:val="center"/>
                </w:tcPr>
                <w:p w14:paraId="6754F04B">
                  <w:pPr>
                    <w:adjustRightInd w:val="0"/>
                    <w:snapToGrid w:val="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6</w:t>
                  </w:r>
                </w:p>
              </w:tc>
              <w:tc>
                <w:tcPr>
                  <w:tcW w:w="1714" w:type="pct"/>
                  <w:tcBorders>
                    <w:tl2br w:val="nil"/>
                    <w:tr2bl w:val="nil"/>
                  </w:tcBorders>
                  <w:shd w:val="clear" w:color="auto" w:fill="auto"/>
                  <w:noWrap w:val="0"/>
                  <w:vAlign w:val="center"/>
                </w:tcPr>
                <w:p w14:paraId="6A5B0DF7">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警示带</w:t>
                  </w:r>
                </w:p>
              </w:tc>
              <w:tc>
                <w:tcPr>
                  <w:tcW w:w="1061" w:type="pct"/>
                  <w:tcBorders>
                    <w:tl2br w:val="nil"/>
                    <w:tr2bl w:val="nil"/>
                  </w:tcBorders>
                  <w:shd w:val="clear" w:color="auto" w:fill="auto"/>
                  <w:noWrap w:val="0"/>
                  <w:vAlign w:val="center"/>
                </w:tcPr>
                <w:p w14:paraId="0B220B4D">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rPr>
                    <w:t>2</w:t>
                  </w:r>
                </w:p>
              </w:tc>
              <w:tc>
                <w:tcPr>
                  <w:tcW w:w="1813" w:type="pct"/>
                  <w:vMerge w:val="continue"/>
                  <w:tcBorders>
                    <w:tl2br w:val="nil"/>
                    <w:tr2bl w:val="nil"/>
                  </w:tcBorders>
                  <w:noWrap w:val="0"/>
                  <w:vAlign w:val="center"/>
                </w:tcPr>
                <w:p w14:paraId="1FC0F9F6">
                  <w:pPr>
                    <w:adjustRightInd w:val="0"/>
                    <w:snapToGrid w:val="0"/>
                    <w:jc w:val="center"/>
                    <w:rPr>
                      <w:rFonts w:hint="default" w:ascii="Times New Roman" w:hAnsi="Times New Roman" w:eastAsia="仿宋" w:cs="Times New Roman"/>
                      <w:color w:val="auto"/>
                      <w:sz w:val="21"/>
                      <w:szCs w:val="21"/>
                    </w:rPr>
                  </w:pPr>
                </w:p>
              </w:tc>
            </w:tr>
            <w:tr w14:paraId="2858F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tcBorders>
                    <w:tl2br w:val="nil"/>
                    <w:tr2bl w:val="nil"/>
                  </w:tcBorders>
                  <w:noWrap w:val="0"/>
                  <w:vAlign w:val="center"/>
                </w:tcPr>
                <w:p w14:paraId="3847F213">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w:t>
                  </w:r>
                </w:p>
              </w:tc>
              <w:tc>
                <w:tcPr>
                  <w:tcW w:w="1714" w:type="pct"/>
                  <w:tcBorders>
                    <w:tl2br w:val="nil"/>
                    <w:tr2bl w:val="nil"/>
                  </w:tcBorders>
                  <w:shd w:val="clear" w:color="auto" w:fill="auto"/>
                  <w:noWrap w:val="0"/>
                  <w:vAlign w:val="center"/>
                </w:tcPr>
                <w:p w14:paraId="743E744E">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安全带</w:t>
                  </w:r>
                </w:p>
              </w:tc>
              <w:tc>
                <w:tcPr>
                  <w:tcW w:w="1061" w:type="pct"/>
                  <w:tcBorders>
                    <w:tl2br w:val="nil"/>
                    <w:tr2bl w:val="nil"/>
                  </w:tcBorders>
                  <w:shd w:val="clear" w:color="auto" w:fill="auto"/>
                  <w:noWrap w:val="0"/>
                  <w:vAlign w:val="center"/>
                </w:tcPr>
                <w:p w14:paraId="2076FDF7">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rPr>
                    <w:t>5</w:t>
                  </w:r>
                </w:p>
              </w:tc>
              <w:tc>
                <w:tcPr>
                  <w:tcW w:w="1813" w:type="pct"/>
                  <w:vMerge w:val="continue"/>
                  <w:tcBorders>
                    <w:tl2br w:val="nil"/>
                    <w:tr2bl w:val="nil"/>
                  </w:tcBorders>
                  <w:noWrap w:val="0"/>
                  <w:vAlign w:val="center"/>
                </w:tcPr>
                <w:p w14:paraId="6FC6F519">
                  <w:pPr>
                    <w:adjustRightInd w:val="0"/>
                    <w:snapToGrid w:val="0"/>
                    <w:jc w:val="center"/>
                    <w:rPr>
                      <w:rFonts w:hint="default" w:ascii="Times New Roman" w:hAnsi="Times New Roman" w:eastAsia="仿宋" w:cs="Times New Roman"/>
                      <w:color w:val="auto"/>
                      <w:sz w:val="21"/>
                      <w:szCs w:val="21"/>
                    </w:rPr>
                  </w:pPr>
                </w:p>
              </w:tc>
            </w:tr>
            <w:tr w14:paraId="38EB1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0" w:type="pct"/>
                  <w:tcBorders>
                    <w:tl2br w:val="nil"/>
                    <w:tr2bl w:val="nil"/>
                  </w:tcBorders>
                  <w:noWrap w:val="0"/>
                  <w:vAlign w:val="center"/>
                </w:tcPr>
                <w:p w14:paraId="055971B6">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w:t>
                  </w:r>
                </w:p>
              </w:tc>
              <w:tc>
                <w:tcPr>
                  <w:tcW w:w="1714" w:type="pct"/>
                  <w:tcBorders>
                    <w:tl2br w:val="nil"/>
                    <w:tr2bl w:val="nil"/>
                  </w:tcBorders>
                  <w:shd w:val="clear" w:color="auto" w:fill="auto"/>
                  <w:noWrap w:val="0"/>
                  <w:vAlign w:val="center"/>
                </w:tcPr>
                <w:p w14:paraId="3F0BCD6B">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携带式手电筒</w:t>
                  </w:r>
                </w:p>
              </w:tc>
              <w:tc>
                <w:tcPr>
                  <w:tcW w:w="1061" w:type="pct"/>
                  <w:tcBorders>
                    <w:tl2br w:val="nil"/>
                    <w:tr2bl w:val="nil"/>
                  </w:tcBorders>
                  <w:shd w:val="clear" w:color="auto" w:fill="auto"/>
                  <w:noWrap w:val="0"/>
                  <w:vAlign w:val="center"/>
                </w:tcPr>
                <w:p w14:paraId="33F3ADEA">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rPr>
                    <w:t>5</w:t>
                  </w:r>
                </w:p>
              </w:tc>
              <w:tc>
                <w:tcPr>
                  <w:tcW w:w="1813" w:type="pct"/>
                  <w:vMerge w:val="continue"/>
                  <w:tcBorders>
                    <w:tl2br w:val="nil"/>
                    <w:tr2bl w:val="nil"/>
                  </w:tcBorders>
                  <w:noWrap w:val="0"/>
                  <w:vAlign w:val="center"/>
                </w:tcPr>
                <w:p w14:paraId="77305422">
                  <w:pPr>
                    <w:adjustRightInd w:val="0"/>
                    <w:snapToGrid w:val="0"/>
                    <w:jc w:val="center"/>
                    <w:rPr>
                      <w:rFonts w:hint="default" w:ascii="Times New Roman" w:hAnsi="Times New Roman" w:eastAsia="仿宋" w:cs="Times New Roman"/>
                      <w:color w:val="auto"/>
                      <w:sz w:val="21"/>
                      <w:szCs w:val="21"/>
                    </w:rPr>
                  </w:pPr>
                </w:p>
              </w:tc>
            </w:tr>
            <w:bookmarkEnd w:id="6"/>
            <w:tr w14:paraId="11CAC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14:paraId="1043FAA2">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w:t>
                  </w:r>
                </w:p>
              </w:tc>
              <w:tc>
                <w:tcPr>
                  <w:tcW w:w="1714" w:type="pct"/>
                  <w:shd w:val="clear" w:color="auto" w:fill="auto"/>
                  <w:vAlign w:val="center"/>
                </w:tcPr>
                <w:p w14:paraId="4E9663CB">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电话机</w:t>
                  </w:r>
                </w:p>
              </w:tc>
              <w:tc>
                <w:tcPr>
                  <w:tcW w:w="1061" w:type="pct"/>
                  <w:shd w:val="clear" w:color="auto" w:fill="auto"/>
                  <w:vAlign w:val="center"/>
                </w:tcPr>
                <w:p w14:paraId="2F434365">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rPr>
                    <w:t>1</w:t>
                  </w:r>
                </w:p>
              </w:tc>
              <w:tc>
                <w:tcPr>
                  <w:tcW w:w="1813" w:type="pct"/>
                  <w:vMerge w:val="continue"/>
                </w:tcPr>
                <w:p w14:paraId="4983C97C">
                  <w:pPr>
                    <w:adjustRightInd w:val="0"/>
                    <w:snapToGrid w:val="0"/>
                    <w:jc w:val="center"/>
                    <w:rPr>
                      <w:rFonts w:hint="default" w:ascii="Times New Roman" w:hAnsi="Times New Roman" w:eastAsia="仿宋" w:cs="Times New Roman"/>
                      <w:color w:val="auto"/>
                      <w:sz w:val="21"/>
                      <w:szCs w:val="21"/>
                    </w:rPr>
                  </w:pPr>
                </w:p>
              </w:tc>
            </w:tr>
            <w:tr w14:paraId="29689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14:paraId="2D6A7D01">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1714" w:type="pct"/>
                  <w:shd w:val="clear" w:color="auto" w:fill="auto"/>
                  <w:vAlign w:val="center"/>
                </w:tcPr>
                <w:p w14:paraId="713C52D9">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医药急救箱</w:t>
                  </w:r>
                </w:p>
              </w:tc>
              <w:tc>
                <w:tcPr>
                  <w:tcW w:w="1061" w:type="pct"/>
                  <w:shd w:val="clear" w:color="auto" w:fill="auto"/>
                  <w:vAlign w:val="center"/>
                </w:tcPr>
                <w:p w14:paraId="113AD5F5">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rPr>
                    <w:t>1</w:t>
                  </w:r>
                </w:p>
              </w:tc>
              <w:tc>
                <w:tcPr>
                  <w:tcW w:w="1813" w:type="pct"/>
                  <w:vMerge w:val="continue"/>
                </w:tcPr>
                <w:p w14:paraId="3F98AE88">
                  <w:pPr>
                    <w:adjustRightInd w:val="0"/>
                    <w:snapToGrid w:val="0"/>
                    <w:jc w:val="center"/>
                    <w:rPr>
                      <w:rFonts w:hint="default" w:ascii="Times New Roman" w:hAnsi="Times New Roman" w:eastAsia="仿宋" w:cs="Times New Roman"/>
                      <w:color w:val="auto"/>
                      <w:sz w:val="21"/>
                      <w:szCs w:val="21"/>
                    </w:rPr>
                  </w:pPr>
                </w:p>
              </w:tc>
            </w:tr>
            <w:tr w14:paraId="6A510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14:paraId="7F2E315B">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11</w:t>
                  </w:r>
                </w:p>
              </w:tc>
              <w:tc>
                <w:tcPr>
                  <w:tcW w:w="1714" w:type="pct"/>
                  <w:shd w:val="clear" w:color="auto" w:fill="auto"/>
                  <w:vAlign w:val="center"/>
                </w:tcPr>
                <w:p w14:paraId="54607C40">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吸油毯</w:t>
                  </w:r>
                </w:p>
              </w:tc>
              <w:tc>
                <w:tcPr>
                  <w:tcW w:w="1061" w:type="pct"/>
                  <w:shd w:val="clear" w:color="auto" w:fill="auto"/>
                  <w:vAlign w:val="center"/>
                </w:tcPr>
                <w:p w14:paraId="2277AD83">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lang w:val="en-US" w:eastAsia="zh-CN"/>
                    </w:rPr>
                    <w:t>4</w:t>
                  </w:r>
                </w:p>
              </w:tc>
              <w:tc>
                <w:tcPr>
                  <w:tcW w:w="1813" w:type="pct"/>
                  <w:vMerge w:val="continue"/>
                </w:tcPr>
                <w:p w14:paraId="27E17314">
                  <w:pPr>
                    <w:adjustRightInd w:val="0"/>
                    <w:snapToGrid w:val="0"/>
                    <w:jc w:val="center"/>
                    <w:rPr>
                      <w:rFonts w:hint="default" w:ascii="Times New Roman" w:hAnsi="Times New Roman" w:eastAsia="仿宋" w:cs="Times New Roman"/>
                      <w:color w:val="auto"/>
                      <w:sz w:val="21"/>
                      <w:szCs w:val="21"/>
                    </w:rPr>
                  </w:pPr>
                </w:p>
              </w:tc>
            </w:tr>
            <w:tr w14:paraId="40FE1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14:paraId="02D8D5A7">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w:t>
                  </w:r>
                </w:p>
              </w:tc>
              <w:tc>
                <w:tcPr>
                  <w:tcW w:w="1714" w:type="pct"/>
                  <w:shd w:val="clear" w:color="auto" w:fill="auto"/>
                  <w:vAlign w:val="center"/>
                </w:tcPr>
                <w:p w14:paraId="62C3AE5C">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rPr>
                    <w:t>灭火器</w:t>
                  </w:r>
                </w:p>
              </w:tc>
              <w:tc>
                <w:tcPr>
                  <w:tcW w:w="1061" w:type="pct"/>
                  <w:shd w:val="clear" w:color="auto" w:fill="auto"/>
                  <w:vAlign w:val="center"/>
                </w:tcPr>
                <w:p w14:paraId="2E4B9C54">
                  <w:pPr>
                    <w:adjustRightInd w:val="0"/>
                    <w:snapToGrid w:val="0"/>
                    <w:jc w:val="center"/>
                    <w:rPr>
                      <w:rFonts w:hint="default" w:ascii="Times New Roman" w:hAnsi="Times New Roman" w:eastAsia="仿宋" w:cs="Times New Roman"/>
                      <w:bCs/>
                      <w:kern w:val="2"/>
                      <w:sz w:val="21"/>
                      <w:szCs w:val="24"/>
                      <w:lang w:val="en-US" w:eastAsia="zh-CN" w:bidi="ar-SA"/>
                    </w:rPr>
                  </w:pPr>
                  <w:r>
                    <w:rPr>
                      <w:rFonts w:hint="default" w:ascii="Times New Roman" w:hAnsi="Times New Roman" w:eastAsia="仿宋" w:cs="Times New Roman"/>
                      <w:bCs/>
                      <w:szCs w:val="21"/>
                    </w:rPr>
                    <w:t>30</w:t>
                  </w:r>
                </w:p>
              </w:tc>
              <w:tc>
                <w:tcPr>
                  <w:tcW w:w="1813" w:type="pct"/>
                  <w:vMerge w:val="continue"/>
                </w:tcPr>
                <w:p w14:paraId="31089F21">
                  <w:pPr>
                    <w:adjustRightInd w:val="0"/>
                    <w:snapToGrid w:val="0"/>
                    <w:jc w:val="center"/>
                    <w:rPr>
                      <w:rFonts w:hint="default" w:ascii="Times New Roman" w:hAnsi="Times New Roman" w:eastAsia="仿宋" w:cs="Times New Roman"/>
                      <w:color w:val="auto"/>
                      <w:sz w:val="21"/>
                      <w:szCs w:val="21"/>
                    </w:rPr>
                  </w:pPr>
                </w:p>
              </w:tc>
            </w:tr>
            <w:tr w14:paraId="5F9C8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Pr>
                <w:p w14:paraId="7BD98A29">
                  <w:pPr>
                    <w:adjustRightInd w:val="0"/>
                    <w:snapToGrid w:val="0"/>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13</w:t>
                  </w:r>
                </w:p>
              </w:tc>
              <w:tc>
                <w:tcPr>
                  <w:tcW w:w="1714" w:type="pct"/>
                  <w:shd w:val="clear" w:color="auto" w:fill="auto"/>
                  <w:vAlign w:val="center"/>
                </w:tcPr>
                <w:p w14:paraId="193E5AF4">
                  <w:pPr>
                    <w:adjustRightInd w:val="0"/>
                    <w:snapToGrid w:val="0"/>
                    <w:jc w:val="center"/>
                    <w:rPr>
                      <w:rFonts w:hint="eastAsia" w:ascii="Times New Roman" w:hAnsi="Times New Roman" w:eastAsia="仿宋" w:cs="Times New Roman"/>
                      <w:bCs/>
                      <w:lang w:val="en-US" w:eastAsia="zh-CN"/>
                    </w:rPr>
                  </w:pPr>
                  <w:r>
                    <w:rPr>
                      <w:rFonts w:hint="eastAsia" w:eastAsia="仿宋" w:cs="Times New Roman"/>
                      <w:bCs/>
                      <w:lang w:val="en-US" w:eastAsia="zh-CN"/>
                    </w:rPr>
                    <w:t>消防栓</w:t>
                  </w:r>
                </w:p>
              </w:tc>
              <w:tc>
                <w:tcPr>
                  <w:tcW w:w="1061" w:type="pct"/>
                  <w:shd w:val="clear" w:color="auto" w:fill="auto"/>
                  <w:vAlign w:val="center"/>
                </w:tcPr>
                <w:p w14:paraId="548E3B17">
                  <w:pPr>
                    <w:adjustRightInd w:val="0"/>
                    <w:snapToGrid w:val="0"/>
                    <w:jc w:val="center"/>
                    <w:rPr>
                      <w:rFonts w:hint="eastAsia" w:ascii="Times New Roman" w:hAnsi="Times New Roman" w:eastAsia="仿宋" w:cs="Times New Roman"/>
                      <w:bCs/>
                      <w:szCs w:val="21"/>
                      <w:lang w:val="en-US" w:eastAsia="zh-CN"/>
                    </w:rPr>
                  </w:pPr>
                  <w:r>
                    <w:rPr>
                      <w:rFonts w:hint="eastAsia" w:eastAsia="仿宋" w:cs="Times New Roman"/>
                      <w:bCs/>
                      <w:szCs w:val="21"/>
                      <w:lang w:val="en-US" w:eastAsia="zh-CN"/>
                    </w:rPr>
                    <w:t>若干</w:t>
                  </w:r>
                </w:p>
              </w:tc>
              <w:tc>
                <w:tcPr>
                  <w:tcW w:w="1813" w:type="pct"/>
                  <w:vMerge w:val="continue"/>
                </w:tcPr>
                <w:p w14:paraId="31C76614">
                  <w:pPr>
                    <w:adjustRightInd w:val="0"/>
                    <w:snapToGrid w:val="0"/>
                    <w:jc w:val="center"/>
                    <w:rPr>
                      <w:rFonts w:hint="default" w:ascii="Times New Roman" w:hAnsi="Times New Roman" w:eastAsia="仿宋" w:cs="Times New Roman"/>
                      <w:color w:val="auto"/>
                      <w:sz w:val="21"/>
                      <w:szCs w:val="21"/>
                    </w:rPr>
                  </w:pPr>
                </w:p>
              </w:tc>
            </w:tr>
          </w:tbl>
          <w:p w14:paraId="23B7B90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5）应急监测</w:t>
            </w:r>
          </w:p>
          <w:p w14:paraId="180EEEBE">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rPr>
              <w:t>由于公司目前无监测能力，因此发生突发环境事件时，需委托环境应急监测专业机构负责对事故现场进行现场应急监测，</w:t>
            </w:r>
            <w:r>
              <w:rPr>
                <w:rFonts w:hint="default" w:ascii="Times New Roman" w:hAnsi="Times New Roman" w:eastAsia="仿宋" w:cs="Times New Roman"/>
                <w:bCs/>
                <w:color w:val="auto"/>
                <w:sz w:val="24"/>
                <w:lang w:val="en-US" w:eastAsia="zh-CN"/>
              </w:rPr>
              <w:t>并签订相关协议，</w:t>
            </w:r>
            <w:r>
              <w:rPr>
                <w:rFonts w:hint="default" w:ascii="Times New Roman" w:hAnsi="Times New Roman" w:eastAsia="仿宋" w:cs="Times New Roman"/>
                <w:bCs/>
                <w:color w:val="auto"/>
                <w:sz w:val="24"/>
              </w:rPr>
              <w:t>对事故性质、参数与后果进行评估，为指挥部门提供决策依据。</w:t>
            </w:r>
          </w:p>
          <w:p w14:paraId="705833F2">
            <w:pPr>
              <w:pStyle w:val="15"/>
              <w:snapToGrid w:val="0"/>
              <w:ind w:firstLineChars="200"/>
              <w:jc w:val="both"/>
              <w:rPr>
                <w:rFonts w:hint="default" w:ascii="Times New Roman" w:hAnsi="Times New Roman" w:eastAsia="仿宋" w:cs="Times New Roman"/>
                <w:color w:val="auto"/>
                <w:szCs w:val="24"/>
                <w:highlight w:val="none"/>
              </w:rPr>
            </w:pPr>
            <w:r>
              <w:rPr>
                <w:rFonts w:hint="default" w:ascii="Times New Roman" w:hAnsi="Times New Roman" w:eastAsia="仿宋" w:cs="Times New Roman"/>
                <w:bCs/>
                <w:color w:val="auto"/>
                <w:highlight w:val="none"/>
              </w:rPr>
              <w:t>6、</w:t>
            </w:r>
            <w:r>
              <w:rPr>
                <w:rFonts w:hint="default" w:ascii="Times New Roman" w:hAnsi="Times New Roman" w:eastAsia="仿宋" w:cs="Times New Roman"/>
                <w:color w:val="auto"/>
                <w:szCs w:val="24"/>
                <w:highlight w:val="none"/>
              </w:rPr>
              <w:t>应急预案</w:t>
            </w:r>
          </w:p>
          <w:p w14:paraId="2CDBD577">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根据《中华人民共和国环境保护法》（2014年修订）中“第四十七条：企业事业单位应当按照国家有关规定制定突发环境事件应急预案，报环境保护主管部门和有关部门备案”、《中华人民共和国固体废物污染环境防治法》（2020年修订）中“第85条：产生、收集、贮存、运输、利用、处置危险废物的单位，应当依法制定意外事故的防范措施和应急预案，并向所在地生态环境主管部门和其他负有固体废物污染环境防治监督管理职责的部门备案”，本项目生产过程涉及</w:t>
            </w:r>
            <w:r>
              <w:rPr>
                <w:rFonts w:hint="default" w:ascii="Times New Roman" w:hAnsi="Times New Roman" w:eastAsia="仿宋" w:cs="Times New Roman"/>
                <w:bCs/>
                <w:color w:val="auto"/>
                <w:sz w:val="24"/>
                <w:highlight w:val="none"/>
                <w:lang w:val="en-US" w:eastAsia="zh-CN"/>
              </w:rPr>
              <w:t>润滑油、胶粘剂、液压油</w:t>
            </w:r>
            <w:r>
              <w:rPr>
                <w:rFonts w:hint="default" w:ascii="Times New Roman" w:hAnsi="Times New Roman" w:eastAsia="仿宋" w:cs="Times New Roman"/>
                <w:bCs/>
                <w:color w:val="auto"/>
                <w:sz w:val="24"/>
                <w:highlight w:val="none"/>
              </w:rPr>
              <w:t>等使用，还将产生</w:t>
            </w:r>
            <w:r>
              <w:rPr>
                <w:rFonts w:hint="default" w:ascii="Times New Roman" w:hAnsi="Times New Roman" w:eastAsia="仿宋" w:cs="Times New Roman"/>
                <w:bCs/>
                <w:color w:val="auto"/>
                <w:sz w:val="24"/>
                <w:highlight w:val="none"/>
                <w:lang w:val="en-US" w:eastAsia="zh-CN"/>
              </w:rPr>
              <w:t>废</w:t>
            </w:r>
            <w:r>
              <w:rPr>
                <w:rFonts w:hint="eastAsia" w:eastAsia="仿宋" w:cs="Times New Roman"/>
                <w:bCs/>
                <w:color w:val="auto"/>
                <w:sz w:val="24"/>
                <w:highlight w:val="none"/>
                <w:lang w:val="en-US" w:eastAsia="zh-CN"/>
              </w:rPr>
              <w:t>包装桶</w:t>
            </w:r>
            <w:r>
              <w:rPr>
                <w:rFonts w:hint="default" w:ascii="Times New Roman" w:hAnsi="Times New Roman" w:eastAsia="仿宋" w:cs="Times New Roman"/>
                <w:bCs/>
                <w:color w:val="auto"/>
                <w:sz w:val="24"/>
                <w:highlight w:val="none"/>
                <w:lang w:val="en-US" w:eastAsia="zh-CN"/>
              </w:rPr>
              <w:t>、废活性炭</w:t>
            </w:r>
            <w:r>
              <w:rPr>
                <w:rFonts w:hint="default" w:ascii="Times New Roman" w:hAnsi="Times New Roman" w:eastAsia="仿宋" w:cs="Times New Roman"/>
                <w:bCs/>
                <w:color w:val="auto"/>
                <w:sz w:val="24"/>
                <w:highlight w:val="none"/>
              </w:rPr>
              <w:t>等危险固废，因此，企业需制定企业事业单位突发环境事件应急预案并提交环保部门备案。企业于202</w:t>
            </w:r>
            <w:r>
              <w:rPr>
                <w:rFonts w:hint="default" w:ascii="Times New Roman" w:hAnsi="Times New Roman" w:eastAsia="仿宋" w:cs="Times New Roman"/>
                <w:bCs/>
                <w:color w:val="auto"/>
                <w:sz w:val="24"/>
                <w:highlight w:val="none"/>
                <w:lang w:val="en-US" w:eastAsia="zh-CN"/>
              </w:rPr>
              <w:t>4</w:t>
            </w:r>
            <w:r>
              <w:rPr>
                <w:rFonts w:hint="default" w:ascii="Times New Roman" w:hAnsi="Times New Roman" w:eastAsia="仿宋" w:cs="Times New Roman"/>
                <w:bCs/>
                <w:color w:val="auto"/>
                <w:sz w:val="24"/>
                <w:highlight w:val="none"/>
              </w:rPr>
              <w:t>年</w:t>
            </w:r>
            <w:r>
              <w:rPr>
                <w:rFonts w:hint="default" w:ascii="Times New Roman" w:hAnsi="Times New Roman" w:eastAsia="仿宋" w:cs="Times New Roman"/>
                <w:bCs/>
                <w:color w:val="auto"/>
                <w:sz w:val="24"/>
                <w:highlight w:val="none"/>
                <w:lang w:val="en-US" w:eastAsia="zh-CN"/>
              </w:rPr>
              <w:t>10</w:t>
            </w:r>
            <w:r>
              <w:rPr>
                <w:rFonts w:hint="default" w:ascii="Times New Roman" w:hAnsi="Times New Roman" w:eastAsia="仿宋" w:cs="Times New Roman"/>
                <w:bCs/>
                <w:color w:val="auto"/>
                <w:sz w:val="24"/>
                <w:highlight w:val="none"/>
              </w:rPr>
              <w:t>月</w:t>
            </w:r>
            <w:r>
              <w:rPr>
                <w:rFonts w:hint="default" w:ascii="Times New Roman" w:hAnsi="Times New Roman" w:eastAsia="仿宋" w:cs="Times New Roman"/>
                <w:bCs/>
                <w:color w:val="auto"/>
                <w:sz w:val="24"/>
                <w:highlight w:val="none"/>
                <w:lang w:val="en-US" w:eastAsia="zh-CN"/>
              </w:rPr>
              <w:t>15</w:t>
            </w:r>
            <w:r>
              <w:rPr>
                <w:rFonts w:hint="default" w:ascii="Times New Roman" w:hAnsi="Times New Roman" w:eastAsia="仿宋" w:cs="Times New Roman"/>
                <w:bCs/>
                <w:color w:val="auto"/>
                <w:sz w:val="24"/>
                <w:highlight w:val="none"/>
              </w:rPr>
              <w:t>日取得企业事业单位突发环境事件应急预案备案表（备案编号：</w:t>
            </w:r>
            <w:r>
              <w:rPr>
                <w:rFonts w:hint="default" w:ascii="Times New Roman" w:hAnsi="Times New Roman" w:eastAsia="仿宋" w:cs="Times New Roman"/>
                <w:bCs/>
                <w:color w:val="auto"/>
                <w:sz w:val="24"/>
                <w:highlight w:val="none"/>
                <w:lang w:val="en-US" w:eastAsia="zh-CN"/>
              </w:rPr>
              <w:t>320413</w:t>
            </w:r>
            <w:r>
              <w:rPr>
                <w:rFonts w:hint="default" w:ascii="Times New Roman" w:hAnsi="Times New Roman" w:eastAsia="仿宋" w:cs="Times New Roman"/>
                <w:bCs/>
                <w:color w:val="auto"/>
                <w:sz w:val="24"/>
                <w:highlight w:val="none"/>
              </w:rPr>
              <w:t>-202</w:t>
            </w:r>
            <w:r>
              <w:rPr>
                <w:rFonts w:hint="default" w:ascii="Times New Roman" w:hAnsi="Times New Roman" w:eastAsia="仿宋" w:cs="Times New Roman"/>
                <w:bCs/>
                <w:color w:val="auto"/>
                <w:sz w:val="24"/>
                <w:highlight w:val="none"/>
                <w:lang w:val="en-US" w:eastAsia="zh-CN"/>
              </w:rPr>
              <w:t>4</w:t>
            </w:r>
            <w:r>
              <w:rPr>
                <w:rFonts w:hint="default" w:ascii="Times New Roman" w:hAnsi="Times New Roman" w:eastAsia="仿宋" w:cs="Times New Roman"/>
                <w:bCs/>
                <w:color w:val="auto"/>
                <w:sz w:val="24"/>
                <w:highlight w:val="none"/>
              </w:rPr>
              <w:t>-</w:t>
            </w:r>
            <w:r>
              <w:rPr>
                <w:rFonts w:hint="default" w:ascii="Times New Roman" w:hAnsi="Times New Roman" w:eastAsia="仿宋" w:cs="Times New Roman"/>
                <w:bCs/>
                <w:color w:val="auto"/>
                <w:sz w:val="24"/>
                <w:highlight w:val="none"/>
                <w:lang w:val="en-US" w:eastAsia="zh-CN"/>
              </w:rPr>
              <w:t>158</w:t>
            </w:r>
            <w:r>
              <w:rPr>
                <w:rFonts w:hint="default" w:ascii="Times New Roman" w:hAnsi="Times New Roman" w:eastAsia="仿宋" w:cs="Times New Roman"/>
                <w:bCs/>
                <w:color w:val="auto"/>
                <w:sz w:val="24"/>
                <w:highlight w:val="none"/>
              </w:rPr>
              <w:t>-L）</w:t>
            </w:r>
            <w:r>
              <w:rPr>
                <w:rFonts w:hint="default" w:ascii="Times New Roman" w:hAnsi="Times New Roman" w:eastAsia="仿宋" w:cs="Times New Roman"/>
                <w:bCs/>
                <w:color w:val="auto"/>
                <w:sz w:val="24"/>
                <w:highlight w:val="none"/>
                <w:lang w:eastAsia="zh-CN"/>
              </w:rPr>
              <w:t>，</w:t>
            </w:r>
            <w:r>
              <w:rPr>
                <w:rFonts w:hint="default" w:ascii="Times New Roman" w:hAnsi="Times New Roman" w:eastAsia="仿宋" w:cs="Times New Roman"/>
                <w:bCs/>
                <w:color w:val="auto"/>
                <w:sz w:val="24"/>
                <w:highlight w:val="none"/>
              </w:rPr>
              <w:t>本项目正式投产前需及时对现有应急预案进行修订，并报当地生态环境部门备案。当发生事故时，企业应严格按相关要求落实。</w:t>
            </w:r>
          </w:p>
          <w:p w14:paraId="559C2BEB">
            <w:pPr>
              <w:spacing w:line="360" w:lineRule="auto"/>
              <w:ind w:firstLine="470" w:firstLineChars="196"/>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7、结论</w:t>
            </w:r>
          </w:p>
          <w:p w14:paraId="005A7E21">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建设项目经采取有效的事故防范、减缓措施，加强风险防范和应急预案，环境风险可控。</w:t>
            </w:r>
          </w:p>
          <w:p w14:paraId="725753E8">
            <w:pPr>
              <w:adjustRightInd w:val="0"/>
              <w:snapToGrid w:val="0"/>
              <w:ind w:firstLine="482" w:firstLineChars="20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eastAsia" w:eastAsia="仿宋" w:cs="Times New Roman"/>
                <w:b/>
                <w:bCs/>
                <w:color w:val="auto"/>
                <w:sz w:val="24"/>
                <w:highlight w:val="none"/>
                <w:lang w:val="en-US" w:eastAsia="zh-CN"/>
              </w:rPr>
              <w:t>44</w:t>
            </w:r>
            <w:r>
              <w:rPr>
                <w:rFonts w:hint="default" w:ascii="Times New Roman" w:hAnsi="Times New Roman" w:eastAsia="仿宋" w:cs="Times New Roman"/>
                <w:b/>
                <w:bCs/>
                <w:color w:val="auto"/>
                <w:sz w:val="24"/>
                <w:highlight w:val="none"/>
              </w:rPr>
              <w:t xml:space="preserve">  企业环境风险简单分析内容表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144"/>
              <w:gridCol w:w="2098"/>
              <w:gridCol w:w="1040"/>
              <w:gridCol w:w="966"/>
              <w:gridCol w:w="1786"/>
            </w:tblGrid>
            <w:tr w14:paraId="64543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pct"/>
                  <w:noWrap w:val="0"/>
                  <w:vAlign w:val="center"/>
                </w:tcPr>
                <w:p w14:paraId="42DC4B64">
                  <w:pPr>
                    <w:adjustRightInd w:val="0"/>
                    <w:snapToGrid w:val="0"/>
                    <w:ind w:left="-105" w:leftChars="-50" w:right="-105" w:rightChars="-50"/>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highlight w:val="none"/>
                    </w:rPr>
                    <w:t>建设项目名称</w:t>
                  </w:r>
                </w:p>
              </w:tc>
              <w:tc>
                <w:tcPr>
                  <w:tcW w:w="4187" w:type="pct"/>
                  <w:gridSpan w:val="5"/>
                  <w:noWrap w:val="0"/>
                  <w:vAlign w:val="center"/>
                </w:tcPr>
                <w:p w14:paraId="29F3DA2F">
                  <w:pPr>
                    <w:adjustRightInd w:val="0"/>
                    <w:snapToGrid w:val="0"/>
                    <w:jc w:val="center"/>
                    <w:rPr>
                      <w:rFonts w:hint="default" w:ascii="Times New Roman" w:hAnsi="Times New Roman" w:eastAsia="仿宋" w:cs="Times New Roman"/>
                      <w:b/>
                      <w:bCs/>
                      <w:color w:val="auto"/>
                      <w:szCs w:val="21"/>
                      <w:highlight w:val="none"/>
                      <w:lang w:eastAsia="zh-CN"/>
                    </w:rPr>
                  </w:pPr>
                  <w:r>
                    <w:rPr>
                      <w:rFonts w:hint="default" w:ascii="Times New Roman" w:hAnsi="Times New Roman" w:eastAsia="仿宋" w:cs="Times New Roman"/>
                      <w:color w:val="auto"/>
                      <w:szCs w:val="21"/>
                      <w:highlight w:val="none"/>
                      <w:lang w:eastAsia="zh-CN"/>
                    </w:rPr>
                    <w:t>年产1亿只唇刷项目</w:t>
                  </w:r>
                </w:p>
              </w:tc>
            </w:tr>
            <w:tr w14:paraId="28D41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pct"/>
                  <w:noWrap w:val="0"/>
                  <w:vAlign w:val="center"/>
                </w:tcPr>
                <w:p w14:paraId="2B4F753D">
                  <w:pPr>
                    <w:adjustRightInd w:val="0"/>
                    <w:snapToGrid w:val="0"/>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highlight w:val="none"/>
                    </w:rPr>
                    <w:t>建设地点</w:t>
                  </w:r>
                </w:p>
              </w:tc>
              <w:tc>
                <w:tcPr>
                  <w:tcW w:w="681" w:type="pct"/>
                  <w:noWrap w:val="0"/>
                  <w:vAlign w:val="center"/>
                </w:tcPr>
                <w:p w14:paraId="3340E896">
                  <w:pPr>
                    <w:adjustRightInd w:val="0"/>
                    <w:snapToGrid w:val="0"/>
                    <w:ind w:left="-105" w:leftChars="-50" w:right="-105" w:rightChars="-5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（江苏）省</w:t>
                  </w:r>
                </w:p>
              </w:tc>
              <w:tc>
                <w:tcPr>
                  <w:tcW w:w="1249" w:type="pct"/>
                  <w:noWrap w:val="0"/>
                  <w:vAlign w:val="center"/>
                </w:tcPr>
                <w:p w14:paraId="1E7B3D76">
                  <w:pPr>
                    <w:adjustRightInd w:val="0"/>
                    <w:snapToGrid w:val="0"/>
                    <w:ind w:left="-105" w:leftChars="-50" w:right="-105" w:rightChars="-5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（常州）市</w:t>
                  </w:r>
                </w:p>
              </w:tc>
              <w:tc>
                <w:tcPr>
                  <w:tcW w:w="619" w:type="pct"/>
                  <w:noWrap w:val="0"/>
                  <w:vAlign w:val="center"/>
                </w:tcPr>
                <w:p w14:paraId="768CCD92">
                  <w:pPr>
                    <w:adjustRightInd w:val="0"/>
                    <w:snapToGrid w:val="0"/>
                    <w:ind w:left="-105" w:leftChars="-50" w:right="-105" w:rightChars="-5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(金坛)区</w:t>
                  </w:r>
                </w:p>
              </w:tc>
              <w:tc>
                <w:tcPr>
                  <w:tcW w:w="575" w:type="pct"/>
                  <w:noWrap w:val="0"/>
                  <w:vAlign w:val="center"/>
                </w:tcPr>
                <w:p w14:paraId="6574A866">
                  <w:pPr>
                    <w:adjustRightInd w:val="0"/>
                    <w:snapToGrid w:val="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（/）镇</w:t>
                  </w:r>
                </w:p>
              </w:tc>
              <w:tc>
                <w:tcPr>
                  <w:tcW w:w="1062" w:type="pct"/>
                  <w:noWrap w:val="0"/>
                  <w:vAlign w:val="center"/>
                </w:tcPr>
                <w:p w14:paraId="736A98DF">
                  <w:pPr>
                    <w:adjustRightInd w:val="0"/>
                    <w:snapToGrid w:val="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szCs w:val="21"/>
                      <w:highlight w:val="none"/>
                    </w:rPr>
                    <w:t>江苏金坛经济开发区</w:t>
                  </w:r>
                </w:p>
              </w:tc>
            </w:tr>
            <w:tr w14:paraId="7B30D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pct"/>
                  <w:noWrap w:val="0"/>
                  <w:vAlign w:val="center"/>
                </w:tcPr>
                <w:p w14:paraId="54ED18B4">
                  <w:pPr>
                    <w:adjustRightInd w:val="0"/>
                    <w:snapToGrid w:val="0"/>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highlight w:val="none"/>
                    </w:rPr>
                    <w:t>地理坐标</w:t>
                  </w:r>
                </w:p>
              </w:tc>
              <w:tc>
                <w:tcPr>
                  <w:tcW w:w="681" w:type="pct"/>
                  <w:noWrap w:val="0"/>
                  <w:vAlign w:val="center"/>
                </w:tcPr>
                <w:p w14:paraId="70797032">
                  <w:pPr>
                    <w:adjustRightInd w:val="0"/>
                    <w:snapToGrid w:val="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经度</w:t>
                  </w:r>
                </w:p>
              </w:tc>
              <w:tc>
                <w:tcPr>
                  <w:tcW w:w="1249" w:type="pct"/>
                  <w:noWrap w:val="0"/>
                  <w:vAlign w:val="center"/>
                </w:tcPr>
                <w:p w14:paraId="34138645">
                  <w:pPr>
                    <w:adjustRightInd w:val="0"/>
                    <w:snapToGrid w:val="0"/>
                    <w:jc w:val="center"/>
                    <w:rPr>
                      <w:rFonts w:hint="default" w:ascii="Times New Roman" w:hAnsi="Times New Roman" w:eastAsia="仿宋" w:cs="Times New Roman"/>
                      <w:color w:val="auto"/>
                      <w:spacing w:val="-6"/>
                      <w:szCs w:val="21"/>
                      <w:highlight w:val="none"/>
                    </w:rPr>
                  </w:pPr>
                  <w:r>
                    <w:rPr>
                      <w:rFonts w:hint="default" w:ascii="Times New Roman" w:hAnsi="Times New Roman" w:eastAsia="仿宋" w:cs="Times New Roman"/>
                      <w:color w:val="auto"/>
                      <w:spacing w:val="-6"/>
                      <w:szCs w:val="21"/>
                      <w:highlight w:val="none"/>
                    </w:rPr>
                    <w:t>119°</w:t>
                  </w:r>
                  <w:r>
                    <w:rPr>
                      <w:rFonts w:hint="default" w:ascii="Times New Roman" w:hAnsi="Times New Roman" w:eastAsia="仿宋" w:cs="Times New Roman"/>
                      <w:color w:val="auto"/>
                      <w:spacing w:val="-6"/>
                      <w:szCs w:val="21"/>
                      <w:highlight w:val="none"/>
                      <w:lang w:val="en-US" w:eastAsia="zh-CN"/>
                    </w:rPr>
                    <w:t>35</w:t>
                  </w:r>
                  <w:r>
                    <w:rPr>
                      <w:rFonts w:hint="default" w:ascii="Times New Roman" w:hAnsi="Times New Roman" w:eastAsia="仿宋" w:cs="Times New Roman"/>
                      <w:color w:val="auto"/>
                      <w:spacing w:val="-6"/>
                      <w:szCs w:val="21"/>
                      <w:highlight w:val="none"/>
                    </w:rPr>
                    <w:t>′</w:t>
                  </w:r>
                  <w:r>
                    <w:rPr>
                      <w:rFonts w:hint="default" w:ascii="Times New Roman" w:hAnsi="Times New Roman" w:eastAsia="仿宋" w:cs="Times New Roman"/>
                      <w:color w:val="auto"/>
                      <w:spacing w:val="-6"/>
                      <w:szCs w:val="21"/>
                      <w:highlight w:val="none"/>
                      <w:lang w:val="en-US" w:eastAsia="zh-CN"/>
                    </w:rPr>
                    <w:t>21.935</w:t>
                  </w:r>
                  <w:r>
                    <w:rPr>
                      <w:rFonts w:hint="default" w:ascii="Times New Roman" w:hAnsi="Times New Roman" w:eastAsia="仿宋" w:cs="Times New Roman"/>
                      <w:color w:val="auto"/>
                      <w:spacing w:val="-6"/>
                      <w:szCs w:val="21"/>
                      <w:highlight w:val="none"/>
                    </w:rPr>
                    <w:t>″E</w:t>
                  </w:r>
                </w:p>
              </w:tc>
              <w:tc>
                <w:tcPr>
                  <w:tcW w:w="619" w:type="pct"/>
                  <w:noWrap w:val="0"/>
                  <w:vAlign w:val="center"/>
                </w:tcPr>
                <w:p w14:paraId="08F06D4D">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纬度</w:t>
                  </w:r>
                </w:p>
              </w:tc>
              <w:tc>
                <w:tcPr>
                  <w:tcW w:w="1637" w:type="pct"/>
                  <w:gridSpan w:val="2"/>
                  <w:noWrap w:val="0"/>
                  <w:vAlign w:val="center"/>
                </w:tcPr>
                <w:p w14:paraId="3B8E4917">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pacing w:val="-6"/>
                      <w:szCs w:val="21"/>
                      <w:highlight w:val="none"/>
                    </w:rPr>
                    <w:t>31°</w:t>
                  </w:r>
                  <w:r>
                    <w:rPr>
                      <w:rFonts w:hint="default" w:ascii="Times New Roman" w:hAnsi="Times New Roman" w:eastAsia="仿宋" w:cs="Times New Roman"/>
                      <w:color w:val="auto"/>
                      <w:spacing w:val="-6"/>
                      <w:szCs w:val="21"/>
                      <w:highlight w:val="none"/>
                      <w:lang w:val="en-US" w:eastAsia="zh-CN"/>
                    </w:rPr>
                    <w:t>46</w:t>
                  </w:r>
                  <w:r>
                    <w:rPr>
                      <w:rFonts w:hint="default" w:ascii="Times New Roman" w:hAnsi="Times New Roman" w:eastAsia="仿宋" w:cs="Times New Roman"/>
                      <w:color w:val="auto"/>
                      <w:spacing w:val="-6"/>
                      <w:szCs w:val="21"/>
                      <w:highlight w:val="none"/>
                    </w:rPr>
                    <w:t>′</w:t>
                  </w:r>
                  <w:r>
                    <w:rPr>
                      <w:rFonts w:hint="default" w:ascii="Times New Roman" w:hAnsi="Times New Roman" w:eastAsia="仿宋" w:cs="Times New Roman"/>
                      <w:color w:val="auto"/>
                      <w:spacing w:val="-6"/>
                      <w:szCs w:val="21"/>
                      <w:highlight w:val="none"/>
                      <w:lang w:val="en-US" w:eastAsia="zh-CN"/>
                    </w:rPr>
                    <w:t>41.735</w:t>
                  </w:r>
                  <w:r>
                    <w:rPr>
                      <w:rFonts w:hint="default" w:ascii="Times New Roman" w:hAnsi="Times New Roman" w:eastAsia="仿宋" w:cs="Times New Roman"/>
                      <w:color w:val="auto"/>
                      <w:spacing w:val="-6"/>
                      <w:szCs w:val="21"/>
                      <w:highlight w:val="none"/>
                    </w:rPr>
                    <w:t>″N</w:t>
                  </w:r>
                </w:p>
              </w:tc>
            </w:tr>
            <w:tr w14:paraId="7790C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pct"/>
                  <w:vMerge w:val="restart"/>
                  <w:noWrap w:val="0"/>
                  <w:vAlign w:val="center"/>
                </w:tcPr>
                <w:p w14:paraId="232883D7">
                  <w:pPr>
                    <w:adjustRightInd w:val="0"/>
                    <w:snapToGrid w:val="0"/>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highlight w:val="none"/>
                    </w:rPr>
                    <w:t>主要危险物质及分布</w:t>
                  </w:r>
                </w:p>
              </w:tc>
              <w:tc>
                <w:tcPr>
                  <w:tcW w:w="1930" w:type="pct"/>
                  <w:gridSpan w:val="2"/>
                  <w:noWrap w:val="0"/>
                  <w:vAlign w:val="center"/>
                </w:tcPr>
                <w:p w14:paraId="6B22BD33">
                  <w:pPr>
                    <w:adjustRightInd w:val="0"/>
                    <w:snapToGrid w:val="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主要危险物质</w:t>
                  </w:r>
                </w:p>
              </w:tc>
              <w:tc>
                <w:tcPr>
                  <w:tcW w:w="2256" w:type="pct"/>
                  <w:gridSpan w:val="3"/>
                  <w:noWrap w:val="0"/>
                  <w:vAlign w:val="center"/>
                </w:tcPr>
                <w:p w14:paraId="1B5EEF32">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分布情况</w:t>
                  </w:r>
                </w:p>
              </w:tc>
            </w:tr>
            <w:tr w14:paraId="37738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pct"/>
                  <w:vMerge w:val="continue"/>
                  <w:noWrap w:val="0"/>
                  <w:vAlign w:val="center"/>
                </w:tcPr>
                <w:p w14:paraId="085F9751">
                  <w:pPr>
                    <w:adjustRightInd w:val="0"/>
                    <w:snapToGrid w:val="0"/>
                    <w:jc w:val="center"/>
                    <w:rPr>
                      <w:rFonts w:hint="default" w:ascii="Times New Roman" w:hAnsi="Times New Roman" w:eastAsia="仿宋" w:cs="Times New Roman"/>
                      <w:bCs/>
                      <w:color w:val="auto"/>
                      <w:highlight w:val="none"/>
                    </w:rPr>
                  </w:pPr>
                </w:p>
              </w:tc>
              <w:tc>
                <w:tcPr>
                  <w:tcW w:w="1930" w:type="pct"/>
                  <w:gridSpan w:val="2"/>
                  <w:noWrap w:val="0"/>
                  <w:vAlign w:val="center"/>
                </w:tcPr>
                <w:p w14:paraId="7BE86492">
                  <w:pPr>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胶粘剂、液压油、润滑油</w:t>
                  </w:r>
                </w:p>
              </w:tc>
              <w:tc>
                <w:tcPr>
                  <w:tcW w:w="2256" w:type="pct"/>
                  <w:gridSpan w:val="3"/>
                  <w:noWrap w:val="0"/>
                  <w:vAlign w:val="center"/>
                </w:tcPr>
                <w:p w14:paraId="29FD0AFF">
                  <w:pPr>
                    <w:adjustRightInd w:val="0"/>
                    <w:snapToGrid w:val="0"/>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szCs w:val="21"/>
                      <w:highlight w:val="none"/>
                      <w:lang w:val="en-US" w:eastAsia="zh-CN"/>
                    </w:rPr>
                    <w:t>原料仓库、生产车间相关区域</w:t>
                  </w:r>
                </w:p>
              </w:tc>
            </w:tr>
            <w:tr w14:paraId="0B2CE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pct"/>
                  <w:vMerge w:val="continue"/>
                  <w:noWrap w:val="0"/>
                  <w:vAlign w:val="center"/>
                </w:tcPr>
                <w:p w14:paraId="460D886A">
                  <w:pPr>
                    <w:adjustRightInd w:val="0"/>
                    <w:snapToGrid w:val="0"/>
                    <w:jc w:val="center"/>
                    <w:rPr>
                      <w:rFonts w:hint="default" w:ascii="Times New Roman" w:hAnsi="Times New Roman" w:eastAsia="仿宋" w:cs="Times New Roman"/>
                      <w:bCs/>
                      <w:color w:val="auto"/>
                      <w:highlight w:val="none"/>
                    </w:rPr>
                  </w:pPr>
                </w:p>
              </w:tc>
              <w:tc>
                <w:tcPr>
                  <w:tcW w:w="1930" w:type="pct"/>
                  <w:gridSpan w:val="2"/>
                  <w:noWrap w:val="0"/>
                  <w:vAlign w:val="center"/>
                </w:tcPr>
                <w:p w14:paraId="79F92BAC">
                  <w:pPr>
                    <w:adjustRightInd w:val="0"/>
                    <w:snapToGrid w:val="0"/>
                    <w:jc w:val="center"/>
                    <w:rPr>
                      <w:rFonts w:hint="default" w:ascii="Times New Roman" w:hAnsi="Times New Roman" w:eastAsia="仿宋" w:cs="Times New Roman"/>
                      <w:color w:val="0000FF"/>
                      <w:highlight w:val="none"/>
                      <w:lang w:val="en-US" w:eastAsia="zh-CN"/>
                    </w:rPr>
                  </w:pPr>
                  <w:r>
                    <w:rPr>
                      <w:rFonts w:hint="default" w:ascii="Times New Roman" w:hAnsi="Times New Roman" w:eastAsia="仿宋" w:cs="Times New Roman"/>
                      <w:color w:val="0000FF"/>
                      <w:sz w:val="21"/>
                      <w:szCs w:val="21"/>
                      <w:highlight w:val="none"/>
                      <w:lang w:val="en-US" w:eastAsia="zh-CN"/>
                    </w:rPr>
                    <w:t>废包装桶、</w:t>
                  </w:r>
                  <w:r>
                    <w:rPr>
                      <w:rFonts w:hint="default" w:ascii="Times New Roman" w:hAnsi="Times New Roman" w:eastAsia="仿宋" w:cs="Times New Roman"/>
                      <w:color w:val="0000FF"/>
                      <w:szCs w:val="21"/>
                      <w:highlight w:val="none"/>
                    </w:rPr>
                    <w:t>废活性炭</w:t>
                  </w:r>
                  <w:r>
                    <w:rPr>
                      <w:rFonts w:hint="eastAsia" w:eastAsia="仿宋" w:cs="Times New Roman"/>
                      <w:color w:val="0000FF"/>
                      <w:szCs w:val="21"/>
                      <w:highlight w:val="none"/>
                      <w:lang w:eastAsia="zh-CN"/>
                    </w:rPr>
                    <w:t>、</w:t>
                  </w:r>
                  <w:r>
                    <w:rPr>
                      <w:rFonts w:hint="eastAsia" w:eastAsia="仿宋" w:cs="Times New Roman"/>
                      <w:color w:val="0000FF"/>
                      <w:szCs w:val="21"/>
                      <w:highlight w:val="none"/>
                      <w:lang w:val="en-US" w:eastAsia="zh-CN"/>
                    </w:rPr>
                    <w:t>水旋废液、废过滤棉和杂质</w:t>
                  </w:r>
                </w:p>
              </w:tc>
              <w:tc>
                <w:tcPr>
                  <w:tcW w:w="2256" w:type="pct"/>
                  <w:gridSpan w:val="3"/>
                  <w:noWrap w:val="0"/>
                  <w:vAlign w:val="center"/>
                </w:tcPr>
                <w:p w14:paraId="4A775823">
                  <w:pPr>
                    <w:jc w:val="center"/>
                    <w:rPr>
                      <w:rFonts w:hint="default" w:ascii="Times New Roman" w:hAnsi="Times New Roman" w:eastAsia="仿宋" w:cs="Times New Roman"/>
                      <w:color w:val="0000FF"/>
                      <w:highlight w:val="none"/>
                    </w:rPr>
                  </w:pPr>
                  <w:r>
                    <w:rPr>
                      <w:rFonts w:hint="default" w:ascii="Times New Roman" w:hAnsi="Times New Roman" w:eastAsia="仿宋" w:cs="Times New Roman"/>
                      <w:color w:val="0000FF"/>
                      <w:szCs w:val="21"/>
                      <w:highlight w:val="none"/>
                    </w:rPr>
                    <w:t>危废仓库</w:t>
                  </w:r>
                </w:p>
              </w:tc>
            </w:tr>
            <w:tr w14:paraId="635AD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pct"/>
                  <w:vMerge w:val="continue"/>
                  <w:noWrap w:val="0"/>
                  <w:vAlign w:val="center"/>
                </w:tcPr>
                <w:p w14:paraId="6D0165FF">
                  <w:pPr>
                    <w:adjustRightInd w:val="0"/>
                    <w:snapToGrid w:val="0"/>
                    <w:jc w:val="center"/>
                    <w:rPr>
                      <w:rFonts w:hint="default" w:ascii="Times New Roman" w:hAnsi="Times New Roman" w:eastAsia="仿宋" w:cs="Times New Roman"/>
                      <w:bCs/>
                      <w:color w:val="auto"/>
                      <w:highlight w:val="none"/>
                    </w:rPr>
                  </w:pPr>
                </w:p>
              </w:tc>
              <w:tc>
                <w:tcPr>
                  <w:tcW w:w="1930" w:type="pct"/>
                  <w:gridSpan w:val="2"/>
                  <w:noWrap w:val="0"/>
                  <w:vAlign w:val="center"/>
                </w:tcPr>
                <w:p w14:paraId="39D76574">
                  <w:pPr>
                    <w:adjustRightInd w:val="0"/>
                    <w:snapToGrid w:val="0"/>
                    <w:jc w:val="center"/>
                    <w:rPr>
                      <w:rFonts w:hint="default" w:ascii="Times New Roman" w:hAnsi="Times New Roman" w:eastAsia="仿宋" w:cs="Times New Roman"/>
                      <w:color w:val="0000FF"/>
                      <w:sz w:val="21"/>
                      <w:szCs w:val="21"/>
                      <w:highlight w:val="none"/>
                      <w:lang w:val="en-US" w:eastAsia="zh-CN"/>
                    </w:rPr>
                  </w:pPr>
                  <w:r>
                    <w:rPr>
                      <w:rFonts w:hint="eastAsia" w:eastAsia="仿宋" w:cs="Times New Roman"/>
                      <w:color w:val="0000FF"/>
                      <w:sz w:val="21"/>
                      <w:szCs w:val="21"/>
                      <w:highlight w:val="none"/>
                      <w:lang w:val="en-US" w:eastAsia="zh-CN"/>
                    </w:rPr>
                    <w:t>水旋用水在线量</w:t>
                  </w:r>
                </w:p>
              </w:tc>
              <w:tc>
                <w:tcPr>
                  <w:tcW w:w="2256" w:type="pct"/>
                  <w:gridSpan w:val="3"/>
                  <w:noWrap w:val="0"/>
                  <w:vAlign w:val="center"/>
                </w:tcPr>
                <w:p w14:paraId="5AAED530">
                  <w:pPr>
                    <w:jc w:val="center"/>
                    <w:rPr>
                      <w:rFonts w:hint="default" w:ascii="Times New Roman" w:hAnsi="Times New Roman" w:eastAsia="仿宋" w:cs="Times New Roman"/>
                      <w:color w:val="0000FF"/>
                      <w:szCs w:val="21"/>
                      <w:highlight w:val="none"/>
                      <w:lang w:val="en-US" w:eastAsia="zh-CN"/>
                    </w:rPr>
                  </w:pPr>
                  <w:r>
                    <w:rPr>
                      <w:rFonts w:hint="eastAsia" w:eastAsia="仿宋" w:cs="Times New Roman"/>
                      <w:color w:val="0000FF"/>
                      <w:szCs w:val="21"/>
                      <w:highlight w:val="none"/>
                      <w:lang w:val="en-US" w:eastAsia="zh-CN"/>
                    </w:rPr>
                    <w:t>水旋除尘器</w:t>
                  </w:r>
                </w:p>
              </w:tc>
            </w:tr>
            <w:tr w14:paraId="0DC04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pct"/>
                  <w:noWrap w:val="0"/>
                  <w:vAlign w:val="center"/>
                </w:tcPr>
                <w:p w14:paraId="0F30ED14">
                  <w:pPr>
                    <w:adjustRightInd w:val="0"/>
                    <w:snapToGrid w:val="0"/>
                    <w:jc w:val="center"/>
                    <w:rPr>
                      <w:rFonts w:hint="default" w:ascii="Times New Roman" w:hAnsi="Times New Roman" w:eastAsia="仿宋" w:cs="Times New Roman"/>
                      <w:bCs/>
                      <w:color w:val="auto"/>
                      <w:szCs w:val="21"/>
                      <w:highlight w:val="none"/>
                    </w:rPr>
                  </w:pPr>
                  <w:r>
                    <w:rPr>
                      <w:rFonts w:hint="default" w:ascii="Times New Roman" w:hAnsi="Times New Roman" w:eastAsia="仿宋" w:cs="Times New Roman"/>
                      <w:bCs/>
                      <w:color w:val="auto"/>
                      <w:highlight w:val="none"/>
                    </w:rPr>
                    <w:t>环境影响途径及危害后果（大气、地表水、地下水等）</w:t>
                  </w:r>
                </w:p>
              </w:tc>
              <w:tc>
                <w:tcPr>
                  <w:tcW w:w="4187" w:type="pct"/>
                  <w:gridSpan w:val="5"/>
                  <w:noWrap w:val="0"/>
                  <w:vAlign w:val="center"/>
                </w:tcPr>
                <w:p w14:paraId="2AD63F47">
                  <w:pPr>
                    <w:adjustRightInd w:val="0"/>
                    <w:snapToGrid w:val="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本项目危险物质主要分布在</w:t>
                  </w:r>
                  <w:r>
                    <w:rPr>
                      <w:rFonts w:hint="default" w:ascii="Times New Roman" w:hAnsi="Times New Roman" w:eastAsia="仿宋" w:cs="Times New Roman"/>
                      <w:color w:val="auto"/>
                      <w:highlight w:val="none"/>
                      <w:lang w:val="en-US" w:eastAsia="zh-CN"/>
                    </w:rPr>
                    <w:t>原料仓库、生产车间</w:t>
                  </w:r>
                  <w:r>
                    <w:rPr>
                      <w:rFonts w:hint="default" w:ascii="Times New Roman" w:hAnsi="Times New Roman" w:eastAsia="仿宋" w:cs="Times New Roman"/>
                      <w:color w:val="auto"/>
                      <w:highlight w:val="none"/>
                    </w:rPr>
                    <w:t>及危废仓库</w:t>
                  </w:r>
                  <w:r>
                    <w:rPr>
                      <w:rFonts w:hint="eastAsia" w:eastAsia="仿宋" w:cs="Times New Roman"/>
                      <w:color w:val="auto"/>
                      <w:highlight w:val="none"/>
                      <w:lang w:eastAsia="zh-CN"/>
                    </w:rPr>
                    <w:t>、</w:t>
                  </w:r>
                  <w:r>
                    <w:rPr>
                      <w:rFonts w:hint="eastAsia" w:eastAsia="仿宋" w:cs="Times New Roman"/>
                      <w:color w:val="0000FF"/>
                      <w:highlight w:val="none"/>
                      <w:lang w:val="en-US" w:eastAsia="zh-CN"/>
                    </w:rPr>
                    <w:t>水旋除尘器</w:t>
                  </w:r>
                  <w:r>
                    <w:rPr>
                      <w:rFonts w:hint="default" w:ascii="Times New Roman" w:hAnsi="Times New Roman" w:eastAsia="仿宋" w:cs="Times New Roman"/>
                      <w:color w:val="auto"/>
                      <w:highlight w:val="none"/>
                    </w:rPr>
                    <w:t>，对环境影响途径包括以上场所发生危险物质泄漏，液体进入雨水管网向外环境扩散，泄漏的危险物质扩散进水中，通过雨水管网进入附近水体，危险物质在下渗过程中会污染地下水，进而流入周围的河流，造成整个周围地区水环境的污染；</w:t>
                  </w:r>
                  <w:r>
                    <w:rPr>
                      <w:rFonts w:hint="default" w:ascii="Times New Roman" w:hAnsi="Times New Roman" w:eastAsia="仿宋" w:cs="Times New Roman"/>
                      <w:color w:val="auto"/>
                      <w:highlight w:val="none"/>
                      <w:lang w:val="en-US" w:eastAsia="zh-CN"/>
                    </w:rPr>
                    <w:t>泄漏物料中</w:t>
                  </w:r>
                  <w:r>
                    <w:rPr>
                      <w:rFonts w:hint="default" w:ascii="Times New Roman" w:hAnsi="Times New Roman" w:eastAsia="仿宋" w:cs="Times New Roman"/>
                      <w:color w:val="auto"/>
                      <w:highlight w:val="none"/>
                    </w:rPr>
                    <w:t>有毒有害物质泄漏后挥发至大气环境中，或泄漏后遇明火等发生火灾、爆炸事故引起次生的CO排放至大气环境中，对大气环境造成影响，从而造成对厂外环境敏感点和人群的影响。</w:t>
                  </w:r>
                </w:p>
              </w:tc>
            </w:tr>
            <w:tr w14:paraId="215F9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pct"/>
                  <w:noWrap w:val="0"/>
                  <w:vAlign w:val="center"/>
                </w:tcPr>
                <w:p w14:paraId="39774087">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highlight w:val="none"/>
                    </w:rPr>
                    <w:t>风险防范措施要求</w:t>
                  </w:r>
                </w:p>
              </w:tc>
              <w:tc>
                <w:tcPr>
                  <w:tcW w:w="4187" w:type="pct"/>
                  <w:gridSpan w:val="5"/>
                  <w:noWrap w:val="0"/>
                  <w:vAlign w:val="center"/>
                </w:tcPr>
                <w:p w14:paraId="477B623B">
                  <w:pPr>
                    <w:adjustRightInd w:val="0"/>
                    <w:snapToGrid w:val="0"/>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①强化安全、消防和环保管理，建立管理机构，</w:t>
                  </w:r>
                  <w:r>
                    <w:rPr>
                      <w:rFonts w:hint="default" w:ascii="Times New Roman" w:hAnsi="Times New Roman" w:eastAsia="仿宋" w:cs="Times New Roman"/>
                      <w:bCs/>
                      <w:color w:val="auto"/>
                      <w:szCs w:val="21"/>
                      <w:lang w:eastAsia="zh-CN"/>
                    </w:rPr>
                    <w:t>制定</w:t>
                  </w:r>
                  <w:r>
                    <w:rPr>
                      <w:rFonts w:hint="default" w:ascii="Times New Roman" w:hAnsi="Times New Roman" w:eastAsia="仿宋" w:cs="Times New Roman"/>
                      <w:bCs/>
                      <w:color w:val="auto"/>
                      <w:szCs w:val="21"/>
                    </w:rPr>
                    <w:t>各项管理制度，加强日常监督检查。</w:t>
                  </w:r>
                </w:p>
                <w:p w14:paraId="158FDCE5">
                  <w:pPr>
                    <w:adjustRightInd w:val="0"/>
                    <w:snapToGrid w:val="0"/>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②强化管理，主要做到以下三个方面：</w:t>
                  </w:r>
                </w:p>
                <w:p w14:paraId="4A291352">
                  <w:pPr>
                    <w:adjustRightInd w:val="0"/>
                    <w:snapToGrid w:val="0"/>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设置安全生产管理机构或配备专职安全生产管理人员；建立健全各岗位安全生产责任制、安全操作规程及其他各项规章制度，并严格遵守、执行；定期或不定期对从业人员进行专业技术培训、安全教育培训等。</w:t>
                  </w:r>
                </w:p>
                <w:p w14:paraId="12A3DE31">
                  <w:pPr>
                    <w:adjustRightInd w:val="0"/>
                    <w:snapToGrid w:val="0"/>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③原料进库设立管理岗位，严格执行管理制度，防止物料泄漏。</w:t>
                  </w:r>
                </w:p>
                <w:p w14:paraId="79C2BD3E">
                  <w:pPr>
                    <w:adjustRightInd w:val="0"/>
                    <w:snapToGrid w:val="0"/>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④各类危险物品计划采购、分期分批入库，严格控制贮存量。</w:t>
                  </w:r>
                </w:p>
                <w:p w14:paraId="00792998">
                  <w:pPr>
                    <w:adjustRightInd w:val="0"/>
                    <w:snapToGrid w:val="0"/>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⑤仓库严禁烟火，且消防设施要齐全。仓库通风、阴凉、干燥，防止热胀冷缩，发生意外，与明火或普通电气设备的间距不小于10m。</w:t>
                  </w:r>
                </w:p>
                <w:p w14:paraId="59662F1C">
                  <w:pPr>
                    <w:adjustRightInd w:val="0"/>
                    <w:snapToGrid w:val="0"/>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⑥危险废物分类存放到符合要求的仓库或指定地点，做好进出库管理，及时登记，账物相符，并做好贮存场所和危废包装的标识工作。危废暂存场所满足防风、防雨、防晒、防渗漏要求；地面与裙脚要用坚固、防渗的材料建造，建筑材料必须与危险废物相容。通道、出入口和通向消防设施的道路保持畅通，同时堆场配置合格的消防器材，并确保其处于完好状态。</w:t>
                  </w:r>
                </w:p>
                <w:p w14:paraId="5B9153E5">
                  <w:pPr>
                    <w:adjustRightInd w:val="0"/>
                    <w:snapToGrid w:val="0"/>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⑦加强对设备的维修管理，保持车间通风透气。</w:t>
                  </w:r>
                </w:p>
                <w:p w14:paraId="16DBD140">
                  <w:pPr>
                    <w:adjustRightInd w:val="0"/>
                    <w:snapToGrid w:val="0"/>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⑧加强运输过程中的安全防火工作，运输车辆配备防火、灭火器材，严禁与易燃易爆物混合装箱运输；如发生交通事故和火灾，立即采取急救措施并及时向当地环保局等有关部门报告。</w:t>
                  </w:r>
                </w:p>
                <w:p w14:paraId="48B03F51">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rPr>
                    <w:t>企业需配置一定数量的灭火器、消防沙等应急物资，需及时应对发生的泄漏事故。</w:t>
                  </w:r>
                </w:p>
              </w:tc>
            </w:tr>
            <w:tr w14:paraId="58A0A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2" w:type="pct"/>
                  <w:noWrap w:val="0"/>
                  <w:vAlign w:val="center"/>
                </w:tcPr>
                <w:p w14:paraId="374A700F">
                  <w:pPr>
                    <w:adjustRightInd w:val="0"/>
                    <w:snapToGrid w:val="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填表说明</w:t>
                  </w:r>
                </w:p>
                <w:p w14:paraId="6B3CD1E6">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（列出项目相关信息及评价说明）</w:t>
                  </w:r>
                </w:p>
              </w:tc>
              <w:tc>
                <w:tcPr>
                  <w:tcW w:w="4187" w:type="pct"/>
                  <w:gridSpan w:val="5"/>
                  <w:noWrap w:val="0"/>
                  <w:vAlign w:val="center"/>
                </w:tcPr>
                <w:p w14:paraId="7867790C">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本表根据《建设项目环境风险评价技术导则》（HJ 169-2018）中“简单分析”工作等级在危险物质、环境影响途径、环境危害后果、风险防范措施等方面给出定性的说明。</w:t>
                  </w:r>
                </w:p>
              </w:tc>
            </w:tr>
          </w:tbl>
          <w:p w14:paraId="4392D3B7">
            <w:pPr>
              <w:adjustRightInd w:val="0"/>
              <w:snapToGrid w:val="0"/>
              <w:spacing w:before="120" w:beforeLines="50"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八、电磁辐射</w:t>
            </w:r>
          </w:p>
          <w:p w14:paraId="0B7A55B8">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本项目不涉及电磁辐射。</w:t>
            </w:r>
          </w:p>
          <w:p w14:paraId="7C470E44">
            <w:pPr>
              <w:adjustRightInd w:val="0"/>
              <w:snapToGrid w:val="0"/>
              <w:spacing w:line="360" w:lineRule="auto"/>
              <w:ind w:firstLine="482" w:firstLineChars="200"/>
              <w:jc w:val="left"/>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九、环境管理制度</w:t>
            </w:r>
          </w:p>
          <w:p w14:paraId="6FC35457">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1、环境管理</w:t>
            </w:r>
          </w:p>
          <w:p w14:paraId="4D48F2A6">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在采取环保治理工程措施解决本项目环境影响的同时，必须制定全面的企业环境管理计划，并设置专门从事环境管理的机构，可兼职配备环保人员1-2名，负责环境监督管理工作，同时要加强对管理人员的环保培训。</w:t>
            </w:r>
          </w:p>
          <w:p w14:paraId="2CF4CA71">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2、环境管理制度的建立</w:t>
            </w:r>
          </w:p>
          <w:p w14:paraId="26102D2F">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①污染防治设施管理制度</w:t>
            </w:r>
          </w:p>
          <w:p w14:paraId="2C6108EC">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对污染治理设施和管理必须与生产经营活动一起纳入企业的日常管理中，要建立岗位责任制，制定操作规程，建立管理台账。</w:t>
            </w:r>
          </w:p>
          <w:p w14:paraId="015082ED">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lang w:val="en-US" w:eastAsia="zh-CN"/>
              </w:rPr>
            </w:pPr>
            <w:r>
              <w:rPr>
                <w:rFonts w:hint="default" w:ascii="Times New Roman" w:hAnsi="Times New Roman" w:eastAsia="仿宋" w:cs="Times New Roman"/>
                <w:bCs/>
                <w:color w:val="auto"/>
                <w:sz w:val="24"/>
                <w:highlight w:val="none"/>
              </w:rPr>
              <w:t>②排污许可制度</w:t>
            </w:r>
          </w:p>
          <w:p w14:paraId="08E82BC6">
            <w:pPr>
              <w:adjustRightInd w:val="0"/>
              <w:snapToGrid w:val="0"/>
              <w:spacing w:line="360" w:lineRule="auto"/>
              <w:ind w:firstLine="480" w:firstLineChars="200"/>
              <w:jc w:val="both"/>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lang w:val="en-US" w:eastAsia="zh-CN"/>
              </w:rPr>
              <w:t>企业现有项目已取得排污许可登记（登记编号为91320413MA1X6WRB0M001Y），待</w:t>
            </w:r>
            <w:r>
              <w:rPr>
                <w:rFonts w:hint="default" w:ascii="Times New Roman" w:hAnsi="Times New Roman" w:eastAsia="仿宋" w:cs="Times New Roman"/>
                <w:bCs/>
                <w:color w:val="auto"/>
                <w:sz w:val="24"/>
                <w:highlight w:val="none"/>
              </w:rPr>
              <w:t>本项目通过生态环境部门审批后，需及时</w:t>
            </w:r>
            <w:r>
              <w:rPr>
                <w:rFonts w:hint="default" w:ascii="Times New Roman" w:hAnsi="Times New Roman" w:eastAsia="仿宋" w:cs="Times New Roman"/>
                <w:bCs/>
                <w:color w:val="auto"/>
                <w:sz w:val="24"/>
                <w:highlight w:val="none"/>
                <w:lang w:val="en-US" w:eastAsia="zh-CN"/>
              </w:rPr>
              <w:t>完善</w:t>
            </w:r>
            <w:r>
              <w:rPr>
                <w:rFonts w:hint="default" w:ascii="Times New Roman" w:hAnsi="Times New Roman" w:eastAsia="仿宋" w:cs="Times New Roman"/>
                <w:bCs/>
                <w:color w:val="auto"/>
                <w:sz w:val="24"/>
                <w:highlight w:val="none"/>
              </w:rPr>
              <w:t>排污许可</w:t>
            </w:r>
            <w:r>
              <w:rPr>
                <w:rFonts w:hint="default" w:ascii="Times New Roman" w:hAnsi="Times New Roman" w:eastAsia="仿宋" w:cs="Times New Roman"/>
                <w:bCs/>
                <w:color w:val="auto"/>
                <w:sz w:val="24"/>
                <w:highlight w:val="none"/>
                <w:lang w:val="en-US" w:eastAsia="zh-CN"/>
              </w:rPr>
              <w:t>手续</w:t>
            </w:r>
            <w:r>
              <w:rPr>
                <w:rFonts w:hint="default" w:ascii="Times New Roman" w:hAnsi="Times New Roman" w:eastAsia="仿宋" w:cs="Times New Roman"/>
                <w:bCs/>
                <w:color w:val="auto"/>
                <w:sz w:val="24"/>
                <w:highlight w:val="none"/>
              </w:rPr>
              <w:t>。</w:t>
            </w:r>
          </w:p>
          <w:p w14:paraId="23D02736">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3、排污口规范化设置</w:t>
            </w:r>
          </w:p>
          <w:p w14:paraId="75DE428E">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按照《江苏省排污口设置及规范化整治管理办法》[苏环控（97）122号]要求，该建设项目废水排放口、固定噪声源扰民处、固废堆放处必须进行规范化设置。</w:t>
            </w:r>
          </w:p>
          <w:p w14:paraId="360B8BDA">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（1）废气排气筒规范化</w:t>
            </w:r>
          </w:p>
          <w:p w14:paraId="20C61170">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本项目废气排放口应按要求装好标志牌。有组织排放废气的排气筒高度应符合国家大气污染物排放标准的有关规定，并设置永久采样孔。采样孔、点数目和位置应按《固定污染源排气中颗粒物测定与气态污染物采样方法》（GB/T16157-1996）的规定设置，废气排放口的环保图形标志应设在排气筒</w:t>
            </w:r>
            <w:r>
              <w:rPr>
                <w:rFonts w:hint="default" w:ascii="Times New Roman" w:hAnsi="Times New Roman" w:eastAsia="仿宋" w:cs="Times New Roman"/>
                <w:bCs/>
                <w:color w:val="auto"/>
                <w:sz w:val="24"/>
                <w:highlight w:val="none"/>
                <w:lang w:val="en-US" w:eastAsia="zh-CN"/>
              </w:rPr>
              <w:t>附近</w:t>
            </w:r>
            <w:r>
              <w:rPr>
                <w:rFonts w:hint="default" w:ascii="Times New Roman" w:hAnsi="Times New Roman" w:eastAsia="仿宋" w:cs="Times New Roman"/>
                <w:bCs/>
                <w:color w:val="auto"/>
                <w:sz w:val="24"/>
                <w:highlight w:val="none"/>
              </w:rPr>
              <w:t>地面醒目处。</w:t>
            </w:r>
          </w:p>
          <w:p w14:paraId="78979317">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（2）废水排放口规范化设置</w:t>
            </w:r>
          </w:p>
          <w:p w14:paraId="22A25B9F">
            <w:pPr>
              <w:snapToGrid w:val="0"/>
              <w:spacing w:line="360" w:lineRule="auto"/>
              <w:ind w:firstLine="480" w:firstLineChars="200"/>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本项目依托</w:t>
            </w:r>
            <w:r>
              <w:rPr>
                <w:rFonts w:hint="default" w:ascii="Times New Roman" w:hAnsi="Times New Roman" w:eastAsia="仿宋" w:cs="Times New Roman"/>
                <w:color w:val="auto"/>
                <w:sz w:val="24"/>
                <w:highlight w:val="none"/>
                <w:lang w:val="en-US" w:eastAsia="zh-CN"/>
              </w:rPr>
              <w:t>园区</w:t>
            </w:r>
            <w:r>
              <w:rPr>
                <w:rFonts w:hint="default" w:ascii="Times New Roman" w:hAnsi="Times New Roman" w:eastAsia="仿宋" w:cs="Times New Roman"/>
                <w:color w:val="auto"/>
                <w:sz w:val="24"/>
                <w:highlight w:val="none"/>
              </w:rPr>
              <w:t>现有1个雨水排放口、1个污水</w:t>
            </w:r>
            <w:r>
              <w:rPr>
                <w:rFonts w:hint="default" w:ascii="Times New Roman" w:hAnsi="Times New Roman" w:eastAsia="仿宋" w:cs="Times New Roman"/>
                <w:color w:val="auto"/>
                <w:sz w:val="24"/>
                <w:highlight w:val="none"/>
                <w:lang w:val="en-US" w:eastAsia="zh-CN"/>
              </w:rPr>
              <w:t>排放</w:t>
            </w:r>
            <w:r>
              <w:rPr>
                <w:rFonts w:hint="default" w:ascii="Times New Roman" w:hAnsi="Times New Roman" w:eastAsia="仿宋" w:cs="Times New Roman"/>
                <w:color w:val="auto"/>
                <w:sz w:val="24"/>
                <w:highlight w:val="none"/>
              </w:rPr>
              <w:t>口，不另行设置。雨、污排放口</w:t>
            </w:r>
            <w:r>
              <w:rPr>
                <w:rFonts w:hint="eastAsia" w:eastAsia="仿宋" w:cs="Times New Roman"/>
                <w:color w:val="auto"/>
                <w:sz w:val="24"/>
                <w:highlight w:val="none"/>
                <w:lang w:val="en-US" w:eastAsia="zh-CN"/>
              </w:rPr>
              <w:t>已</w:t>
            </w:r>
            <w:r>
              <w:rPr>
                <w:rFonts w:hint="default" w:ascii="Times New Roman" w:hAnsi="Times New Roman" w:eastAsia="仿宋" w:cs="Times New Roman"/>
                <w:color w:val="auto"/>
                <w:sz w:val="24"/>
                <w:highlight w:val="none"/>
              </w:rPr>
              <w:t>按江苏省环保厅《江苏省排污口设置及规范化整治管理办法》中相关规定进行规范化设置。</w:t>
            </w:r>
          </w:p>
          <w:p w14:paraId="5C1C7910">
            <w:pPr>
              <w:adjustRightInd w:val="0"/>
              <w:snapToGrid w:val="0"/>
              <w:spacing w:line="360" w:lineRule="auto"/>
              <w:ind w:firstLine="480" w:firstLineChars="200"/>
              <w:jc w:val="left"/>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（3）固废堆放规范化整治</w:t>
            </w:r>
          </w:p>
          <w:p w14:paraId="5A273632">
            <w:pPr>
              <w:adjustRightInd w:val="0"/>
              <w:snapToGrid w:val="0"/>
              <w:spacing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sz w:val="24"/>
              </w:rPr>
              <w:t>本项目依托现有</w:t>
            </w:r>
            <w:r>
              <w:rPr>
                <w:rFonts w:hint="default" w:ascii="Times New Roman" w:hAnsi="Times New Roman" w:eastAsia="仿宋" w:cs="Times New Roman"/>
                <w:bCs/>
                <w:sz w:val="24"/>
                <w:lang w:val="en-US" w:eastAsia="zh-CN"/>
              </w:rPr>
              <w:t>占地面积2</w:t>
            </w:r>
            <w:r>
              <w:rPr>
                <w:rFonts w:hint="default" w:ascii="Times New Roman" w:hAnsi="Times New Roman" w:eastAsia="仿宋" w:cs="Times New Roman"/>
                <w:bCs/>
                <w:sz w:val="24"/>
                <w:lang w:eastAsia="zh-CN"/>
              </w:rPr>
              <w:t>0</w:t>
            </w:r>
            <w:r>
              <w:rPr>
                <w:rFonts w:hint="default" w:ascii="Times New Roman" w:hAnsi="Times New Roman" w:eastAsia="仿宋" w:cs="Times New Roman"/>
                <w:bCs/>
                <w:sz w:val="24"/>
              </w:rPr>
              <w:t>m</w:t>
            </w:r>
            <w:r>
              <w:rPr>
                <w:rFonts w:hint="default" w:ascii="Times New Roman" w:hAnsi="Times New Roman" w:eastAsia="仿宋" w:cs="Times New Roman"/>
                <w:bCs/>
                <w:sz w:val="24"/>
                <w:vertAlign w:val="superscript"/>
                <w:lang w:val="en-US" w:eastAsia="zh-CN"/>
              </w:rPr>
              <w:t>2</w:t>
            </w:r>
            <w:r>
              <w:rPr>
                <w:rFonts w:hint="default" w:ascii="Times New Roman" w:hAnsi="Times New Roman" w:eastAsia="仿宋" w:cs="Times New Roman"/>
                <w:bCs/>
                <w:sz w:val="24"/>
              </w:rPr>
              <w:t>的危废仓库和</w:t>
            </w:r>
            <w:r>
              <w:rPr>
                <w:rFonts w:hint="default" w:ascii="Times New Roman" w:hAnsi="Times New Roman" w:eastAsia="仿宋" w:cs="Times New Roman"/>
                <w:bCs/>
                <w:sz w:val="24"/>
                <w:lang w:val="en-US" w:eastAsia="zh-CN"/>
              </w:rPr>
              <w:t>占地面积2</w:t>
            </w:r>
            <w:r>
              <w:rPr>
                <w:rFonts w:hint="default" w:ascii="Times New Roman" w:hAnsi="Times New Roman" w:eastAsia="仿宋" w:cs="Times New Roman"/>
                <w:bCs/>
                <w:sz w:val="24"/>
              </w:rPr>
              <w:t>0m</w:t>
            </w:r>
            <w:r>
              <w:rPr>
                <w:rFonts w:hint="default" w:ascii="Times New Roman" w:hAnsi="Times New Roman" w:eastAsia="仿宋" w:cs="Times New Roman"/>
                <w:bCs/>
                <w:sz w:val="24"/>
                <w:vertAlign w:val="superscript"/>
                <w:lang w:val="en-US" w:eastAsia="zh-CN"/>
              </w:rPr>
              <w:t>2</w:t>
            </w:r>
            <w:r>
              <w:rPr>
                <w:rFonts w:hint="default" w:ascii="Times New Roman" w:hAnsi="Times New Roman" w:eastAsia="仿宋" w:cs="Times New Roman"/>
                <w:bCs/>
                <w:sz w:val="24"/>
              </w:rPr>
              <w:t>的一般</w:t>
            </w:r>
            <w:r>
              <w:rPr>
                <w:rFonts w:hint="default" w:ascii="Times New Roman" w:hAnsi="Times New Roman" w:eastAsia="仿宋" w:cs="Times New Roman"/>
                <w:bCs/>
                <w:sz w:val="24"/>
                <w:highlight w:val="none"/>
              </w:rPr>
              <w:t>固废</w:t>
            </w:r>
            <w:r>
              <w:rPr>
                <w:rFonts w:hint="default" w:ascii="Times New Roman" w:hAnsi="Times New Roman" w:eastAsia="仿宋" w:cs="Times New Roman"/>
                <w:bCs/>
                <w:sz w:val="24"/>
                <w:highlight w:val="none"/>
                <w:lang w:val="en-US" w:eastAsia="zh-CN"/>
              </w:rPr>
              <w:t>仓库</w:t>
            </w:r>
            <w:r>
              <w:rPr>
                <w:rFonts w:hint="default" w:ascii="Times New Roman" w:hAnsi="Times New Roman" w:eastAsia="仿宋" w:cs="Times New Roman"/>
                <w:bCs/>
                <w:sz w:val="24"/>
              </w:rPr>
              <w:t>，固废堆场应设置环境保护图形标志牌，将工业固废分开堆放，做到防扬散、防渗漏，确保不对周围环境形成二次污染。</w:t>
            </w:r>
          </w:p>
          <w:p w14:paraId="52912577">
            <w:pPr>
              <w:wordWrap w:val="0"/>
              <w:adjustRightInd w:val="0"/>
              <w:snapToGrid w:val="0"/>
              <w:spacing w:line="360" w:lineRule="auto"/>
              <w:ind w:firstLine="480" w:firstLineChars="200"/>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Cs/>
                <w:color w:val="auto"/>
                <w:sz w:val="24"/>
                <w:highlight w:val="none"/>
              </w:rPr>
              <w:t>在厂区的废气排放源、废水排放口、固废堆放处应设置环境保护图形标志，图形符号分为提示图形和警告图形符号两种，分别按GB15562.1-1995、GB 15562.2-1995及其修改单、《危险废物识别标志设置技术规范》（HJ1276-2022）执行。环境保护图形标志的形状及颜色见表4-</w:t>
            </w:r>
            <w:r>
              <w:rPr>
                <w:rFonts w:hint="default" w:ascii="Times New Roman" w:hAnsi="Times New Roman" w:eastAsia="仿宋" w:cs="Times New Roman"/>
                <w:bCs/>
                <w:color w:val="auto"/>
                <w:sz w:val="24"/>
                <w:highlight w:val="none"/>
                <w:lang w:val="en-US" w:eastAsia="zh-CN"/>
              </w:rPr>
              <w:t>4</w:t>
            </w:r>
            <w:r>
              <w:rPr>
                <w:rFonts w:hint="eastAsia" w:eastAsia="仿宋" w:cs="Times New Roman"/>
                <w:bCs/>
                <w:color w:val="auto"/>
                <w:sz w:val="24"/>
                <w:highlight w:val="none"/>
                <w:lang w:val="en-US" w:eastAsia="zh-CN"/>
              </w:rPr>
              <w:t>5</w:t>
            </w:r>
            <w:r>
              <w:rPr>
                <w:rFonts w:hint="default" w:ascii="Times New Roman" w:hAnsi="Times New Roman" w:eastAsia="仿宋" w:cs="Times New Roman"/>
                <w:bCs/>
                <w:color w:val="auto"/>
                <w:sz w:val="24"/>
                <w:highlight w:val="none"/>
              </w:rPr>
              <w:t>，环境保护图形符号见表4-</w:t>
            </w:r>
            <w:r>
              <w:rPr>
                <w:rFonts w:hint="default" w:ascii="Times New Roman" w:hAnsi="Times New Roman" w:eastAsia="仿宋" w:cs="Times New Roman"/>
                <w:bCs/>
                <w:color w:val="auto"/>
                <w:sz w:val="24"/>
                <w:highlight w:val="none"/>
                <w:lang w:val="en-US" w:eastAsia="zh-CN"/>
              </w:rPr>
              <w:t>4</w:t>
            </w:r>
            <w:r>
              <w:rPr>
                <w:rFonts w:hint="eastAsia" w:eastAsia="仿宋" w:cs="Times New Roman"/>
                <w:bCs/>
                <w:color w:val="auto"/>
                <w:sz w:val="24"/>
                <w:highlight w:val="none"/>
                <w:lang w:val="en-US" w:eastAsia="zh-CN"/>
              </w:rPr>
              <w:t>6</w:t>
            </w:r>
            <w:r>
              <w:rPr>
                <w:rFonts w:hint="default" w:ascii="Times New Roman" w:hAnsi="Times New Roman" w:eastAsia="仿宋" w:cs="Times New Roman"/>
                <w:bCs/>
                <w:color w:val="auto"/>
                <w:sz w:val="24"/>
                <w:highlight w:val="none"/>
              </w:rPr>
              <w:t>，危险废物识别标识见表4-</w:t>
            </w:r>
            <w:r>
              <w:rPr>
                <w:rFonts w:hint="default" w:ascii="Times New Roman" w:hAnsi="Times New Roman" w:eastAsia="仿宋" w:cs="Times New Roman"/>
                <w:bCs/>
                <w:color w:val="auto"/>
                <w:sz w:val="24"/>
                <w:highlight w:val="none"/>
                <w:lang w:val="en-US" w:eastAsia="zh-CN"/>
              </w:rPr>
              <w:t>4</w:t>
            </w:r>
            <w:r>
              <w:rPr>
                <w:rFonts w:hint="eastAsia" w:eastAsia="仿宋" w:cs="Times New Roman"/>
                <w:bCs/>
                <w:color w:val="auto"/>
                <w:sz w:val="24"/>
                <w:highlight w:val="none"/>
                <w:lang w:val="en-US" w:eastAsia="zh-CN"/>
              </w:rPr>
              <w:t>7</w:t>
            </w:r>
            <w:r>
              <w:rPr>
                <w:rFonts w:hint="default" w:ascii="Times New Roman" w:hAnsi="Times New Roman" w:eastAsia="仿宋" w:cs="Times New Roman"/>
                <w:bCs/>
                <w:color w:val="auto"/>
                <w:sz w:val="24"/>
                <w:highlight w:val="none"/>
              </w:rPr>
              <w:t>。</w:t>
            </w:r>
          </w:p>
          <w:p w14:paraId="0EBBF26D">
            <w:pPr>
              <w:adjustRightInd w:val="0"/>
              <w:snapToGrid w:val="0"/>
              <w:jc w:val="center"/>
              <w:rPr>
                <w:rFonts w:hint="default" w:ascii="Times New Roman" w:hAnsi="Times New Roman" w:eastAsia="仿宋" w:cs="Times New Roman"/>
                <w:b/>
                <w:bCs/>
                <w:color w:val="auto"/>
                <w:sz w:val="24"/>
                <w:highlight w:val="none"/>
              </w:rPr>
            </w:pPr>
          </w:p>
          <w:p w14:paraId="4A2A3F59">
            <w:pPr>
              <w:adjustRightInd w:val="0"/>
              <w:snapToGrid w:val="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default" w:ascii="Times New Roman" w:hAnsi="Times New Roman" w:eastAsia="仿宋" w:cs="Times New Roman"/>
                <w:b/>
                <w:bCs/>
                <w:color w:val="auto"/>
                <w:sz w:val="24"/>
                <w:highlight w:val="none"/>
                <w:lang w:val="en-US" w:eastAsia="zh-CN"/>
              </w:rPr>
              <w:t>4</w:t>
            </w:r>
            <w:r>
              <w:rPr>
                <w:rFonts w:hint="eastAsia" w:eastAsia="仿宋" w:cs="Times New Roman"/>
                <w:b/>
                <w:bCs/>
                <w:color w:val="auto"/>
                <w:sz w:val="24"/>
                <w:highlight w:val="none"/>
                <w:lang w:val="en-US" w:eastAsia="zh-CN"/>
              </w:rPr>
              <w:t>5</w:t>
            </w:r>
            <w:r>
              <w:rPr>
                <w:rFonts w:hint="default" w:ascii="Times New Roman" w:hAnsi="Times New Roman" w:eastAsia="仿宋" w:cs="Times New Roman"/>
                <w:b/>
                <w:bCs/>
                <w:color w:val="auto"/>
                <w:sz w:val="24"/>
                <w:highlight w:val="none"/>
              </w:rPr>
              <w:t xml:space="preserve">  环境保护图形标志的形状及颜色表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63"/>
              <w:gridCol w:w="1986"/>
              <w:gridCol w:w="1850"/>
              <w:gridCol w:w="1688"/>
              <w:gridCol w:w="1813"/>
            </w:tblGrid>
            <w:tr w14:paraId="5188F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3" w:type="pct"/>
                  <w:tcBorders>
                    <w:top w:val="single" w:color="auto" w:sz="12" w:space="0"/>
                    <w:left w:val="nil"/>
                    <w:bottom w:val="single" w:color="auto" w:sz="4" w:space="0"/>
                    <w:right w:val="single" w:color="auto" w:sz="4" w:space="0"/>
                  </w:tcBorders>
                  <w:noWrap w:val="0"/>
                  <w:vAlign w:val="center"/>
                </w:tcPr>
                <w:p w14:paraId="2CE82D51">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highlight w:val="none"/>
                    </w:rPr>
                    <w:t>序号</w:t>
                  </w:r>
                </w:p>
              </w:tc>
              <w:tc>
                <w:tcPr>
                  <w:tcW w:w="1182" w:type="pct"/>
                  <w:tcBorders>
                    <w:top w:val="single" w:color="auto" w:sz="12" w:space="0"/>
                    <w:left w:val="single" w:color="auto" w:sz="4" w:space="0"/>
                    <w:bottom w:val="single" w:color="auto" w:sz="4" w:space="0"/>
                    <w:right w:val="single" w:color="auto" w:sz="4" w:space="0"/>
                  </w:tcBorders>
                  <w:noWrap w:val="0"/>
                  <w:vAlign w:val="center"/>
                </w:tcPr>
                <w:p w14:paraId="36F0922E">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highlight w:val="none"/>
                    </w:rPr>
                    <w:t>标志名称</w:t>
                  </w:r>
                </w:p>
              </w:tc>
              <w:tc>
                <w:tcPr>
                  <w:tcW w:w="1101" w:type="pct"/>
                  <w:tcBorders>
                    <w:top w:val="single" w:color="auto" w:sz="12" w:space="0"/>
                    <w:left w:val="single" w:color="auto" w:sz="4" w:space="0"/>
                    <w:bottom w:val="single" w:color="auto" w:sz="4" w:space="0"/>
                    <w:right w:val="single" w:color="auto" w:sz="4" w:space="0"/>
                  </w:tcBorders>
                  <w:noWrap w:val="0"/>
                  <w:vAlign w:val="center"/>
                </w:tcPr>
                <w:p w14:paraId="0257C9DD">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highlight w:val="none"/>
                    </w:rPr>
                    <w:t>形状</w:t>
                  </w:r>
                </w:p>
              </w:tc>
              <w:tc>
                <w:tcPr>
                  <w:tcW w:w="1005" w:type="pct"/>
                  <w:tcBorders>
                    <w:top w:val="single" w:color="auto" w:sz="12" w:space="0"/>
                    <w:left w:val="single" w:color="auto" w:sz="4" w:space="0"/>
                    <w:bottom w:val="single" w:color="auto" w:sz="4" w:space="0"/>
                    <w:right w:val="single" w:color="auto" w:sz="4" w:space="0"/>
                  </w:tcBorders>
                  <w:noWrap w:val="0"/>
                  <w:vAlign w:val="center"/>
                </w:tcPr>
                <w:p w14:paraId="1DA53B29">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highlight w:val="none"/>
                    </w:rPr>
                    <w:t>背景颜色</w:t>
                  </w:r>
                </w:p>
              </w:tc>
              <w:tc>
                <w:tcPr>
                  <w:tcW w:w="1079" w:type="pct"/>
                  <w:tcBorders>
                    <w:top w:val="single" w:color="auto" w:sz="12" w:space="0"/>
                    <w:left w:val="single" w:color="auto" w:sz="4" w:space="0"/>
                    <w:bottom w:val="single" w:color="auto" w:sz="4" w:space="0"/>
                    <w:right w:val="nil"/>
                  </w:tcBorders>
                  <w:noWrap w:val="0"/>
                  <w:vAlign w:val="center"/>
                </w:tcPr>
                <w:p w14:paraId="79557AC4">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highlight w:val="none"/>
                    </w:rPr>
                    <w:t>图形颜色</w:t>
                  </w:r>
                </w:p>
              </w:tc>
            </w:tr>
            <w:tr w14:paraId="57844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3" w:type="pct"/>
                  <w:tcBorders>
                    <w:top w:val="single" w:color="auto" w:sz="4" w:space="0"/>
                    <w:left w:val="nil"/>
                    <w:bottom w:val="single" w:color="auto" w:sz="4" w:space="0"/>
                    <w:right w:val="single" w:color="auto" w:sz="4" w:space="0"/>
                  </w:tcBorders>
                  <w:noWrap w:val="0"/>
                  <w:vAlign w:val="center"/>
                </w:tcPr>
                <w:p w14:paraId="69C296D8">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1</w:t>
                  </w:r>
                </w:p>
              </w:tc>
              <w:tc>
                <w:tcPr>
                  <w:tcW w:w="1182" w:type="pct"/>
                  <w:tcBorders>
                    <w:top w:val="single" w:color="auto" w:sz="4" w:space="0"/>
                    <w:left w:val="single" w:color="auto" w:sz="4" w:space="0"/>
                    <w:bottom w:val="single" w:color="auto" w:sz="4" w:space="0"/>
                    <w:right w:val="single" w:color="auto" w:sz="4" w:space="0"/>
                  </w:tcBorders>
                  <w:noWrap w:val="0"/>
                  <w:vAlign w:val="center"/>
                </w:tcPr>
                <w:p w14:paraId="33D9878F">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警告标志</w:t>
                  </w:r>
                </w:p>
              </w:tc>
              <w:tc>
                <w:tcPr>
                  <w:tcW w:w="1101" w:type="pct"/>
                  <w:tcBorders>
                    <w:top w:val="single" w:color="auto" w:sz="4" w:space="0"/>
                    <w:left w:val="single" w:color="auto" w:sz="4" w:space="0"/>
                    <w:bottom w:val="single" w:color="auto" w:sz="4" w:space="0"/>
                    <w:right w:val="single" w:color="auto" w:sz="4" w:space="0"/>
                  </w:tcBorders>
                  <w:noWrap w:val="0"/>
                  <w:vAlign w:val="center"/>
                </w:tcPr>
                <w:p w14:paraId="39505CF4">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三角形边框</w:t>
                  </w:r>
                </w:p>
              </w:tc>
              <w:tc>
                <w:tcPr>
                  <w:tcW w:w="1005" w:type="pct"/>
                  <w:tcBorders>
                    <w:top w:val="single" w:color="auto" w:sz="4" w:space="0"/>
                    <w:left w:val="single" w:color="auto" w:sz="4" w:space="0"/>
                    <w:bottom w:val="single" w:color="auto" w:sz="4" w:space="0"/>
                    <w:right w:val="single" w:color="auto" w:sz="4" w:space="0"/>
                  </w:tcBorders>
                  <w:noWrap w:val="0"/>
                  <w:vAlign w:val="center"/>
                </w:tcPr>
                <w:p w14:paraId="4E829AC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黄色</w:t>
                  </w:r>
                </w:p>
              </w:tc>
              <w:tc>
                <w:tcPr>
                  <w:tcW w:w="1079" w:type="pct"/>
                  <w:tcBorders>
                    <w:top w:val="single" w:color="auto" w:sz="4" w:space="0"/>
                    <w:left w:val="single" w:color="auto" w:sz="4" w:space="0"/>
                    <w:bottom w:val="single" w:color="auto" w:sz="4" w:space="0"/>
                    <w:right w:val="nil"/>
                  </w:tcBorders>
                  <w:noWrap w:val="0"/>
                  <w:vAlign w:val="center"/>
                </w:tcPr>
                <w:p w14:paraId="3D099E5B">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黑色</w:t>
                  </w:r>
                </w:p>
              </w:tc>
            </w:tr>
            <w:tr w14:paraId="4F23D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3" w:type="pct"/>
                  <w:tcBorders>
                    <w:top w:val="single" w:color="auto" w:sz="4" w:space="0"/>
                    <w:left w:val="nil"/>
                    <w:bottom w:val="single" w:color="auto" w:sz="12" w:space="0"/>
                    <w:right w:val="single" w:color="auto" w:sz="4" w:space="0"/>
                  </w:tcBorders>
                  <w:noWrap w:val="0"/>
                  <w:vAlign w:val="center"/>
                </w:tcPr>
                <w:p w14:paraId="1EF5F2EA">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2</w:t>
                  </w:r>
                </w:p>
              </w:tc>
              <w:tc>
                <w:tcPr>
                  <w:tcW w:w="1182" w:type="pct"/>
                  <w:tcBorders>
                    <w:top w:val="single" w:color="auto" w:sz="4" w:space="0"/>
                    <w:left w:val="single" w:color="auto" w:sz="4" w:space="0"/>
                    <w:bottom w:val="single" w:color="auto" w:sz="12" w:space="0"/>
                    <w:right w:val="single" w:color="auto" w:sz="4" w:space="0"/>
                  </w:tcBorders>
                  <w:noWrap w:val="0"/>
                  <w:vAlign w:val="center"/>
                </w:tcPr>
                <w:p w14:paraId="0DC0064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提示标志</w:t>
                  </w:r>
                </w:p>
              </w:tc>
              <w:tc>
                <w:tcPr>
                  <w:tcW w:w="1101" w:type="pct"/>
                  <w:tcBorders>
                    <w:top w:val="single" w:color="auto" w:sz="4" w:space="0"/>
                    <w:left w:val="single" w:color="auto" w:sz="4" w:space="0"/>
                    <w:bottom w:val="single" w:color="auto" w:sz="12" w:space="0"/>
                    <w:right w:val="single" w:color="auto" w:sz="4" w:space="0"/>
                  </w:tcBorders>
                  <w:noWrap w:val="0"/>
                  <w:vAlign w:val="center"/>
                </w:tcPr>
                <w:p w14:paraId="31406E9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正方形边框</w:t>
                  </w:r>
                </w:p>
              </w:tc>
              <w:tc>
                <w:tcPr>
                  <w:tcW w:w="1005" w:type="pct"/>
                  <w:tcBorders>
                    <w:top w:val="single" w:color="auto" w:sz="4" w:space="0"/>
                    <w:left w:val="single" w:color="auto" w:sz="4" w:space="0"/>
                    <w:bottom w:val="single" w:color="auto" w:sz="12" w:space="0"/>
                    <w:right w:val="single" w:color="auto" w:sz="4" w:space="0"/>
                  </w:tcBorders>
                  <w:noWrap w:val="0"/>
                  <w:vAlign w:val="center"/>
                </w:tcPr>
                <w:p w14:paraId="5D45C2B3">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绿色</w:t>
                  </w:r>
                </w:p>
              </w:tc>
              <w:tc>
                <w:tcPr>
                  <w:tcW w:w="1079" w:type="pct"/>
                  <w:tcBorders>
                    <w:top w:val="single" w:color="auto" w:sz="4" w:space="0"/>
                    <w:left w:val="single" w:color="auto" w:sz="4" w:space="0"/>
                    <w:bottom w:val="single" w:color="auto" w:sz="12" w:space="0"/>
                    <w:right w:val="nil"/>
                  </w:tcBorders>
                  <w:noWrap w:val="0"/>
                  <w:vAlign w:val="center"/>
                </w:tcPr>
                <w:p w14:paraId="6A4F0955">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白色</w:t>
                  </w:r>
                </w:p>
              </w:tc>
            </w:tr>
          </w:tbl>
          <w:p w14:paraId="69759880">
            <w:pPr>
              <w:adjustRightInd w:val="0"/>
              <w:snapToGrid w:val="0"/>
              <w:spacing w:before="120" w:beforeLines="50"/>
              <w:jc w:val="center"/>
              <w:rPr>
                <w:rFonts w:hint="default" w:ascii="Times New Roman" w:hAnsi="Times New Roman" w:eastAsia="仿宋" w:cs="Times New Roman"/>
                <w:b/>
                <w:bCs/>
                <w:color w:val="auto"/>
                <w:sz w:val="24"/>
                <w:highlight w:val="none"/>
              </w:rPr>
            </w:pPr>
            <w:r>
              <w:rPr>
                <w:rFonts w:hint="default" w:ascii="Times New Roman" w:hAnsi="Times New Roman" w:eastAsia="仿宋" w:cs="Times New Roman"/>
                <w:b/>
                <w:bCs/>
                <w:color w:val="auto"/>
                <w:sz w:val="24"/>
                <w:highlight w:val="none"/>
              </w:rPr>
              <w:t>表4-</w:t>
            </w:r>
            <w:r>
              <w:rPr>
                <w:rFonts w:hint="default" w:ascii="Times New Roman" w:hAnsi="Times New Roman" w:eastAsia="仿宋" w:cs="Times New Roman"/>
                <w:b/>
                <w:bCs/>
                <w:color w:val="auto"/>
                <w:sz w:val="24"/>
                <w:highlight w:val="none"/>
                <w:lang w:val="en-US" w:eastAsia="zh-CN"/>
              </w:rPr>
              <w:t>4</w:t>
            </w:r>
            <w:r>
              <w:rPr>
                <w:rFonts w:hint="eastAsia" w:eastAsia="仿宋" w:cs="Times New Roman"/>
                <w:b/>
                <w:bCs/>
                <w:color w:val="auto"/>
                <w:sz w:val="24"/>
                <w:highlight w:val="none"/>
                <w:lang w:val="en-US" w:eastAsia="zh-CN"/>
              </w:rPr>
              <w:t>6</w:t>
            </w:r>
            <w:r>
              <w:rPr>
                <w:rFonts w:hint="default" w:ascii="Times New Roman" w:hAnsi="Times New Roman" w:eastAsia="仿宋" w:cs="Times New Roman"/>
                <w:b/>
                <w:bCs/>
                <w:color w:val="auto"/>
                <w:sz w:val="24"/>
                <w:highlight w:val="none"/>
              </w:rPr>
              <w:t xml:space="preserve">  环境保护图形符号一览表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59"/>
              <w:gridCol w:w="2187"/>
              <w:gridCol w:w="2397"/>
              <w:gridCol w:w="879"/>
              <w:gridCol w:w="2278"/>
            </w:tblGrid>
            <w:tr w14:paraId="0BA1F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1" w:hRule="atLeast"/>
              </w:trPr>
              <w:tc>
                <w:tcPr>
                  <w:tcW w:w="392" w:type="pct"/>
                  <w:noWrap w:val="0"/>
                  <w:vAlign w:val="center"/>
                </w:tcPr>
                <w:p w14:paraId="68A32A1E">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序号</w:t>
                  </w:r>
                </w:p>
              </w:tc>
              <w:tc>
                <w:tcPr>
                  <w:tcW w:w="1301" w:type="pct"/>
                  <w:noWrap w:val="0"/>
                  <w:vAlign w:val="center"/>
                </w:tcPr>
                <w:p w14:paraId="14AD8AB7">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提示图形符号</w:t>
                  </w:r>
                </w:p>
              </w:tc>
              <w:tc>
                <w:tcPr>
                  <w:tcW w:w="1426" w:type="pct"/>
                  <w:noWrap w:val="0"/>
                  <w:vAlign w:val="center"/>
                </w:tcPr>
                <w:p w14:paraId="427624EB">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警告图形符号</w:t>
                  </w:r>
                </w:p>
              </w:tc>
              <w:tc>
                <w:tcPr>
                  <w:tcW w:w="523" w:type="pct"/>
                  <w:noWrap w:val="0"/>
                  <w:vAlign w:val="center"/>
                </w:tcPr>
                <w:p w14:paraId="36955CDD">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名称</w:t>
                  </w:r>
                </w:p>
              </w:tc>
              <w:tc>
                <w:tcPr>
                  <w:tcW w:w="1355" w:type="pct"/>
                  <w:noWrap w:val="0"/>
                  <w:vAlign w:val="center"/>
                </w:tcPr>
                <w:p w14:paraId="0E3323B9">
                  <w:pPr>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功能</w:t>
                  </w:r>
                </w:p>
              </w:tc>
            </w:tr>
            <w:tr w14:paraId="63E0C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81" w:hRule="atLeast"/>
              </w:trPr>
              <w:tc>
                <w:tcPr>
                  <w:tcW w:w="392" w:type="pct"/>
                  <w:noWrap w:val="0"/>
                  <w:vAlign w:val="center"/>
                </w:tcPr>
                <w:p w14:paraId="32D58E2D">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w:t>
                  </w:r>
                </w:p>
              </w:tc>
              <w:tc>
                <w:tcPr>
                  <w:tcW w:w="1301" w:type="pct"/>
                  <w:noWrap w:val="0"/>
                  <w:vAlign w:val="center"/>
                </w:tcPr>
                <w:p w14:paraId="3B3BFBEB">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drawing>
                      <wp:inline distT="0" distB="0" distL="114300" distR="114300">
                        <wp:extent cx="680085" cy="672465"/>
                        <wp:effectExtent l="0" t="0" r="5715" b="13335"/>
                        <wp:docPr id="33" name="图片 100"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0" descr="wps2"/>
                                <pic:cNvPicPr>
                                  <a:picLocks noChangeAspect="1"/>
                                </pic:cNvPicPr>
                              </pic:nvPicPr>
                              <pic:blipFill>
                                <a:blip r:embed="rId70"/>
                                <a:stretch>
                                  <a:fillRect/>
                                </a:stretch>
                              </pic:blipFill>
                              <pic:spPr>
                                <a:xfrm>
                                  <a:off x="0" y="0"/>
                                  <a:ext cx="680085" cy="672465"/>
                                </a:xfrm>
                                <a:prstGeom prst="rect">
                                  <a:avLst/>
                                </a:prstGeom>
                                <a:noFill/>
                                <a:ln>
                                  <a:noFill/>
                                </a:ln>
                              </pic:spPr>
                            </pic:pic>
                          </a:graphicData>
                        </a:graphic>
                      </wp:inline>
                    </w:drawing>
                  </w:r>
                </w:p>
              </w:tc>
              <w:tc>
                <w:tcPr>
                  <w:tcW w:w="1426" w:type="pct"/>
                  <w:noWrap w:val="0"/>
                  <w:vAlign w:val="center"/>
                </w:tcPr>
                <w:p w14:paraId="6B414EE1">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drawing>
                      <wp:inline distT="0" distB="0" distL="114300" distR="114300">
                        <wp:extent cx="791845" cy="638810"/>
                        <wp:effectExtent l="0" t="0" r="8255" b="8890"/>
                        <wp:docPr id="34" name="图片 101"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1" descr="wps3"/>
                                <pic:cNvPicPr>
                                  <a:picLocks noChangeAspect="1"/>
                                </pic:cNvPicPr>
                              </pic:nvPicPr>
                              <pic:blipFill>
                                <a:blip r:embed="rId71"/>
                                <a:stretch>
                                  <a:fillRect/>
                                </a:stretch>
                              </pic:blipFill>
                              <pic:spPr>
                                <a:xfrm>
                                  <a:off x="0" y="0"/>
                                  <a:ext cx="791845" cy="638810"/>
                                </a:xfrm>
                                <a:prstGeom prst="rect">
                                  <a:avLst/>
                                </a:prstGeom>
                                <a:noFill/>
                                <a:ln>
                                  <a:noFill/>
                                </a:ln>
                              </pic:spPr>
                            </pic:pic>
                          </a:graphicData>
                        </a:graphic>
                      </wp:inline>
                    </w:drawing>
                  </w:r>
                </w:p>
              </w:tc>
              <w:tc>
                <w:tcPr>
                  <w:tcW w:w="523" w:type="pct"/>
                  <w:noWrap w:val="0"/>
                  <w:vAlign w:val="center"/>
                </w:tcPr>
                <w:p w14:paraId="0EB926E8">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废气排放口</w:t>
                  </w:r>
                </w:p>
              </w:tc>
              <w:tc>
                <w:tcPr>
                  <w:tcW w:w="1355" w:type="pct"/>
                  <w:noWrap w:val="0"/>
                  <w:vAlign w:val="center"/>
                </w:tcPr>
                <w:p w14:paraId="26C831EE">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表示废气向大气环境排放</w:t>
                  </w:r>
                </w:p>
              </w:tc>
            </w:tr>
            <w:tr w14:paraId="0072F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 w:hRule="atLeast"/>
              </w:trPr>
              <w:tc>
                <w:tcPr>
                  <w:tcW w:w="392" w:type="pct"/>
                  <w:noWrap w:val="0"/>
                  <w:vAlign w:val="center"/>
                </w:tcPr>
                <w:p w14:paraId="45D8D769">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w:t>
                  </w:r>
                </w:p>
              </w:tc>
              <w:tc>
                <w:tcPr>
                  <w:tcW w:w="1301" w:type="pct"/>
                  <w:noWrap w:val="0"/>
                  <w:vAlign w:val="center"/>
                </w:tcPr>
                <w:p w14:paraId="3F806937">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drawing>
                      <wp:inline distT="0" distB="0" distL="114300" distR="114300">
                        <wp:extent cx="709295" cy="662940"/>
                        <wp:effectExtent l="0" t="0" r="14605" b="3810"/>
                        <wp:docPr id="35" name="图片 102"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2" descr="wps4"/>
                                <pic:cNvPicPr>
                                  <a:picLocks noChangeAspect="1"/>
                                </pic:cNvPicPr>
                              </pic:nvPicPr>
                              <pic:blipFill>
                                <a:blip r:embed="rId72"/>
                                <a:stretch>
                                  <a:fillRect/>
                                </a:stretch>
                              </pic:blipFill>
                              <pic:spPr>
                                <a:xfrm>
                                  <a:off x="0" y="0"/>
                                  <a:ext cx="709295" cy="662940"/>
                                </a:xfrm>
                                <a:prstGeom prst="rect">
                                  <a:avLst/>
                                </a:prstGeom>
                                <a:noFill/>
                                <a:ln>
                                  <a:noFill/>
                                </a:ln>
                              </pic:spPr>
                            </pic:pic>
                          </a:graphicData>
                        </a:graphic>
                      </wp:inline>
                    </w:drawing>
                  </w:r>
                </w:p>
              </w:tc>
              <w:tc>
                <w:tcPr>
                  <w:tcW w:w="1426" w:type="pct"/>
                  <w:noWrap w:val="0"/>
                  <w:vAlign w:val="center"/>
                </w:tcPr>
                <w:p w14:paraId="518D65D9">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drawing>
                      <wp:inline distT="0" distB="0" distL="114300" distR="114300">
                        <wp:extent cx="724535" cy="612775"/>
                        <wp:effectExtent l="0" t="0" r="18415" b="15875"/>
                        <wp:docPr id="36" name="图片 103"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3" descr="wps5"/>
                                <pic:cNvPicPr>
                                  <a:picLocks noChangeAspect="1"/>
                                </pic:cNvPicPr>
                              </pic:nvPicPr>
                              <pic:blipFill>
                                <a:blip r:embed="rId73"/>
                                <a:stretch>
                                  <a:fillRect/>
                                </a:stretch>
                              </pic:blipFill>
                              <pic:spPr>
                                <a:xfrm>
                                  <a:off x="0" y="0"/>
                                  <a:ext cx="724535" cy="612775"/>
                                </a:xfrm>
                                <a:prstGeom prst="rect">
                                  <a:avLst/>
                                </a:prstGeom>
                                <a:noFill/>
                                <a:ln>
                                  <a:noFill/>
                                </a:ln>
                              </pic:spPr>
                            </pic:pic>
                          </a:graphicData>
                        </a:graphic>
                      </wp:inline>
                    </w:drawing>
                  </w:r>
                </w:p>
              </w:tc>
              <w:tc>
                <w:tcPr>
                  <w:tcW w:w="523" w:type="pct"/>
                  <w:noWrap w:val="0"/>
                  <w:vAlign w:val="center"/>
                </w:tcPr>
                <w:p w14:paraId="4420E16C">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噪声排放源</w:t>
                  </w:r>
                </w:p>
              </w:tc>
              <w:tc>
                <w:tcPr>
                  <w:tcW w:w="1355" w:type="pct"/>
                  <w:noWrap w:val="0"/>
                  <w:vAlign w:val="center"/>
                </w:tcPr>
                <w:p w14:paraId="6D080FC4">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表示噪声向外环境排放</w:t>
                  </w:r>
                </w:p>
              </w:tc>
            </w:tr>
            <w:tr w14:paraId="69D75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 w:hRule="atLeast"/>
              </w:trPr>
              <w:tc>
                <w:tcPr>
                  <w:tcW w:w="392" w:type="pct"/>
                  <w:noWrap w:val="0"/>
                  <w:vAlign w:val="center"/>
                </w:tcPr>
                <w:p w14:paraId="02B585F2">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w:t>
                  </w:r>
                </w:p>
              </w:tc>
              <w:tc>
                <w:tcPr>
                  <w:tcW w:w="1301" w:type="pct"/>
                  <w:noWrap w:val="0"/>
                  <w:vAlign w:val="center"/>
                </w:tcPr>
                <w:p w14:paraId="106EE76F">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
                      <w:color w:val="000000" w:themeColor="text1"/>
                      <w:sz w:val="24"/>
                      <w:szCs w:val="24"/>
                      <w:lang w:val="en-US" w:eastAsia="zh-CN"/>
                      <w14:textFill>
                        <w14:solidFill>
                          <w14:schemeClr w14:val="tx1"/>
                        </w14:solidFill>
                      </w14:textFill>
                    </w:rPr>
                    <w:drawing>
                      <wp:inline distT="0" distB="0" distL="114300" distR="114300">
                        <wp:extent cx="1102360" cy="718185"/>
                        <wp:effectExtent l="0" t="0" r="2540" b="5715"/>
                        <wp:docPr id="4" name="图片 4" descr="9223d83c2768774537adc43e1e11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223d83c2768774537adc43e1e11e86"/>
                                <pic:cNvPicPr>
                                  <a:picLocks noChangeAspect="1"/>
                                </pic:cNvPicPr>
                              </pic:nvPicPr>
                              <pic:blipFill>
                                <a:blip r:embed="rId74"/>
                                <a:srcRect l="22768" t="19700" r="24879" b="19754"/>
                                <a:stretch>
                                  <a:fillRect/>
                                </a:stretch>
                              </pic:blipFill>
                              <pic:spPr>
                                <a:xfrm>
                                  <a:off x="0" y="0"/>
                                  <a:ext cx="1102360" cy="718185"/>
                                </a:xfrm>
                                <a:prstGeom prst="rect">
                                  <a:avLst/>
                                </a:prstGeom>
                              </pic:spPr>
                            </pic:pic>
                          </a:graphicData>
                        </a:graphic>
                      </wp:inline>
                    </w:drawing>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已设置</w:t>
                  </w:r>
                  <w:r>
                    <w:rPr>
                      <w:rFonts w:hint="default" w:ascii="Times New Roman" w:hAnsi="Times New Roman" w:eastAsia="仿宋" w:cs="Times New Roman"/>
                      <w:szCs w:val="21"/>
                      <w:lang w:eastAsia="zh-CN"/>
                    </w:rPr>
                    <w:t>）</w:t>
                  </w:r>
                </w:p>
              </w:tc>
              <w:tc>
                <w:tcPr>
                  <w:tcW w:w="1426" w:type="pct"/>
                  <w:noWrap w:val="0"/>
                  <w:vAlign w:val="center"/>
                </w:tcPr>
                <w:p w14:paraId="4A2A545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drawing>
                      <wp:inline distT="0" distB="0" distL="114300" distR="114300">
                        <wp:extent cx="724535" cy="647065"/>
                        <wp:effectExtent l="0" t="0" r="18415" b="635"/>
                        <wp:docPr id="38" name="图片 105" descr="C:\Users\ADMINI~1\AppData\Local\Temp\WeChat Files\646b82a7f90118e33316e3ea2acd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5" descr="C:\Users\ADMINI~1\AppData\Local\Temp\WeChat Files\646b82a7f90118e33316e3ea2acd951.png"/>
                                <pic:cNvPicPr>
                                  <a:picLocks noChangeAspect="1"/>
                                </pic:cNvPicPr>
                              </pic:nvPicPr>
                              <pic:blipFill>
                                <a:blip r:embed="rId75"/>
                                <a:stretch>
                                  <a:fillRect/>
                                </a:stretch>
                              </pic:blipFill>
                              <pic:spPr>
                                <a:xfrm>
                                  <a:off x="0" y="0"/>
                                  <a:ext cx="724535" cy="647065"/>
                                </a:xfrm>
                                <a:prstGeom prst="rect">
                                  <a:avLst/>
                                </a:prstGeom>
                                <a:noFill/>
                                <a:ln>
                                  <a:noFill/>
                                </a:ln>
                              </pic:spPr>
                            </pic:pic>
                          </a:graphicData>
                        </a:graphic>
                      </wp:inline>
                    </w:drawing>
                  </w:r>
                </w:p>
              </w:tc>
              <w:tc>
                <w:tcPr>
                  <w:tcW w:w="523" w:type="pct"/>
                  <w:noWrap w:val="0"/>
                  <w:vAlign w:val="center"/>
                </w:tcPr>
                <w:p w14:paraId="7B1E0F89">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污水排放口</w:t>
                  </w:r>
                </w:p>
              </w:tc>
              <w:tc>
                <w:tcPr>
                  <w:tcW w:w="1355" w:type="pct"/>
                  <w:noWrap w:val="0"/>
                  <w:vAlign w:val="center"/>
                </w:tcPr>
                <w:p w14:paraId="429261F4">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表示污水向水体排放</w:t>
                  </w:r>
                </w:p>
              </w:tc>
            </w:tr>
            <w:tr w14:paraId="2046C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 w:hRule="atLeast"/>
              </w:trPr>
              <w:tc>
                <w:tcPr>
                  <w:tcW w:w="392" w:type="pct"/>
                  <w:noWrap w:val="0"/>
                  <w:vAlign w:val="center"/>
                </w:tcPr>
                <w:p w14:paraId="6FFD284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4</w:t>
                  </w:r>
                </w:p>
              </w:tc>
              <w:tc>
                <w:tcPr>
                  <w:tcW w:w="1301" w:type="pct"/>
                  <w:noWrap w:val="0"/>
                  <w:vAlign w:val="center"/>
                </w:tcPr>
                <w:p w14:paraId="204C79CE">
                  <w:pPr>
                    <w:jc w:val="center"/>
                    <w:rPr>
                      <w:rFonts w:hint="default" w:ascii="Times New Roman" w:hAnsi="Times New Roman" w:eastAsia="仿宋" w:cs="Times New Roman"/>
                      <w:b/>
                      <w:color w:val="000000" w:themeColor="text1"/>
                      <w:sz w:val="24"/>
                      <w:szCs w:val="24"/>
                      <w:lang w:eastAsia="zh-CN"/>
                      <w14:textFill>
                        <w14:solidFill>
                          <w14:schemeClr w14:val="tx1"/>
                        </w14:solidFill>
                      </w14:textFill>
                    </w:rPr>
                  </w:pPr>
                  <w:r>
                    <w:rPr>
                      <w:rFonts w:hint="default" w:ascii="Times New Roman" w:hAnsi="Times New Roman" w:eastAsia="仿宋" w:cs="Times New Roman"/>
                      <w:b/>
                      <w:color w:val="000000" w:themeColor="text1"/>
                      <w:sz w:val="24"/>
                      <w:szCs w:val="24"/>
                      <w:lang w:eastAsia="zh-CN"/>
                      <w14:textFill>
                        <w14:solidFill>
                          <w14:schemeClr w14:val="tx1"/>
                        </w14:solidFill>
                      </w14:textFill>
                    </w:rPr>
                    <w:drawing>
                      <wp:inline distT="0" distB="0" distL="114300" distR="114300">
                        <wp:extent cx="1350645" cy="826135"/>
                        <wp:effectExtent l="0" t="0" r="1905" b="12065"/>
                        <wp:docPr id="6" name="图片 6" descr="d3af2758650f007325198442960b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3af2758650f007325198442960bdeb"/>
                                <pic:cNvPicPr>
                                  <a:picLocks noChangeAspect="1"/>
                                </pic:cNvPicPr>
                              </pic:nvPicPr>
                              <pic:blipFill>
                                <a:blip r:embed="rId76"/>
                                <a:srcRect l="21241" t="16183" r="14402" b="13871"/>
                                <a:stretch>
                                  <a:fillRect/>
                                </a:stretch>
                              </pic:blipFill>
                              <pic:spPr>
                                <a:xfrm>
                                  <a:off x="0" y="0"/>
                                  <a:ext cx="1350645" cy="826135"/>
                                </a:xfrm>
                                <a:prstGeom prst="rect">
                                  <a:avLst/>
                                </a:prstGeom>
                              </pic:spPr>
                            </pic:pic>
                          </a:graphicData>
                        </a:graphic>
                      </wp:inline>
                    </w:drawing>
                  </w:r>
                </w:p>
                <w:p w14:paraId="056901B8">
                  <w:pPr>
                    <w:jc w:val="center"/>
                    <w:rPr>
                      <w:rFonts w:hint="default" w:ascii="Times New Roman" w:hAnsi="Times New Roman" w:eastAsia="仿宋" w:cs="Times New Roman"/>
                      <w:b/>
                      <w:color w:val="000000" w:themeColor="text1"/>
                      <w:sz w:val="24"/>
                      <w:szCs w:val="24"/>
                      <w:lang w:eastAsia="zh-CN"/>
                      <w14:textFill>
                        <w14:solidFill>
                          <w14:schemeClr w14:val="tx1"/>
                        </w14:solidFill>
                      </w14:textFill>
                    </w:rPr>
                  </w:pP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已设置</w:t>
                  </w:r>
                  <w:r>
                    <w:rPr>
                      <w:rFonts w:hint="default" w:ascii="Times New Roman" w:hAnsi="Times New Roman" w:eastAsia="仿宋" w:cs="Times New Roman"/>
                      <w:szCs w:val="21"/>
                      <w:lang w:eastAsia="zh-CN"/>
                    </w:rPr>
                    <w:t>）</w:t>
                  </w:r>
                </w:p>
              </w:tc>
              <w:tc>
                <w:tcPr>
                  <w:tcW w:w="1426" w:type="pct"/>
                  <w:noWrap w:val="0"/>
                  <w:vAlign w:val="center"/>
                </w:tcPr>
                <w:p w14:paraId="364944BB">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523" w:type="pct"/>
                  <w:noWrap w:val="0"/>
                  <w:vAlign w:val="center"/>
                </w:tcPr>
                <w:p w14:paraId="5116A4B7">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雨水排放口</w:t>
                  </w:r>
                </w:p>
              </w:tc>
              <w:tc>
                <w:tcPr>
                  <w:tcW w:w="1355" w:type="pct"/>
                  <w:noWrap w:val="0"/>
                  <w:vAlign w:val="center"/>
                </w:tcPr>
                <w:p w14:paraId="3F4379EA">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表示雨水向水体排放</w:t>
                  </w:r>
                </w:p>
              </w:tc>
            </w:tr>
            <w:tr w14:paraId="75B94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 w:hRule="atLeast"/>
              </w:trPr>
              <w:tc>
                <w:tcPr>
                  <w:tcW w:w="392" w:type="pct"/>
                  <w:noWrap w:val="0"/>
                  <w:vAlign w:val="center"/>
                </w:tcPr>
                <w:p w14:paraId="04A5AC44">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5</w:t>
                  </w:r>
                </w:p>
              </w:tc>
              <w:tc>
                <w:tcPr>
                  <w:tcW w:w="1301" w:type="pct"/>
                  <w:noWrap w:val="0"/>
                  <w:vAlign w:val="center"/>
                </w:tcPr>
                <w:p w14:paraId="18FBBB5F">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w:t>
                  </w:r>
                </w:p>
              </w:tc>
              <w:tc>
                <w:tcPr>
                  <w:tcW w:w="1426" w:type="pct"/>
                  <w:noWrap w:val="0"/>
                  <w:vAlign w:val="center"/>
                </w:tcPr>
                <w:p w14:paraId="7FC33C7F">
                  <w:pPr>
                    <w:jc w:val="center"/>
                    <w:rPr>
                      <w:rFonts w:hint="default" w:ascii="Times New Roman" w:hAnsi="Times New Roman" w:eastAsia="仿宋" w:cs="Times New Roman"/>
                      <w:color w:val="auto"/>
                      <w:szCs w:val="21"/>
                      <w:highlight w:val="none"/>
                    </w:rPr>
                  </w:pPr>
                  <w:r>
                    <w:rPr>
                      <w:rFonts w:hint="eastAsia" w:ascii="仿宋" w:hAnsi="仿宋" w:eastAsia="仿宋" w:cs="仿宋"/>
                      <w:b/>
                      <w:sz w:val="24"/>
                      <w:szCs w:val="24"/>
                      <w:lang w:eastAsia="zh-CN"/>
                    </w:rPr>
                    <w:drawing>
                      <wp:inline distT="0" distB="0" distL="114300" distR="114300">
                        <wp:extent cx="1470025" cy="2613660"/>
                        <wp:effectExtent l="0" t="0" r="15875" b="15240"/>
                        <wp:docPr id="37" name="图片 37" descr="2c8c23103463c2c103686d9e970a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c8c23103463c2c103686d9e970a517"/>
                                <pic:cNvPicPr>
                                  <a:picLocks noChangeAspect="1"/>
                                </pic:cNvPicPr>
                              </pic:nvPicPr>
                              <pic:blipFill>
                                <a:blip r:embed="rId77"/>
                                <a:stretch>
                                  <a:fillRect/>
                                </a:stretch>
                              </pic:blipFill>
                              <pic:spPr>
                                <a:xfrm>
                                  <a:off x="0" y="0"/>
                                  <a:ext cx="1470025" cy="2613660"/>
                                </a:xfrm>
                                <a:prstGeom prst="rect">
                                  <a:avLst/>
                                </a:prstGeom>
                              </pic:spPr>
                            </pic:pic>
                          </a:graphicData>
                        </a:graphic>
                      </wp:inline>
                    </w:drawing>
                  </w:r>
                  <w:r>
                    <w:rPr>
                      <w:rFonts w:hint="default" w:ascii="Times New Roman" w:hAnsi="Times New Roman" w:eastAsia="仿宋" w:cs="Times New Roman"/>
                      <w:szCs w:val="21"/>
                      <w:lang w:eastAsia="zh-CN"/>
                    </w:rPr>
                    <w:t>（</w:t>
                  </w:r>
                  <w:r>
                    <w:rPr>
                      <w:rFonts w:hint="default" w:ascii="Times New Roman" w:hAnsi="Times New Roman" w:eastAsia="仿宋" w:cs="Times New Roman"/>
                      <w:szCs w:val="21"/>
                      <w:lang w:val="en-US" w:eastAsia="zh-CN"/>
                    </w:rPr>
                    <w:t>已设置</w:t>
                  </w:r>
                  <w:r>
                    <w:rPr>
                      <w:rFonts w:hint="default" w:ascii="Times New Roman" w:hAnsi="Times New Roman" w:eastAsia="仿宋" w:cs="Times New Roman"/>
                      <w:szCs w:val="21"/>
                      <w:lang w:eastAsia="zh-CN"/>
                    </w:rPr>
                    <w:t>）</w:t>
                  </w:r>
                </w:p>
              </w:tc>
              <w:tc>
                <w:tcPr>
                  <w:tcW w:w="523" w:type="pct"/>
                  <w:noWrap w:val="0"/>
                  <w:vAlign w:val="center"/>
                </w:tcPr>
                <w:p w14:paraId="5379B60C">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危险废物</w:t>
                  </w:r>
                </w:p>
              </w:tc>
              <w:tc>
                <w:tcPr>
                  <w:tcW w:w="1355" w:type="pct"/>
                  <w:noWrap w:val="0"/>
                  <w:vAlign w:val="center"/>
                </w:tcPr>
                <w:p w14:paraId="6935A816">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highlight w:val="none"/>
                    </w:rPr>
                    <w:t>表示危险废物贮存、处置场</w:t>
                  </w:r>
                </w:p>
              </w:tc>
            </w:tr>
          </w:tbl>
          <w:p w14:paraId="79D515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仿宋" w:cs="Times New Roman"/>
                <w:b/>
                <w:bCs/>
                <w:color w:val="auto"/>
                <w:sz w:val="24"/>
                <w:highlight w:val="yellow"/>
              </w:rPr>
            </w:pPr>
            <w:r>
              <w:rPr>
                <w:rFonts w:hint="default" w:ascii="Times New Roman" w:hAnsi="Times New Roman" w:eastAsia="仿宋" w:cs="Times New Roman"/>
                <w:b/>
                <w:bCs/>
                <w:color w:val="auto"/>
                <w:sz w:val="24"/>
                <w:highlight w:val="none"/>
              </w:rPr>
              <w:t>表4-</w:t>
            </w:r>
            <w:r>
              <w:rPr>
                <w:rFonts w:hint="default" w:ascii="Times New Roman" w:hAnsi="Times New Roman" w:eastAsia="仿宋" w:cs="Times New Roman"/>
                <w:b/>
                <w:bCs/>
                <w:color w:val="auto"/>
                <w:sz w:val="24"/>
                <w:highlight w:val="none"/>
                <w:lang w:val="en-US" w:eastAsia="zh-CN"/>
              </w:rPr>
              <w:t>4</w:t>
            </w:r>
            <w:r>
              <w:rPr>
                <w:rFonts w:hint="eastAsia" w:eastAsia="仿宋" w:cs="Times New Roman"/>
                <w:b/>
                <w:bCs/>
                <w:color w:val="auto"/>
                <w:sz w:val="24"/>
                <w:highlight w:val="none"/>
                <w:lang w:val="en-US" w:eastAsia="zh-CN"/>
              </w:rPr>
              <w:t>7</w:t>
            </w:r>
            <w:r>
              <w:rPr>
                <w:rFonts w:hint="default" w:ascii="Times New Roman" w:hAnsi="Times New Roman" w:eastAsia="仿宋" w:cs="Times New Roman"/>
                <w:b/>
                <w:bCs/>
                <w:color w:val="auto"/>
                <w:sz w:val="24"/>
                <w:highlight w:val="none"/>
              </w:rPr>
              <w:t xml:space="preserve">  危险废物识别标识</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731"/>
              <w:gridCol w:w="928"/>
              <w:gridCol w:w="4741"/>
            </w:tblGrid>
            <w:tr w14:paraId="54F6C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25" w:type="pct"/>
                  <w:tcBorders>
                    <w:top w:val="single" w:color="auto" w:sz="12" w:space="0"/>
                    <w:left w:val="nil"/>
                    <w:bottom w:val="single" w:color="auto" w:sz="4" w:space="0"/>
                    <w:right w:val="single" w:color="auto" w:sz="4" w:space="0"/>
                  </w:tcBorders>
                  <w:noWrap w:val="0"/>
                  <w:vAlign w:val="center"/>
                </w:tcPr>
                <w:p w14:paraId="0892FCB6">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警告图形符号</w:t>
                  </w:r>
                </w:p>
              </w:tc>
              <w:tc>
                <w:tcPr>
                  <w:tcW w:w="552" w:type="pct"/>
                  <w:tcBorders>
                    <w:top w:val="single" w:color="auto" w:sz="12" w:space="0"/>
                    <w:left w:val="single" w:color="auto" w:sz="4" w:space="0"/>
                    <w:bottom w:val="single" w:color="auto" w:sz="4" w:space="0"/>
                    <w:right w:val="single" w:color="auto" w:sz="4" w:space="0"/>
                  </w:tcBorders>
                  <w:noWrap w:val="0"/>
                  <w:vAlign w:val="center"/>
                </w:tcPr>
                <w:p w14:paraId="64B820BC">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名称</w:t>
                  </w:r>
                </w:p>
              </w:tc>
              <w:tc>
                <w:tcPr>
                  <w:tcW w:w="2821" w:type="pct"/>
                  <w:tcBorders>
                    <w:top w:val="single" w:color="auto" w:sz="12" w:space="0"/>
                    <w:left w:val="single" w:color="auto" w:sz="4" w:space="0"/>
                    <w:bottom w:val="single" w:color="auto" w:sz="4" w:space="0"/>
                    <w:right w:val="nil"/>
                  </w:tcBorders>
                  <w:noWrap w:val="0"/>
                  <w:vAlign w:val="center"/>
                </w:tcPr>
                <w:p w14:paraId="6080BA5D">
                  <w:pPr>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公开内容</w:t>
                  </w:r>
                </w:p>
              </w:tc>
            </w:tr>
            <w:tr w14:paraId="6A225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25" w:type="pct"/>
                  <w:tcBorders>
                    <w:top w:val="single" w:color="auto" w:sz="4" w:space="0"/>
                    <w:left w:val="nil"/>
                    <w:bottom w:val="single" w:color="auto" w:sz="4" w:space="0"/>
                    <w:right w:val="single" w:color="auto" w:sz="4" w:space="0"/>
                  </w:tcBorders>
                  <w:noWrap w:val="0"/>
                  <w:vAlign w:val="center"/>
                </w:tcPr>
                <w:p w14:paraId="693380B4">
                  <w:pPr>
                    <w:snapToGrid w:val="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drawing>
                      <wp:inline distT="0" distB="0" distL="114300" distR="114300">
                        <wp:extent cx="1113155" cy="707390"/>
                        <wp:effectExtent l="0" t="0" r="10795" b="16510"/>
                        <wp:docPr id="4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8"/>
                                <pic:cNvPicPr>
                                  <a:picLocks noChangeAspect="1"/>
                                </pic:cNvPicPr>
                              </pic:nvPicPr>
                              <pic:blipFill>
                                <a:blip r:embed="rId78"/>
                                <a:stretch>
                                  <a:fillRect/>
                                </a:stretch>
                              </pic:blipFill>
                              <pic:spPr>
                                <a:xfrm>
                                  <a:off x="0" y="0"/>
                                  <a:ext cx="1113155" cy="707390"/>
                                </a:xfrm>
                                <a:prstGeom prst="rect">
                                  <a:avLst/>
                                </a:prstGeom>
                                <a:noFill/>
                                <a:ln>
                                  <a:noFill/>
                                </a:ln>
                              </pic:spPr>
                            </pic:pic>
                          </a:graphicData>
                        </a:graphic>
                      </wp:inline>
                    </w:drawing>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72693DFA">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贮存设施标志</w:t>
                  </w:r>
                </w:p>
              </w:tc>
              <w:tc>
                <w:tcPr>
                  <w:tcW w:w="2821" w:type="pct"/>
                  <w:tcBorders>
                    <w:top w:val="single" w:color="auto" w:sz="4" w:space="0"/>
                    <w:left w:val="single" w:color="auto" w:sz="4" w:space="0"/>
                    <w:bottom w:val="single" w:color="auto" w:sz="4" w:space="0"/>
                    <w:right w:val="nil"/>
                  </w:tcBorders>
                  <w:noWrap w:val="0"/>
                  <w:vAlign w:val="center"/>
                </w:tcPr>
                <w:p w14:paraId="64CE235A">
                  <w:pPr>
                    <w:autoSpaceDE w:val="0"/>
                    <w:autoSpaceDN w:val="0"/>
                    <w:adjustRightInd w:val="0"/>
                    <w:spacing w:line="240" w:lineRule="atLeast"/>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包括企业名称、责任人及电话、设施编码等信息。</w:t>
                  </w:r>
                </w:p>
              </w:tc>
            </w:tr>
            <w:tr w14:paraId="73D00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25" w:type="pct"/>
                  <w:tcBorders>
                    <w:top w:val="single" w:color="auto" w:sz="4" w:space="0"/>
                    <w:left w:val="nil"/>
                    <w:bottom w:val="single" w:color="auto" w:sz="4" w:space="0"/>
                    <w:right w:val="single" w:color="auto" w:sz="4" w:space="0"/>
                  </w:tcBorders>
                  <w:noWrap w:val="0"/>
                  <w:vAlign w:val="center"/>
                </w:tcPr>
                <w:p w14:paraId="76840F54">
                  <w:pPr>
                    <w:snapToGrid w:val="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drawing>
                      <wp:inline distT="0" distB="0" distL="114300" distR="114300">
                        <wp:extent cx="866775" cy="723265"/>
                        <wp:effectExtent l="0" t="0" r="9525" b="635"/>
                        <wp:docPr id="4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9"/>
                                <pic:cNvPicPr>
                                  <a:picLocks noChangeAspect="1"/>
                                </pic:cNvPicPr>
                              </pic:nvPicPr>
                              <pic:blipFill>
                                <a:blip r:embed="rId79"/>
                                <a:stretch>
                                  <a:fillRect/>
                                </a:stretch>
                              </pic:blipFill>
                              <pic:spPr>
                                <a:xfrm>
                                  <a:off x="0" y="0"/>
                                  <a:ext cx="866775" cy="723265"/>
                                </a:xfrm>
                                <a:prstGeom prst="rect">
                                  <a:avLst/>
                                </a:prstGeom>
                                <a:noFill/>
                                <a:ln>
                                  <a:noFill/>
                                </a:ln>
                              </pic:spPr>
                            </pic:pic>
                          </a:graphicData>
                        </a:graphic>
                      </wp:inline>
                    </w:drawing>
                  </w:r>
                </w:p>
              </w:tc>
              <w:tc>
                <w:tcPr>
                  <w:tcW w:w="552" w:type="pct"/>
                  <w:tcBorders>
                    <w:top w:val="single" w:color="auto" w:sz="4" w:space="0"/>
                    <w:left w:val="single" w:color="auto" w:sz="4" w:space="0"/>
                    <w:bottom w:val="single" w:color="auto" w:sz="4" w:space="0"/>
                    <w:right w:val="single" w:color="auto" w:sz="4" w:space="0"/>
                  </w:tcBorders>
                  <w:noWrap w:val="0"/>
                  <w:vAlign w:val="center"/>
                </w:tcPr>
                <w:p w14:paraId="150F5E5B">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危险废物贮存分区标志</w:t>
                  </w:r>
                </w:p>
              </w:tc>
              <w:tc>
                <w:tcPr>
                  <w:tcW w:w="2821" w:type="pct"/>
                  <w:tcBorders>
                    <w:top w:val="single" w:color="auto" w:sz="4" w:space="0"/>
                    <w:left w:val="single" w:color="auto" w:sz="4" w:space="0"/>
                    <w:bottom w:val="single" w:color="auto" w:sz="4" w:space="0"/>
                    <w:right w:val="nil"/>
                  </w:tcBorders>
                  <w:noWrap w:val="0"/>
                  <w:vAlign w:val="center"/>
                </w:tcPr>
                <w:p w14:paraId="57628D3B">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危废仓库平面布局</w:t>
                  </w:r>
                </w:p>
              </w:tc>
            </w:tr>
            <w:tr w14:paraId="5908C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25" w:type="pct"/>
                  <w:tcBorders>
                    <w:top w:val="single" w:color="auto" w:sz="4" w:space="0"/>
                    <w:left w:val="nil"/>
                    <w:bottom w:val="single" w:color="auto" w:sz="12" w:space="0"/>
                    <w:right w:val="single" w:color="auto" w:sz="4" w:space="0"/>
                  </w:tcBorders>
                  <w:noWrap w:val="0"/>
                  <w:vAlign w:val="center"/>
                </w:tcPr>
                <w:p w14:paraId="246F4473">
                  <w:pPr>
                    <w:snapToGrid w:val="0"/>
                    <w:jc w:val="center"/>
                    <w:rPr>
                      <w:rFonts w:hint="default" w:ascii="Times New Roman" w:hAnsi="Times New Roman" w:eastAsia="仿宋" w:cs="Times New Roman"/>
                      <w:color w:val="auto"/>
                      <w:sz w:val="18"/>
                      <w:szCs w:val="18"/>
                      <w:highlight w:val="none"/>
                    </w:rPr>
                  </w:pPr>
                  <w:r>
                    <w:rPr>
                      <w:rFonts w:hint="default" w:ascii="Times New Roman" w:hAnsi="Times New Roman" w:eastAsia="仿宋" w:cs="Times New Roman"/>
                      <w:color w:val="auto"/>
                      <w:sz w:val="18"/>
                      <w:szCs w:val="18"/>
                      <w:highlight w:val="none"/>
                    </w:rPr>
                    <w:drawing>
                      <wp:inline distT="0" distB="0" distL="114300" distR="114300">
                        <wp:extent cx="858520" cy="858520"/>
                        <wp:effectExtent l="0" t="0" r="17780" b="17780"/>
                        <wp:docPr id="4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0"/>
                                <pic:cNvPicPr>
                                  <a:picLocks noChangeAspect="1"/>
                                </pic:cNvPicPr>
                              </pic:nvPicPr>
                              <pic:blipFill>
                                <a:blip r:embed="rId80"/>
                                <a:stretch>
                                  <a:fillRect/>
                                </a:stretch>
                              </pic:blipFill>
                              <pic:spPr>
                                <a:xfrm>
                                  <a:off x="0" y="0"/>
                                  <a:ext cx="858520" cy="858520"/>
                                </a:xfrm>
                                <a:prstGeom prst="rect">
                                  <a:avLst/>
                                </a:prstGeom>
                                <a:noFill/>
                                <a:ln>
                                  <a:noFill/>
                                </a:ln>
                              </pic:spPr>
                            </pic:pic>
                          </a:graphicData>
                        </a:graphic>
                      </wp:inline>
                    </w:drawing>
                  </w:r>
                </w:p>
              </w:tc>
              <w:tc>
                <w:tcPr>
                  <w:tcW w:w="552" w:type="pct"/>
                  <w:tcBorders>
                    <w:top w:val="single" w:color="auto" w:sz="4" w:space="0"/>
                    <w:left w:val="single" w:color="auto" w:sz="4" w:space="0"/>
                    <w:bottom w:val="single" w:color="auto" w:sz="12" w:space="0"/>
                    <w:right w:val="single" w:color="auto" w:sz="4" w:space="0"/>
                  </w:tcBorders>
                  <w:noWrap w:val="0"/>
                  <w:vAlign w:val="center"/>
                </w:tcPr>
                <w:p w14:paraId="689F584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危险废物标签</w:t>
                  </w:r>
                </w:p>
              </w:tc>
              <w:tc>
                <w:tcPr>
                  <w:tcW w:w="2821" w:type="pct"/>
                  <w:tcBorders>
                    <w:top w:val="single" w:color="auto" w:sz="4" w:space="0"/>
                    <w:left w:val="single" w:color="auto" w:sz="4" w:space="0"/>
                    <w:bottom w:val="single" w:color="auto" w:sz="12" w:space="0"/>
                    <w:right w:val="nil"/>
                  </w:tcBorders>
                  <w:noWrap w:val="0"/>
                  <w:vAlign w:val="center"/>
                </w:tcPr>
                <w:p w14:paraId="268CB505">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主要成分、化学名称、危险特性、有害成分</w:t>
                  </w:r>
                </w:p>
              </w:tc>
            </w:tr>
          </w:tbl>
          <w:p w14:paraId="56B4CFB5">
            <w:pPr>
              <w:adjustRightInd w:val="0"/>
              <w:snapToGrid w:val="0"/>
              <w:spacing w:line="360" w:lineRule="auto"/>
              <w:rPr>
                <w:rFonts w:hint="default" w:ascii="Times New Roman" w:hAnsi="Times New Roman" w:eastAsia="仿宋" w:cs="Times New Roman"/>
                <w:bCs/>
                <w:color w:val="auto"/>
                <w:sz w:val="24"/>
                <w:highlight w:val="none"/>
              </w:rPr>
            </w:pPr>
          </w:p>
          <w:p w14:paraId="07590DC4">
            <w:pPr>
              <w:adjustRightInd w:val="0"/>
              <w:snapToGrid w:val="0"/>
              <w:spacing w:line="360" w:lineRule="auto"/>
              <w:rPr>
                <w:rFonts w:hint="default" w:ascii="Times New Roman" w:hAnsi="Times New Roman" w:eastAsia="仿宋" w:cs="Times New Roman"/>
                <w:bCs/>
                <w:color w:val="auto"/>
                <w:sz w:val="24"/>
                <w:highlight w:val="none"/>
              </w:rPr>
            </w:pPr>
          </w:p>
          <w:p w14:paraId="0FF3B664">
            <w:pPr>
              <w:adjustRightInd w:val="0"/>
              <w:snapToGrid w:val="0"/>
              <w:spacing w:line="360" w:lineRule="auto"/>
              <w:rPr>
                <w:rFonts w:hint="default" w:ascii="Times New Roman" w:hAnsi="Times New Roman" w:eastAsia="仿宋" w:cs="Times New Roman"/>
                <w:bCs/>
                <w:color w:val="auto"/>
                <w:sz w:val="24"/>
                <w:highlight w:val="none"/>
              </w:rPr>
            </w:pPr>
          </w:p>
          <w:p w14:paraId="0055A6B4">
            <w:pPr>
              <w:adjustRightInd w:val="0"/>
              <w:snapToGrid w:val="0"/>
              <w:spacing w:line="360" w:lineRule="auto"/>
              <w:rPr>
                <w:rFonts w:hint="default" w:ascii="Times New Roman" w:hAnsi="Times New Roman" w:eastAsia="仿宋" w:cs="Times New Roman"/>
                <w:bCs/>
                <w:color w:val="auto"/>
                <w:sz w:val="24"/>
                <w:highlight w:val="none"/>
              </w:rPr>
            </w:pPr>
          </w:p>
          <w:p w14:paraId="0F514782">
            <w:pPr>
              <w:adjustRightInd w:val="0"/>
              <w:snapToGrid w:val="0"/>
              <w:spacing w:line="360" w:lineRule="auto"/>
              <w:rPr>
                <w:rFonts w:hint="default" w:ascii="Times New Roman" w:hAnsi="Times New Roman" w:eastAsia="仿宋" w:cs="Times New Roman"/>
                <w:bCs/>
                <w:color w:val="auto"/>
                <w:sz w:val="24"/>
                <w:highlight w:val="none"/>
              </w:rPr>
            </w:pPr>
          </w:p>
          <w:p w14:paraId="2217FCBF">
            <w:pPr>
              <w:adjustRightInd w:val="0"/>
              <w:snapToGrid w:val="0"/>
              <w:spacing w:line="360" w:lineRule="auto"/>
              <w:rPr>
                <w:rFonts w:hint="default" w:ascii="Times New Roman" w:hAnsi="Times New Roman" w:eastAsia="仿宋" w:cs="Times New Roman"/>
                <w:bCs/>
                <w:color w:val="auto"/>
                <w:sz w:val="24"/>
                <w:highlight w:val="none"/>
              </w:rPr>
            </w:pPr>
          </w:p>
          <w:p w14:paraId="0B78B704">
            <w:pPr>
              <w:adjustRightInd w:val="0"/>
              <w:snapToGrid w:val="0"/>
              <w:spacing w:line="360" w:lineRule="auto"/>
              <w:rPr>
                <w:rFonts w:hint="default" w:ascii="Times New Roman" w:hAnsi="Times New Roman" w:eastAsia="仿宋" w:cs="Times New Roman"/>
                <w:bCs/>
                <w:color w:val="auto"/>
                <w:sz w:val="24"/>
                <w:highlight w:val="none"/>
              </w:rPr>
            </w:pPr>
          </w:p>
          <w:p w14:paraId="2DFC681E">
            <w:pPr>
              <w:adjustRightInd w:val="0"/>
              <w:snapToGrid w:val="0"/>
              <w:spacing w:line="360" w:lineRule="auto"/>
              <w:rPr>
                <w:rFonts w:hint="default" w:ascii="Times New Roman" w:hAnsi="Times New Roman" w:eastAsia="仿宋" w:cs="Times New Roman"/>
                <w:bCs/>
                <w:color w:val="auto"/>
                <w:sz w:val="24"/>
                <w:highlight w:val="none"/>
              </w:rPr>
            </w:pPr>
          </w:p>
          <w:p w14:paraId="1F7C58FE">
            <w:pPr>
              <w:adjustRightInd w:val="0"/>
              <w:snapToGrid w:val="0"/>
              <w:spacing w:line="360" w:lineRule="auto"/>
              <w:rPr>
                <w:rFonts w:hint="default" w:ascii="Times New Roman" w:hAnsi="Times New Roman" w:eastAsia="仿宋" w:cs="Times New Roman"/>
                <w:bCs/>
                <w:color w:val="auto"/>
                <w:sz w:val="24"/>
                <w:highlight w:val="none"/>
              </w:rPr>
            </w:pPr>
          </w:p>
          <w:p w14:paraId="34C433E2">
            <w:pPr>
              <w:adjustRightInd w:val="0"/>
              <w:snapToGrid w:val="0"/>
              <w:spacing w:line="360" w:lineRule="auto"/>
              <w:rPr>
                <w:rFonts w:hint="default" w:ascii="Times New Roman" w:hAnsi="Times New Roman" w:eastAsia="仿宋" w:cs="Times New Roman"/>
                <w:bCs/>
                <w:color w:val="auto"/>
                <w:sz w:val="24"/>
                <w:highlight w:val="none"/>
              </w:rPr>
            </w:pPr>
          </w:p>
          <w:p w14:paraId="51829FE5">
            <w:pPr>
              <w:adjustRightInd w:val="0"/>
              <w:snapToGrid w:val="0"/>
              <w:spacing w:line="360" w:lineRule="auto"/>
              <w:rPr>
                <w:rFonts w:hint="default" w:ascii="Times New Roman" w:hAnsi="Times New Roman" w:eastAsia="仿宋" w:cs="Times New Roman"/>
                <w:bCs/>
                <w:color w:val="auto"/>
                <w:sz w:val="24"/>
                <w:highlight w:val="none"/>
              </w:rPr>
            </w:pPr>
          </w:p>
          <w:p w14:paraId="675916F0">
            <w:pPr>
              <w:adjustRightInd w:val="0"/>
              <w:snapToGrid w:val="0"/>
              <w:spacing w:line="360" w:lineRule="auto"/>
              <w:rPr>
                <w:rFonts w:hint="default" w:ascii="Times New Roman" w:hAnsi="Times New Roman" w:eastAsia="仿宋" w:cs="Times New Roman"/>
                <w:bCs/>
                <w:color w:val="auto"/>
                <w:sz w:val="24"/>
                <w:highlight w:val="none"/>
              </w:rPr>
            </w:pPr>
          </w:p>
          <w:p w14:paraId="333CD02B">
            <w:pPr>
              <w:adjustRightInd w:val="0"/>
              <w:snapToGrid w:val="0"/>
              <w:spacing w:line="360" w:lineRule="auto"/>
              <w:rPr>
                <w:rFonts w:hint="default" w:ascii="Times New Roman" w:hAnsi="Times New Roman" w:eastAsia="仿宋" w:cs="Times New Roman"/>
                <w:bCs/>
                <w:color w:val="auto"/>
                <w:sz w:val="24"/>
                <w:highlight w:val="none"/>
              </w:rPr>
            </w:pPr>
          </w:p>
          <w:p w14:paraId="7B132605">
            <w:pPr>
              <w:adjustRightInd w:val="0"/>
              <w:snapToGrid w:val="0"/>
              <w:spacing w:line="360" w:lineRule="auto"/>
              <w:rPr>
                <w:rFonts w:hint="default" w:ascii="Times New Roman" w:hAnsi="Times New Roman" w:eastAsia="仿宋" w:cs="Times New Roman"/>
                <w:bCs/>
                <w:color w:val="auto"/>
                <w:sz w:val="24"/>
                <w:highlight w:val="none"/>
              </w:rPr>
            </w:pPr>
          </w:p>
          <w:p w14:paraId="133A58A0">
            <w:pPr>
              <w:adjustRightInd w:val="0"/>
              <w:snapToGrid w:val="0"/>
              <w:spacing w:line="360" w:lineRule="auto"/>
              <w:rPr>
                <w:rFonts w:hint="default" w:ascii="Times New Roman" w:hAnsi="Times New Roman" w:eastAsia="仿宋" w:cs="Times New Roman"/>
                <w:bCs/>
                <w:color w:val="auto"/>
                <w:sz w:val="24"/>
                <w:highlight w:val="none"/>
              </w:rPr>
            </w:pPr>
          </w:p>
          <w:p w14:paraId="11DFAC93">
            <w:pPr>
              <w:adjustRightInd w:val="0"/>
              <w:snapToGrid w:val="0"/>
              <w:spacing w:line="360" w:lineRule="auto"/>
              <w:rPr>
                <w:rFonts w:hint="default" w:ascii="Times New Roman" w:hAnsi="Times New Roman" w:eastAsia="仿宋" w:cs="Times New Roman"/>
                <w:bCs/>
                <w:color w:val="auto"/>
                <w:sz w:val="24"/>
                <w:highlight w:val="none"/>
              </w:rPr>
            </w:pPr>
          </w:p>
          <w:p w14:paraId="75D075DE">
            <w:pPr>
              <w:adjustRightInd w:val="0"/>
              <w:snapToGrid w:val="0"/>
              <w:spacing w:line="360" w:lineRule="auto"/>
              <w:rPr>
                <w:rFonts w:hint="default" w:ascii="Times New Roman" w:hAnsi="Times New Roman" w:eastAsia="仿宋" w:cs="Times New Roman"/>
                <w:bCs/>
                <w:color w:val="auto"/>
                <w:sz w:val="24"/>
                <w:highlight w:val="none"/>
              </w:rPr>
            </w:pPr>
          </w:p>
          <w:p w14:paraId="58A5F235">
            <w:pPr>
              <w:adjustRightInd w:val="0"/>
              <w:snapToGrid w:val="0"/>
              <w:spacing w:line="360" w:lineRule="auto"/>
              <w:rPr>
                <w:rFonts w:hint="default" w:ascii="Times New Roman" w:hAnsi="Times New Roman" w:eastAsia="仿宋" w:cs="Times New Roman"/>
                <w:bCs/>
                <w:color w:val="auto"/>
                <w:sz w:val="24"/>
                <w:highlight w:val="none"/>
              </w:rPr>
            </w:pPr>
          </w:p>
          <w:p w14:paraId="03D00AC1">
            <w:pPr>
              <w:adjustRightInd w:val="0"/>
              <w:snapToGrid w:val="0"/>
              <w:spacing w:line="360" w:lineRule="auto"/>
              <w:rPr>
                <w:rFonts w:hint="default" w:ascii="Times New Roman" w:hAnsi="Times New Roman" w:eastAsia="仿宋" w:cs="Times New Roman"/>
                <w:bCs/>
                <w:color w:val="auto"/>
                <w:sz w:val="24"/>
                <w:highlight w:val="none"/>
              </w:rPr>
            </w:pPr>
          </w:p>
          <w:p w14:paraId="733B2286">
            <w:pPr>
              <w:adjustRightInd w:val="0"/>
              <w:snapToGrid w:val="0"/>
              <w:spacing w:line="360" w:lineRule="auto"/>
              <w:rPr>
                <w:rFonts w:hint="default" w:ascii="Times New Roman" w:hAnsi="Times New Roman" w:eastAsia="仿宋" w:cs="Times New Roman"/>
                <w:bCs/>
                <w:color w:val="auto"/>
                <w:sz w:val="24"/>
                <w:highlight w:val="none"/>
              </w:rPr>
            </w:pPr>
          </w:p>
          <w:p w14:paraId="02B4E2B3">
            <w:pPr>
              <w:adjustRightInd w:val="0"/>
              <w:snapToGrid w:val="0"/>
              <w:spacing w:line="360" w:lineRule="auto"/>
              <w:rPr>
                <w:rFonts w:hint="default" w:ascii="Times New Roman" w:hAnsi="Times New Roman" w:eastAsia="仿宋" w:cs="Times New Roman"/>
                <w:bCs/>
                <w:color w:val="auto"/>
                <w:sz w:val="24"/>
                <w:highlight w:val="none"/>
              </w:rPr>
            </w:pPr>
          </w:p>
          <w:p w14:paraId="08FF5F6D">
            <w:pPr>
              <w:adjustRightInd w:val="0"/>
              <w:snapToGrid w:val="0"/>
              <w:spacing w:line="360" w:lineRule="auto"/>
              <w:rPr>
                <w:rFonts w:hint="default" w:ascii="Times New Roman" w:hAnsi="Times New Roman" w:eastAsia="仿宋" w:cs="Times New Roman"/>
                <w:bCs/>
                <w:color w:val="auto"/>
                <w:sz w:val="24"/>
                <w:highlight w:val="none"/>
              </w:rPr>
            </w:pPr>
          </w:p>
        </w:tc>
      </w:tr>
    </w:tbl>
    <w:p w14:paraId="6E791479">
      <w:pPr>
        <w:adjustRightInd w:val="0"/>
        <w:snapToGrid w:val="0"/>
        <w:outlineLvl w:val="0"/>
        <w:rPr>
          <w:rFonts w:hint="default" w:ascii="Times New Roman" w:hAnsi="Times New Roman" w:eastAsia="仿宋" w:cs="Times New Roman"/>
          <w:b/>
          <w:bCs/>
          <w:snapToGrid w:val="0"/>
          <w:color w:val="auto"/>
          <w:sz w:val="30"/>
          <w:szCs w:val="30"/>
          <w:highlight w:val="none"/>
        </w:rPr>
        <w:sectPr>
          <w:pgSz w:w="11907" w:h="16840"/>
          <w:pgMar w:top="1701" w:right="1531" w:bottom="2126" w:left="1531" w:header="851" w:footer="851" w:gutter="0"/>
          <w:pgBorders>
            <w:top w:val="none" w:sz="0" w:space="0"/>
            <w:left w:val="none" w:sz="0" w:space="0"/>
            <w:bottom w:val="none" w:sz="0" w:space="0"/>
            <w:right w:val="none" w:sz="0" w:space="0"/>
          </w:pgBorders>
          <w:cols w:space="720" w:num="1"/>
          <w:docGrid w:linePitch="312" w:charSpace="0"/>
        </w:sectPr>
      </w:pPr>
    </w:p>
    <w:p w14:paraId="74B819AD">
      <w:pPr>
        <w:adjustRightInd w:val="0"/>
        <w:snapToGrid w:val="0"/>
        <w:outlineLvl w:val="0"/>
        <w:rPr>
          <w:rFonts w:hint="default" w:ascii="Times New Roman" w:hAnsi="Times New Roman" w:eastAsia="仿宋" w:cs="Times New Roman"/>
          <w:b/>
          <w:bCs/>
          <w:snapToGrid w:val="0"/>
          <w:color w:val="auto"/>
          <w:sz w:val="30"/>
          <w:szCs w:val="30"/>
          <w:highlight w:val="none"/>
        </w:rPr>
      </w:pPr>
      <w:r>
        <w:rPr>
          <w:rFonts w:hint="default" w:ascii="Times New Roman" w:hAnsi="Times New Roman" w:eastAsia="仿宋" w:cs="Times New Roman"/>
          <w:b/>
          <w:bCs/>
          <w:snapToGrid w:val="0"/>
          <w:color w:val="auto"/>
          <w:sz w:val="30"/>
          <w:szCs w:val="30"/>
          <w:highlight w:val="none"/>
        </w:rPr>
        <w:t>五、</w:t>
      </w:r>
      <w:bookmarkStart w:id="7" w:name="_Hlk54167917"/>
      <w:r>
        <w:rPr>
          <w:rFonts w:hint="default" w:ascii="Times New Roman" w:hAnsi="Times New Roman" w:eastAsia="仿宋" w:cs="Times New Roman"/>
          <w:b/>
          <w:bCs/>
          <w:snapToGrid w:val="0"/>
          <w:color w:val="auto"/>
          <w:sz w:val="30"/>
          <w:szCs w:val="30"/>
          <w:highlight w:val="none"/>
        </w:rPr>
        <w:t>环境保护措施监督检查清单</w:t>
      </w:r>
      <w:bookmarkEnd w:id="7"/>
    </w:p>
    <w:tbl>
      <w:tblPr>
        <w:tblStyle w:val="29"/>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430"/>
        <w:gridCol w:w="1361"/>
        <w:gridCol w:w="1950"/>
        <w:gridCol w:w="1512"/>
        <w:gridCol w:w="2669"/>
      </w:tblGrid>
      <w:tr w14:paraId="7696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top"/>
          </w:tcPr>
          <w:p w14:paraId="408A8C06">
            <w:pPr>
              <w:adjustRightInd w:val="0"/>
              <w:snapToGrid w:val="0"/>
              <w:ind w:firstLine="840"/>
              <w:rPr>
                <w:rFonts w:hint="default" w:ascii="Times New Roman" w:hAnsi="Times New Roman" w:eastAsia="仿宋" w:cs="Times New Roman"/>
                <w:b/>
                <w:bCs/>
                <w:color w:val="auto"/>
                <w:szCs w:val="21"/>
                <w:highlight w:val="none"/>
              </w:rPr>
            </w:pPr>
            <w:r>
              <w:rPr>
                <w:rFonts w:hint="default" w:ascii="Times New Roman" w:hAnsi="Times New Roman" w:cs="Times New Roman"/>
                <w:b/>
                <w:bCs/>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-57785</wp:posOffset>
                      </wp:positionH>
                      <wp:positionV relativeFrom="paragraph">
                        <wp:posOffset>13970</wp:posOffset>
                      </wp:positionV>
                      <wp:extent cx="969645" cy="327025"/>
                      <wp:effectExtent l="1270" t="4445" r="19685" b="11430"/>
                      <wp:wrapNone/>
                      <wp:docPr id="1" name="直线 40"/>
                      <wp:cNvGraphicFramePr/>
                      <a:graphic xmlns:a="http://schemas.openxmlformats.org/drawingml/2006/main">
                        <a:graphicData uri="http://schemas.microsoft.com/office/word/2010/wordprocessingShape">
                          <wps:wsp>
                            <wps:cNvCnPr/>
                            <wps:spPr>
                              <a:xfrm>
                                <a:off x="0" y="0"/>
                                <a:ext cx="969645" cy="3270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0" o:spid="_x0000_s1026" o:spt="20" style="position:absolute;left:0pt;margin-left:-4.55pt;margin-top:1.1pt;height:25.75pt;width:76.35pt;z-index:251659264;mso-width-relative:page;mso-height-relative:page;" filled="f" stroked="t" coordsize="21600,21600" o:gfxdata="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XMJCfV&#10;AAAABwEAAA8AAAAAAAAAAQAgAAAAIgAAAGRycy9kb3ducmV2LnhtbFBLAQIUABQAAAAIAIdO4kAM&#10;pFl46gEAAOADAAAOAAAAAAAAAAEAIAAAACQBAABkcnMvZTJvRG9jLnhtbFBLBQYAAAAABgAGAFkB&#10;AACABQAAAAA=&#10;">
                      <v:fill on="f" focussize="0,0"/>
                      <v:stroke color="#000000" joinstyle="round"/>
                      <v:imagedata o:title=""/>
                      <o:lock v:ext="edit" aspectratio="f"/>
                    </v:line>
                  </w:pict>
                </mc:Fallback>
              </mc:AlternateContent>
            </w:r>
            <w:r>
              <w:rPr>
                <w:rFonts w:hint="default" w:ascii="Times New Roman" w:hAnsi="Times New Roman" w:eastAsia="仿宋" w:cs="Times New Roman"/>
                <w:b/>
                <w:bCs/>
                <w:color w:val="auto"/>
                <w:szCs w:val="21"/>
                <w:highlight w:val="none"/>
              </w:rPr>
              <w:t>内容</w:t>
            </w:r>
          </w:p>
          <w:p w14:paraId="02F38B65">
            <w:pPr>
              <w:adjustRightInd w:val="0"/>
              <w:snapToGrid w:val="0"/>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要素</w:t>
            </w:r>
          </w:p>
        </w:tc>
        <w:tc>
          <w:tcPr>
            <w:tcW w:w="1791" w:type="dxa"/>
            <w:gridSpan w:val="2"/>
            <w:noWrap w:val="0"/>
            <w:vAlign w:val="center"/>
          </w:tcPr>
          <w:p w14:paraId="29E35C45">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排放口（编号、名称）/污染源</w:t>
            </w:r>
          </w:p>
        </w:tc>
        <w:tc>
          <w:tcPr>
            <w:tcW w:w="1950" w:type="dxa"/>
            <w:noWrap w:val="0"/>
            <w:vAlign w:val="center"/>
          </w:tcPr>
          <w:p w14:paraId="388F0D61">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污染物项目</w:t>
            </w:r>
          </w:p>
        </w:tc>
        <w:tc>
          <w:tcPr>
            <w:tcW w:w="1512" w:type="dxa"/>
            <w:noWrap w:val="0"/>
            <w:vAlign w:val="center"/>
          </w:tcPr>
          <w:p w14:paraId="4BDB5804">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环境保护措施</w:t>
            </w:r>
          </w:p>
        </w:tc>
        <w:tc>
          <w:tcPr>
            <w:tcW w:w="2669" w:type="dxa"/>
            <w:noWrap w:val="0"/>
            <w:vAlign w:val="center"/>
          </w:tcPr>
          <w:p w14:paraId="774F80AC">
            <w:pPr>
              <w:adjustRightInd w:val="0"/>
              <w:snapToGrid w:val="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执行标准</w:t>
            </w:r>
          </w:p>
        </w:tc>
      </w:tr>
      <w:tr w14:paraId="13D6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restart"/>
            <w:noWrap w:val="0"/>
            <w:vAlign w:val="center"/>
          </w:tcPr>
          <w:p w14:paraId="1A268770">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大气环境</w:t>
            </w:r>
          </w:p>
        </w:tc>
        <w:tc>
          <w:tcPr>
            <w:tcW w:w="430" w:type="dxa"/>
            <w:vMerge w:val="restart"/>
            <w:noWrap w:val="0"/>
            <w:vAlign w:val="center"/>
          </w:tcPr>
          <w:p w14:paraId="0E6FBFB7">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有组织</w:t>
            </w:r>
          </w:p>
        </w:tc>
        <w:tc>
          <w:tcPr>
            <w:tcW w:w="1361" w:type="dxa"/>
            <w:noWrap w:val="0"/>
            <w:vAlign w:val="center"/>
          </w:tcPr>
          <w:p w14:paraId="479B2706">
            <w:pPr>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bCs/>
                <w:color w:val="auto"/>
                <w:szCs w:val="21"/>
                <w:highlight w:val="none"/>
                <w:lang w:val="en-US" w:eastAsia="zh-CN"/>
              </w:rPr>
              <w:t>FQ-5排气筒</w:t>
            </w:r>
          </w:p>
        </w:tc>
        <w:tc>
          <w:tcPr>
            <w:tcW w:w="1950" w:type="dxa"/>
            <w:noWrap w:val="0"/>
            <w:vAlign w:val="center"/>
          </w:tcPr>
          <w:p w14:paraId="0B3140F9">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rPr>
              <w:t>颗粒物</w:t>
            </w:r>
          </w:p>
        </w:tc>
        <w:tc>
          <w:tcPr>
            <w:tcW w:w="1512" w:type="dxa"/>
            <w:noWrap w:val="0"/>
            <w:vAlign w:val="center"/>
          </w:tcPr>
          <w:p w14:paraId="40E792E7">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 w:val="21"/>
                <w:szCs w:val="21"/>
                <w:highlight w:val="none"/>
                <w:lang w:val="en-US" w:eastAsia="zh-CN"/>
              </w:rPr>
              <w:t>5#布袋除尘装置</w:t>
            </w:r>
          </w:p>
        </w:tc>
        <w:tc>
          <w:tcPr>
            <w:tcW w:w="2669" w:type="dxa"/>
            <w:vMerge w:val="restart"/>
            <w:noWrap w:val="0"/>
            <w:vAlign w:val="center"/>
          </w:tcPr>
          <w:p w14:paraId="5BA629F2">
            <w:pPr>
              <w:adjustRightInd w:val="0"/>
              <w:snapToGrid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《大气污染物综合排放标准》(DB32/4041-2021)</w:t>
            </w:r>
            <w:r>
              <w:rPr>
                <w:rFonts w:hint="eastAsia" w:eastAsia="仿宋" w:cs="Times New Roman"/>
                <w:color w:val="auto"/>
                <w:szCs w:val="21"/>
                <w:highlight w:val="none"/>
                <w:lang w:val="en-US" w:eastAsia="zh-CN"/>
              </w:rPr>
              <w:t>表1</w:t>
            </w:r>
          </w:p>
        </w:tc>
      </w:tr>
      <w:tr w14:paraId="3055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1FF0834E">
            <w:pPr>
              <w:adjustRightInd w:val="0"/>
              <w:snapToGrid w:val="0"/>
              <w:jc w:val="center"/>
              <w:rPr>
                <w:rFonts w:hint="default" w:ascii="Times New Roman" w:hAnsi="Times New Roman" w:eastAsia="仿宋" w:cs="Times New Roman"/>
                <w:color w:val="auto"/>
                <w:szCs w:val="21"/>
                <w:highlight w:val="none"/>
              </w:rPr>
            </w:pPr>
          </w:p>
        </w:tc>
        <w:tc>
          <w:tcPr>
            <w:tcW w:w="430" w:type="dxa"/>
            <w:vMerge w:val="continue"/>
            <w:noWrap w:val="0"/>
            <w:vAlign w:val="center"/>
          </w:tcPr>
          <w:p w14:paraId="675D5C05">
            <w:pPr>
              <w:adjustRightInd w:val="0"/>
              <w:snapToGrid w:val="0"/>
              <w:jc w:val="center"/>
              <w:rPr>
                <w:rFonts w:hint="default" w:ascii="Times New Roman" w:hAnsi="Times New Roman" w:eastAsia="仿宋" w:cs="Times New Roman"/>
                <w:color w:val="auto"/>
                <w:szCs w:val="21"/>
                <w:highlight w:val="none"/>
              </w:rPr>
            </w:pPr>
          </w:p>
        </w:tc>
        <w:tc>
          <w:tcPr>
            <w:tcW w:w="1361" w:type="dxa"/>
            <w:noWrap w:val="0"/>
            <w:vAlign w:val="center"/>
          </w:tcPr>
          <w:p w14:paraId="7F3D5849">
            <w:pPr>
              <w:jc w:val="center"/>
              <w:rPr>
                <w:rFonts w:hint="default" w:ascii="Times New Roman" w:hAnsi="Times New Roman" w:eastAsia="仿宋" w:cs="Times New Roman"/>
                <w:color w:val="auto"/>
                <w:szCs w:val="21"/>
                <w:highlight w:val="none"/>
              </w:rPr>
            </w:pPr>
            <w:r>
              <w:rPr>
                <w:rFonts w:hint="eastAsia" w:ascii="Times New Roman" w:hAnsi="Times New Roman" w:eastAsia="仿宋" w:cs="Times New Roman"/>
                <w:bCs/>
                <w:color w:val="auto"/>
                <w:szCs w:val="21"/>
                <w:highlight w:val="none"/>
                <w:lang w:val="en-US" w:eastAsia="zh-CN"/>
              </w:rPr>
              <w:t>FQ-6排气筒</w:t>
            </w:r>
          </w:p>
        </w:tc>
        <w:tc>
          <w:tcPr>
            <w:tcW w:w="1950" w:type="dxa"/>
            <w:noWrap w:val="0"/>
            <w:vAlign w:val="center"/>
          </w:tcPr>
          <w:p w14:paraId="6EEE5DD0">
            <w:pPr>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Cs w:val="21"/>
                <w:highlight w:val="none"/>
              </w:rPr>
              <w:t>非甲烷总烃</w:t>
            </w:r>
          </w:p>
        </w:tc>
        <w:tc>
          <w:tcPr>
            <w:tcW w:w="1512" w:type="dxa"/>
            <w:noWrap w:val="0"/>
            <w:vAlign w:val="center"/>
          </w:tcPr>
          <w:p w14:paraId="595D7E8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color w:val="auto"/>
                <w:szCs w:val="21"/>
                <w:highlight w:val="none"/>
              </w:rPr>
            </w:pPr>
            <w:r>
              <w:rPr>
                <w:rFonts w:hint="default" w:ascii="Times New Roman" w:hAnsi="Times New Roman" w:eastAsia="仿宋" w:cs="Times New Roman"/>
                <w:bCs/>
                <w:color w:val="auto"/>
                <w:sz w:val="21"/>
                <w:szCs w:val="21"/>
                <w:highlight w:val="none"/>
                <w:lang w:val="en-US" w:eastAsia="zh-CN"/>
              </w:rPr>
              <w:t>6#两级活性炭吸附装置</w:t>
            </w:r>
          </w:p>
        </w:tc>
        <w:tc>
          <w:tcPr>
            <w:tcW w:w="2669" w:type="dxa"/>
            <w:vMerge w:val="continue"/>
            <w:noWrap w:val="0"/>
            <w:vAlign w:val="center"/>
          </w:tcPr>
          <w:p w14:paraId="7040F45F">
            <w:pPr>
              <w:adjustRightInd w:val="0"/>
              <w:snapToGrid w:val="0"/>
              <w:jc w:val="center"/>
              <w:rPr>
                <w:rFonts w:hint="default" w:ascii="Times New Roman" w:hAnsi="Times New Roman" w:eastAsia="仿宋" w:cs="Times New Roman"/>
                <w:color w:val="auto"/>
                <w:szCs w:val="21"/>
                <w:highlight w:val="none"/>
              </w:rPr>
            </w:pPr>
          </w:p>
        </w:tc>
      </w:tr>
      <w:tr w14:paraId="5E45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528A4524">
            <w:pPr>
              <w:adjustRightInd w:val="0"/>
              <w:snapToGrid w:val="0"/>
              <w:jc w:val="center"/>
              <w:rPr>
                <w:rFonts w:hint="default" w:ascii="Times New Roman" w:hAnsi="Times New Roman" w:eastAsia="仿宋" w:cs="Times New Roman"/>
                <w:color w:val="auto"/>
                <w:szCs w:val="21"/>
                <w:highlight w:val="none"/>
              </w:rPr>
            </w:pPr>
          </w:p>
        </w:tc>
        <w:tc>
          <w:tcPr>
            <w:tcW w:w="430" w:type="dxa"/>
            <w:vMerge w:val="continue"/>
            <w:noWrap w:val="0"/>
            <w:vAlign w:val="center"/>
          </w:tcPr>
          <w:p w14:paraId="0636E754">
            <w:pPr>
              <w:adjustRightInd w:val="0"/>
              <w:snapToGrid w:val="0"/>
              <w:jc w:val="center"/>
              <w:rPr>
                <w:rFonts w:hint="default" w:ascii="Times New Roman" w:hAnsi="Times New Roman" w:eastAsia="仿宋" w:cs="Times New Roman"/>
                <w:color w:val="auto"/>
                <w:szCs w:val="21"/>
                <w:highlight w:val="none"/>
              </w:rPr>
            </w:pPr>
          </w:p>
        </w:tc>
        <w:tc>
          <w:tcPr>
            <w:tcW w:w="1361" w:type="dxa"/>
            <w:shd w:val="clear" w:color="auto" w:fill="auto"/>
            <w:noWrap w:val="0"/>
            <w:vAlign w:val="center"/>
          </w:tcPr>
          <w:p w14:paraId="1F906D42">
            <w:pPr>
              <w:jc w:val="center"/>
              <w:rPr>
                <w:rFonts w:hint="eastAsia" w:ascii="Times New Roman" w:hAnsi="Times New Roman" w:eastAsia="仿宋" w:cs="Times New Roman"/>
                <w:color w:val="0000FF"/>
                <w:kern w:val="2"/>
                <w:sz w:val="21"/>
                <w:szCs w:val="21"/>
                <w:highlight w:val="none"/>
                <w:lang w:val="en-US" w:eastAsia="zh-CN" w:bidi="ar-SA"/>
              </w:rPr>
            </w:pPr>
            <w:r>
              <w:rPr>
                <w:rFonts w:hint="eastAsia" w:ascii="Times New Roman" w:hAnsi="Times New Roman" w:eastAsia="仿宋" w:cs="Times New Roman"/>
                <w:bCs/>
                <w:color w:val="0000FF"/>
                <w:szCs w:val="21"/>
                <w:highlight w:val="none"/>
                <w:lang w:val="en-US" w:eastAsia="zh-CN"/>
              </w:rPr>
              <w:t>FQ-</w:t>
            </w:r>
            <w:r>
              <w:rPr>
                <w:rFonts w:hint="eastAsia" w:eastAsia="仿宋" w:cs="Times New Roman"/>
                <w:bCs/>
                <w:color w:val="0000FF"/>
                <w:szCs w:val="21"/>
                <w:highlight w:val="none"/>
                <w:lang w:val="en-US" w:eastAsia="zh-CN"/>
              </w:rPr>
              <w:t>7</w:t>
            </w:r>
            <w:r>
              <w:rPr>
                <w:rFonts w:hint="eastAsia" w:ascii="Times New Roman" w:hAnsi="Times New Roman" w:eastAsia="仿宋" w:cs="Times New Roman"/>
                <w:bCs/>
                <w:color w:val="0000FF"/>
                <w:szCs w:val="21"/>
                <w:highlight w:val="none"/>
                <w:lang w:val="en-US" w:eastAsia="zh-CN"/>
              </w:rPr>
              <w:t>排气筒</w:t>
            </w:r>
          </w:p>
        </w:tc>
        <w:tc>
          <w:tcPr>
            <w:tcW w:w="1950" w:type="dxa"/>
            <w:shd w:val="clear" w:color="auto" w:fill="auto"/>
            <w:noWrap w:val="0"/>
            <w:vAlign w:val="center"/>
          </w:tcPr>
          <w:p w14:paraId="7668783F">
            <w:pPr>
              <w:jc w:val="center"/>
              <w:rPr>
                <w:rFonts w:hint="default" w:ascii="Times New Roman" w:hAnsi="Times New Roman" w:eastAsia="仿宋" w:cs="Times New Roman"/>
                <w:color w:val="0000FF"/>
                <w:kern w:val="2"/>
                <w:sz w:val="21"/>
                <w:szCs w:val="21"/>
                <w:highlight w:val="none"/>
                <w:lang w:val="en-US" w:eastAsia="zh-CN" w:bidi="ar-SA"/>
              </w:rPr>
            </w:pPr>
            <w:r>
              <w:rPr>
                <w:rFonts w:hint="default" w:ascii="Times New Roman" w:hAnsi="Times New Roman" w:eastAsia="仿宋" w:cs="Times New Roman"/>
                <w:bCs/>
                <w:color w:val="0000FF"/>
                <w:szCs w:val="21"/>
                <w:highlight w:val="none"/>
              </w:rPr>
              <w:t>颗粒物</w:t>
            </w:r>
          </w:p>
        </w:tc>
        <w:tc>
          <w:tcPr>
            <w:tcW w:w="1512" w:type="dxa"/>
            <w:shd w:val="clear" w:color="auto" w:fill="auto"/>
            <w:noWrap w:val="0"/>
            <w:vAlign w:val="center"/>
          </w:tcPr>
          <w:p w14:paraId="035CA70B">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仿宋" w:cs="Times New Roman"/>
                <w:color w:val="0000FF"/>
                <w:kern w:val="2"/>
                <w:sz w:val="21"/>
                <w:szCs w:val="21"/>
                <w:highlight w:val="none"/>
                <w:lang w:val="en-US" w:eastAsia="zh-CN" w:bidi="ar-SA"/>
              </w:rPr>
            </w:pPr>
            <w:r>
              <w:rPr>
                <w:rFonts w:hint="eastAsia" w:eastAsia="仿宋" w:cs="Times New Roman"/>
                <w:bCs/>
                <w:color w:val="0000FF"/>
                <w:sz w:val="21"/>
                <w:szCs w:val="21"/>
                <w:highlight w:val="none"/>
                <w:lang w:val="en-US" w:eastAsia="zh-CN"/>
              </w:rPr>
              <w:t>7</w:t>
            </w:r>
            <w:r>
              <w:rPr>
                <w:rFonts w:hint="default" w:ascii="Times New Roman" w:hAnsi="Times New Roman" w:eastAsia="仿宋" w:cs="Times New Roman"/>
                <w:bCs/>
                <w:color w:val="0000FF"/>
                <w:sz w:val="21"/>
                <w:szCs w:val="21"/>
                <w:highlight w:val="none"/>
                <w:lang w:val="en-US" w:eastAsia="zh-CN"/>
              </w:rPr>
              <w:t>#</w:t>
            </w:r>
            <w:r>
              <w:rPr>
                <w:rFonts w:hint="eastAsia" w:eastAsia="仿宋" w:cs="Times New Roman"/>
                <w:bCs/>
                <w:color w:val="0000FF"/>
                <w:sz w:val="21"/>
                <w:szCs w:val="21"/>
                <w:highlight w:val="none"/>
                <w:lang w:val="en-US" w:eastAsia="zh-CN"/>
              </w:rPr>
              <w:t>水旋除尘器</w:t>
            </w:r>
          </w:p>
        </w:tc>
        <w:tc>
          <w:tcPr>
            <w:tcW w:w="2669" w:type="dxa"/>
            <w:vMerge w:val="continue"/>
            <w:noWrap w:val="0"/>
            <w:vAlign w:val="center"/>
          </w:tcPr>
          <w:p w14:paraId="6E7A545B">
            <w:pPr>
              <w:adjustRightInd w:val="0"/>
              <w:snapToGrid w:val="0"/>
              <w:jc w:val="center"/>
              <w:rPr>
                <w:rFonts w:hint="default" w:ascii="Times New Roman" w:hAnsi="Times New Roman" w:eastAsia="仿宋" w:cs="Times New Roman"/>
                <w:color w:val="auto"/>
                <w:szCs w:val="21"/>
                <w:highlight w:val="none"/>
              </w:rPr>
            </w:pPr>
          </w:p>
        </w:tc>
      </w:tr>
      <w:tr w14:paraId="7F7F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32202D4C">
            <w:pPr>
              <w:adjustRightInd w:val="0"/>
              <w:snapToGrid w:val="0"/>
              <w:jc w:val="center"/>
              <w:rPr>
                <w:rFonts w:hint="default" w:ascii="Times New Roman" w:hAnsi="Times New Roman" w:eastAsia="仿宋" w:cs="Times New Roman"/>
                <w:color w:val="auto"/>
                <w:szCs w:val="21"/>
                <w:highlight w:val="none"/>
              </w:rPr>
            </w:pPr>
          </w:p>
        </w:tc>
        <w:tc>
          <w:tcPr>
            <w:tcW w:w="430" w:type="dxa"/>
            <w:vMerge w:val="restart"/>
            <w:noWrap w:val="0"/>
            <w:vAlign w:val="center"/>
          </w:tcPr>
          <w:p w14:paraId="44DAA3BA">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无组织</w:t>
            </w:r>
          </w:p>
        </w:tc>
        <w:tc>
          <w:tcPr>
            <w:tcW w:w="1361" w:type="dxa"/>
            <w:noWrap w:val="0"/>
            <w:vAlign w:val="center"/>
          </w:tcPr>
          <w:p w14:paraId="0A17DDAB">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厂界</w:t>
            </w:r>
          </w:p>
        </w:tc>
        <w:tc>
          <w:tcPr>
            <w:tcW w:w="1950" w:type="dxa"/>
            <w:noWrap w:val="0"/>
            <w:vAlign w:val="center"/>
          </w:tcPr>
          <w:p w14:paraId="3CAE7E45">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非甲烷总烃、颗粒物</w:t>
            </w:r>
          </w:p>
        </w:tc>
        <w:tc>
          <w:tcPr>
            <w:tcW w:w="1512" w:type="dxa"/>
            <w:noWrap w:val="0"/>
            <w:vAlign w:val="center"/>
          </w:tcPr>
          <w:p w14:paraId="4427718C">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w:t>
            </w:r>
          </w:p>
        </w:tc>
        <w:tc>
          <w:tcPr>
            <w:tcW w:w="2669" w:type="dxa"/>
            <w:noWrap w:val="0"/>
            <w:vAlign w:val="center"/>
          </w:tcPr>
          <w:p w14:paraId="3326E798">
            <w:pPr>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szCs w:val="21"/>
              </w:rPr>
              <w:t>《大气污染物综合排放标准》（DB32/4041-2021）表3</w:t>
            </w:r>
          </w:p>
        </w:tc>
      </w:tr>
      <w:tr w14:paraId="7903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5B9A6FE7">
            <w:pPr>
              <w:adjustRightInd w:val="0"/>
              <w:snapToGrid w:val="0"/>
              <w:jc w:val="center"/>
              <w:rPr>
                <w:rFonts w:hint="default" w:ascii="Times New Roman" w:hAnsi="Times New Roman" w:eastAsia="仿宋" w:cs="Times New Roman"/>
                <w:color w:val="auto"/>
                <w:szCs w:val="21"/>
                <w:highlight w:val="none"/>
              </w:rPr>
            </w:pPr>
          </w:p>
        </w:tc>
        <w:tc>
          <w:tcPr>
            <w:tcW w:w="430" w:type="dxa"/>
            <w:vMerge w:val="continue"/>
            <w:noWrap w:val="0"/>
            <w:vAlign w:val="center"/>
          </w:tcPr>
          <w:p w14:paraId="38717B87">
            <w:pPr>
              <w:adjustRightInd w:val="0"/>
              <w:snapToGrid w:val="0"/>
              <w:jc w:val="center"/>
              <w:rPr>
                <w:rFonts w:hint="default" w:ascii="Times New Roman" w:hAnsi="Times New Roman" w:eastAsia="仿宋" w:cs="Times New Roman"/>
                <w:color w:val="auto"/>
                <w:szCs w:val="21"/>
                <w:highlight w:val="none"/>
              </w:rPr>
            </w:pPr>
          </w:p>
        </w:tc>
        <w:tc>
          <w:tcPr>
            <w:tcW w:w="1361" w:type="dxa"/>
            <w:noWrap w:val="0"/>
            <w:vAlign w:val="center"/>
          </w:tcPr>
          <w:p w14:paraId="6282D498">
            <w:pPr>
              <w:adjustRightInd w:val="0"/>
              <w:snapToGrid w:val="0"/>
              <w:jc w:val="center"/>
              <w:rPr>
                <w:rFonts w:hint="default" w:ascii="Times New Roman" w:hAnsi="Times New Roman" w:eastAsia="仿宋" w:cs="Times New Roman"/>
                <w:color w:val="auto"/>
                <w:szCs w:val="21"/>
                <w:highlight w:val="none"/>
              </w:rPr>
            </w:pPr>
            <w:r>
              <w:rPr>
                <w:rFonts w:hint="eastAsia" w:ascii="Times New Roman" w:hAnsi="Times New Roman" w:eastAsia="仿宋" w:cs="Times New Roman"/>
                <w:color w:val="auto"/>
                <w:szCs w:val="21"/>
                <w:highlight w:val="none"/>
                <w:lang w:val="en-US" w:eastAsia="zh-CN"/>
              </w:rPr>
              <w:t>D6</w:t>
            </w:r>
            <w:r>
              <w:rPr>
                <w:rFonts w:hint="default" w:ascii="Times New Roman" w:hAnsi="Times New Roman" w:eastAsia="仿宋" w:cs="Times New Roman"/>
                <w:color w:val="auto"/>
                <w:szCs w:val="21"/>
                <w:highlight w:val="none"/>
              </w:rPr>
              <w:t>车间外1m处</w:t>
            </w:r>
          </w:p>
        </w:tc>
        <w:tc>
          <w:tcPr>
            <w:tcW w:w="1950" w:type="dxa"/>
            <w:noWrap w:val="0"/>
            <w:vAlign w:val="center"/>
          </w:tcPr>
          <w:p w14:paraId="16DD8949">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非甲烷总烃</w:t>
            </w:r>
          </w:p>
        </w:tc>
        <w:tc>
          <w:tcPr>
            <w:tcW w:w="1512" w:type="dxa"/>
            <w:noWrap w:val="0"/>
            <w:vAlign w:val="center"/>
          </w:tcPr>
          <w:p w14:paraId="145F291B">
            <w:pPr>
              <w:adjustRightInd w:val="0"/>
              <w:snapToGrid w:val="0"/>
              <w:jc w:val="center"/>
              <w:rPr>
                <w:rFonts w:hint="eastAsia"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w:t>
            </w:r>
          </w:p>
        </w:tc>
        <w:tc>
          <w:tcPr>
            <w:tcW w:w="2669" w:type="dxa"/>
            <w:noWrap w:val="0"/>
            <w:vAlign w:val="center"/>
          </w:tcPr>
          <w:p w14:paraId="0E254E09">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rPr>
              <w:t>《大气污染物综合排放标准》（DB32/4041-2021）表2及《挥发性有机物无组织排放控制标准》（GB 37822-2019）表A.1</w:t>
            </w:r>
          </w:p>
        </w:tc>
      </w:tr>
      <w:tr w14:paraId="2D2B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6CD911BD">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地表水环境</w:t>
            </w:r>
          </w:p>
        </w:tc>
        <w:tc>
          <w:tcPr>
            <w:tcW w:w="1791" w:type="dxa"/>
            <w:gridSpan w:val="2"/>
            <w:shd w:val="clear" w:color="auto" w:fill="auto"/>
            <w:noWrap w:val="0"/>
            <w:vAlign w:val="center"/>
          </w:tcPr>
          <w:p w14:paraId="3C256081">
            <w:pPr>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生活污水</w:t>
            </w:r>
          </w:p>
        </w:tc>
        <w:tc>
          <w:tcPr>
            <w:tcW w:w="1950" w:type="dxa"/>
            <w:shd w:val="clear" w:color="auto" w:fill="auto"/>
            <w:noWrap w:val="0"/>
            <w:vAlign w:val="center"/>
          </w:tcPr>
          <w:p w14:paraId="43E9CF63">
            <w:pPr>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pH、COD、SS、氨氮、总磷、总氮</w:t>
            </w:r>
          </w:p>
        </w:tc>
        <w:tc>
          <w:tcPr>
            <w:tcW w:w="1512" w:type="dxa"/>
            <w:shd w:val="clear" w:color="auto" w:fill="auto"/>
            <w:noWrap w:val="0"/>
            <w:vAlign w:val="center"/>
          </w:tcPr>
          <w:p w14:paraId="29DD8A20">
            <w:pPr>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化粪池（依托）</w:t>
            </w:r>
          </w:p>
        </w:tc>
        <w:tc>
          <w:tcPr>
            <w:tcW w:w="2669" w:type="dxa"/>
            <w:shd w:val="clear" w:color="auto" w:fill="auto"/>
            <w:noWrap w:val="0"/>
            <w:vAlign w:val="center"/>
          </w:tcPr>
          <w:p w14:paraId="56A4D492">
            <w:pPr>
              <w:adjustRightInd w:val="0"/>
              <w:snapToGrid w:val="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Cs w:val="21"/>
                <w:highlight w:val="none"/>
              </w:rPr>
              <w:t>常州金坛区第二污水处理有限公司接管标准</w:t>
            </w:r>
          </w:p>
        </w:tc>
      </w:tr>
      <w:tr w14:paraId="13DD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restart"/>
            <w:noWrap w:val="0"/>
            <w:vAlign w:val="center"/>
          </w:tcPr>
          <w:p w14:paraId="27302F03">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固体废物</w:t>
            </w:r>
          </w:p>
        </w:tc>
        <w:tc>
          <w:tcPr>
            <w:tcW w:w="1791" w:type="dxa"/>
            <w:gridSpan w:val="2"/>
            <w:vMerge w:val="restart"/>
            <w:shd w:val="clear" w:color="auto" w:fill="auto"/>
            <w:noWrap w:val="0"/>
            <w:vAlign w:val="center"/>
          </w:tcPr>
          <w:p w14:paraId="7505A6F5">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废气治理</w:t>
            </w:r>
          </w:p>
        </w:tc>
        <w:tc>
          <w:tcPr>
            <w:tcW w:w="1950" w:type="dxa"/>
            <w:shd w:val="clear" w:color="auto" w:fill="auto"/>
            <w:noWrap w:val="0"/>
            <w:vAlign w:val="center"/>
          </w:tcPr>
          <w:p w14:paraId="699EB07D">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废绒毛</w:t>
            </w:r>
          </w:p>
        </w:tc>
        <w:tc>
          <w:tcPr>
            <w:tcW w:w="1512" w:type="dxa"/>
            <w:vMerge w:val="restart"/>
            <w:noWrap w:val="0"/>
            <w:vAlign w:val="center"/>
          </w:tcPr>
          <w:p w14:paraId="104F04DC">
            <w:pPr>
              <w:adjustRightInd w:val="0"/>
              <w:snapToGrid w:val="0"/>
              <w:jc w:val="center"/>
              <w:rPr>
                <w:rFonts w:hint="default" w:ascii="Times New Roman" w:hAnsi="Times New Roman" w:eastAsia="仿宋" w:cs="Times New Roman"/>
                <w:color w:val="auto"/>
                <w:szCs w:val="21"/>
                <w:highlight w:val="none"/>
              </w:rPr>
            </w:pPr>
            <w:r>
              <w:rPr>
                <w:rFonts w:hint="eastAsia" w:eastAsia="仿宋"/>
                <w:szCs w:val="21"/>
                <w:highlight w:val="none"/>
              </w:rPr>
              <w:t>外售综合利用</w:t>
            </w:r>
          </w:p>
        </w:tc>
        <w:tc>
          <w:tcPr>
            <w:tcW w:w="2669" w:type="dxa"/>
            <w:vMerge w:val="restart"/>
            <w:noWrap w:val="0"/>
            <w:vAlign w:val="center"/>
          </w:tcPr>
          <w:p w14:paraId="592979E3">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有效处置</w:t>
            </w:r>
          </w:p>
        </w:tc>
      </w:tr>
      <w:tr w14:paraId="6F1D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001A80D0">
            <w:pPr>
              <w:adjustRightInd w:val="0"/>
              <w:snapToGrid w:val="0"/>
              <w:jc w:val="center"/>
              <w:rPr>
                <w:rFonts w:hint="default" w:ascii="Times New Roman" w:hAnsi="Times New Roman" w:eastAsia="仿宋" w:cs="Times New Roman"/>
                <w:color w:val="auto"/>
                <w:szCs w:val="21"/>
                <w:highlight w:val="none"/>
              </w:rPr>
            </w:pPr>
          </w:p>
        </w:tc>
        <w:tc>
          <w:tcPr>
            <w:tcW w:w="1791" w:type="dxa"/>
            <w:gridSpan w:val="2"/>
            <w:vMerge w:val="continue"/>
            <w:noWrap w:val="0"/>
            <w:vAlign w:val="center"/>
          </w:tcPr>
          <w:p w14:paraId="44750352">
            <w:pPr>
              <w:adjustRightInd w:val="0"/>
              <w:snapToGrid w:val="0"/>
              <w:jc w:val="center"/>
              <w:rPr>
                <w:rFonts w:hint="default" w:ascii="Times New Roman" w:hAnsi="Times New Roman" w:eastAsia="仿宋" w:cs="Times New Roman"/>
                <w:color w:val="auto"/>
                <w:szCs w:val="21"/>
                <w:highlight w:val="none"/>
                <w:lang w:val="en-US" w:eastAsia="zh-CN"/>
              </w:rPr>
            </w:pPr>
          </w:p>
        </w:tc>
        <w:tc>
          <w:tcPr>
            <w:tcW w:w="1950" w:type="dxa"/>
            <w:shd w:val="clear" w:color="auto" w:fill="auto"/>
            <w:noWrap w:val="0"/>
            <w:vAlign w:val="center"/>
          </w:tcPr>
          <w:p w14:paraId="32A70012">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废布袋</w:t>
            </w:r>
          </w:p>
        </w:tc>
        <w:tc>
          <w:tcPr>
            <w:tcW w:w="1512" w:type="dxa"/>
            <w:vMerge w:val="continue"/>
            <w:noWrap w:val="0"/>
            <w:vAlign w:val="center"/>
          </w:tcPr>
          <w:p w14:paraId="5D8F9D3A">
            <w:pPr>
              <w:adjustRightInd w:val="0"/>
              <w:snapToGrid w:val="0"/>
              <w:jc w:val="center"/>
              <w:rPr>
                <w:rFonts w:hint="default" w:ascii="Times New Roman" w:hAnsi="Times New Roman" w:eastAsia="仿宋" w:cs="Times New Roman"/>
                <w:color w:val="auto"/>
                <w:szCs w:val="21"/>
                <w:highlight w:val="none"/>
              </w:rPr>
            </w:pPr>
          </w:p>
        </w:tc>
        <w:tc>
          <w:tcPr>
            <w:tcW w:w="2669" w:type="dxa"/>
            <w:vMerge w:val="continue"/>
            <w:noWrap w:val="0"/>
            <w:vAlign w:val="center"/>
          </w:tcPr>
          <w:p w14:paraId="6042E5B9">
            <w:pPr>
              <w:adjustRightInd w:val="0"/>
              <w:snapToGrid w:val="0"/>
              <w:jc w:val="center"/>
              <w:rPr>
                <w:rFonts w:hint="default" w:ascii="Times New Roman" w:hAnsi="Times New Roman" w:eastAsia="仿宋" w:cs="Times New Roman"/>
                <w:color w:val="auto"/>
                <w:szCs w:val="21"/>
                <w:highlight w:val="none"/>
              </w:rPr>
            </w:pPr>
          </w:p>
        </w:tc>
      </w:tr>
      <w:tr w14:paraId="4119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6C325BA8">
            <w:pPr>
              <w:adjustRightInd w:val="0"/>
              <w:snapToGrid w:val="0"/>
              <w:jc w:val="center"/>
              <w:rPr>
                <w:rFonts w:hint="default" w:ascii="Times New Roman" w:hAnsi="Times New Roman" w:eastAsia="仿宋" w:cs="Times New Roman"/>
                <w:color w:val="auto"/>
                <w:szCs w:val="21"/>
                <w:highlight w:val="none"/>
              </w:rPr>
            </w:pPr>
          </w:p>
        </w:tc>
        <w:tc>
          <w:tcPr>
            <w:tcW w:w="1791" w:type="dxa"/>
            <w:gridSpan w:val="2"/>
            <w:vMerge w:val="continue"/>
            <w:noWrap w:val="0"/>
            <w:vAlign w:val="center"/>
          </w:tcPr>
          <w:p w14:paraId="58D9AF18">
            <w:pPr>
              <w:adjustRightInd w:val="0"/>
              <w:snapToGrid w:val="0"/>
              <w:jc w:val="center"/>
              <w:rPr>
                <w:rFonts w:hint="default" w:ascii="Times New Roman" w:hAnsi="Times New Roman" w:eastAsia="仿宋" w:cs="Times New Roman"/>
                <w:color w:val="auto"/>
                <w:szCs w:val="21"/>
                <w:highlight w:val="none"/>
                <w:lang w:val="en-US" w:eastAsia="zh-CN"/>
              </w:rPr>
            </w:pPr>
          </w:p>
        </w:tc>
        <w:tc>
          <w:tcPr>
            <w:tcW w:w="1950" w:type="dxa"/>
            <w:shd w:val="clear" w:color="auto" w:fill="auto"/>
            <w:noWrap w:val="0"/>
            <w:vAlign w:val="center"/>
          </w:tcPr>
          <w:p w14:paraId="0712E9A2">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水旋废液</w:t>
            </w:r>
          </w:p>
        </w:tc>
        <w:tc>
          <w:tcPr>
            <w:tcW w:w="1512" w:type="dxa"/>
            <w:vMerge w:val="continue"/>
            <w:noWrap w:val="0"/>
            <w:vAlign w:val="center"/>
          </w:tcPr>
          <w:p w14:paraId="6900D903">
            <w:pPr>
              <w:adjustRightInd w:val="0"/>
              <w:snapToGrid w:val="0"/>
              <w:jc w:val="center"/>
              <w:rPr>
                <w:rFonts w:hint="default" w:ascii="Times New Roman" w:hAnsi="Times New Roman" w:eastAsia="仿宋" w:cs="Times New Roman"/>
                <w:color w:val="auto"/>
                <w:szCs w:val="21"/>
                <w:highlight w:val="none"/>
              </w:rPr>
            </w:pPr>
          </w:p>
        </w:tc>
        <w:tc>
          <w:tcPr>
            <w:tcW w:w="2669" w:type="dxa"/>
            <w:vMerge w:val="continue"/>
            <w:noWrap w:val="0"/>
            <w:vAlign w:val="center"/>
          </w:tcPr>
          <w:p w14:paraId="6880B6AE">
            <w:pPr>
              <w:adjustRightInd w:val="0"/>
              <w:snapToGrid w:val="0"/>
              <w:jc w:val="center"/>
              <w:rPr>
                <w:rFonts w:hint="default" w:ascii="Times New Roman" w:hAnsi="Times New Roman" w:eastAsia="仿宋" w:cs="Times New Roman"/>
                <w:color w:val="auto"/>
                <w:szCs w:val="21"/>
                <w:highlight w:val="none"/>
              </w:rPr>
            </w:pPr>
          </w:p>
        </w:tc>
      </w:tr>
      <w:tr w14:paraId="171E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6CA0CD0E">
            <w:pPr>
              <w:adjustRightInd w:val="0"/>
              <w:snapToGrid w:val="0"/>
              <w:jc w:val="center"/>
              <w:rPr>
                <w:rFonts w:hint="default" w:ascii="Times New Roman" w:hAnsi="Times New Roman" w:eastAsia="仿宋" w:cs="Times New Roman"/>
                <w:color w:val="auto"/>
                <w:szCs w:val="21"/>
                <w:highlight w:val="none"/>
              </w:rPr>
            </w:pPr>
          </w:p>
        </w:tc>
        <w:tc>
          <w:tcPr>
            <w:tcW w:w="1791" w:type="dxa"/>
            <w:gridSpan w:val="2"/>
            <w:vMerge w:val="continue"/>
            <w:noWrap w:val="0"/>
            <w:vAlign w:val="center"/>
          </w:tcPr>
          <w:p w14:paraId="1CBF4DB5">
            <w:pPr>
              <w:adjustRightInd w:val="0"/>
              <w:snapToGrid w:val="0"/>
              <w:jc w:val="center"/>
              <w:rPr>
                <w:rFonts w:hint="default" w:ascii="Times New Roman" w:hAnsi="Times New Roman" w:eastAsia="仿宋" w:cs="Times New Roman"/>
                <w:color w:val="auto"/>
                <w:szCs w:val="21"/>
                <w:highlight w:val="none"/>
                <w:lang w:val="en-US" w:eastAsia="zh-CN"/>
              </w:rPr>
            </w:pPr>
          </w:p>
        </w:tc>
        <w:tc>
          <w:tcPr>
            <w:tcW w:w="1950" w:type="dxa"/>
            <w:shd w:val="clear" w:color="auto" w:fill="auto"/>
            <w:noWrap w:val="0"/>
            <w:vAlign w:val="center"/>
          </w:tcPr>
          <w:p w14:paraId="49208839">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eastAsia="仿宋" w:cs="Times New Roman"/>
                <w:color w:val="auto"/>
                <w:szCs w:val="21"/>
                <w:highlight w:val="none"/>
                <w:lang w:val="en-US" w:eastAsia="zh-CN"/>
              </w:rPr>
              <w:t>废过滤棉和杂质</w:t>
            </w:r>
          </w:p>
        </w:tc>
        <w:tc>
          <w:tcPr>
            <w:tcW w:w="1512" w:type="dxa"/>
            <w:vMerge w:val="continue"/>
            <w:noWrap w:val="0"/>
            <w:vAlign w:val="center"/>
          </w:tcPr>
          <w:p w14:paraId="4F4FC16C">
            <w:pPr>
              <w:adjustRightInd w:val="0"/>
              <w:snapToGrid w:val="0"/>
              <w:jc w:val="center"/>
              <w:rPr>
                <w:rFonts w:hint="default" w:ascii="Times New Roman" w:hAnsi="Times New Roman" w:eastAsia="仿宋" w:cs="Times New Roman"/>
                <w:color w:val="auto"/>
                <w:szCs w:val="21"/>
                <w:highlight w:val="none"/>
              </w:rPr>
            </w:pPr>
          </w:p>
        </w:tc>
        <w:tc>
          <w:tcPr>
            <w:tcW w:w="2669" w:type="dxa"/>
            <w:vMerge w:val="continue"/>
            <w:noWrap w:val="0"/>
            <w:vAlign w:val="center"/>
          </w:tcPr>
          <w:p w14:paraId="69FDE40F">
            <w:pPr>
              <w:adjustRightInd w:val="0"/>
              <w:snapToGrid w:val="0"/>
              <w:jc w:val="center"/>
              <w:rPr>
                <w:rFonts w:hint="default" w:ascii="Times New Roman" w:hAnsi="Times New Roman" w:eastAsia="仿宋" w:cs="Times New Roman"/>
                <w:color w:val="auto"/>
                <w:szCs w:val="21"/>
                <w:highlight w:val="none"/>
              </w:rPr>
            </w:pPr>
          </w:p>
        </w:tc>
      </w:tr>
      <w:tr w14:paraId="24A2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2B71D3A6">
            <w:pPr>
              <w:adjustRightInd w:val="0"/>
              <w:snapToGrid w:val="0"/>
              <w:jc w:val="center"/>
              <w:rPr>
                <w:rFonts w:hint="default" w:ascii="Times New Roman" w:hAnsi="Times New Roman" w:eastAsia="仿宋" w:cs="Times New Roman"/>
                <w:color w:val="auto"/>
                <w:szCs w:val="21"/>
                <w:highlight w:val="none"/>
              </w:rPr>
            </w:pPr>
          </w:p>
        </w:tc>
        <w:tc>
          <w:tcPr>
            <w:tcW w:w="1791" w:type="dxa"/>
            <w:gridSpan w:val="2"/>
            <w:vMerge w:val="restart"/>
            <w:shd w:val="clear" w:color="auto" w:fill="auto"/>
            <w:noWrap w:val="0"/>
            <w:vAlign w:val="center"/>
          </w:tcPr>
          <w:p w14:paraId="135E0165">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原辅材料使用</w:t>
            </w:r>
          </w:p>
        </w:tc>
        <w:tc>
          <w:tcPr>
            <w:tcW w:w="1950" w:type="dxa"/>
            <w:shd w:val="clear" w:color="auto" w:fill="auto"/>
            <w:noWrap w:val="0"/>
            <w:vAlign w:val="center"/>
          </w:tcPr>
          <w:p w14:paraId="2C59E493">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废包装材料</w:t>
            </w:r>
          </w:p>
        </w:tc>
        <w:tc>
          <w:tcPr>
            <w:tcW w:w="1512" w:type="dxa"/>
            <w:vMerge w:val="continue"/>
            <w:noWrap w:val="0"/>
            <w:vAlign w:val="center"/>
          </w:tcPr>
          <w:p w14:paraId="0493405C">
            <w:pPr>
              <w:adjustRightInd w:val="0"/>
              <w:snapToGrid w:val="0"/>
              <w:jc w:val="center"/>
              <w:rPr>
                <w:rFonts w:hint="default" w:ascii="Times New Roman" w:hAnsi="Times New Roman" w:eastAsia="仿宋" w:cs="Times New Roman"/>
                <w:color w:val="auto"/>
                <w:szCs w:val="21"/>
                <w:highlight w:val="none"/>
              </w:rPr>
            </w:pPr>
          </w:p>
        </w:tc>
        <w:tc>
          <w:tcPr>
            <w:tcW w:w="2669" w:type="dxa"/>
            <w:vMerge w:val="continue"/>
            <w:noWrap w:val="0"/>
            <w:vAlign w:val="center"/>
          </w:tcPr>
          <w:p w14:paraId="0103DA9E">
            <w:pPr>
              <w:adjustRightInd w:val="0"/>
              <w:snapToGrid w:val="0"/>
              <w:jc w:val="center"/>
              <w:rPr>
                <w:rFonts w:hint="default" w:ascii="Times New Roman" w:hAnsi="Times New Roman" w:eastAsia="仿宋" w:cs="Times New Roman"/>
                <w:color w:val="auto"/>
                <w:szCs w:val="21"/>
                <w:highlight w:val="none"/>
              </w:rPr>
            </w:pPr>
          </w:p>
        </w:tc>
      </w:tr>
      <w:tr w14:paraId="489C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37" w:type="dxa"/>
            <w:vMerge w:val="continue"/>
            <w:noWrap w:val="0"/>
            <w:vAlign w:val="center"/>
          </w:tcPr>
          <w:p w14:paraId="6CB0CDB4">
            <w:pPr>
              <w:adjustRightInd w:val="0"/>
              <w:snapToGrid w:val="0"/>
              <w:jc w:val="center"/>
              <w:rPr>
                <w:rFonts w:hint="default" w:ascii="Times New Roman" w:hAnsi="Times New Roman" w:eastAsia="仿宋" w:cs="Times New Roman"/>
                <w:color w:val="auto"/>
                <w:szCs w:val="21"/>
                <w:highlight w:val="none"/>
              </w:rPr>
            </w:pPr>
          </w:p>
        </w:tc>
        <w:tc>
          <w:tcPr>
            <w:tcW w:w="1791" w:type="dxa"/>
            <w:gridSpan w:val="2"/>
            <w:vMerge w:val="continue"/>
            <w:noWrap w:val="0"/>
            <w:vAlign w:val="center"/>
          </w:tcPr>
          <w:p w14:paraId="279C6BF5">
            <w:pPr>
              <w:adjustRightInd w:val="0"/>
              <w:snapToGrid w:val="0"/>
              <w:jc w:val="center"/>
              <w:rPr>
                <w:rFonts w:hint="default" w:ascii="Times New Roman" w:hAnsi="Times New Roman" w:eastAsia="仿宋" w:cs="Times New Roman"/>
                <w:color w:val="auto"/>
                <w:szCs w:val="21"/>
                <w:highlight w:val="none"/>
                <w:lang w:val="en-US" w:eastAsia="zh-CN"/>
              </w:rPr>
            </w:pPr>
          </w:p>
        </w:tc>
        <w:tc>
          <w:tcPr>
            <w:tcW w:w="1950" w:type="dxa"/>
            <w:shd w:val="clear" w:color="auto" w:fill="auto"/>
            <w:noWrap w:val="0"/>
            <w:vAlign w:val="center"/>
          </w:tcPr>
          <w:p w14:paraId="66463CF5">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废包装桶</w:t>
            </w:r>
          </w:p>
        </w:tc>
        <w:tc>
          <w:tcPr>
            <w:tcW w:w="1512" w:type="dxa"/>
            <w:vMerge w:val="restart"/>
            <w:noWrap w:val="0"/>
            <w:vAlign w:val="center"/>
          </w:tcPr>
          <w:p w14:paraId="252B2698">
            <w:pPr>
              <w:adjustRightInd w:val="0"/>
              <w:snapToGrid w:val="0"/>
              <w:jc w:val="center"/>
              <w:rPr>
                <w:rFonts w:hint="default" w:ascii="Times New Roman" w:hAnsi="Times New Roman" w:eastAsia="仿宋" w:cs="Times New Roman"/>
                <w:color w:val="auto"/>
                <w:szCs w:val="21"/>
                <w:highlight w:val="none"/>
              </w:rPr>
            </w:pPr>
            <w:r>
              <w:rPr>
                <w:rFonts w:eastAsia="仿宋"/>
                <w:szCs w:val="21"/>
                <w:highlight w:val="none"/>
              </w:rPr>
              <w:t>委托有资质单位处置</w:t>
            </w:r>
          </w:p>
        </w:tc>
        <w:tc>
          <w:tcPr>
            <w:tcW w:w="2669" w:type="dxa"/>
            <w:vMerge w:val="continue"/>
            <w:noWrap w:val="0"/>
            <w:vAlign w:val="center"/>
          </w:tcPr>
          <w:p w14:paraId="19BC4CA4">
            <w:pPr>
              <w:adjustRightInd w:val="0"/>
              <w:snapToGrid w:val="0"/>
              <w:jc w:val="center"/>
              <w:rPr>
                <w:rFonts w:hint="default" w:ascii="Times New Roman" w:hAnsi="Times New Roman" w:eastAsia="仿宋" w:cs="Times New Roman"/>
                <w:color w:val="auto"/>
                <w:szCs w:val="21"/>
                <w:highlight w:val="none"/>
              </w:rPr>
            </w:pPr>
          </w:p>
        </w:tc>
      </w:tr>
      <w:tr w14:paraId="6AC8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5BF8DF15">
            <w:pPr>
              <w:adjustRightInd w:val="0"/>
              <w:snapToGrid w:val="0"/>
              <w:jc w:val="center"/>
              <w:rPr>
                <w:rFonts w:hint="default" w:ascii="Times New Roman" w:hAnsi="Times New Roman" w:eastAsia="仿宋" w:cs="Times New Roman"/>
                <w:color w:val="auto"/>
                <w:szCs w:val="21"/>
                <w:highlight w:val="none"/>
              </w:rPr>
            </w:pPr>
          </w:p>
        </w:tc>
        <w:tc>
          <w:tcPr>
            <w:tcW w:w="1791" w:type="dxa"/>
            <w:gridSpan w:val="2"/>
            <w:vMerge w:val="restart"/>
            <w:shd w:val="clear" w:color="auto" w:fill="auto"/>
            <w:noWrap w:val="0"/>
            <w:vAlign w:val="center"/>
          </w:tcPr>
          <w:p w14:paraId="6D42C2C9">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废气治理</w:t>
            </w:r>
          </w:p>
        </w:tc>
        <w:tc>
          <w:tcPr>
            <w:tcW w:w="1950" w:type="dxa"/>
            <w:shd w:val="clear" w:color="auto" w:fill="auto"/>
            <w:noWrap w:val="0"/>
            <w:vAlign w:val="center"/>
          </w:tcPr>
          <w:p w14:paraId="3D9CC236">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废活性炭</w:t>
            </w:r>
          </w:p>
        </w:tc>
        <w:tc>
          <w:tcPr>
            <w:tcW w:w="1512" w:type="dxa"/>
            <w:vMerge w:val="continue"/>
            <w:noWrap w:val="0"/>
            <w:vAlign w:val="center"/>
          </w:tcPr>
          <w:p w14:paraId="27FBE520">
            <w:pPr>
              <w:adjustRightInd w:val="0"/>
              <w:snapToGrid w:val="0"/>
              <w:jc w:val="center"/>
              <w:rPr>
                <w:rFonts w:hint="default" w:ascii="Times New Roman" w:hAnsi="Times New Roman" w:eastAsia="仿宋" w:cs="Times New Roman"/>
                <w:color w:val="auto"/>
                <w:szCs w:val="21"/>
                <w:highlight w:val="none"/>
              </w:rPr>
            </w:pPr>
          </w:p>
        </w:tc>
        <w:tc>
          <w:tcPr>
            <w:tcW w:w="2669" w:type="dxa"/>
            <w:vMerge w:val="continue"/>
            <w:noWrap w:val="0"/>
            <w:vAlign w:val="center"/>
          </w:tcPr>
          <w:p w14:paraId="3BAF8D60">
            <w:pPr>
              <w:adjustRightInd w:val="0"/>
              <w:snapToGrid w:val="0"/>
              <w:jc w:val="center"/>
              <w:rPr>
                <w:rFonts w:hint="default" w:ascii="Times New Roman" w:hAnsi="Times New Roman" w:eastAsia="仿宋" w:cs="Times New Roman"/>
                <w:color w:val="auto"/>
                <w:szCs w:val="21"/>
                <w:highlight w:val="none"/>
              </w:rPr>
            </w:pPr>
          </w:p>
        </w:tc>
      </w:tr>
      <w:tr w14:paraId="4F99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11E8DA2E">
            <w:pPr>
              <w:adjustRightInd w:val="0"/>
              <w:snapToGrid w:val="0"/>
              <w:jc w:val="center"/>
              <w:rPr>
                <w:rFonts w:hint="default" w:ascii="Times New Roman" w:hAnsi="Times New Roman" w:eastAsia="仿宋" w:cs="Times New Roman"/>
                <w:color w:val="auto"/>
                <w:szCs w:val="21"/>
                <w:highlight w:val="none"/>
              </w:rPr>
            </w:pPr>
          </w:p>
        </w:tc>
        <w:tc>
          <w:tcPr>
            <w:tcW w:w="1791" w:type="dxa"/>
            <w:gridSpan w:val="2"/>
            <w:vMerge w:val="continue"/>
            <w:shd w:val="clear" w:color="auto" w:fill="auto"/>
            <w:noWrap w:val="0"/>
            <w:vAlign w:val="center"/>
          </w:tcPr>
          <w:p w14:paraId="56A143D7">
            <w:pPr>
              <w:adjustRightInd w:val="0"/>
              <w:snapToGrid w:val="0"/>
              <w:jc w:val="center"/>
              <w:rPr>
                <w:rFonts w:hint="eastAsia" w:ascii="Times New Roman" w:hAnsi="Times New Roman" w:eastAsia="仿宋" w:cs="Times New Roman"/>
                <w:color w:val="auto"/>
                <w:szCs w:val="21"/>
                <w:highlight w:val="none"/>
                <w:lang w:val="en-US" w:eastAsia="zh-CN"/>
              </w:rPr>
            </w:pPr>
          </w:p>
        </w:tc>
        <w:tc>
          <w:tcPr>
            <w:tcW w:w="1950" w:type="dxa"/>
            <w:shd w:val="clear" w:color="auto" w:fill="auto"/>
            <w:noWrap w:val="0"/>
            <w:vAlign w:val="center"/>
          </w:tcPr>
          <w:p w14:paraId="50D58894">
            <w:pPr>
              <w:adjustRightInd w:val="0"/>
              <w:snapToGrid w:val="0"/>
              <w:jc w:val="center"/>
              <w:rPr>
                <w:rFonts w:hint="default" w:ascii="Times New Roman" w:hAnsi="Times New Roman" w:eastAsia="仿宋" w:cs="Times New Roman"/>
                <w:color w:val="0000FF"/>
                <w:szCs w:val="21"/>
                <w:highlight w:val="none"/>
                <w:lang w:val="en-US" w:eastAsia="zh-CN"/>
              </w:rPr>
            </w:pPr>
            <w:r>
              <w:rPr>
                <w:rFonts w:hint="eastAsia" w:eastAsia="仿宋" w:cs="Times New Roman"/>
                <w:color w:val="0000FF"/>
                <w:szCs w:val="21"/>
                <w:highlight w:val="none"/>
                <w:lang w:val="en-US" w:eastAsia="zh-CN"/>
              </w:rPr>
              <w:t>废过滤棉及杂质</w:t>
            </w:r>
          </w:p>
        </w:tc>
        <w:tc>
          <w:tcPr>
            <w:tcW w:w="1512" w:type="dxa"/>
            <w:vMerge w:val="continue"/>
            <w:noWrap w:val="0"/>
            <w:vAlign w:val="center"/>
          </w:tcPr>
          <w:p w14:paraId="6AD452BD">
            <w:pPr>
              <w:adjustRightInd w:val="0"/>
              <w:snapToGrid w:val="0"/>
              <w:jc w:val="center"/>
              <w:rPr>
                <w:rFonts w:hint="default" w:ascii="Times New Roman" w:hAnsi="Times New Roman" w:eastAsia="仿宋" w:cs="Times New Roman"/>
                <w:color w:val="auto"/>
                <w:szCs w:val="21"/>
                <w:highlight w:val="none"/>
              </w:rPr>
            </w:pPr>
          </w:p>
        </w:tc>
        <w:tc>
          <w:tcPr>
            <w:tcW w:w="2669" w:type="dxa"/>
            <w:vMerge w:val="continue"/>
            <w:noWrap w:val="0"/>
            <w:vAlign w:val="center"/>
          </w:tcPr>
          <w:p w14:paraId="0D6EFF5D">
            <w:pPr>
              <w:adjustRightInd w:val="0"/>
              <w:snapToGrid w:val="0"/>
              <w:jc w:val="center"/>
              <w:rPr>
                <w:rFonts w:hint="default" w:ascii="Times New Roman" w:hAnsi="Times New Roman" w:eastAsia="仿宋" w:cs="Times New Roman"/>
                <w:color w:val="auto"/>
                <w:szCs w:val="21"/>
                <w:highlight w:val="none"/>
              </w:rPr>
            </w:pPr>
          </w:p>
        </w:tc>
      </w:tr>
      <w:tr w14:paraId="69BF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0D535C76">
            <w:pPr>
              <w:adjustRightInd w:val="0"/>
              <w:snapToGrid w:val="0"/>
              <w:jc w:val="center"/>
              <w:rPr>
                <w:rFonts w:hint="default" w:ascii="Times New Roman" w:hAnsi="Times New Roman" w:eastAsia="仿宋" w:cs="Times New Roman"/>
                <w:color w:val="auto"/>
                <w:szCs w:val="21"/>
                <w:highlight w:val="none"/>
              </w:rPr>
            </w:pPr>
          </w:p>
        </w:tc>
        <w:tc>
          <w:tcPr>
            <w:tcW w:w="1791" w:type="dxa"/>
            <w:gridSpan w:val="2"/>
            <w:vMerge w:val="continue"/>
            <w:shd w:val="clear" w:color="auto" w:fill="auto"/>
            <w:noWrap w:val="0"/>
            <w:vAlign w:val="center"/>
          </w:tcPr>
          <w:p w14:paraId="321B94C5">
            <w:pPr>
              <w:adjustRightInd w:val="0"/>
              <w:snapToGrid w:val="0"/>
              <w:jc w:val="center"/>
              <w:rPr>
                <w:rFonts w:hint="eastAsia" w:ascii="Times New Roman" w:hAnsi="Times New Roman" w:eastAsia="仿宋" w:cs="Times New Roman"/>
                <w:color w:val="auto"/>
                <w:szCs w:val="21"/>
                <w:highlight w:val="none"/>
                <w:lang w:val="en-US" w:eastAsia="zh-CN"/>
              </w:rPr>
            </w:pPr>
          </w:p>
        </w:tc>
        <w:tc>
          <w:tcPr>
            <w:tcW w:w="1950" w:type="dxa"/>
            <w:shd w:val="clear" w:color="auto" w:fill="auto"/>
            <w:noWrap w:val="0"/>
            <w:vAlign w:val="center"/>
          </w:tcPr>
          <w:p w14:paraId="7EB6DEFE">
            <w:pPr>
              <w:adjustRightInd w:val="0"/>
              <w:snapToGrid w:val="0"/>
              <w:jc w:val="center"/>
              <w:rPr>
                <w:rFonts w:hint="default" w:ascii="Times New Roman" w:hAnsi="Times New Roman" w:eastAsia="仿宋" w:cs="Times New Roman"/>
                <w:color w:val="0000FF"/>
                <w:szCs w:val="21"/>
                <w:highlight w:val="none"/>
                <w:lang w:val="en-US" w:eastAsia="zh-CN"/>
              </w:rPr>
            </w:pPr>
            <w:r>
              <w:rPr>
                <w:rFonts w:hint="eastAsia" w:eastAsia="仿宋" w:cs="Times New Roman"/>
                <w:color w:val="0000FF"/>
                <w:szCs w:val="21"/>
                <w:highlight w:val="none"/>
                <w:lang w:val="en-US" w:eastAsia="zh-CN"/>
              </w:rPr>
              <w:t>水旋废液</w:t>
            </w:r>
          </w:p>
        </w:tc>
        <w:tc>
          <w:tcPr>
            <w:tcW w:w="1512" w:type="dxa"/>
            <w:vMerge w:val="continue"/>
            <w:noWrap w:val="0"/>
            <w:vAlign w:val="center"/>
          </w:tcPr>
          <w:p w14:paraId="6858F934">
            <w:pPr>
              <w:adjustRightInd w:val="0"/>
              <w:snapToGrid w:val="0"/>
              <w:jc w:val="center"/>
              <w:rPr>
                <w:rFonts w:hint="default" w:ascii="Times New Roman" w:hAnsi="Times New Roman" w:eastAsia="仿宋" w:cs="Times New Roman"/>
                <w:color w:val="auto"/>
                <w:szCs w:val="21"/>
                <w:highlight w:val="none"/>
              </w:rPr>
            </w:pPr>
          </w:p>
        </w:tc>
        <w:tc>
          <w:tcPr>
            <w:tcW w:w="2669" w:type="dxa"/>
            <w:vMerge w:val="continue"/>
            <w:noWrap w:val="0"/>
            <w:vAlign w:val="center"/>
          </w:tcPr>
          <w:p w14:paraId="33F07F9D">
            <w:pPr>
              <w:adjustRightInd w:val="0"/>
              <w:snapToGrid w:val="0"/>
              <w:jc w:val="center"/>
              <w:rPr>
                <w:rFonts w:hint="default" w:ascii="Times New Roman" w:hAnsi="Times New Roman" w:eastAsia="仿宋" w:cs="Times New Roman"/>
                <w:color w:val="auto"/>
                <w:szCs w:val="21"/>
                <w:highlight w:val="none"/>
              </w:rPr>
            </w:pPr>
          </w:p>
        </w:tc>
      </w:tr>
      <w:tr w14:paraId="4F4C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6E27CA3C">
            <w:pPr>
              <w:adjustRightInd w:val="0"/>
              <w:snapToGrid w:val="0"/>
              <w:jc w:val="center"/>
              <w:rPr>
                <w:rFonts w:hint="default" w:ascii="Times New Roman" w:hAnsi="Times New Roman" w:eastAsia="仿宋" w:cs="Times New Roman"/>
                <w:color w:val="auto"/>
                <w:szCs w:val="21"/>
                <w:highlight w:val="none"/>
              </w:rPr>
            </w:pPr>
          </w:p>
        </w:tc>
        <w:tc>
          <w:tcPr>
            <w:tcW w:w="1791" w:type="dxa"/>
            <w:gridSpan w:val="2"/>
            <w:shd w:val="clear" w:color="auto" w:fill="auto"/>
            <w:noWrap w:val="0"/>
            <w:vAlign w:val="center"/>
          </w:tcPr>
          <w:p w14:paraId="44AA40A6">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设备维护操作</w:t>
            </w:r>
          </w:p>
        </w:tc>
        <w:tc>
          <w:tcPr>
            <w:tcW w:w="1950" w:type="dxa"/>
            <w:shd w:val="clear" w:color="auto" w:fill="auto"/>
            <w:noWrap w:val="0"/>
            <w:vAlign w:val="center"/>
          </w:tcPr>
          <w:p w14:paraId="097CBFA1">
            <w:pPr>
              <w:adjustRightInd w:val="0"/>
              <w:snapToGrid w:val="0"/>
              <w:jc w:val="center"/>
              <w:rPr>
                <w:rFonts w:hint="default" w:ascii="Times New Roman" w:hAnsi="Times New Roman" w:eastAsia="仿宋" w:cs="Times New Roman"/>
                <w:color w:val="auto"/>
                <w:szCs w:val="21"/>
                <w:highlight w:val="none"/>
                <w:lang w:val="en-US" w:eastAsia="zh-CN"/>
              </w:rPr>
            </w:pPr>
            <w:r>
              <w:rPr>
                <w:rFonts w:hint="eastAsia" w:ascii="Times New Roman" w:hAnsi="Times New Roman" w:eastAsia="仿宋" w:cs="Times New Roman"/>
                <w:color w:val="auto"/>
                <w:szCs w:val="21"/>
                <w:highlight w:val="none"/>
                <w:lang w:val="en-US" w:eastAsia="zh-CN"/>
              </w:rPr>
              <w:t>含油废抹布及手套</w:t>
            </w:r>
          </w:p>
        </w:tc>
        <w:tc>
          <w:tcPr>
            <w:tcW w:w="1512" w:type="dxa"/>
            <w:vMerge w:val="restart"/>
            <w:noWrap w:val="0"/>
            <w:vAlign w:val="center"/>
          </w:tcPr>
          <w:p w14:paraId="72C05B1F">
            <w:pPr>
              <w:adjustRightInd w:val="0"/>
              <w:snapToGrid w:val="0"/>
              <w:jc w:val="center"/>
              <w:rPr>
                <w:rFonts w:hint="default" w:ascii="Times New Roman" w:hAnsi="Times New Roman" w:eastAsia="仿宋" w:cs="Times New Roman"/>
                <w:color w:val="auto"/>
                <w:szCs w:val="21"/>
                <w:highlight w:val="none"/>
              </w:rPr>
            </w:pPr>
            <w:r>
              <w:rPr>
                <w:rFonts w:hint="eastAsia" w:ascii="仿宋" w:hAnsi="仿宋" w:eastAsia="仿宋" w:cs="仿宋"/>
                <w:sz w:val="21"/>
                <w:szCs w:val="21"/>
                <w:highlight w:val="none"/>
              </w:rPr>
              <w:t>难以单独收集，与生活垃圾一起由环卫部门定期清运</w:t>
            </w:r>
          </w:p>
        </w:tc>
        <w:tc>
          <w:tcPr>
            <w:tcW w:w="2669" w:type="dxa"/>
            <w:vMerge w:val="continue"/>
            <w:noWrap w:val="0"/>
            <w:vAlign w:val="center"/>
          </w:tcPr>
          <w:p w14:paraId="53F09777">
            <w:pPr>
              <w:adjustRightInd w:val="0"/>
              <w:snapToGrid w:val="0"/>
              <w:jc w:val="center"/>
              <w:rPr>
                <w:rFonts w:hint="default" w:ascii="Times New Roman" w:hAnsi="Times New Roman" w:eastAsia="仿宋" w:cs="Times New Roman"/>
                <w:color w:val="auto"/>
                <w:szCs w:val="21"/>
                <w:highlight w:val="none"/>
              </w:rPr>
            </w:pPr>
          </w:p>
        </w:tc>
      </w:tr>
      <w:tr w14:paraId="679D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vMerge w:val="continue"/>
            <w:noWrap w:val="0"/>
            <w:vAlign w:val="center"/>
          </w:tcPr>
          <w:p w14:paraId="50EAC655">
            <w:pPr>
              <w:adjustRightInd w:val="0"/>
              <w:snapToGrid w:val="0"/>
              <w:jc w:val="center"/>
              <w:rPr>
                <w:rFonts w:hint="default" w:ascii="Times New Roman" w:hAnsi="Times New Roman" w:eastAsia="仿宋" w:cs="Times New Roman"/>
                <w:color w:val="auto"/>
                <w:szCs w:val="21"/>
                <w:highlight w:val="none"/>
              </w:rPr>
            </w:pPr>
          </w:p>
        </w:tc>
        <w:tc>
          <w:tcPr>
            <w:tcW w:w="1791" w:type="dxa"/>
            <w:gridSpan w:val="2"/>
            <w:shd w:val="clear" w:color="auto" w:fill="auto"/>
            <w:noWrap w:val="0"/>
            <w:vAlign w:val="center"/>
          </w:tcPr>
          <w:p w14:paraId="53E0071E">
            <w:pPr>
              <w:adjustRightInd w:val="0"/>
              <w:snapToGrid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办公、生活</w:t>
            </w:r>
          </w:p>
        </w:tc>
        <w:tc>
          <w:tcPr>
            <w:tcW w:w="1950" w:type="dxa"/>
            <w:shd w:val="clear" w:color="auto" w:fill="auto"/>
            <w:noWrap w:val="0"/>
            <w:vAlign w:val="center"/>
          </w:tcPr>
          <w:p w14:paraId="5BF8C698">
            <w:pPr>
              <w:adjustRightInd w:val="0"/>
              <w:snapToGrid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生活垃圾</w:t>
            </w:r>
          </w:p>
        </w:tc>
        <w:tc>
          <w:tcPr>
            <w:tcW w:w="1512" w:type="dxa"/>
            <w:vMerge w:val="continue"/>
            <w:noWrap w:val="0"/>
            <w:vAlign w:val="center"/>
          </w:tcPr>
          <w:p w14:paraId="456E2C23">
            <w:pPr>
              <w:adjustRightInd w:val="0"/>
              <w:snapToGrid w:val="0"/>
              <w:jc w:val="center"/>
              <w:rPr>
                <w:rFonts w:hint="default" w:ascii="Times New Roman" w:hAnsi="Times New Roman" w:eastAsia="仿宋" w:cs="Times New Roman"/>
                <w:color w:val="auto"/>
                <w:szCs w:val="21"/>
                <w:highlight w:val="none"/>
              </w:rPr>
            </w:pPr>
          </w:p>
        </w:tc>
        <w:tc>
          <w:tcPr>
            <w:tcW w:w="2669" w:type="dxa"/>
            <w:vMerge w:val="continue"/>
            <w:noWrap w:val="0"/>
            <w:vAlign w:val="center"/>
          </w:tcPr>
          <w:p w14:paraId="3BCB5E3A">
            <w:pPr>
              <w:adjustRightInd w:val="0"/>
              <w:snapToGrid w:val="0"/>
              <w:jc w:val="center"/>
              <w:rPr>
                <w:rFonts w:hint="default" w:ascii="Times New Roman" w:hAnsi="Times New Roman" w:eastAsia="仿宋" w:cs="Times New Roman"/>
                <w:color w:val="auto"/>
                <w:szCs w:val="21"/>
                <w:highlight w:val="none"/>
              </w:rPr>
            </w:pPr>
          </w:p>
        </w:tc>
      </w:tr>
      <w:tr w14:paraId="729B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5B5E8DB4">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声环境</w:t>
            </w:r>
          </w:p>
        </w:tc>
        <w:tc>
          <w:tcPr>
            <w:tcW w:w="1791" w:type="dxa"/>
            <w:gridSpan w:val="2"/>
            <w:tcBorders>
              <w:right w:val="single" w:color="000000" w:sz="4" w:space="0"/>
            </w:tcBorders>
            <w:noWrap w:val="0"/>
            <w:vAlign w:val="center"/>
          </w:tcPr>
          <w:p w14:paraId="08A392FD">
            <w:pPr>
              <w:adjustRightInd w:val="0"/>
              <w:snapToGrid w:val="0"/>
              <w:jc w:val="center"/>
              <w:rPr>
                <w:rFonts w:hint="default" w:ascii="Times New Roman" w:hAnsi="Times New Roman" w:eastAsia="仿宋" w:cs="Times New Roman"/>
                <w:color w:val="auto"/>
                <w:szCs w:val="21"/>
                <w:highlight w:val="none"/>
              </w:rPr>
            </w:pPr>
            <w:r>
              <w:rPr>
                <w:rFonts w:eastAsia="仿宋"/>
                <w:szCs w:val="21"/>
                <w:highlight w:val="none"/>
              </w:rPr>
              <w:t>生产</w:t>
            </w:r>
            <w:r>
              <w:rPr>
                <w:rFonts w:hint="eastAsia" w:eastAsia="仿宋"/>
                <w:szCs w:val="21"/>
                <w:highlight w:val="none"/>
              </w:rPr>
              <w:t>及公辅</w:t>
            </w:r>
            <w:r>
              <w:rPr>
                <w:rFonts w:eastAsia="仿宋"/>
                <w:szCs w:val="21"/>
                <w:highlight w:val="none"/>
              </w:rPr>
              <w:t>设备</w:t>
            </w:r>
          </w:p>
        </w:tc>
        <w:tc>
          <w:tcPr>
            <w:tcW w:w="1950" w:type="dxa"/>
            <w:tcBorders>
              <w:left w:val="single" w:color="000000" w:sz="4" w:space="0"/>
              <w:right w:val="single" w:color="000000" w:sz="4" w:space="0"/>
            </w:tcBorders>
            <w:noWrap w:val="0"/>
            <w:vAlign w:val="center"/>
          </w:tcPr>
          <w:p w14:paraId="3EC2983E">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厂界噪声</w:t>
            </w:r>
          </w:p>
        </w:tc>
        <w:tc>
          <w:tcPr>
            <w:tcW w:w="1512" w:type="dxa"/>
            <w:tcBorders>
              <w:left w:val="single" w:color="000000" w:sz="4" w:space="0"/>
              <w:right w:val="single" w:color="000000" w:sz="4" w:space="0"/>
            </w:tcBorders>
            <w:noWrap w:val="0"/>
            <w:vAlign w:val="center"/>
          </w:tcPr>
          <w:p w14:paraId="3278AB24">
            <w:pPr>
              <w:adjustRightInd w:val="0"/>
              <w:snapToGrid w:val="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仿宋" w:cs="Times New Roman"/>
                <w:color w:val="auto"/>
                <w:szCs w:val="21"/>
                <w:highlight w:val="none"/>
              </w:rPr>
              <w:t>安装减震垫、距离衰减</w:t>
            </w:r>
            <w:r>
              <w:rPr>
                <w:rFonts w:hint="eastAsia" w:ascii="Times New Roman" w:hAnsi="Times New Roman" w:eastAsia="仿宋" w:cs="Times New Roman"/>
                <w:color w:val="auto"/>
                <w:szCs w:val="21"/>
                <w:highlight w:val="none"/>
                <w:lang w:val="en-US" w:eastAsia="zh-CN"/>
              </w:rPr>
              <w:t>等</w:t>
            </w:r>
          </w:p>
        </w:tc>
        <w:tc>
          <w:tcPr>
            <w:tcW w:w="2669" w:type="dxa"/>
            <w:tcBorders>
              <w:left w:val="single" w:color="000000" w:sz="4" w:space="0"/>
            </w:tcBorders>
            <w:noWrap w:val="0"/>
            <w:vAlign w:val="center"/>
          </w:tcPr>
          <w:p w14:paraId="0D2A9D69">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《工业企业厂界环境噪声排放标准》（GB12348-2008）表1中3类功能区对应标准限值</w:t>
            </w:r>
          </w:p>
        </w:tc>
      </w:tr>
      <w:tr w14:paraId="1298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6ECDEF56">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电磁辐射</w:t>
            </w:r>
          </w:p>
        </w:tc>
        <w:tc>
          <w:tcPr>
            <w:tcW w:w="7922" w:type="dxa"/>
            <w:gridSpan w:val="5"/>
            <w:noWrap w:val="0"/>
            <w:vAlign w:val="center"/>
          </w:tcPr>
          <w:p w14:paraId="61C39E5B">
            <w:pPr>
              <w:adjustRightInd w:val="0"/>
              <w:snapToGrid w:val="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无</w:t>
            </w:r>
          </w:p>
        </w:tc>
      </w:tr>
      <w:tr w14:paraId="5B01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12E69232">
            <w:pPr>
              <w:adjustRightInd w:val="0"/>
              <w:snapToGrid w:val="0"/>
              <w:jc w:val="center"/>
              <w:rPr>
                <w:rFonts w:hint="default" w:ascii="Times New Roman" w:hAnsi="Times New Roman" w:eastAsia="仿宋" w:cs="Times New Roman"/>
                <w:color w:val="auto"/>
                <w:spacing w:val="-8"/>
                <w:szCs w:val="21"/>
                <w:highlight w:val="none"/>
              </w:rPr>
            </w:pPr>
            <w:r>
              <w:rPr>
                <w:rFonts w:hint="default" w:ascii="Times New Roman" w:hAnsi="Times New Roman" w:eastAsia="仿宋" w:cs="Times New Roman"/>
                <w:color w:val="auto"/>
                <w:spacing w:val="-8"/>
                <w:szCs w:val="21"/>
                <w:highlight w:val="none"/>
              </w:rPr>
              <w:t>土壤及地下水污染防治措施</w:t>
            </w:r>
          </w:p>
        </w:tc>
        <w:tc>
          <w:tcPr>
            <w:tcW w:w="7922" w:type="dxa"/>
            <w:gridSpan w:val="5"/>
            <w:shd w:val="clear" w:color="auto" w:fill="auto"/>
            <w:noWrap w:val="0"/>
            <w:vAlign w:val="center"/>
          </w:tcPr>
          <w:p w14:paraId="48EC32A8">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源头控制、末端防治、分区管理和控制</w:t>
            </w:r>
          </w:p>
        </w:tc>
      </w:tr>
      <w:tr w14:paraId="0C8B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7011C38A">
            <w:pPr>
              <w:adjustRightInd w:val="0"/>
              <w:snapToGrid w:val="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生态保护措施</w:t>
            </w:r>
          </w:p>
        </w:tc>
        <w:tc>
          <w:tcPr>
            <w:tcW w:w="7922" w:type="dxa"/>
            <w:gridSpan w:val="5"/>
            <w:shd w:val="clear" w:color="auto" w:fill="auto"/>
            <w:noWrap w:val="0"/>
            <w:vAlign w:val="center"/>
          </w:tcPr>
          <w:p w14:paraId="77355C37">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无</w:t>
            </w:r>
          </w:p>
        </w:tc>
      </w:tr>
      <w:tr w14:paraId="422F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1B394FA8">
            <w:pPr>
              <w:adjustRightInd w:val="0"/>
              <w:snapToGrid w:val="0"/>
              <w:jc w:val="center"/>
              <w:rPr>
                <w:rFonts w:hint="default" w:ascii="Times New Roman" w:hAnsi="Times New Roman" w:eastAsia="仿宋" w:cs="Times New Roman"/>
                <w:color w:val="auto"/>
                <w:spacing w:val="-8"/>
                <w:szCs w:val="21"/>
                <w:highlight w:val="none"/>
              </w:rPr>
            </w:pPr>
            <w:r>
              <w:rPr>
                <w:rFonts w:hint="default" w:ascii="Times New Roman" w:hAnsi="Times New Roman" w:eastAsia="仿宋" w:cs="Times New Roman"/>
                <w:color w:val="auto"/>
                <w:spacing w:val="-8"/>
                <w:szCs w:val="21"/>
                <w:highlight w:val="none"/>
              </w:rPr>
              <w:t>环境风险防范措施</w:t>
            </w:r>
          </w:p>
        </w:tc>
        <w:tc>
          <w:tcPr>
            <w:tcW w:w="7922" w:type="dxa"/>
            <w:gridSpan w:val="5"/>
            <w:shd w:val="clear" w:color="auto" w:fill="auto"/>
            <w:noWrap w:val="0"/>
            <w:vAlign w:val="center"/>
          </w:tcPr>
          <w:p w14:paraId="49DFD95E">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做好厂区环境风险管理、风险</w:t>
            </w:r>
            <w:r>
              <w:rPr>
                <w:rFonts w:hint="eastAsia" w:eastAsia="仿宋" w:cs="Times New Roman"/>
                <w:szCs w:val="21"/>
                <w:lang w:eastAsia="zh-CN"/>
              </w:rPr>
              <w:t>应急物资</w:t>
            </w:r>
            <w:r>
              <w:rPr>
                <w:rFonts w:hint="eastAsia" w:eastAsia="仿宋" w:cs="Times New Roman"/>
                <w:szCs w:val="21"/>
                <w:lang w:val="en-US" w:eastAsia="zh-CN"/>
              </w:rPr>
              <w:t>储备</w:t>
            </w:r>
            <w:r>
              <w:rPr>
                <w:rFonts w:hint="default" w:ascii="Times New Roman" w:hAnsi="Times New Roman" w:eastAsia="仿宋" w:cs="Times New Roman"/>
                <w:szCs w:val="21"/>
              </w:rPr>
              <w:t>，定期进行应急演练。</w:t>
            </w:r>
          </w:p>
        </w:tc>
      </w:tr>
      <w:tr w14:paraId="1638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7" w:type="dxa"/>
            <w:noWrap w:val="0"/>
            <w:vAlign w:val="center"/>
          </w:tcPr>
          <w:p w14:paraId="0D6CE19A">
            <w:pPr>
              <w:adjustRightInd w:val="0"/>
              <w:snapToGrid w:val="0"/>
              <w:jc w:val="center"/>
              <w:rPr>
                <w:rFonts w:hint="default" w:ascii="Times New Roman" w:hAnsi="Times New Roman" w:eastAsia="仿宋" w:cs="Times New Roman"/>
                <w:color w:val="auto"/>
                <w:spacing w:val="-8"/>
                <w:szCs w:val="21"/>
                <w:highlight w:val="none"/>
              </w:rPr>
            </w:pPr>
            <w:r>
              <w:rPr>
                <w:rFonts w:hint="default" w:ascii="Times New Roman" w:hAnsi="Times New Roman" w:eastAsia="仿宋" w:cs="Times New Roman"/>
                <w:color w:val="auto"/>
                <w:spacing w:val="-8"/>
                <w:szCs w:val="21"/>
                <w:highlight w:val="none"/>
              </w:rPr>
              <w:t>其他环境</w:t>
            </w:r>
          </w:p>
          <w:p w14:paraId="173416C6">
            <w:pPr>
              <w:adjustRightInd w:val="0"/>
              <w:snapToGrid w:val="0"/>
              <w:jc w:val="center"/>
              <w:rPr>
                <w:rFonts w:hint="default" w:ascii="Times New Roman" w:hAnsi="Times New Roman" w:eastAsia="仿宋" w:cs="Times New Roman"/>
                <w:color w:val="auto"/>
                <w:spacing w:val="-8"/>
                <w:szCs w:val="21"/>
                <w:highlight w:val="none"/>
              </w:rPr>
            </w:pPr>
            <w:r>
              <w:rPr>
                <w:rFonts w:hint="default" w:ascii="Times New Roman" w:hAnsi="Times New Roman" w:eastAsia="仿宋" w:cs="Times New Roman"/>
                <w:color w:val="auto"/>
                <w:spacing w:val="-8"/>
                <w:szCs w:val="21"/>
                <w:highlight w:val="none"/>
              </w:rPr>
              <w:t>管理要求</w:t>
            </w:r>
          </w:p>
        </w:tc>
        <w:tc>
          <w:tcPr>
            <w:tcW w:w="7922" w:type="dxa"/>
            <w:gridSpan w:val="5"/>
            <w:noWrap w:val="0"/>
            <w:vAlign w:val="center"/>
          </w:tcPr>
          <w:p w14:paraId="0C17BF60">
            <w:pPr>
              <w:adjustRightInd w:val="0"/>
              <w:snapToGrid w:val="0"/>
              <w:spacing w:line="228"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1、</w:t>
            </w:r>
            <w:r>
              <w:rPr>
                <w:rFonts w:hint="eastAsia" w:ascii="Times New Roman" w:hAnsi="Times New Roman" w:eastAsia="仿宋" w:cs="Times New Roman"/>
                <w:color w:val="auto"/>
                <w:szCs w:val="21"/>
                <w:highlight w:val="none"/>
                <w:lang w:val="en-US" w:eastAsia="zh-CN"/>
              </w:rPr>
              <w:t>本项目建成后全厂卫生防护距离F16车间边界外扩50米范围，D7车间边界外扩100米和D6车间边界外扩100米作最大包络线的范围</w:t>
            </w:r>
            <w:r>
              <w:rPr>
                <w:rFonts w:hint="default" w:ascii="Times New Roman" w:hAnsi="Times New Roman" w:eastAsia="仿宋" w:cs="Times New Roman"/>
                <w:color w:val="auto"/>
                <w:szCs w:val="21"/>
                <w:highlight w:val="none"/>
              </w:rPr>
              <w:t>。该范围内目前为本项目、常州金博通众创园、江苏东宝印染有限公司</w:t>
            </w:r>
            <w:r>
              <w:rPr>
                <w:rFonts w:hint="default" w:ascii="Times New Roman" w:hAnsi="Times New Roman" w:eastAsia="仿宋" w:cs="Times New Roman"/>
                <w:color w:val="auto"/>
                <w:szCs w:val="21"/>
                <w:highlight w:val="none"/>
                <w:lang w:eastAsia="zh-CN"/>
              </w:rPr>
              <w:t>、常州市和润环保科技有限公司、江苏晶久微电子材料有限公司、小拓荡河</w:t>
            </w:r>
            <w:r>
              <w:rPr>
                <w:rFonts w:hint="default" w:ascii="Times New Roman" w:hAnsi="Times New Roman" w:eastAsia="仿宋" w:cs="Times New Roman"/>
                <w:color w:val="auto"/>
                <w:szCs w:val="21"/>
                <w:highlight w:val="none"/>
              </w:rPr>
              <w:t>，无居民、学校等环境敏感保护目标，可满足卫生防护距离设置要求，将来在该卫生防护距离范围也不得新建居民、学校、医院等属于环境保护目标的项目。</w:t>
            </w:r>
          </w:p>
          <w:p w14:paraId="36F3AA40">
            <w:pPr>
              <w:adjustRightInd w:val="0"/>
              <w:snapToGrid w:val="0"/>
              <w:spacing w:line="228" w:lineRule="auto"/>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2、</w:t>
            </w:r>
            <w:r>
              <w:rPr>
                <w:rFonts w:hint="eastAsia" w:ascii="Times New Roman" w:hAnsi="Times New Roman" w:eastAsia="仿宋" w:cs="Times New Roman"/>
                <w:color w:val="auto"/>
                <w:szCs w:val="21"/>
                <w:highlight w:val="none"/>
                <w:lang w:val="en-US" w:eastAsia="zh-CN"/>
              </w:rPr>
              <w:t>待该环评取得批复后及时修订</w:t>
            </w:r>
            <w:r>
              <w:rPr>
                <w:rFonts w:hint="default" w:ascii="Times New Roman" w:hAnsi="Times New Roman" w:eastAsia="仿宋" w:cs="Times New Roman"/>
                <w:color w:val="auto"/>
                <w:szCs w:val="21"/>
                <w:highlight w:val="none"/>
              </w:rPr>
              <w:t>突发环境事件应急预案，并报相关部门备案，建立隐患排查制度。</w:t>
            </w:r>
          </w:p>
          <w:p w14:paraId="6C96555D">
            <w:pPr>
              <w:adjustRightInd w:val="0"/>
              <w:snapToGrid w:val="0"/>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3、企业对污染治理设施和管理必须与生产经营活动一起纳入企业的日常管理中，要建立岗位责任制，制定操作规程，建立管理台账，并对排污口进行规范化设置。</w:t>
            </w:r>
          </w:p>
        </w:tc>
      </w:tr>
    </w:tbl>
    <w:p w14:paraId="18644C93">
      <w:pPr>
        <w:outlineLvl w:val="0"/>
        <w:rPr>
          <w:rFonts w:hint="default" w:ascii="Times New Roman" w:hAnsi="Times New Roman" w:eastAsia="仿宋" w:cs="Times New Roman"/>
          <w:snapToGrid w:val="0"/>
          <w:color w:val="auto"/>
          <w:sz w:val="30"/>
          <w:szCs w:val="30"/>
          <w:highlight w:val="none"/>
        </w:rPr>
      </w:pPr>
      <w:r>
        <w:rPr>
          <w:rFonts w:hint="default" w:ascii="Times New Roman" w:hAnsi="Times New Roman" w:eastAsia="仿宋" w:cs="Times New Roman"/>
          <w:snapToGrid w:val="0"/>
          <w:color w:val="auto"/>
          <w:highlight w:val="none"/>
        </w:rPr>
        <w:br w:type="page"/>
      </w:r>
      <w:r>
        <w:rPr>
          <w:rFonts w:hint="default" w:ascii="Times New Roman" w:hAnsi="Times New Roman" w:eastAsia="仿宋" w:cs="Times New Roman"/>
          <w:b/>
          <w:bCs/>
          <w:snapToGrid w:val="0"/>
          <w:color w:val="auto"/>
          <w:sz w:val="30"/>
          <w:szCs w:val="30"/>
          <w:highlight w:val="none"/>
        </w:rPr>
        <w:t>六、结论</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6073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126E43FC">
            <w:pPr>
              <w:adjustRightInd w:val="0"/>
              <w:snapToGrid w:val="0"/>
              <w:spacing w:before="120" w:beforeLines="50" w:line="360" w:lineRule="auto"/>
              <w:ind w:firstLine="480" w:firstLineChars="200"/>
              <w:rPr>
                <w:rFonts w:hint="default" w:ascii="Times New Roman" w:hAnsi="Times New Roman" w:eastAsia="仿宋" w:cs="Times New Roman"/>
                <w:bCs/>
                <w:color w:val="auto"/>
                <w:sz w:val="24"/>
                <w:highlight w:val="none"/>
              </w:rPr>
            </w:pPr>
            <w:r>
              <w:rPr>
                <w:rFonts w:hint="default" w:ascii="Times New Roman" w:hAnsi="Times New Roman" w:eastAsia="仿宋" w:cs="Times New Roman"/>
                <w:bCs/>
                <w:color w:val="auto"/>
                <w:sz w:val="24"/>
                <w:highlight w:val="none"/>
              </w:rPr>
              <w:t>综上所述，本项目选址及车间布局合理，建设内容及规模、工艺成熟简单，符合国家及地方产业政策及相关规划；本项目采取报告中各类环保措施后，不会造成区域环境质量下降，采取的污染防治措施合理、有效，排放的各类污染物能达到国家和地方排放标准；污染物排放总量可在区域内平衡解决；在做好各项风险防范及应急措施的前提下本项目的环境风险可控。因此，建设单位在落实本报告表提出的各项对策、措施及要求的前提下，从环境保护的角度来讲，本项目的建设是可行的。</w:t>
            </w:r>
          </w:p>
        </w:tc>
      </w:tr>
    </w:tbl>
    <w:p w14:paraId="536A353F">
      <w:pPr>
        <w:rPr>
          <w:rFonts w:hint="default" w:ascii="Times New Roman" w:hAnsi="Times New Roman" w:eastAsia="仿宋" w:cs="Times New Roman"/>
          <w:color w:val="auto"/>
          <w:highlight w:val="none"/>
        </w:rPr>
        <w:sectPr>
          <w:pgSz w:w="11907" w:h="16840"/>
          <w:pgMar w:top="1701" w:right="1531" w:bottom="2126" w:left="1531" w:header="851" w:footer="851" w:gutter="0"/>
          <w:pgBorders>
            <w:top w:val="none" w:sz="0" w:space="0"/>
            <w:left w:val="none" w:sz="0" w:space="0"/>
            <w:bottom w:val="none" w:sz="0" w:space="0"/>
            <w:right w:val="none" w:sz="0" w:space="0"/>
          </w:pgBorders>
          <w:cols w:space="720" w:num="1"/>
          <w:docGrid w:linePitch="312" w:charSpace="0"/>
        </w:sectPr>
      </w:pPr>
    </w:p>
    <w:p w14:paraId="27E197E8">
      <w:pPr>
        <w:adjustRightInd w:val="0"/>
        <w:snapToGrid w:val="0"/>
        <w:outlineLvl w:val="0"/>
        <w:rPr>
          <w:rFonts w:hint="default" w:ascii="Times New Roman" w:hAnsi="Times New Roman" w:eastAsia="仿宋" w:cs="Times New Roman"/>
          <w:b/>
          <w:bCs/>
          <w:snapToGrid w:val="0"/>
          <w:color w:val="auto"/>
          <w:sz w:val="32"/>
          <w:szCs w:val="32"/>
          <w:highlight w:val="none"/>
        </w:rPr>
      </w:pPr>
      <w:r>
        <w:rPr>
          <w:rFonts w:hint="default" w:ascii="Times New Roman" w:hAnsi="Times New Roman" w:eastAsia="仿宋" w:cs="Times New Roman"/>
          <w:b/>
          <w:bCs/>
          <w:snapToGrid w:val="0"/>
          <w:color w:val="auto"/>
          <w:sz w:val="32"/>
          <w:szCs w:val="32"/>
          <w:highlight w:val="none"/>
        </w:rPr>
        <w:t>附表</w:t>
      </w:r>
    </w:p>
    <w:p w14:paraId="14ADB00A">
      <w:pPr>
        <w:ind w:right="320"/>
        <w:jc w:val="right"/>
        <w:rPr>
          <w:rFonts w:hint="default" w:ascii="Times New Roman" w:hAnsi="Times New Roman" w:eastAsia="仿宋" w:cs="Times New Roman"/>
          <w:b/>
          <w:bCs/>
          <w:snapToGrid w:val="0"/>
          <w:color w:val="auto"/>
          <w:sz w:val="32"/>
          <w:szCs w:val="32"/>
          <w:highlight w:val="none"/>
        </w:rPr>
      </w:pPr>
      <w:r>
        <w:rPr>
          <w:rFonts w:hint="default" w:ascii="Times New Roman" w:hAnsi="Times New Roman" w:eastAsia="仿宋" w:cs="Times New Roman"/>
          <w:b/>
          <w:bCs/>
          <w:snapToGrid w:val="0"/>
          <w:color w:val="auto"/>
          <w:sz w:val="32"/>
          <w:szCs w:val="32"/>
          <w:highlight w:val="none"/>
        </w:rPr>
        <w:t>建设项目污染物排放量汇总表</w:t>
      </w:r>
      <w:r>
        <w:rPr>
          <w:rFonts w:hint="eastAsia" w:eastAsia="仿宋" w:cs="Times New Roman"/>
          <w:b/>
          <w:bCs/>
          <w:snapToGrid w:val="0"/>
          <w:color w:val="auto"/>
          <w:sz w:val="32"/>
          <w:szCs w:val="32"/>
          <w:highlight w:val="none"/>
          <w:lang w:val="en-US" w:eastAsia="zh-CN"/>
        </w:rPr>
        <w:t xml:space="preserve">              </w:t>
      </w:r>
      <w:r>
        <w:rPr>
          <w:rFonts w:hint="default" w:ascii="Times New Roman" w:hAnsi="Times New Roman" w:eastAsia="仿宋" w:cs="Times New Roman"/>
          <w:b/>
          <w:bCs/>
          <w:snapToGrid w:val="0"/>
          <w:color w:val="auto"/>
          <w:sz w:val="32"/>
          <w:szCs w:val="32"/>
          <w:highlight w:val="none"/>
        </w:rPr>
        <w:t xml:space="preserve">                   </w:t>
      </w:r>
      <w:r>
        <w:rPr>
          <w:rFonts w:hint="default" w:ascii="Times New Roman" w:hAnsi="Times New Roman" w:eastAsia="仿宋" w:cs="Times New Roman"/>
          <w:b/>
          <w:bCs/>
          <w:snapToGrid w:val="0"/>
          <w:color w:val="auto"/>
          <w:sz w:val="30"/>
          <w:szCs w:val="30"/>
          <w:highlight w:val="none"/>
        </w:rPr>
        <w:t>单位：t/a</w:t>
      </w:r>
    </w:p>
    <w:tbl>
      <w:tblPr>
        <w:tblStyle w:val="29"/>
        <w:tblW w:w="139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687"/>
        <w:gridCol w:w="1750"/>
        <w:gridCol w:w="1383"/>
        <w:gridCol w:w="1701"/>
        <w:gridCol w:w="1559"/>
        <w:gridCol w:w="1417"/>
        <w:gridCol w:w="1872"/>
        <w:gridCol w:w="1247"/>
      </w:tblGrid>
      <w:tr w14:paraId="56BFF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tcBorders>
              <w:tl2br w:val="single" w:color="auto" w:sz="4" w:space="0"/>
            </w:tcBorders>
            <w:noWrap w:val="0"/>
            <w:tcMar>
              <w:left w:w="28" w:type="dxa"/>
              <w:right w:w="28" w:type="dxa"/>
            </w:tcMar>
            <w:vAlign w:val="center"/>
          </w:tcPr>
          <w:p w14:paraId="15027788">
            <w:pPr>
              <w:jc w:val="right"/>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t>项目</w:t>
            </w:r>
          </w:p>
          <w:p w14:paraId="1DC1E5DC">
            <w:pPr>
              <w:jc w:val="left"/>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t>分类</w:t>
            </w:r>
          </w:p>
        </w:tc>
        <w:tc>
          <w:tcPr>
            <w:tcW w:w="1687" w:type="dxa"/>
            <w:noWrap w:val="0"/>
            <w:tcMar>
              <w:left w:w="28" w:type="dxa"/>
              <w:right w:w="28" w:type="dxa"/>
            </w:tcMar>
            <w:vAlign w:val="center"/>
          </w:tcPr>
          <w:p w14:paraId="0D2E917E">
            <w:pPr>
              <w:jc w:val="center"/>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t>污染物名称</w:t>
            </w:r>
          </w:p>
        </w:tc>
        <w:tc>
          <w:tcPr>
            <w:tcW w:w="1750" w:type="dxa"/>
            <w:noWrap w:val="0"/>
            <w:tcMar>
              <w:left w:w="28" w:type="dxa"/>
              <w:right w:w="28" w:type="dxa"/>
            </w:tcMar>
            <w:vAlign w:val="center"/>
          </w:tcPr>
          <w:p w14:paraId="1580013B">
            <w:pPr>
              <w:jc w:val="center"/>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t>现有工程</w:t>
            </w:r>
          </w:p>
          <w:p w14:paraId="727AF547">
            <w:pPr>
              <w:jc w:val="center"/>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t>排放量（固体废物产生量）</w:t>
            </w:r>
            <w:r>
              <w:rPr>
                <w:rFonts w:hint="default" w:ascii="Times New Roman" w:hAnsi="Times New Roman" w:eastAsia="仿宋" w:cs="Times New Roman"/>
                <w:b/>
                <w:bCs/>
                <w:snapToGrid w:val="0"/>
                <w:color w:val="auto"/>
                <w:spacing w:val="-6"/>
                <w:kern w:val="21"/>
                <w:sz w:val="24"/>
                <w:highlight w:val="none"/>
              </w:rPr>
              <w:fldChar w:fldCharType="begin"/>
            </w:r>
            <w:r>
              <w:rPr>
                <w:rFonts w:hint="default" w:ascii="Times New Roman" w:hAnsi="Times New Roman" w:eastAsia="仿宋" w:cs="Times New Roman"/>
                <w:b/>
                <w:bCs/>
                <w:snapToGrid w:val="0"/>
                <w:color w:val="auto"/>
                <w:spacing w:val="-6"/>
                <w:kern w:val="21"/>
                <w:sz w:val="24"/>
                <w:highlight w:val="none"/>
              </w:rPr>
              <w:instrText xml:space="preserve"> = 1 \* GB3 \* MERGEFORMAT </w:instrText>
            </w:r>
            <w:r>
              <w:rPr>
                <w:rFonts w:hint="default" w:ascii="Times New Roman" w:hAnsi="Times New Roman" w:eastAsia="仿宋" w:cs="Times New Roman"/>
                <w:b/>
                <w:bCs/>
                <w:snapToGrid w:val="0"/>
                <w:color w:val="auto"/>
                <w:spacing w:val="-6"/>
                <w:kern w:val="21"/>
                <w:sz w:val="24"/>
                <w:highlight w:val="none"/>
              </w:rPr>
              <w:fldChar w:fldCharType="separate"/>
            </w:r>
            <w:r>
              <w:rPr>
                <w:rFonts w:hint="default" w:ascii="Times New Roman" w:hAnsi="Times New Roman" w:eastAsia="仿宋" w:cs="Times New Roman"/>
                <w:b/>
                <w:bCs/>
                <w:color w:val="auto"/>
                <w:sz w:val="24"/>
                <w:highlight w:val="none"/>
              </w:rPr>
              <w:t>①</w:t>
            </w:r>
            <w:r>
              <w:rPr>
                <w:rFonts w:hint="default" w:ascii="Times New Roman" w:hAnsi="Times New Roman" w:eastAsia="仿宋" w:cs="Times New Roman"/>
                <w:b/>
                <w:bCs/>
                <w:snapToGrid w:val="0"/>
                <w:color w:val="auto"/>
                <w:spacing w:val="-6"/>
                <w:kern w:val="21"/>
                <w:sz w:val="24"/>
                <w:highlight w:val="none"/>
              </w:rPr>
              <w:fldChar w:fldCharType="end"/>
            </w:r>
          </w:p>
        </w:tc>
        <w:tc>
          <w:tcPr>
            <w:tcW w:w="1383" w:type="dxa"/>
            <w:noWrap w:val="0"/>
            <w:tcMar>
              <w:left w:w="28" w:type="dxa"/>
              <w:right w:w="28" w:type="dxa"/>
            </w:tcMar>
            <w:vAlign w:val="center"/>
          </w:tcPr>
          <w:p w14:paraId="6CA047CB">
            <w:pPr>
              <w:jc w:val="center"/>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t>现有工程</w:t>
            </w:r>
          </w:p>
          <w:p w14:paraId="1603FC0E">
            <w:pPr>
              <w:jc w:val="center"/>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t>许可排放量</w:t>
            </w:r>
          </w:p>
          <w:p w14:paraId="189C9771">
            <w:pPr>
              <w:jc w:val="center"/>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fldChar w:fldCharType="begin"/>
            </w:r>
            <w:r>
              <w:rPr>
                <w:rFonts w:hint="default" w:ascii="Times New Roman" w:hAnsi="Times New Roman" w:eastAsia="仿宋" w:cs="Times New Roman"/>
                <w:b/>
                <w:bCs/>
                <w:snapToGrid w:val="0"/>
                <w:color w:val="auto"/>
                <w:spacing w:val="-6"/>
                <w:kern w:val="21"/>
                <w:sz w:val="24"/>
                <w:highlight w:val="none"/>
              </w:rPr>
              <w:instrText xml:space="preserve"> = 2 \* GB3 \* MERGEFORMAT </w:instrText>
            </w:r>
            <w:r>
              <w:rPr>
                <w:rFonts w:hint="default" w:ascii="Times New Roman" w:hAnsi="Times New Roman" w:eastAsia="仿宋" w:cs="Times New Roman"/>
                <w:b/>
                <w:bCs/>
                <w:snapToGrid w:val="0"/>
                <w:color w:val="auto"/>
                <w:spacing w:val="-6"/>
                <w:kern w:val="21"/>
                <w:sz w:val="24"/>
                <w:highlight w:val="none"/>
              </w:rPr>
              <w:fldChar w:fldCharType="separate"/>
            </w:r>
            <w:r>
              <w:rPr>
                <w:rFonts w:hint="default" w:ascii="Times New Roman" w:hAnsi="Times New Roman" w:eastAsia="仿宋" w:cs="Times New Roman"/>
                <w:b/>
                <w:bCs/>
                <w:snapToGrid w:val="0"/>
                <w:color w:val="auto"/>
                <w:spacing w:val="-6"/>
                <w:kern w:val="21"/>
                <w:sz w:val="24"/>
                <w:highlight w:val="none"/>
              </w:rPr>
              <w:t>②</w:t>
            </w:r>
            <w:r>
              <w:rPr>
                <w:rFonts w:hint="default" w:ascii="Times New Roman" w:hAnsi="Times New Roman" w:eastAsia="仿宋" w:cs="Times New Roman"/>
                <w:b/>
                <w:bCs/>
                <w:snapToGrid w:val="0"/>
                <w:color w:val="auto"/>
                <w:spacing w:val="-6"/>
                <w:kern w:val="21"/>
                <w:sz w:val="24"/>
                <w:highlight w:val="none"/>
              </w:rPr>
              <w:fldChar w:fldCharType="end"/>
            </w:r>
          </w:p>
        </w:tc>
        <w:tc>
          <w:tcPr>
            <w:tcW w:w="1701" w:type="dxa"/>
            <w:noWrap w:val="0"/>
            <w:tcMar>
              <w:left w:w="28" w:type="dxa"/>
              <w:right w:w="28" w:type="dxa"/>
            </w:tcMar>
            <w:vAlign w:val="center"/>
          </w:tcPr>
          <w:p w14:paraId="5E80120A">
            <w:pPr>
              <w:jc w:val="center"/>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t>在建工程</w:t>
            </w:r>
          </w:p>
          <w:p w14:paraId="26FD52EE">
            <w:pPr>
              <w:jc w:val="center"/>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t>排放量（固体废物产生量）</w:t>
            </w:r>
            <w:r>
              <w:rPr>
                <w:rFonts w:hint="default" w:ascii="Times New Roman" w:hAnsi="Times New Roman" w:eastAsia="仿宋" w:cs="Times New Roman"/>
                <w:b/>
                <w:bCs/>
                <w:snapToGrid w:val="0"/>
                <w:color w:val="auto"/>
                <w:spacing w:val="-6"/>
                <w:kern w:val="21"/>
                <w:sz w:val="24"/>
                <w:highlight w:val="none"/>
              </w:rPr>
              <w:fldChar w:fldCharType="begin"/>
            </w:r>
            <w:r>
              <w:rPr>
                <w:rFonts w:hint="default" w:ascii="Times New Roman" w:hAnsi="Times New Roman" w:eastAsia="仿宋" w:cs="Times New Roman"/>
                <w:b/>
                <w:bCs/>
                <w:snapToGrid w:val="0"/>
                <w:color w:val="auto"/>
                <w:spacing w:val="-6"/>
                <w:kern w:val="21"/>
                <w:sz w:val="24"/>
                <w:highlight w:val="none"/>
              </w:rPr>
              <w:instrText xml:space="preserve"> = 3 \* GB3 \* MERGEFORMAT </w:instrText>
            </w:r>
            <w:r>
              <w:rPr>
                <w:rFonts w:hint="default" w:ascii="Times New Roman" w:hAnsi="Times New Roman" w:eastAsia="仿宋" w:cs="Times New Roman"/>
                <w:b/>
                <w:bCs/>
                <w:snapToGrid w:val="0"/>
                <w:color w:val="auto"/>
                <w:spacing w:val="-6"/>
                <w:kern w:val="21"/>
                <w:sz w:val="24"/>
                <w:highlight w:val="none"/>
              </w:rPr>
              <w:fldChar w:fldCharType="separate"/>
            </w:r>
            <w:r>
              <w:rPr>
                <w:rFonts w:hint="default" w:ascii="Times New Roman" w:hAnsi="Times New Roman" w:eastAsia="仿宋" w:cs="Times New Roman"/>
                <w:b/>
                <w:bCs/>
                <w:color w:val="auto"/>
                <w:sz w:val="24"/>
                <w:highlight w:val="none"/>
              </w:rPr>
              <w:t>③</w:t>
            </w:r>
            <w:r>
              <w:rPr>
                <w:rFonts w:hint="default" w:ascii="Times New Roman" w:hAnsi="Times New Roman" w:eastAsia="仿宋" w:cs="Times New Roman"/>
                <w:b/>
                <w:bCs/>
                <w:snapToGrid w:val="0"/>
                <w:color w:val="auto"/>
                <w:spacing w:val="-6"/>
                <w:kern w:val="21"/>
                <w:sz w:val="24"/>
                <w:highlight w:val="none"/>
              </w:rPr>
              <w:fldChar w:fldCharType="end"/>
            </w:r>
          </w:p>
        </w:tc>
        <w:tc>
          <w:tcPr>
            <w:tcW w:w="1559" w:type="dxa"/>
            <w:noWrap w:val="0"/>
            <w:tcMar>
              <w:left w:w="28" w:type="dxa"/>
              <w:right w:w="28" w:type="dxa"/>
            </w:tcMar>
            <w:vAlign w:val="center"/>
          </w:tcPr>
          <w:p w14:paraId="79CE82A9">
            <w:pPr>
              <w:jc w:val="center"/>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t>本项目排放量（固体废物产生量）</w:t>
            </w:r>
            <w:r>
              <w:rPr>
                <w:rFonts w:hint="default" w:ascii="Times New Roman" w:hAnsi="Times New Roman" w:eastAsia="仿宋" w:cs="Times New Roman"/>
                <w:b/>
                <w:bCs/>
                <w:snapToGrid w:val="0"/>
                <w:color w:val="auto"/>
                <w:spacing w:val="-6"/>
                <w:kern w:val="21"/>
                <w:sz w:val="24"/>
                <w:highlight w:val="none"/>
              </w:rPr>
              <w:fldChar w:fldCharType="begin"/>
            </w:r>
            <w:r>
              <w:rPr>
                <w:rFonts w:hint="default" w:ascii="Times New Roman" w:hAnsi="Times New Roman" w:eastAsia="仿宋" w:cs="Times New Roman"/>
                <w:b/>
                <w:bCs/>
                <w:snapToGrid w:val="0"/>
                <w:color w:val="auto"/>
                <w:spacing w:val="-6"/>
                <w:kern w:val="21"/>
                <w:sz w:val="24"/>
                <w:highlight w:val="none"/>
              </w:rPr>
              <w:instrText xml:space="preserve"> = 4 \* GB3 \* MERGEFORMAT </w:instrText>
            </w:r>
            <w:r>
              <w:rPr>
                <w:rFonts w:hint="default" w:ascii="Times New Roman" w:hAnsi="Times New Roman" w:eastAsia="仿宋" w:cs="Times New Roman"/>
                <w:b/>
                <w:bCs/>
                <w:snapToGrid w:val="0"/>
                <w:color w:val="auto"/>
                <w:spacing w:val="-6"/>
                <w:kern w:val="21"/>
                <w:sz w:val="24"/>
                <w:highlight w:val="none"/>
              </w:rPr>
              <w:fldChar w:fldCharType="separate"/>
            </w:r>
            <w:r>
              <w:rPr>
                <w:rFonts w:hint="default" w:ascii="Times New Roman" w:hAnsi="Times New Roman" w:eastAsia="仿宋" w:cs="Times New Roman"/>
                <w:b/>
                <w:bCs/>
                <w:color w:val="auto"/>
                <w:sz w:val="24"/>
                <w:highlight w:val="none"/>
              </w:rPr>
              <w:t>④</w:t>
            </w:r>
            <w:r>
              <w:rPr>
                <w:rFonts w:hint="default" w:ascii="Times New Roman" w:hAnsi="Times New Roman" w:eastAsia="仿宋" w:cs="Times New Roman"/>
                <w:b/>
                <w:bCs/>
                <w:snapToGrid w:val="0"/>
                <w:color w:val="auto"/>
                <w:spacing w:val="-6"/>
                <w:kern w:val="21"/>
                <w:sz w:val="24"/>
                <w:highlight w:val="none"/>
              </w:rPr>
              <w:fldChar w:fldCharType="end"/>
            </w:r>
          </w:p>
        </w:tc>
        <w:tc>
          <w:tcPr>
            <w:tcW w:w="1417" w:type="dxa"/>
            <w:noWrap w:val="0"/>
            <w:tcMar>
              <w:left w:w="28" w:type="dxa"/>
              <w:right w:w="28" w:type="dxa"/>
            </w:tcMar>
            <w:vAlign w:val="center"/>
          </w:tcPr>
          <w:p w14:paraId="43EAAC4A">
            <w:pPr>
              <w:jc w:val="center"/>
              <w:rPr>
                <w:rFonts w:hint="default" w:ascii="Times New Roman" w:hAnsi="Times New Roman" w:eastAsia="仿宋" w:cs="Times New Roman"/>
                <w:b/>
                <w:bCs/>
                <w:snapToGrid w:val="0"/>
                <w:color w:val="auto"/>
                <w:spacing w:val="-16"/>
                <w:kern w:val="21"/>
                <w:sz w:val="24"/>
                <w:highlight w:val="none"/>
              </w:rPr>
            </w:pPr>
            <w:r>
              <w:rPr>
                <w:rFonts w:hint="default" w:ascii="Times New Roman" w:hAnsi="Times New Roman" w:eastAsia="仿宋" w:cs="Times New Roman"/>
                <w:b/>
                <w:bCs/>
                <w:snapToGrid w:val="0"/>
                <w:color w:val="auto"/>
                <w:spacing w:val="-16"/>
                <w:kern w:val="21"/>
                <w:sz w:val="24"/>
                <w:highlight w:val="none"/>
              </w:rPr>
              <w:t>以新带老削减量（新建项目不填）</w:t>
            </w:r>
            <w:r>
              <w:rPr>
                <w:rFonts w:hint="default" w:ascii="Times New Roman" w:hAnsi="Times New Roman" w:eastAsia="仿宋" w:cs="Times New Roman"/>
                <w:b/>
                <w:bCs/>
                <w:snapToGrid w:val="0"/>
                <w:color w:val="auto"/>
                <w:spacing w:val="-16"/>
                <w:kern w:val="21"/>
                <w:sz w:val="24"/>
                <w:highlight w:val="none"/>
              </w:rPr>
              <w:fldChar w:fldCharType="begin"/>
            </w:r>
            <w:r>
              <w:rPr>
                <w:rFonts w:hint="default" w:ascii="Times New Roman" w:hAnsi="Times New Roman" w:eastAsia="仿宋" w:cs="Times New Roman"/>
                <w:b/>
                <w:bCs/>
                <w:snapToGrid w:val="0"/>
                <w:color w:val="auto"/>
                <w:spacing w:val="-16"/>
                <w:kern w:val="21"/>
                <w:sz w:val="24"/>
                <w:highlight w:val="none"/>
              </w:rPr>
              <w:instrText xml:space="preserve"> = 5 \* GB3 \* MERGEFORMAT </w:instrText>
            </w:r>
            <w:r>
              <w:rPr>
                <w:rFonts w:hint="default" w:ascii="Times New Roman" w:hAnsi="Times New Roman" w:eastAsia="仿宋" w:cs="Times New Roman"/>
                <w:b/>
                <w:bCs/>
                <w:snapToGrid w:val="0"/>
                <w:color w:val="auto"/>
                <w:spacing w:val="-16"/>
                <w:kern w:val="21"/>
                <w:sz w:val="24"/>
                <w:highlight w:val="none"/>
              </w:rPr>
              <w:fldChar w:fldCharType="separate"/>
            </w:r>
            <w:r>
              <w:rPr>
                <w:rFonts w:hint="default" w:ascii="Times New Roman" w:hAnsi="Times New Roman" w:eastAsia="仿宋" w:cs="Times New Roman"/>
                <w:b/>
                <w:bCs/>
                <w:color w:val="auto"/>
                <w:sz w:val="24"/>
                <w:highlight w:val="none"/>
              </w:rPr>
              <w:t>⑤</w:t>
            </w:r>
            <w:r>
              <w:rPr>
                <w:rFonts w:hint="default" w:ascii="Times New Roman" w:hAnsi="Times New Roman" w:eastAsia="仿宋" w:cs="Times New Roman"/>
                <w:b/>
                <w:bCs/>
                <w:snapToGrid w:val="0"/>
                <w:color w:val="auto"/>
                <w:spacing w:val="-16"/>
                <w:kern w:val="21"/>
                <w:sz w:val="24"/>
                <w:highlight w:val="none"/>
              </w:rPr>
              <w:fldChar w:fldCharType="end"/>
            </w:r>
          </w:p>
        </w:tc>
        <w:tc>
          <w:tcPr>
            <w:tcW w:w="1872" w:type="dxa"/>
            <w:noWrap w:val="0"/>
            <w:tcMar>
              <w:left w:w="28" w:type="dxa"/>
              <w:right w:w="28" w:type="dxa"/>
            </w:tcMar>
            <w:vAlign w:val="center"/>
          </w:tcPr>
          <w:p w14:paraId="38B7373F">
            <w:pPr>
              <w:jc w:val="center"/>
              <w:rPr>
                <w:rFonts w:hint="default" w:ascii="Times New Roman" w:hAnsi="Times New Roman" w:eastAsia="仿宋" w:cs="Times New Roman"/>
                <w:b/>
                <w:bCs/>
                <w:snapToGrid w:val="0"/>
                <w:color w:val="auto"/>
                <w:spacing w:val="-16"/>
                <w:kern w:val="21"/>
                <w:sz w:val="24"/>
                <w:highlight w:val="none"/>
              </w:rPr>
            </w:pPr>
            <w:r>
              <w:rPr>
                <w:rFonts w:hint="default" w:ascii="Times New Roman" w:hAnsi="Times New Roman" w:eastAsia="仿宋" w:cs="Times New Roman"/>
                <w:b/>
                <w:bCs/>
                <w:snapToGrid w:val="0"/>
                <w:color w:val="auto"/>
                <w:spacing w:val="-16"/>
                <w:kern w:val="21"/>
                <w:sz w:val="24"/>
                <w:highlight w:val="none"/>
              </w:rPr>
              <w:t>本项目建成后</w:t>
            </w:r>
          </w:p>
          <w:p w14:paraId="2BE74C7C">
            <w:pPr>
              <w:jc w:val="center"/>
              <w:rPr>
                <w:rFonts w:hint="default" w:ascii="Times New Roman" w:hAnsi="Times New Roman" w:eastAsia="仿宋" w:cs="Times New Roman"/>
                <w:b/>
                <w:bCs/>
                <w:snapToGrid w:val="0"/>
                <w:color w:val="auto"/>
                <w:spacing w:val="-16"/>
                <w:kern w:val="21"/>
                <w:sz w:val="24"/>
                <w:highlight w:val="none"/>
              </w:rPr>
            </w:pPr>
            <w:r>
              <w:rPr>
                <w:rFonts w:hint="default" w:ascii="Times New Roman" w:hAnsi="Times New Roman" w:eastAsia="仿宋" w:cs="Times New Roman"/>
                <w:b/>
                <w:bCs/>
                <w:snapToGrid w:val="0"/>
                <w:color w:val="auto"/>
                <w:spacing w:val="-16"/>
                <w:kern w:val="21"/>
                <w:sz w:val="24"/>
                <w:highlight w:val="none"/>
              </w:rPr>
              <w:t>全厂排放量（固体废物产生量）</w:t>
            </w:r>
            <w:r>
              <w:rPr>
                <w:rFonts w:hint="default" w:ascii="Times New Roman" w:hAnsi="Times New Roman" w:eastAsia="仿宋" w:cs="Times New Roman"/>
                <w:b/>
                <w:bCs/>
                <w:snapToGrid w:val="0"/>
                <w:color w:val="auto"/>
                <w:spacing w:val="-16"/>
                <w:kern w:val="21"/>
                <w:sz w:val="24"/>
                <w:highlight w:val="none"/>
              </w:rPr>
              <w:fldChar w:fldCharType="begin"/>
            </w:r>
            <w:r>
              <w:rPr>
                <w:rFonts w:hint="default" w:ascii="Times New Roman" w:hAnsi="Times New Roman" w:eastAsia="仿宋" w:cs="Times New Roman"/>
                <w:b/>
                <w:bCs/>
                <w:snapToGrid w:val="0"/>
                <w:color w:val="auto"/>
                <w:spacing w:val="-16"/>
                <w:kern w:val="21"/>
                <w:sz w:val="24"/>
                <w:highlight w:val="none"/>
              </w:rPr>
              <w:instrText xml:space="preserve"> = 6 \* GB3 \* MERGEFORMAT </w:instrText>
            </w:r>
            <w:r>
              <w:rPr>
                <w:rFonts w:hint="default" w:ascii="Times New Roman" w:hAnsi="Times New Roman" w:eastAsia="仿宋" w:cs="Times New Roman"/>
                <w:b/>
                <w:bCs/>
                <w:snapToGrid w:val="0"/>
                <w:color w:val="auto"/>
                <w:spacing w:val="-16"/>
                <w:kern w:val="21"/>
                <w:sz w:val="24"/>
                <w:highlight w:val="none"/>
              </w:rPr>
              <w:fldChar w:fldCharType="separate"/>
            </w:r>
            <w:r>
              <w:rPr>
                <w:rFonts w:hint="default" w:ascii="Times New Roman" w:hAnsi="Times New Roman" w:eastAsia="仿宋" w:cs="Times New Roman"/>
                <w:b/>
                <w:bCs/>
                <w:color w:val="auto"/>
                <w:sz w:val="24"/>
                <w:highlight w:val="none"/>
              </w:rPr>
              <w:t>⑥</w:t>
            </w:r>
            <w:r>
              <w:rPr>
                <w:rFonts w:hint="default" w:ascii="Times New Roman" w:hAnsi="Times New Roman" w:eastAsia="仿宋" w:cs="Times New Roman"/>
                <w:b/>
                <w:bCs/>
                <w:snapToGrid w:val="0"/>
                <w:color w:val="auto"/>
                <w:spacing w:val="-16"/>
                <w:kern w:val="21"/>
                <w:sz w:val="24"/>
                <w:highlight w:val="none"/>
              </w:rPr>
              <w:fldChar w:fldCharType="end"/>
            </w:r>
          </w:p>
        </w:tc>
        <w:tc>
          <w:tcPr>
            <w:tcW w:w="1247" w:type="dxa"/>
            <w:noWrap w:val="0"/>
            <w:tcMar>
              <w:left w:w="28" w:type="dxa"/>
              <w:right w:w="28" w:type="dxa"/>
            </w:tcMar>
            <w:vAlign w:val="center"/>
          </w:tcPr>
          <w:p w14:paraId="2E7283F9">
            <w:pPr>
              <w:jc w:val="center"/>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t>变化量</w:t>
            </w:r>
          </w:p>
          <w:p w14:paraId="6A054665">
            <w:pPr>
              <w:jc w:val="center"/>
              <w:rPr>
                <w:rFonts w:hint="default" w:ascii="Times New Roman" w:hAnsi="Times New Roman" w:eastAsia="仿宋" w:cs="Times New Roman"/>
                <w:b/>
                <w:bCs/>
                <w:snapToGrid w:val="0"/>
                <w:color w:val="auto"/>
                <w:spacing w:val="-6"/>
                <w:kern w:val="21"/>
                <w:sz w:val="24"/>
                <w:highlight w:val="none"/>
              </w:rPr>
            </w:pPr>
            <w:r>
              <w:rPr>
                <w:rFonts w:hint="default" w:ascii="Times New Roman" w:hAnsi="Times New Roman" w:eastAsia="仿宋" w:cs="Times New Roman"/>
                <w:b/>
                <w:bCs/>
                <w:snapToGrid w:val="0"/>
                <w:color w:val="auto"/>
                <w:spacing w:val="-6"/>
                <w:kern w:val="21"/>
                <w:sz w:val="24"/>
                <w:highlight w:val="none"/>
              </w:rPr>
              <w:fldChar w:fldCharType="begin"/>
            </w:r>
            <w:r>
              <w:rPr>
                <w:rFonts w:hint="default" w:ascii="Times New Roman" w:hAnsi="Times New Roman" w:eastAsia="仿宋" w:cs="Times New Roman"/>
                <w:b/>
                <w:bCs/>
                <w:snapToGrid w:val="0"/>
                <w:color w:val="auto"/>
                <w:spacing w:val="-6"/>
                <w:kern w:val="21"/>
                <w:sz w:val="24"/>
                <w:highlight w:val="none"/>
              </w:rPr>
              <w:instrText xml:space="preserve"> = 7 \* GB3 \* MERGEFORMAT </w:instrText>
            </w:r>
            <w:r>
              <w:rPr>
                <w:rFonts w:hint="default" w:ascii="Times New Roman" w:hAnsi="Times New Roman" w:eastAsia="仿宋" w:cs="Times New Roman"/>
                <w:b/>
                <w:bCs/>
                <w:snapToGrid w:val="0"/>
                <w:color w:val="auto"/>
                <w:spacing w:val="-6"/>
                <w:kern w:val="21"/>
                <w:sz w:val="24"/>
                <w:highlight w:val="none"/>
              </w:rPr>
              <w:fldChar w:fldCharType="separate"/>
            </w:r>
            <w:r>
              <w:rPr>
                <w:rFonts w:hint="default" w:ascii="Times New Roman" w:hAnsi="Times New Roman" w:eastAsia="仿宋" w:cs="Times New Roman"/>
                <w:b/>
                <w:bCs/>
                <w:color w:val="auto"/>
                <w:sz w:val="24"/>
                <w:highlight w:val="none"/>
              </w:rPr>
              <w:t>⑦</w:t>
            </w:r>
            <w:r>
              <w:rPr>
                <w:rFonts w:hint="default" w:ascii="Times New Roman" w:hAnsi="Times New Roman" w:eastAsia="仿宋" w:cs="Times New Roman"/>
                <w:b/>
                <w:bCs/>
                <w:snapToGrid w:val="0"/>
                <w:color w:val="auto"/>
                <w:spacing w:val="-6"/>
                <w:kern w:val="21"/>
                <w:sz w:val="24"/>
                <w:highlight w:val="none"/>
              </w:rPr>
              <w:fldChar w:fldCharType="end"/>
            </w:r>
          </w:p>
        </w:tc>
      </w:tr>
      <w:tr w14:paraId="4F034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Merge w:val="restart"/>
            <w:noWrap w:val="0"/>
            <w:vAlign w:val="center"/>
          </w:tcPr>
          <w:p w14:paraId="4A545F27">
            <w:pPr>
              <w:jc w:val="center"/>
              <w:rPr>
                <w:rFonts w:hint="default" w:ascii="Times New Roman" w:hAnsi="Times New Roman" w:eastAsia="仿宋" w:cs="Times New Roman"/>
                <w:snapToGrid w:val="0"/>
                <w:color w:val="auto"/>
                <w:kern w:val="21"/>
                <w:sz w:val="24"/>
                <w:highlight w:val="none"/>
                <w:lang w:val="en-US" w:eastAsia="zh-CN"/>
              </w:rPr>
            </w:pPr>
            <w:r>
              <w:rPr>
                <w:rFonts w:hint="default" w:ascii="Times New Roman" w:hAnsi="Times New Roman" w:eastAsia="仿宋" w:cs="Times New Roman"/>
                <w:snapToGrid w:val="0"/>
                <w:color w:val="auto"/>
                <w:kern w:val="21"/>
                <w:sz w:val="24"/>
                <w:highlight w:val="none"/>
                <w:lang w:val="en-US" w:eastAsia="zh-CN"/>
              </w:rPr>
              <w:t>废气</w:t>
            </w:r>
          </w:p>
        </w:tc>
        <w:tc>
          <w:tcPr>
            <w:tcW w:w="1687" w:type="dxa"/>
            <w:noWrap w:val="0"/>
            <w:vAlign w:val="center"/>
          </w:tcPr>
          <w:p w14:paraId="736B2FA1">
            <w:pPr>
              <w:jc w:val="center"/>
              <w:rPr>
                <w:rFonts w:hint="default" w:ascii="Times New Roman" w:hAnsi="Times New Roman" w:eastAsia="仿宋" w:cs="Times New Roman"/>
                <w:snapToGrid w:val="0"/>
                <w:color w:val="auto"/>
                <w:kern w:val="21"/>
                <w:sz w:val="24"/>
                <w:highlight w:val="none"/>
                <w:lang w:val="en-US" w:eastAsia="zh-CN"/>
              </w:rPr>
            </w:pPr>
            <w:r>
              <w:rPr>
                <w:rFonts w:hint="default" w:ascii="Times New Roman" w:hAnsi="Times New Roman" w:eastAsia="仿宋" w:cs="Times New Roman"/>
                <w:snapToGrid w:val="0"/>
                <w:color w:val="auto"/>
                <w:kern w:val="21"/>
                <w:sz w:val="24"/>
                <w:highlight w:val="none"/>
                <w:lang w:val="en-US" w:eastAsia="zh-CN"/>
              </w:rPr>
              <w:t>VOCs</w:t>
            </w:r>
          </w:p>
          <w:p w14:paraId="79F28DF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snapToGrid w:val="0"/>
                <w:color w:val="auto"/>
                <w:kern w:val="21"/>
                <w:sz w:val="24"/>
                <w:highlight w:val="none"/>
                <w:lang w:val="en-US" w:eastAsia="zh-CN"/>
              </w:rPr>
            </w:pPr>
            <w:r>
              <w:rPr>
                <w:rFonts w:hint="default" w:ascii="Times New Roman" w:hAnsi="Times New Roman" w:eastAsia="仿宋" w:cs="Times New Roman"/>
                <w:snapToGrid w:val="0"/>
                <w:color w:val="auto"/>
                <w:kern w:val="21"/>
                <w:sz w:val="24"/>
                <w:highlight w:val="none"/>
                <w:lang w:val="en-US" w:eastAsia="zh-CN"/>
              </w:rPr>
              <w:t>（非甲烷总烃）</w:t>
            </w:r>
          </w:p>
        </w:tc>
        <w:tc>
          <w:tcPr>
            <w:tcW w:w="1750" w:type="dxa"/>
            <w:noWrap w:val="0"/>
            <w:vAlign w:val="center"/>
          </w:tcPr>
          <w:p w14:paraId="20649F61">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0.301</w:t>
            </w:r>
          </w:p>
        </w:tc>
        <w:tc>
          <w:tcPr>
            <w:tcW w:w="1383" w:type="dxa"/>
            <w:noWrap w:val="0"/>
            <w:vAlign w:val="center"/>
          </w:tcPr>
          <w:p w14:paraId="391E7BAA">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0.425</w:t>
            </w:r>
          </w:p>
        </w:tc>
        <w:tc>
          <w:tcPr>
            <w:tcW w:w="1701" w:type="dxa"/>
            <w:noWrap w:val="0"/>
            <w:vAlign w:val="center"/>
          </w:tcPr>
          <w:p w14:paraId="494CDE75">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w:t>
            </w:r>
          </w:p>
        </w:tc>
        <w:tc>
          <w:tcPr>
            <w:tcW w:w="1559" w:type="dxa"/>
            <w:noWrap w:val="0"/>
            <w:vAlign w:val="center"/>
          </w:tcPr>
          <w:p w14:paraId="20D6370F">
            <w:pPr>
              <w:jc w:val="center"/>
              <w:rPr>
                <w:rFonts w:hint="default" w:ascii="Times New Roman" w:hAnsi="Times New Roman" w:eastAsia="仿宋" w:cs="Times New Roman"/>
                <w:color w:val="auto"/>
                <w:sz w:val="24"/>
                <w:highlight w:val="none"/>
                <w:lang w:val="en-US" w:eastAsia="zh-CN"/>
              </w:rPr>
            </w:pPr>
            <w:r>
              <w:rPr>
                <w:rFonts w:hint="eastAsia" w:eastAsia="仿宋" w:cs="Times New Roman"/>
                <w:color w:val="auto"/>
                <w:sz w:val="24"/>
                <w:highlight w:val="none"/>
                <w:lang w:val="en-US" w:eastAsia="zh-CN"/>
              </w:rPr>
              <w:t>0.064</w:t>
            </w:r>
          </w:p>
        </w:tc>
        <w:tc>
          <w:tcPr>
            <w:tcW w:w="1417" w:type="dxa"/>
            <w:noWrap w:val="0"/>
            <w:vAlign w:val="center"/>
          </w:tcPr>
          <w:p w14:paraId="484E3C32">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w:t>
            </w:r>
          </w:p>
        </w:tc>
        <w:tc>
          <w:tcPr>
            <w:tcW w:w="1872" w:type="dxa"/>
            <w:noWrap w:val="0"/>
            <w:vAlign w:val="center"/>
          </w:tcPr>
          <w:p w14:paraId="15194169">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0.365</w:t>
            </w:r>
          </w:p>
        </w:tc>
        <w:tc>
          <w:tcPr>
            <w:tcW w:w="1247" w:type="dxa"/>
            <w:noWrap w:val="0"/>
            <w:vAlign w:val="center"/>
          </w:tcPr>
          <w:p w14:paraId="6A4A233E">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eastAsia="仿宋" w:cs="Times New Roman"/>
                <w:color w:val="auto"/>
                <w:sz w:val="24"/>
                <w:highlight w:val="none"/>
                <w:lang w:val="en-US" w:eastAsia="zh-CN"/>
              </w:rPr>
              <w:t>+</w:t>
            </w:r>
            <w:r>
              <w:rPr>
                <w:rFonts w:hint="eastAsia" w:ascii="Times New Roman" w:hAnsi="Times New Roman" w:eastAsia="仿宋" w:cs="Times New Roman"/>
                <w:color w:val="auto"/>
                <w:sz w:val="24"/>
                <w:highlight w:val="none"/>
                <w:lang w:val="en-US" w:eastAsia="zh-CN"/>
              </w:rPr>
              <w:t>0.064</w:t>
            </w:r>
          </w:p>
        </w:tc>
      </w:tr>
      <w:tr w14:paraId="4C0623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Merge w:val="continue"/>
            <w:noWrap w:val="0"/>
            <w:vAlign w:val="center"/>
          </w:tcPr>
          <w:p w14:paraId="152AF9A9">
            <w:pPr>
              <w:jc w:val="center"/>
              <w:rPr>
                <w:rFonts w:hint="default" w:ascii="Times New Roman" w:hAnsi="Times New Roman" w:eastAsia="仿宋" w:cs="Times New Roman"/>
                <w:snapToGrid w:val="0"/>
                <w:color w:val="auto"/>
                <w:kern w:val="21"/>
                <w:sz w:val="24"/>
                <w:highlight w:val="none"/>
              </w:rPr>
            </w:pPr>
          </w:p>
        </w:tc>
        <w:tc>
          <w:tcPr>
            <w:tcW w:w="1687" w:type="dxa"/>
            <w:noWrap w:val="0"/>
            <w:vAlign w:val="center"/>
          </w:tcPr>
          <w:p w14:paraId="388507F0">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颗粒物</w:t>
            </w:r>
          </w:p>
        </w:tc>
        <w:tc>
          <w:tcPr>
            <w:tcW w:w="1750" w:type="dxa"/>
            <w:noWrap w:val="0"/>
            <w:vAlign w:val="center"/>
          </w:tcPr>
          <w:p w14:paraId="2E9E37AB">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0.0856</w:t>
            </w:r>
          </w:p>
        </w:tc>
        <w:tc>
          <w:tcPr>
            <w:tcW w:w="1383" w:type="dxa"/>
            <w:noWrap w:val="0"/>
            <w:vAlign w:val="center"/>
          </w:tcPr>
          <w:p w14:paraId="19D1B07A">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0.144</w:t>
            </w:r>
          </w:p>
        </w:tc>
        <w:tc>
          <w:tcPr>
            <w:tcW w:w="1701" w:type="dxa"/>
            <w:noWrap w:val="0"/>
            <w:vAlign w:val="center"/>
          </w:tcPr>
          <w:p w14:paraId="5A7694D2">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w:t>
            </w:r>
          </w:p>
        </w:tc>
        <w:tc>
          <w:tcPr>
            <w:tcW w:w="1559" w:type="dxa"/>
            <w:noWrap w:val="0"/>
            <w:vAlign w:val="center"/>
          </w:tcPr>
          <w:p w14:paraId="7B65C47D">
            <w:pPr>
              <w:jc w:val="center"/>
              <w:rPr>
                <w:rFonts w:hint="default" w:ascii="Times New Roman" w:hAnsi="Times New Roman" w:eastAsia="仿宋" w:cs="Times New Roman"/>
                <w:color w:val="0000FF"/>
                <w:sz w:val="24"/>
                <w:highlight w:val="none"/>
                <w:lang w:val="en-US" w:eastAsia="zh-CN"/>
              </w:rPr>
            </w:pPr>
            <w:r>
              <w:rPr>
                <w:rFonts w:hint="eastAsia" w:ascii="Times New Roman" w:hAnsi="Times New Roman" w:eastAsia="仿宋" w:cs="Times New Roman"/>
                <w:color w:val="0000FF"/>
                <w:sz w:val="24"/>
                <w:highlight w:val="none"/>
                <w:lang w:val="en-US" w:eastAsia="zh-CN"/>
              </w:rPr>
              <w:t>0.0</w:t>
            </w:r>
            <w:r>
              <w:rPr>
                <w:rFonts w:hint="eastAsia" w:eastAsia="仿宋" w:cs="Times New Roman"/>
                <w:color w:val="0000FF"/>
                <w:sz w:val="24"/>
                <w:highlight w:val="none"/>
                <w:lang w:val="en-US" w:eastAsia="zh-CN"/>
              </w:rPr>
              <w:t>54</w:t>
            </w:r>
          </w:p>
        </w:tc>
        <w:tc>
          <w:tcPr>
            <w:tcW w:w="1417" w:type="dxa"/>
            <w:noWrap w:val="0"/>
            <w:vAlign w:val="center"/>
          </w:tcPr>
          <w:p w14:paraId="41B3B9DE">
            <w:pPr>
              <w:jc w:val="center"/>
              <w:rPr>
                <w:rFonts w:hint="default" w:ascii="Times New Roman" w:hAnsi="Times New Roman" w:eastAsia="仿宋" w:cs="Times New Roman"/>
                <w:color w:val="0000FF"/>
                <w:sz w:val="24"/>
                <w:highlight w:val="none"/>
                <w:lang w:val="en-US" w:eastAsia="zh-CN"/>
              </w:rPr>
            </w:pPr>
            <w:r>
              <w:rPr>
                <w:rFonts w:hint="default" w:ascii="Times New Roman" w:hAnsi="Times New Roman" w:eastAsia="仿宋" w:cs="Times New Roman"/>
                <w:color w:val="0000FF"/>
                <w:sz w:val="24"/>
                <w:highlight w:val="none"/>
                <w:lang w:val="en-US" w:eastAsia="zh-CN"/>
              </w:rPr>
              <w:t>0</w:t>
            </w:r>
          </w:p>
        </w:tc>
        <w:tc>
          <w:tcPr>
            <w:tcW w:w="1872" w:type="dxa"/>
            <w:noWrap w:val="0"/>
            <w:vAlign w:val="center"/>
          </w:tcPr>
          <w:p w14:paraId="1B2EAE70">
            <w:pPr>
              <w:adjustRightInd w:val="0"/>
              <w:snapToGrid w:val="0"/>
              <w:jc w:val="center"/>
              <w:rPr>
                <w:rFonts w:hint="default" w:ascii="Times New Roman" w:hAnsi="Times New Roman" w:eastAsia="仿宋" w:cs="Times New Roman"/>
                <w:color w:val="0000FF"/>
                <w:sz w:val="24"/>
                <w:highlight w:val="none"/>
                <w:lang w:val="en-US" w:eastAsia="zh-CN"/>
              </w:rPr>
            </w:pPr>
            <w:r>
              <w:rPr>
                <w:rFonts w:hint="eastAsia" w:eastAsia="仿宋" w:cs="Times New Roman"/>
                <w:color w:val="0000FF"/>
                <w:sz w:val="24"/>
                <w:highlight w:val="none"/>
                <w:lang w:val="en-US" w:eastAsia="zh-CN"/>
              </w:rPr>
              <w:t>0.1396</w:t>
            </w:r>
          </w:p>
        </w:tc>
        <w:tc>
          <w:tcPr>
            <w:tcW w:w="1247" w:type="dxa"/>
            <w:noWrap w:val="0"/>
            <w:vAlign w:val="center"/>
          </w:tcPr>
          <w:p w14:paraId="151305C1">
            <w:pPr>
              <w:adjustRightInd w:val="0"/>
              <w:snapToGrid w:val="0"/>
              <w:jc w:val="center"/>
              <w:rPr>
                <w:rFonts w:hint="default" w:ascii="Times New Roman" w:hAnsi="Times New Roman" w:eastAsia="仿宋" w:cs="Times New Roman"/>
                <w:color w:val="0000FF"/>
                <w:sz w:val="24"/>
                <w:highlight w:val="none"/>
                <w:lang w:val="en-US" w:eastAsia="zh-CN"/>
              </w:rPr>
            </w:pPr>
            <w:r>
              <w:rPr>
                <w:rFonts w:hint="eastAsia" w:eastAsia="仿宋" w:cs="Times New Roman"/>
                <w:color w:val="0000FF"/>
                <w:sz w:val="24"/>
                <w:highlight w:val="none"/>
                <w:lang w:val="en-US" w:eastAsia="zh-CN"/>
              </w:rPr>
              <w:t>+</w:t>
            </w:r>
            <w:r>
              <w:rPr>
                <w:rFonts w:hint="eastAsia" w:ascii="Times New Roman" w:hAnsi="Times New Roman" w:eastAsia="仿宋" w:cs="Times New Roman"/>
                <w:color w:val="0000FF"/>
                <w:sz w:val="24"/>
                <w:highlight w:val="none"/>
                <w:lang w:val="en-US" w:eastAsia="zh-CN"/>
              </w:rPr>
              <w:t>0.0</w:t>
            </w:r>
            <w:r>
              <w:rPr>
                <w:rFonts w:hint="eastAsia" w:eastAsia="仿宋" w:cs="Times New Roman"/>
                <w:color w:val="0000FF"/>
                <w:sz w:val="24"/>
                <w:highlight w:val="none"/>
                <w:lang w:val="en-US" w:eastAsia="zh-CN"/>
              </w:rPr>
              <w:t>54</w:t>
            </w:r>
          </w:p>
        </w:tc>
      </w:tr>
      <w:tr w14:paraId="78453D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Merge w:val="restart"/>
            <w:noWrap w:val="0"/>
            <w:vAlign w:val="center"/>
          </w:tcPr>
          <w:p w14:paraId="3AAF7FDF">
            <w:pPr>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snapToGrid w:val="0"/>
                <w:color w:val="auto"/>
                <w:kern w:val="21"/>
                <w:sz w:val="24"/>
                <w:highlight w:val="none"/>
              </w:rPr>
              <w:t>废水</w:t>
            </w:r>
          </w:p>
        </w:tc>
        <w:tc>
          <w:tcPr>
            <w:tcW w:w="1687" w:type="dxa"/>
            <w:noWrap w:val="0"/>
            <w:vAlign w:val="center"/>
          </w:tcPr>
          <w:p w14:paraId="3B39CC84">
            <w:pPr>
              <w:jc w:val="center"/>
              <w:rPr>
                <w:rFonts w:hint="default" w:ascii="Times New Roman" w:hAnsi="Times New Roman" w:eastAsia="仿宋" w:cs="Times New Roman"/>
                <w:snapToGrid w:val="0"/>
                <w:color w:val="auto"/>
                <w:kern w:val="21"/>
                <w:sz w:val="24"/>
                <w:szCs w:val="24"/>
                <w:highlight w:val="none"/>
                <w:lang w:val="en-US" w:eastAsia="zh-CN" w:bidi="ar-SA"/>
              </w:rPr>
            </w:pPr>
            <w:r>
              <w:rPr>
                <w:rFonts w:hint="default" w:ascii="Times New Roman" w:hAnsi="Times New Roman" w:eastAsia="仿宋" w:cs="Times New Roman"/>
                <w:color w:val="auto"/>
                <w:sz w:val="24"/>
                <w:highlight w:val="none"/>
              </w:rPr>
              <w:t>COD</w:t>
            </w:r>
          </w:p>
        </w:tc>
        <w:tc>
          <w:tcPr>
            <w:tcW w:w="1750" w:type="dxa"/>
            <w:noWrap w:val="0"/>
            <w:vAlign w:val="center"/>
          </w:tcPr>
          <w:p w14:paraId="6F8889EF">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0.099</w:t>
            </w:r>
          </w:p>
        </w:tc>
        <w:tc>
          <w:tcPr>
            <w:tcW w:w="1383" w:type="dxa"/>
            <w:noWrap w:val="0"/>
            <w:vAlign w:val="center"/>
          </w:tcPr>
          <w:p w14:paraId="3DC1889A">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0.432</w:t>
            </w:r>
          </w:p>
        </w:tc>
        <w:tc>
          <w:tcPr>
            <w:tcW w:w="1701" w:type="dxa"/>
            <w:noWrap w:val="0"/>
            <w:vAlign w:val="center"/>
          </w:tcPr>
          <w:p w14:paraId="6C2FB3AF">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w:t>
            </w:r>
          </w:p>
        </w:tc>
        <w:tc>
          <w:tcPr>
            <w:tcW w:w="1559" w:type="dxa"/>
            <w:noWrap w:val="0"/>
            <w:vAlign w:val="center"/>
          </w:tcPr>
          <w:p w14:paraId="657186D3">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0.130</w:t>
            </w:r>
          </w:p>
        </w:tc>
        <w:tc>
          <w:tcPr>
            <w:tcW w:w="1417" w:type="dxa"/>
            <w:noWrap w:val="0"/>
            <w:vAlign w:val="center"/>
          </w:tcPr>
          <w:p w14:paraId="21F708B5">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rPr>
              <w:t>0</w:t>
            </w:r>
          </w:p>
        </w:tc>
        <w:tc>
          <w:tcPr>
            <w:tcW w:w="1872" w:type="dxa"/>
            <w:noWrap w:val="0"/>
            <w:vAlign w:val="center"/>
          </w:tcPr>
          <w:p w14:paraId="6FE1F9D5">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0.229</w:t>
            </w:r>
          </w:p>
        </w:tc>
        <w:tc>
          <w:tcPr>
            <w:tcW w:w="1247" w:type="dxa"/>
            <w:noWrap w:val="0"/>
            <w:vAlign w:val="center"/>
          </w:tcPr>
          <w:p w14:paraId="089B0018">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+0.13</w:t>
            </w:r>
          </w:p>
        </w:tc>
      </w:tr>
      <w:tr w14:paraId="780AF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Merge w:val="continue"/>
            <w:noWrap w:val="0"/>
            <w:vAlign w:val="center"/>
          </w:tcPr>
          <w:p w14:paraId="04B3A1D2">
            <w:pPr>
              <w:jc w:val="center"/>
              <w:rPr>
                <w:rFonts w:hint="default" w:ascii="Times New Roman" w:hAnsi="Times New Roman" w:eastAsia="仿宋" w:cs="Times New Roman"/>
                <w:snapToGrid w:val="0"/>
                <w:color w:val="auto"/>
                <w:kern w:val="21"/>
                <w:sz w:val="24"/>
                <w:highlight w:val="none"/>
              </w:rPr>
            </w:pPr>
          </w:p>
        </w:tc>
        <w:tc>
          <w:tcPr>
            <w:tcW w:w="1687" w:type="dxa"/>
            <w:noWrap w:val="0"/>
            <w:vAlign w:val="center"/>
          </w:tcPr>
          <w:p w14:paraId="3EC89EDA">
            <w:pPr>
              <w:jc w:val="center"/>
              <w:rPr>
                <w:rFonts w:hint="default" w:ascii="Times New Roman" w:hAnsi="Times New Roman" w:eastAsia="仿宋" w:cs="Times New Roman"/>
                <w:snapToGrid w:val="0"/>
                <w:color w:val="auto"/>
                <w:kern w:val="21"/>
                <w:sz w:val="24"/>
                <w:szCs w:val="24"/>
                <w:highlight w:val="none"/>
                <w:lang w:val="en-US" w:eastAsia="zh-CN" w:bidi="ar-SA"/>
              </w:rPr>
            </w:pPr>
            <w:r>
              <w:rPr>
                <w:rFonts w:hint="default" w:ascii="Times New Roman" w:hAnsi="Times New Roman" w:eastAsia="仿宋" w:cs="Times New Roman"/>
                <w:color w:val="auto"/>
                <w:sz w:val="24"/>
                <w:highlight w:val="none"/>
              </w:rPr>
              <w:t>SS</w:t>
            </w:r>
          </w:p>
        </w:tc>
        <w:tc>
          <w:tcPr>
            <w:tcW w:w="1750" w:type="dxa"/>
            <w:noWrap w:val="0"/>
            <w:vAlign w:val="center"/>
          </w:tcPr>
          <w:p w14:paraId="0E191097">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0.053</w:t>
            </w:r>
          </w:p>
        </w:tc>
        <w:tc>
          <w:tcPr>
            <w:tcW w:w="1383" w:type="dxa"/>
            <w:noWrap w:val="0"/>
            <w:vAlign w:val="center"/>
          </w:tcPr>
          <w:p w14:paraId="74448A8B">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0.216</w:t>
            </w:r>
          </w:p>
        </w:tc>
        <w:tc>
          <w:tcPr>
            <w:tcW w:w="1701" w:type="dxa"/>
            <w:noWrap w:val="0"/>
            <w:vAlign w:val="center"/>
          </w:tcPr>
          <w:p w14:paraId="1B47DEAD">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w:t>
            </w:r>
          </w:p>
        </w:tc>
        <w:tc>
          <w:tcPr>
            <w:tcW w:w="1559" w:type="dxa"/>
            <w:noWrap w:val="0"/>
            <w:vAlign w:val="center"/>
          </w:tcPr>
          <w:p w14:paraId="5CCAF299">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0.081</w:t>
            </w:r>
          </w:p>
        </w:tc>
        <w:tc>
          <w:tcPr>
            <w:tcW w:w="1417" w:type="dxa"/>
            <w:noWrap w:val="0"/>
            <w:vAlign w:val="center"/>
          </w:tcPr>
          <w:p w14:paraId="0E11AD98">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rPr>
              <w:t>0</w:t>
            </w:r>
          </w:p>
        </w:tc>
        <w:tc>
          <w:tcPr>
            <w:tcW w:w="1872" w:type="dxa"/>
            <w:noWrap w:val="0"/>
            <w:vAlign w:val="center"/>
          </w:tcPr>
          <w:p w14:paraId="48788864">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0.134</w:t>
            </w:r>
          </w:p>
        </w:tc>
        <w:tc>
          <w:tcPr>
            <w:tcW w:w="1247" w:type="dxa"/>
            <w:noWrap w:val="0"/>
            <w:vAlign w:val="center"/>
          </w:tcPr>
          <w:p w14:paraId="675D6660">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+0.081</w:t>
            </w:r>
          </w:p>
        </w:tc>
      </w:tr>
      <w:tr w14:paraId="4B206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Merge w:val="continue"/>
            <w:noWrap w:val="0"/>
            <w:vAlign w:val="center"/>
          </w:tcPr>
          <w:p w14:paraId="7DD8E318">
            <w:pPr>
              <w:jc w:val="center"/>
              <w:rPr>
                <w:rFonts w:hint="default" w:ascii="Times New Roman" w:hAnsi="Times New Roman" w:eastAsia="仿宋" w:cs="Times New Roman"/>
                <w:snapToGrid w:val="0"/>
                <w:color w:val="auto"/>
                <w:kern w:val="21"/>
                <w:sz w:val="24"/>
                <w:highlight w:val="none"/>
              </w:rPr>
            </w:pPr>
          </w:p>
        </w:tc>
        <w:tc>
          <w:tcPr>
            <w:tcW w:w="1687" w:type="dxa"/>
            <w:noWrap w:val="0"/>
            <w:vAlign w:val="center"/>
          </w:tcPr>
          <w:p w14:paraId="7F3F7A7D">
            <w:pPr>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color w:val="auto"/>
                <w:sz w:val="24"/>
                <w:highlight w:val="none"/>
              </w:rPr>
              <w:t>氨氮</w:t>
            </w:r>
          </w:p>
        </w:tc>
        <w:tc>
          <w:tcPr>
            <w:tcW w:w="1750" w:type="dxa"/>
            <w:noWrap w:val="0"/>
            <w:vAlign w:val="center"/>
          </w:tcPr>
          <w:p w14:paraId="73FE118C">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0.0065</w:t>
            </w:r>
          </w:p>
        </w:tc>
        <w:tc>
          <w:tcPr>
            <w:tcW w:w="1383" w:type="dxa"/>
            <w:noWrap w:val="0"/>
            <w:vAlign w:val="center"/>
          </w:tcPr>
          <w:p w14:paraId="3FD7BA60">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0.032</w:t>
            </w:r>
          </w:p>
        </w:tc>
        <w:tc>
          <w:tcPr>
            <w:tcW w:w="1701" w:type="dxa"/>
            <w:noWrap w:val="0"/>
            <w:vAlign w:val="center"/>
          </w:tcPr>
          <w:p w14:paraId="2C4F7596">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w:t>
            </w:r>
          </w:p>
        </w:tc>
        <w:tc>
          <w:tcPr>
            <w:tcW w:w="1559" w:type="dxa"/>
            <w:noWrap w:val="0"/>
            <w:vAlign w:val="center"/>
          </w:tcPr>
          <w:p w14:paraId="6B84E67D">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0.008</w:t>
            </w:r>
          </w:p>
        </w:tc>
        <w:tc>
          <w:tcPr>
            <w:tcW w:w="1417" w:type="dxa"/>
            <w:noWrap w:val="0"/>
            <w:vAlign w:val="center"/>
          </w:tcPr>
          <w:p w14:paraId="0D02C0A4">
            <w:pPr>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0</w:t>
            </w:r>
          </w:p>
        </w:tc>
        <w:tc>
          <w:tcPr>
            <w:tcW w:w="1872" w:type="dxa"/>
            <w:noWrap w:val="0"/>
            <w:vAlign w:val="center"/>
          </w:tcPr>
          <w:p w14:paraId="01888CAA">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0.0145</w:t>
            </w:r>
          </w:p>
        </w:tc>
        <w:tc>
          <w:tcPr>
            <w:tcW w:w="1247" w:type="dxa"/>
            <w:noWrap w:val="0"/>
            <w:vAlign w:val="center"/>
          </w:tcPr>
          <w:p w14:paraId="7ECC7966">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+0.008</w:t>
            </w:r>
          </w:p>
        </w:tc>
      </w:tr>
      <w:tr w14:paraId="6EDCD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Merge w:val="continue"/>
            <w:noWrap w:val="0"/>
            <w:vAlign w:val="center"/>
          </w:tcPr>
          <w:p w14:paraId="7D6423E7">
            <w:pPr>
              <w:jc w:val="center"/>
              <w:rPr>
                <w:rFonts w:hint="default" w:ascii="Times New Roman" w:hAnsi="Times New Roman" w:eastAsia="仿宋" w:cs="Times New Roman"/>
                <w:snapToGrid w:val="0"/>
                <w:color w:val="auto"/>
                <w:kern w:val="21"/>
                <w:sz w:val="24"/>
                <w:highlight w:val="none"/>
              </w:rPr>
            </w:pPr>
          </w:p>
        </w:tc>
        <w:tc>
          <w:tcPr>
            <w:tcW w:w="1687" w:type="dxa"/>
            <w:noWrap w:val="0"/>
            <w:vAlign w:val="center"/>
          </w:tcPr>
          <w:p w14:paraId="4117A6F5">
            <w:pPr>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color w:val="auto"/>
                <w:sz w:val="24"/>
                <w:highlight w:val="none"/>
              </w:rPr>
              <w:t>总磷</w:t>
            </w:r>
          </w:p>
        </w:tc>
        <w:tc>
          <w:tcPr>
            <w:tcW w:w="1750" w:type="dxa"/>
            <w:noWrap w:val="0"/>
            <w:vAlign w:val="center"/>
          </w:tcPr>
          <w:p w14:paraId="3F7A8F4F">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0.0008</w:t>
            </w:r>
          </w:p>
        </w:tc>
        <w:tc>
          <w:tcPr>
            <w:tcW w:w="1383" w:type="dxa"/>
            <w:noWrap w:val="0"/>
            <w:vAlign w:val="center"/>
          </w:tcPr>
          <w:p w14:paraId="75A6CE0D">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0.003</w:t>
            </w:r>
          </w:p>
        </w:tc>
        <w:tc>
          <w:tcPr>
            <w:tcW w:w="1701" w:type="dxa"/>
            <w:noWrap w:val="0"/>
            <w:vAlign w:val="center"/>
          </w:tcPr>
          <w:p w14:paraId="5C6073DD">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w:t>
            </w:r>
          </w:p>
        </w:tc>
        <w:tc>
          <w:tcPr>
            <w:tcW w:w="1559" w:type="dxa"/>
            <w:noWrap w:val="0"/>
            <w:vAlign w:val="center"/>
          </w:tcPr>
          <w:p w14:paraId="1A4DDD32">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0.001</w:t>
            </w:r>
          </w:p>
        </w:tc>
        <w:tc>
          <w:tcPr>
            <w:tcW w:w="1417" w:type="dxa"/>
            <w:noWrap w:val="0"/>
            <w:vAlign w:val="center"/>
          </w:tcPr>
          <w:p w14:paraId="7400BB84">
            <w:pPr>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0</w:t>
            </w:r>
          </w:p>
        </w:tc>
        <w:tc>
          <w:tcPr>
            <w:tcW w:w="1872" w:type="dxa"/>
            <w:noWrap w:val="0"/>
            <w:vAlign w:val="center"/>
          </w:tcPr>
          <w:p w14:paraId="45C289E9">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0.0018</w:t>
            </w:r>
          </w:p>
        </w:tc>
        <w:tc>
          <w:tcPr>
            <w:tcW w:w="1247" w:type="dxa"/>
            <w:noWrap w:val="0"/>
            <w:vAlign w:val="center"/>
          </w:tcPr>
          <w:p w14:paraId="7BD7DD2B">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0.001</w:t>
            </w:r>
          </w:p>
        </w:tc>
      </w:tr>
      <w:tr w14:paraId="5AA90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Merge w:val="continue"/>
            <w:noWrap w:val="0"/>
            <w:vAlign w:val="center"/>
          </w:tcPr>
          <w:p w14:paraId="661DBBBA">
            <w:pPr>
              <w:jc w:val="center"/>
              <w:rPr>
                <w:rFonts w:hint="default" w:ascii="Times New Roman" w:hAnsi="Times New Roman" w:eastAsia="仿宋" w:cs="Times New Roman"/>
                <w:snapToGrid w:val="0"/>
                <w:color w:val="auto"/>
                <w:kern w:val="21"/>
                <w:sz w:val="24"/>
                <w:highlight w:val="none"/>
              </w:rPr>
            </w:pPr>
          </w:p>
        </w:tc>
        <w:tc>
          <w:tcPr>
            <w:tcW w:w="1687" w:type="dxa"/>
            <w:noWrap w:val="0"/>
            <w:vAlign w:val="center"/>
          </w:tcPr>
          <w:p w14:paraId="4F728905">
            <w:pPr>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color w:val="auto"/>
                <w:sz w:val="24"/>
                <w:highlight w:val="none"/>
              </w:rPr>
              <w:t>总氮</w:t>
            </w:r>
          </w:p>
        </w:tc>
        <w:tc>
          <w:tcPr>
            <w:tcW w:w="1750" w:type="dxa"/>
            <w:noWrap w:val="0"/>
            <w:vAlign w:val="center"/>
          </w:tcPr>
          <w:p w14:paraId="06FCA654">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0.01</w:t>
            </w:r>
          </w:p>
        </w:tc>
        <w:tc>
          <w:tcPr>
            <w:tcW w:w="1383" w:type="dxa"/>
            <w:noWrap w:val="0"/>
            <w:vAlign w:val="center"/>
          </w:tcPr>
          <w:p w14:paraId="00E14A82">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0.054</w:t>
            </w:r>
          </w:p>
        </w:tc>
        <w:tc>
          <w:tcPr>
            <w:tcW w:w="1701" w:type="dxa"/>
            <w:noWrap w:val="0"/>
            <w:vAlign w:val="center"/>
          </w:tcPr>
          <w:p w14:paraId="5BEFE1B5">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lang w:val="en-US" w:eastAsia="zh-CN"/>
              </w:rPr>
              <w:t>0</w:t>
            </w:r>
          </w:p>
        </w:tc>
        <w:tc>
          <w:tcPr>
            <w:tcW w:w="1559" w:type="dxa"/>
            <w:noWrap w:val="0"/>
            <w:vAlign w:val="center"/>
          </w:tcPr>
          <w:p w14:paraId="53428C27">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0.011</w:t>
            </w:r>
          </w:p>
        </w:tc>
        <w:tc>
          <w:tcPr>
            <w:tcW w:w="1417" w:type="dxa"/>
            <w:noWrap w:val="0"/>
            <w:vAlign w:val="center"/>
          </w:tcPr>
          <w:p w14:paraId="70264DEF">
            <w:pPr>
              <w:jc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sz w:val="24"/>
                <w:highlight w:val="none"/>
              </w:rPr>
              <w:t>0</w:t>
            </w:r>
          </w:p>
        </w:tc>
        <w:tc>
          <w:tcPr>
            <w:tcW w:w="1872" w:type="dxa"/>
            <w:noWrap w:val="0"/>
            <w:vAlign w:val="center"/>
          </w:tcPr>
          <w:p w14:paraId="29F53710">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0.021</w:t>
            </w:r>
          </w:p>
        </w:tc>
        <w:tc>
          <w:tcPr>
            <w:tcW w:w="1247" w:type="dxa"/>
            <w:noWrap w:val="0"/>
            <w:vAlign w:val="center"/>
          </w:tcPr>
          <w:p w14:paraId="68E8C910">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+0.011</w:t>
            </w:r>
          </w:p>
        </w:tc>
      </w:tr>
      <w:tr w14:paraId="21268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Merge w:val="restart"/>
            <w:tcBorders>
              <w:top w:val="single" w:color="auto" w:sz="4" w:space="0"/>
            </w:tcBorders>
            <w:noWrap w:val="0"/>
            <w:vAlign w:val="center"/>
          </w:tcPr>
          <w:p w14:paraId="3858578D">
            <w:pPr>
              <w:spacing w:before="24" w:after="24"/>
              <w:jc w:val="center"/>
              <w:rPr>
                <w:rFonts w:hint="eastAsia" w:ascii="Times New Roman" w:hAnsi="Times New Roman" w:eastAsia="仿宋" w:cs="Times New Roman"/>
                <w:snapToGrid w:val="0"/>
                <w:color w:val="auto"/>
                <w:kern w:val="21"/>
                <w:sz w:val="24"/>
                <w:highlight w:val="none"/>
                <w:lang w:val="en-US" w:eastAsia="zh-CN"/>
              </w:rPr>
            </w:pPr>
            <w:r>
              <w:rPr>
                <w:rFonts w:hint="eastAsia" w:ascii="Times New Roman" w:hAnsi="Times New Roman" w:eastAsia="仿宋" w:cs="Times New Roman"/>
                <w:snapToGrid w:val="0"/>
                <w:color w:val="auto"/>
                <w:kern w:val="21"/>
                <w:sz w:val="24"/>
                <w:highlight w:val="none"/>
                <w:lang w:val="en-US" w:eastAsia="zh-CN"/>
              </w:rPr>
              <w:t>固体废物</w:t>
            </w:r>
          </w:p>
        </w:tc>
        <w:tc>
          <w:tcPr>
            <w:tcW w:w="1687" w:type="dxa"/>
            <w:tcBorders>
              <w:top w:val="single" w:color="auto" w:sz="4" w:space="0"/>
              <w:bottom w:val="single" w:color="auto" w:sz="4" w:space="0"/>
            </w:tcBorders>
            <w:shd w:val="clear" w:color="auto" w:fill="auto"/>
            <w:noWrap w:val="0"/>
            <w:vAlign w:val="center"/>
          </w:tcPr>
          <w:p w14:paraId="34417B48">
            <w:pPr>
              <w:jc w:val="center"/>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sz w:val="24"/>
                <w:highlight w:val="none"/>
              </w:rPr>
              <w:t>一般工业固体废物</w:t>
            </w:r>
          </w:p>
        </w:tc>
        <w:tc>
          <w:tcPr>
            <w:tcW w:w="1750" w:type="dxa"/>
            <w:shd w:val="clear" w:color="auto" w:fill="auto"/>
            <w:noWrap w:val="0"/>
            <w:vAlign w:val="center"/>
          </w:tcPr>
          <w:p w14:paraId="7729A515">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9.875</w:t>
            </w:r>
          </w:p>
        </w:tc>
        <w:tc>
          <w:tcPr>
            <w:tcW w:w="1383" w:type="dxa"/>
            <w:shd w:val="clear" w:color="auto" w:fill="auto"/>
            <w:noWrap w:val="0"/>
            <w:vAlign w:val="center"/>
          </w:tcPr>
          <w:p w14:paraId="7E4EE132">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w:t>
            </w:r>
          </w:p>
        </w:tc>
        <w:tc>
          <w:tcPr>
            <w:tcW w:w="1701" w:type="dxa"/>
            <w:shd w:val="clear" w:color="auto" w:fill="auto"/>
            <w:noWrap w:val="0"/>
            <w:vAlign w:val="center"/>
          </w:tcPr>
          <w:p w14:paraId="4CB8CBE8">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0</w:t>
            </w:r>
          </w:p>
        </w:tc>
        <w:tc>
          <w:tcPr>
            <w:tcW w:w="1559" w:type="dxa"/>
            <w:shd w:val="clear" w:color="auto" w:fill="auto"/>
            <w:noWrap w:val="0"/>
            <w:vAlign w:val="center"/>
          </w:tcPr>
          <w:p w14:paraId="54F772B2">
            <w:pPr>
              <w:jc w:val="center"/>
              <w:rPr>
                <w:rFonts w:hint="default" w:ascii="Times New Roman" w:hAnsi="Times New Roman" w:eastAsia="仿宋" w:cs="Times New Roman"/>
                <w:color w:val="0000FF"/>
                <w:sz w:val="24"/>
                <w:highlight w:val="none"/>
                <w:lang w:val="en-US" w:eastAsia="zh-CN"/>
              </w:rPr>
            </w:pPr>
            <w:r>
              <w:rPr>
                <w:rFonts w:hint="eastAsia" w:eastAsia="仿宋" w:cs="Times New Roman"/>
                <w:color w:val="0000FF"/>
                <w:sz w:val="24"/>
                <w:highlight w:val="none"/>
                <w:lang w:val="en-US" w:eastAsia="zh-CN"/>
              </w:rPr>
              <w:t>0.984</w:t>
            </w:r>
          </w:p>
        </w:tc>
        <w:tc>
          <w:tcPr>
            <w:tcW w:w="1417" w:type="dxa"/>
            <w:shd w:val="clear" w:color="auto" w:fill="auto"/>
            <w:noWrap w:val="0"/>
            <w:vAlign w:val="center"/>
          </w:tcPr>
          <w:p w14:paraId="3D35FF21">
            <w:pPr>
              <w:jc w:val="center"/>
              <w:rPr>
                <w:rFonts w:hint="default" w:ascii="Times New Roman" w:hAnsi="Times New Roman" w:eastAsia="仿宋" w:cs="Times New Roman"/>
                <w:color w:val="0000FF"/>
                <w:sz w:val="24"/>
                <w:highlight w:val="none"/>
                <w:lang w:val="en-US" w:eastAsia="zh-CN"/>
              </w:rPr>
            </w:pPr>
            <w:r>
              <w:rPr>
                <w:rFonts w:hint="eastAsia" w:ascii="Times New Roman" w:hAnsi="Times New Roman" w:eastAsia="仿宋" w:cs="Times New Roman"/>
                <w:color w:val="0000FF"/>
                <w:sz w:val="24"/>
                <w:highlight w:val="none"/>
                <w:lang w:val="en-US" w:eastAsia="zh-CN"/>
              </w:rPr>
              <w:t>0</w:t>
            </w:r>
          </w:p>
        </w:tc>
        <w:tc>
          <w:tcPr>
            <w:tcW w:w="1872" w:type="dxa"/>
            <w:shd w:val="clear" w:color="auto" w:fill="auto"/>
            <w:noWrap w:val="0"/>
            <w:vAlign w:val="center"/>
          </w:tcPr>
          <w:p w14:paraId="1F626CBC">
            <w:pPr>
              <w:adjustRightInd w:val="0"/>
              <w:snapToGrid w:val="0"/>
              <w:jc w:val="center"/>
              <w:rPr>
                <w:rFonts w:hint="default" w:ascii="Times New Roman" w:hAnsi="Times New Roman" w:eastAsia="仿宋" w:cs="Times New Roman"/>
                <w:color w:val="0000FF"/>
                <w:sz w:val="24"/>
                <w:highlight w:val="none"/>
                <w:lang w:val="en-US" w:eastAsia="zh-CN"/>
              </w:rPr>
            </w:pPr>
            <w:r>
              <w:rPr>
                <w:rFonts w:hint="eastAsia" w:ascii="Times New Roman" w:hAnsi="Times New Roman" w:eastAsia="仿宋" w:cs="Times New Roman"/>
                <w:color w:val="0000FF"/>
                <w:sz w:val="24"/>
                <w:highlight w:val="none"/>
                <w:lang w:val="en-US" w:eastAsia="zh-CN"/>
              </w:rPr>
              <w:t>10.501</w:t>
            </w:r>
          </w:p>
        </w:tc>
        <w:tc>
          <w:tcPr>
            <w:tcW w:w="1247" w:type="dxa"/>
            <w:shd w:val="clear" w:color="auto" w:fill="auto"/>
            <w:noWrap w:val="0"/>
            <w:vAlign w:val="center"/>
          </w:tcPr>
          <w:p w14:paraId="25D0051B">
            <w:pPr>
              <w:adjustRightInd w:val="0"/>
              <w:snapToGrid w:val="0"/>
              <w:jc w:val="center"/>
              <w:rPr>
                <w:rFonts w:hint="default" w:ascii="Times New Roman" w:hAnsi="Times New Roman" w:eastAsia="仿宋" w:cs="Times New Roman"/>
                <w:color w:val="0000FF"/>
                <w:sz w:val="24"/>
                <w:highlight w:val="none"/>
                <w:lang w:val="en-US" w:eastAsia="zh-CN"/>
              </w:rPr>
            </w:pPr>
            <w:r>
              <w:rPr>
                <w:rFonts w:hint="eastAsia" w:ascii="Times New Roman" w:hAnsi="Times New Roman" w:eastAsia="仿宋" w:cs="Times New Roman"/>
                <w:color w:val="0000FF"/>
                <w:sz w:val="24"/>
                <w:highlight w:val="none"/>
                <w:lang w:val="en-US" w:eastAsia="zh-CN"/>
              </w:rPr>
              <w:t>+</w:t>
            </w:r>
            <w:r>
              <w:rPr>
                <w:rFonts w:hint="eastAsia" w:eastAsia="仿宋" w:cs="Times New Roman"/>
                <w:color w:val="0000FF"/>
                <w:sz w:val="24"/>
                <w:highlight w:val="none"/>
                <w:lang w:val="en-US" w:eastAsia="zh-CN"/>
              </w:rPr>
              <w:t>0.984</w:t>
            </w:r>
          </w:p>
        </w:tc>
      </w:tr>
      <w:tr w14:paraId="7A8216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Merge w:val="continue"/>
            <w:tcBorders>
              <w:bottom w:val="single" w:color="auto" w:sz="4" w:space="0"/>
            </w:tcBorders>
            <w:noWrap w:val="0"/>
            <w:vAlign w:val="center"/>
          </w:tcPr>
          <w:p w14:paraId="0473AF65">
            <w:pPr>
              <w:spacing w:before="24" w:after="24"/>
              <w:jc w:val="center"/>
              <w:rPr>
                <w:rFonts w:hint="default" w:ascii="Times New Roman" w:hAnsi="Times New Roman" w:eastAsia="仿宋" w:cs="Times New Roman"/>
                <w:snapToGrid w:val="0"/>
                <w:color w:val="auto"/>
                <w:kern w:val="21"/>
                <w:sz w:val="24"/>
                <w:highlight w:val="none"/>
              </w:rPr>
            </w:pPr>
          </w:p>
        </w:tc>
        <w:tc>
          <w:tcPr>
            <w:tcW w:w="1687" w:type="dxa"/>
            <w:tcBorders>
              <w:top w:val="single" w:color="auto" w:sz="4" w:space="0"/>
              <w:bottom w:val="single" w:color="auto" w:sz="4" w:space="0"/>
            </w:tcBorders>
            <w:noWrap w:val="0"/>
            <w:vAlign w:val="center"/>
          </w:tcPr>
          <w:p w14:paraId="6DBC0FAC">
            <w:pPr>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snapToGrid w:val="0"/>
                <w:color w:val="auto"/>
                <w:kern w:val="21"/>
                <w:sz w:val="24"/>
                <w:highlight w:val="none"/>
              </w:rPr>
              <w:t>危险固废</w:t>
            </w:r>
          </w:p>
        </w:tc>
        <w:tc>
          <w:tcPr>
            <w:tcW w:w="1750" w:type="dxa"/>
            <w:noWrap w:val="0"/>
            <w:vAlign w:val="center"/>
          </w:tcPr>
          <w:p w14:paraId="125A4363">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26.202</w:t>
            </w:r>
          </w:p>
        </w:tc>
        <w:tc>
          <w:tcPr>
            <w:tcW w:w="1383" w:type="dxa"/>
            <w:noWrap w:val="0"/>
            <w:vAlign w:val="center"/>
          </w:tcPr>
          <w:p w14:paraId="2601EF1D">
            <w:pPr>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snapToGrid w:val="0"/>
                <w:color w:val="auto"/>
                <w:kern w:val="21"/>
                <w:sz w:val="24"/>
                <w:highlight w:val="none"/>
              </w:rPr>
              <w:t>0</w:t>
            </w:r>
          </w:p>
        </w:tc>
        <w:tc>
          <w:tcPr>
            <w:tcW w:w="1701" w:type="dxa"/>
            <w:noWrap w:val="0"/>
            <w:vAlign w:val="center"/>
          </w:tcPr>
          <w:p w14:paraId="77C93939">
            <w:pPr>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snapToGrid w:val="0"/>
                <w:color w:val="auto"/>
                <w:kern w:val="21"/>
                <w:sz w:val="24"/>
                <w:highlight w:val="none"/>
              </w:rPr>
              <w:t>0</w:t>
            </w:r>
          </w:p>
        </w:tc>
        <w:tc>
          <w:tcPr>
            <w:tcW w:w="1559" w:type="dxa"/>
            <w:noWrap w:val="0"/>
            <w:vAlign w:val="center"/>
          </w:tcPr>
          <w:p w14:paraId="4C66D744">
            <w:pPr>
              <w:adjustRightInd w:val="0"/>
              <w:snapToGrid w:val="0"/>
              <w:jc w:val="center"/>
              <w:rPr>
                <w:rFonts w:hint="default" w:ascii="Times New Roman" w:hAnsi="Times New Roman" w:eastAsia="仿宋" w:cs="Times New Roman"/>
                <w:snapToGrid w:val="0"/>
                <w:color w:val="0000FF"/>
                <w:kern w:val="21"/>
                <w:sz w:val="24"/>
                <w:highlight w:val="none"/>
                <w:lang w:val="en-US" w:eastAsia="zh-CN"/>
              </w:rPr>
            </w:pPr>
            <w:r>
              <w:rPr>
                <w:rFonts w:hint="eastAsia" w:eastAsia="仿宋" w:cs="Times New Roman"/>
                <w:color w:val="0000FF"/>
                <w:sz w:val="24"/>
                <w:highlight w:val="none"/>
                <w:lang w:val="en-US" w:eastAsia="zh-CN"/>
              </w:rPr>
              <w:t>5.744</w:t>
            </w:r>
          </w:p>
        </w:tc>
        <w:tc>
          <w:tcPr>
            <w:tcW w:w="1417" w:type="dxa"/>
            <w:noWrap w:val="0"/>
            <w:vAlign w:val="center"/>
          </w:tcPr>
          <w:p w14:paraId="38482D47">
            <w:pPr>
              <w:jc w:val="center"/>
              <w:rPr>
                <w:rFonts w:hint="default" w:ascii="Times New Roman" w:hAnsi="Times New Roman" w:eastAsia="仿宋" w:cs="Times New Roman"/>
                <w:snapToGrid w:val="0"/>
                <w:color w:val="0000FF"/>
                <w:kern w:val="21"/>
                <w:sz w:val="24"/>
                <w:highlight w:val="none"/>
              </w:rPr>
            </w:pPr>
            <w:r>
              <w:rPr>
                <w:rFonts w:hint="default" w:ascii="Times New Roman" w:hAnsi="Times New Roman" w:eastAsia="仿宋" w:cs="Times New Roman"/>
                <w:snapToGrid w:val="0"/>
                <w:color w:val="0000FF"/>
                <w:kern w:val="21"/>
                <w:sz w:val="24"/>
                <w:highlight w:val="none"/>
              </w:rPr>
              <w:t>0</w:t>
            </w:r>
          </w:p>
        </w:tc>
        <w:tc>
          <w:tcPr>
            <w:tcW w:w="1872" w:type="dxa"/>
            <w:noWrap w:val="0"/>
            <w:vAlign w:val="center"/>
          </w:tcPr>
          <w:p w14:paraId="2FF7CE56">
            <w:pPr>
              <w:adjustRightInd w:val="0"/>
              <w:snapToGrid w:val="0"/>
              <w:jc w:val="center"/>
              <w:rPr>
                <w:rFonts w:hint="default" w:ascii="Times New Roman" w:hAnsi="Times New Roman" w:eastAsia="仿宋" w:cs="Times New Roman"/>
                <w:color w:val="0000FF"/>
                <w:sz w:val="24"/>
                <w:highlight w:val="none"/>
                <w:lang w:val="en-US" w:eastAsia="zh-CN"/>
              </w:rPr>
            </w:pPr>
            <w:r>
              <w:rPr>
                <w:rFonts w:hint="eastAsia" w:eastAsia="仿宋" w:cs="Times New Roman"/>
                <w:color w:val="0000FF"/>
                <w:sz w:val="24"/>
                <w:highlight w:val="none"/>
                <w:lang w:val="en-US" w:eastAsia="zh-CN"/>
              </w:rPr>
              <w:t>31.946</w:t>
            </w:r>
          </w:p>
        </w:tc>
        <w:tc>
          <w:tcPr>
            <w:tcW w:w="1247" w:type="dxa"/>
            <w:noWrap w:val="0"/>
            <w:vAlign w:val="center"/>
          </w:tcPr>
          <w:p w14:paraId="5C1BA524">
            <w:pPr>
              <w:adjustRightInd w:val="0"/>
              <w:snapToGrid w:val="0"/>
              <w:jc w:val="center"/>
              <w:rPr>
                <w:rFonts w:hint="default" w:ascii="Times New Roman" w:hAnsi="Times New Roman" w:eastAsia="仿宋" w:cs="Times New Roman"/>
                <w:color w:val="0000FF"/>
                <w:sz w:val="24"/>
                <w:highlight w:val="none"/>
                <w:lang w:val="en-US" w:eastAsia="zh-CN"/>
              </w:rPr>
            </w:pPr>
            <w:r>
              <w:rPr>
                <w:rFonts w:hint="eastAsia" w:ascii="Times New Roman" w:hAnsi="Times New Roman" w:eastAsia="仿宋" w:cs="Times New Roman"/>
                <w:color w:val="0000FF"/>
                <w:sz w:val="24"/>
                <w:highlight w:val="none"/>
                <w:lang w:val="en-US" w:eastAsia="zh-CN"/>
              </w:rPr>
              <w:t>+</w:t>
            </w:r>
            <w:r>
              <w:rPr>
                <w:rFonts w:hint="eastAsia" w:eastAsia="仿宋" w:cs="Times New Roman"/>
                <w:color w:val="0000FF"/>
                <w:sz w:val="24"/>
                <w:highlight w:val="none"/>
                <w:lang w:val="en-US" w:eastAsia="zh-CN"/>
              </w:rPr>
              <w:t>5.744</w:t>
            </w:r>
          </w:p>
        </w:tc>
      </w:tr>
      <w:tr w14:paraId="2E2C5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tcBorders>
              <w:top w:val="single" w:color="auto" w:sz="4" w:space="0"/>
            </w:tcBorders>
            <w:noWrap w:val="0"/>
            <w:vAlign w:val="center"/>
          </w:tcPr>
          <w:p w14:paraId="0C61F2F5">
            <w:pPr>
              <w:spacing w:before="24" w:after="24"/>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snapToGrid w:val="0"/>
                <w:color w:val="auto"/>
                <w:kern w:val="21"/>
                <w:sz w:val="24"/>
                <w:highlight w:val="none"/>
              </w:rPr>
              <w:t>生活垃圾</w:t>
            </w:r>
          </w:p>
        </w:tc>
        <w:tc>
          <w:tcPr>
            <w:tcW w:w="1687" w:type="dxa"/>
            <w:tcBorders>
              <w:top w:val="single" w:color="auto" w:sz="4" w:space="0"/>
            </w:tcBorders>
            <w:noWrap w:val="0"/>
            <w:vAlign w:val="center"/>
          </w:tcPr>
          <w:p w14:paraId="67D2767D">
            <w:pPr>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snapToGrid w:val="0"/>
                <w:color w:val="auto"/>
                <w:kern w:val="21"/>
                <w:sz w:val="24"/>
                <w:highlight w:val="none"/>
              </w:rPr>
              <w:t>生活垃圾</w:t>
            </w:r>
          </w:p>
        </w:tc>
        <w:tc>
          <w:tcPr>
            <w:tcW w:w="1750" w:type="dxa"/>
            <w:noWrap w:val="0"/>
            <w:vAlign w:val="center"/>
          </w:tcPr>
          <w:p w14:paraId="57617492">
            <w:pPr>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12</w:t>
            </w:r>
          </w:p>
        </w:tc>
        <w:tc>
          <w:tcPr>
            <w:tcW w:w="1383" w:type="dxa"/>
            <w:noWrap w:val="0"/>
            <w:vAlign w:val="center"/>
          </w:tcPr>
          <w:p w14:paraId="05C6D5EA">
            <w:pPr>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snapToGrid w:val="0"/>
                <w:color w:val="auto"/>
                <w:kern w:val="21"/>
                <w:sz w:val="24"/>
                <w:highlight w:val="none"/>
              </w:rPr>
              <w:t>0</w:t>
            </w:r>
          </w:p>
        </w:tc>
        <w:tc>
          <w:tcPr>
            <w:tcW w:w="1701" w:type="dxa"/>
            <w:noWrap w:val="0"/>
            <w:vAlign w:val="center"/>
          </w:tcPr>
          <w:p w14:paraId="7570C106">
            <w:pPr>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snapToGrid w:val="0"/>
                <w:color w:val="auto"/>
                <w:kern w:val="21"/>
                <w:sz w:val="24"/>
                <w:highlight w:val="none"/>
              </w:rPr>
              <w:t>0</w:t>
            </w:r>
          </w:p>
        </w:tc>
        <w:tc>
          <w:tcPr>
            <w:tcW w:w="1559" w:type="dxa"/>
            <w:noWrap w:val="0"/>
            <w:vAlign w:val="center"/>
          </w:tcPr>
          <w:p w14:paraId="2401F685">
            <w:pPr>
              <w:adjustRightInd w:val="0"/>
              <w:snapToGrid w:val="0"/>
              <w:jc w:val="center"/>
              <w:rPr>
                <w:rFonts w:hint="default" w:ascii="Times New Roman" w:hAnsi="Times New Roman" w:eastAsia="仿宋" w:cs="Times New Roman"/>
                <w:snapToGrid w:val="0"/>
                <w:color w:val="auto"/>
                <w:kern w:val="21"/>
                <w:sz w:val="24"/>
                <w:highlight w:val="none"/>
                <w:lang w:val="en-US" w:eastAsia="zh-CN"/>
              </w:rPr>
            </w:pPr>
            <w:r>
              <w:rPr>
                <w:rFonts w:hint="eastAsia" w:ascii="Times New Roman" w:hAnsi="Times New Roman" w:eastAsia="仿宋" w:cs="Times New Roman"/>
                <w:color w:val="auto"/>
                <w:sz w:val="24"/>
                <w:highlight w:val="none"/>
                <w:lang w:val="en-US" w:eastAsia="zh-CN"/>
              </w:rPr>
              <w:t>1.2</w:t>
            </w:r>
          </w:p>
        </w:tc>
        <w:tc>
          <w:tcPr>
            <w:tcW w:w="1417" w:type="dxa"/>
            <w:noWrap w:val="0"/>
            <w:vAlign w:val="center"/>
          </w:tcPr>
          <w:p w14:paraId="7CEDEEF4">
            <w:pPr>
              <w:jc w:val="center"/>
              <w:rPr>
                <w:rFonts w:hint="default" w:ascii="Times New Roman" w:hAnsi="Times New Roman" w:eastAsia="仿宋" w:cs="Times New Roman"/>
                <w:snapToGrid w:val="0"/>
                <w:color w:val="auto"/>
                <w:kern w:val="21"/>
                <w:sz w:val="24"/>
                <w:highlight w:val="none"/>
              </w:rPr>
            </w:pPr>
            <w:r>
              <w:rPr>
                <w:rFonts w:hint="default" w:ascii="Times New Roman" w:hAnsi="Times New Roman" w:eastAsia="仿宋" w:cs="Times New Roman"/>
                <w:snapToGrid w:val="0"/>
                <w:color w:val="auto"/>
                <w:kern w:val="21"/>
                <w:sz w:val="24"/>
                <w:highlight w:val="none"/>
              </w:rPr>
              <w:t>0</w:t>
            </w:r>
          </w:p>
        </w:tc>
        <w:tc>
          <w:tcPr>
            <w:tcW w:w="1872" w:type="dxa"/>
            <w:noWrap w:val="0"/>
            <w:vAlign w:val="center"/>
          </w:tcPr>
          <w:p w14:paraId="7FBEFE36">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13.2</w:t>
            </w:r>
          </w:p>
        </w:tc>
        <w:tc>
          <w:tcPr>
            <w:tcW w:w="1247" w:type="dxa"/>
            <w:noWrap w:val="0"/>
            <w:vAlign w:val="center"/>
          </w:tcPr>
          <w:p w14:paraId="24518E21">
            <w:pPr>
              <w:adjustRightInd w:val="0"/>
              <w:snapToGrid w:val="0"/>
              <w:jc w:val="center"/>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+1.2</w:t>
            </w:r>
          </w:p>
        </w:tc>
      </w:tr>
    </w:tbl>
    <w:p w14:paraId="1CB9F8E8">
      <w:pPr>
        <w:jc w:val="left"/>
        <w:rPr>
          <w:rFonts w:hint="default" w:ascii="Times New Roman" w:hAnsi="Times New Roman" w:cs="Times New Roman"/>
          <w:color w:val="auto"/>
          <w:highlight w:val="none"/>
        </w:rPr>
      </w:pPr>
      <w:r>
        <w:rPr>
          <w:rFonts w:hint="default" w:ascii="Times New Roman" w:hAnsi="Times New Roman" w:eastAsia="仿宋" w:cs="Times New Roman"/>
          <w:snapToGrid w:val="0"/>
          <w:color w:val="auto"/>
          <w:kern w:val="21"/>
          <w:szCs w:val="21"/>
          <w:highlight w:val="none"/>
        </w:rPr>
        <w:t>注：</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6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仿宋" w:cs="Times New Roman"/>
          <w:color w:val="auto"/>
          <w:szCs w:val="21"/>
          <w:highlight w:val="none"/>
        </w:rPr>
        <w:t>⑥</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1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仿宋" w:cs="Times New Roman"/>
          <w:color w:val="auto"/>
          <w:szCs w:val="21"/>
          <w:highlight w:val="none"/>
        </w:rPr>
        <w:t>①</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3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仿宋" w:cs="Times New Roman"/>
          <w:color w:val="auto"/>
          <w:szCs w:val="21"/>
          <w:highlight w:val="none"/>
        </w:rPr>
        <w:t>③</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4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仿宋" w:cs="Times New Roman"/>
          <w:color w:val="auto"/>
          <w:szCs w:val="21"/>
          <w:highlight w:val="none"/>
        </w:rPr>
        <w:t>④</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5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仿宋" w:cs="Times New Roman"/>
          <w:color w:val="auto"/>
          <w:szCs w:val="21"/>
          <w:highlight w:val="none"/>
        </w:rPr>
        <w:t>⑤</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7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仿宋" w:cs="Times New Roman"/>
          <w:color w:val="auto"/>
          <w:szCs w:val="21"/>
          <w:highlight w:val="none"/>
        </w:rPr>
        <w:t>⑦</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6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仿宋" w:cs="Times New Roman"/>
          <w:color w:val="auto"/>
          <w:szCs w:val="21"/>
          <w:highlight w:val="none"/>
        </w:rPr>
        <w:t>⑥</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1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仿宋" w:cs="Times New Roman"/>
          <w:color w:val="auto"/>
          <w:szCs w:val="21"/>
          <w:highlight w:val="none"/>
        </w:rPr>
        <w:t>①</w:t>
      </w:r>
      <w:r>
        <w:rPr>
          <w:rFonts w:hint="default" w:ascii="Times New Roman" w:hAnsi="Times New Roman" w:eastAsia="仿宋" w:cs="Times New Roman"/>
          <w:snapToGrid w:val="0"/>
          <w:color w:val="auto"/>
          <w:spacing w:val="-6"/>
          <w:kern w:val="21"/>
          <w:szCs w:val="21"/>
          <w:highlight w:val="none"/>
        </w:rPr>
        <w:fldChar w:fldCharType="end"/>
      </w:r>
    </w:p>
    <w:p w14:paraId="47570ABB">
      <w:pPr>
        <w:rPr>
          <w:rFonts w:hint="default" w:ascii="Times New Roman" w:hAnsi="Times New Roman" w:cs="Times New Roman"/>
          <w:color w:val="auto"/>
          <w:highlight w:val="none"/>
        </w:rPr>
        <w:sectPr>
          <w:footerReference r:id="rId8" w:type="default"/>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pPr>
    </w:p>
    <w:p w14:paraId="77AA3724">
      <w:pPr>
        <w:keepNext/>
        <w:overflowPunct w:val="0"/>
        <w:snapToGrid w:val="0"/>
        <w:spacing w:before="120" w:after="160" w:line="256" w:lineRule="auto"/>
        <w:ind w:left="432" w:hanging="432"/>
        <w:outlineLvl w:val="0"/>
        <w:rPr>
          <w:rFonts w:hint="default" w:ascii="Times New Roman" w:hAnsi="Times New Roman" w:eastAsia="仿宋" w:cs="Times New Roman"/>
          <w:b/>
          <w:bCs/>
          <w:snapToGrid w:val="0"/>
          <w:color w:val="auto"/>
          <w:kern w:val="44"/>
          <w:sz w:val="21"/>
          <w:szCs w:val="21"/>
          <w:highlight w:val="none"/>
        </w:rPr>
      </w:pPr>
      <w:bookmarkStart w:id="8" w:name="_Toc88123603"/>
      <w:bookmarkStart w:id="9" w:name="_Toc70493870"/>
      <w:r>
        <w:rPr>
          <w:rFonts w:hint="default" w:ascii="Times New Roman" w:hAnsi="Times New Roman" w:eastAsia="仿宋" w:cs="Times New Roman"/>
          <w:b/>
          <w:bCs/>
          <w:snapToGrid w:val="0"/>
          <w:color w:val="auto"/>
          <w:kern w:val="44"/>
          <w:sz w:val="21"/>
          <w:szCs w:val="21"/>
          <w:highlight w:val="none"/>
        </w:rPr>
        <w:t>附件</w:t>
      </w:r>
      <w:bookmarkEnd w:id="8"/>
      <w:bookmarkEnd w:id="9"/>
    </w:p>
    <w:p w14:paraId="65D863B9">
      <w:pPr>
        <w:spacing w:line="360" w:lineRule="auto"/>
        <w:jc w:val="left"/>
        <w:rPr>
          <w:rFonts w:hint="default" w:ascii="Times New Roman" w:hAnsi="Times New Roman" w:eastAsia="仿宋" w:cs="Times New Roman"/>
          <w:color w:val="auto"/>
          <w:sz w:val="21"/>
          <w:szCs w:val="21"/>
          <w:highlight w:val="none"/>
        </w:rPr>
      </w:pPr>
      <w:bookmarkStart w:id="10" w:name="_Toc70493871"/>
      <w:r>
        <w:rPr>
          <w:rFonts w:hint="default" w:ascii="Times New Roman" w:hAnsi="Times New Roman" w:eastAsia="仿宋" w:cs="Times New Roman"/>
          <w:color w:val="auto"/>
          <w:sz w:val="21"/>
          <w:szCs w:val="21"/>
          <w:highlight w:val="none"/>
        </w:rPr>
        <w:t>附件1   江苏省投资项目备案证；</w:t>
      </w:r>
    </w:p>
    <w:p w14:paraId="7EF923FD">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附件2   营业执照；</w:t>
      </w:r>
    </w:p>
    <w:p w14:paraId="5706EB6B">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附件3   法人身份证复印件；</w:t>
      </w:r>
    </w:p>
    <w:p w14:paraId="5C314E38">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附件4   不动产权证</w:t>
      </w:r>
      <w:r>
        <w:rPr>
          <w:rFonts w:hint="eastAsia" w:eastAsia="仿宋" w:cs="Times New Roman"/>
          <w:color w:val="auto"/>
          <w:sz w:val="21"/>
          <w:szCs w:val="21"/>
          <w:highlight w:val="none"/>
          <w:lang w:eastAsia="zh-CN"/>
        </w:rPr>
        <w:t>、</w:t>
      </w:r>
      <w:r>
        <w:rPr>
          <w:rFonts w:hint="eastAsia" w:eastAsia="仿宋" w:cs="Times New Roman"/>
          <w:color w:val="auto"/>
          <w:sz w:val="21"/>
          <w:szCs w:val="21"/>
          <w:highlight w:val="none"/>
          <w:lang w:val="en-US" w:eastAsia="zh-CN"/>
        </w:rPr>
        <w:t>购房合同、园区规划总平图</w:t>
      </w:r>
      <w:r>
        <w:rPr>
          <w:rFonts w:hint="default" w:ascii="Times New Roman" w:hAnsi="Times New Roman" w:eastAsia="仿宋" w:cs="Times New Roman"/>
          <w:color w:val="auto"/>
          <w:sz w:val="21"/>
          <w:szCs w:val="21"/>
          <w:highlight w:val="none"/>
        </w:rPr>
        <w:t>；</w:t>
      </w:r>
    </w:p>
    <w:p w14:paraId="1BDB15BE">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附件</w:t>
      </w:r>
      <w:r>
        <w:rPr>
          <w:rFonts w:hint="eastAsia" w:ascii="Times New Roman" w:hAnsi="Times New Roman"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rPr>
        <w:t xml:space="preserve">   </w:t>
      </w:r>
      <w:r>
        <w:rPr>
          <w:rFonts w:hint="eastAsia" w:ascii="Times New Roman" w:hAnsi="Times New Roman" w:eastAsia="仿宋" w:cs="Times New Roman"/>
          <w:color w:val="auto"/>
          <w:sz w:val="21"/>
          <w:szCs w:val="21"/>
          <w:highlight w:val="none"/>
          <w:lang w:val="en-US" w:eastAsia="zh-CN"/>
        </w:rPr>
        <w:t>现有环保手续、应急预案备案</w:t>
      </w:r>
      <w:r>
        <w:rPr>
          <w:rFonts w:hint="default" w:ascii="Times New Roman" w:hAnsi="Times New Roman" w:eastAsia="仿宋" w:cs="Times New Roman"/>
          <w:color w:val="auto"/>
          <w:sz w:val="21"/>
          <w:szCs w:val="21"/>
          <w:highlight w:val="none"/>
        </w:rPr>
        <w:t>；</w:t>
      </w:r>
    </w:p>
    <w:p w14:paraId="1C2487B0">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附件</w:t>
      </w:r>
      <w:r>
        <w:rPr>
          <w:rFonts w:hint="eastAsia" w:eastAsia="仿宋" w:cs="Times New Roman"/>
          <w:color w:val="auto"/>
          <w:sz w:val="21"/>
          <w:szCs w:val="21"/>
          <w:highlight w:val="none"/>
          <w:lang w:val="en-US" w:eastAsia="zh-CN"/>
        </w:rPr>
        <w:t>6</w:t>
      </w:r>
      <w:r>
        <w:rPr>
          <w:rFonts w:hint="default" w:ascii="Times New Roman" w:hAnsi="Times New Roman" w:eastAsia="仿宋" w:cs="Times New Roman"/>
          <w:color w:val="auto"/>
          <w:sz w:val="21"/>
          <w:szCs w:val="21"/>
          <w:highlight w:val="none"/>
        </w:rPr>
        <w:t xml:space="preserve">   现状检测报告；</w:t>
      </w:r>
    </w:p>
    <w:p w14:paraId="21D4E278">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附件</w:t>
      </w:r>
      <w:r>
        <w:rPr>
          <w:rFonts w:hint="eastAsia" w:eastAsia="仿宋" w:cs="Times New Roman"/>
          <w:color w:val="auto"/>
          <w:sz w:val="21"/>
          <w:szCs w:val="21"/>
          <w:highlight w:val="none"/>
          <w:lang w:val="en-US" w:eastAsia="zh-CN"/>
        </w:rPr>
        <w:t>7</w:t>
      </w:r>
      <w:r>
        <w:rPr>
          <w:rFonts w:hint="default" w:ascii="Times New Roman" w:hAnsi="Times New Roman" w:eastAsia="仿宋" w:cs="Times New Roman"/>
          <w:color w:val="auto"/>
          <w:sz w:val="21"/>
          <w:szCs w:val="21"/>
          <w:highlight w:val="none"/>
        </w:rPr>
        <w:t xml:space="preserve">   污水接管</w:t>
      </w:r>
      <w:r>
        <w:rPr>
          <w:rFonts w:hint="eastAsia" w:eastAsia="仿宋" w:cs="Times New Roman"/>
          <w:color w:val="auto"/>
          <w:sz w:val="21"/>
          <w:szCs w:val="21"/>
          <w:highlight w:val="none"/>
          <w:lang w:val="en-US" w:eastAsia="zh-CN"/>
        </w:rPr>
        <w:t>预审意见</w:t>
      </w:r>
      <w:r>
        <w:rPr>
          <w:rFonts w:hint="default" w:ascii="Times New Roman" w:hAnsi="Times New Roman" w:eastAsia="仿宋" w:cs="Times New Roman"/>
          <w:color w:val="auto"/>
          <w:sz w:val="21"/>
          <w:szCs w:val="21"/>
          <w:highlight w:val="none"/>
        </w:rPr>
        <w:t>；</w:t>
      </w:r>
    </w:p>
    <w:p w14:paraId="348A5000">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附件</w:t>
      </w:r>
      <w:r>
        <w:rPr>
          <w:rFonts w:hint="eastAsia" w:eastAsia="仿宋" w:cs="Times New Roman"/>
          <w:color w:val="auto"/>
          <w:sz w:val="21"/>
          <w:szCs w:val="21"/>
          <w:highlight w:val="none"/>
          <w:lang w:val="en-US" w:eastAsia="zh-CN"/>
        </w:rPr>
        <w:t>8</w:t>
      </w:r>
      <w:r>
        <w:rPr>
          <w:rFonts w:hint="default" w:ascii="Times New Roman" w:hAnsi="Times New Roman" w:eastAsia="仿宋" w:cs="Times New Roman"/>
          <w:color w:val="auto"/>
          <w:sz w:val="21"/>
          <w:szCs w:val="21"/>
          <w:highlight w:val="none"/>
        </w:rPr>
        <w:t xml:space="preserve">   危废</w:t>
      </w:r>
      <w:r>
        <w:rPr>
          <w:rFonts w:hint="eastAsia" w:eastAsia="仿宋" w:cs="Times New Roman"/>
          <w:color w:val="auto"/>
          <w:sz w:val="21"/>
          <w:szCs w:val="21"/>
          <w:highlight w:val="none"/>
          <w:lang w:val="en-US" w:eastAsia="zh-CN"/>
        </w:rPr>
        <w:t>处置合同、</w:t>
      </w:r>
      <w:r>
        <w:rPr>
          <w:rFonts w:hint="eastAsia" w:ascii="仿宋" w:hAnsi="仿宋" w:eastAsia="仿宋"/>
          <w:color w:val="auto"/>
          <w:szCs w:val="21"/>
          <w:lang w:val="en-US" w:eastAsia="zh-CN"/>
        </w:rPr>
        <w:t>承诺书</w:t>
      </w:r>
      <w:r>
        <w:rPr>
          <w:rFonts w:hint="default" w:ascii="Times New Roman" w:hAnsi="Times New Roman" w:eastAsia="仿宋" w:cs="Times New Roman"/>
          <w:color w:val="auto"/>
          <w:sz w:val="21"/>
          <w:szCs w:val="21"/>
          <w:highlight w:val="none"/>
        </w:rPr>
        <w:t>；</w:t>
      </w:r>
    </w:p>
    <w:p w14:paraId="36909E83">
      <w:pPr>
        <w:spacing w:line="360" w:lineRule="auto"/>
        <w:jc w:val="left"/>
        <w:rPr>
          <w:rFonts w:hint="default" w:ascii="Times New Roman" w:hAnsi="Times New Roman" w:eastAsia="仿宋" w:cs="Times New Roman"/>
          <w:color w:val="auto"/>
          <w:kern w:val="0"/>
          <w:sz w:val="21"/>
          <w:szCs w:val="21"/>
          <w:highlight w:val="none"/>
        </w:rPr>
      </w:pPr>
      <w:bookmarkStart w:id="11" w:name="_Toc88123604"/>
      <w:r>
        <w:rPr>
          <w:rFonts w:hint="default" w:ascii="Times New Roman" w:hAnsi="Times New Roman" w:eastAsia="仿宋" w:cs="Times New Roman"/>
          <w:color w:val="auto"/>
          <w:sz w:val="21"/>
          <w:szCs w:val="21"/>
          <w:highlight w:val="none"/>
        </w:rPr>
        <w:t>附件</w:t>
      </w:r>
      <w:r>
        <w:rPr>
          <w:rFonts w:hint="eastAsia" w:eastAsia="仿宋" w:cs="Times New Roman"/>
          <w:color w:val="auto"/>
          <w:sz w:val="21"/>
          <w:szCs w:val="21"/>
          <w:highlight w:val="none"/>
          <w:lang w:val="en-US" w:eastAsia="zh-CN"/>
        </w:rPr>
        <w:t>9</w:t>
      </w:r>
      <w:r>
        <w:rPr>
          <w:rFonts w:hint="default" w:ascii="Times New Roman" w:hAnsi="Times New Roman" w:eastAsia="仿宋" w:cs="Times New Roman"/>
          <w:color w:val="auto"/>
          <w:sz w:val="21"/>
          <w:szCs w:val="21"/>
          <w:highlight w:val="none"/>
        </w:rPr>
        <w:t xml:space="preserve">  《</w:t>
      </w:r>
      <w:r>
        <w:rPr>
          <w:rFonts w:hint="default" w:ascii="Times New Roman" w:hAnsi="Times New Roman" w:eastAsia="仿宋" w:cs="Times New Roman"/>
          <w:color w:val="auto"/>
          <w:sz w:val="21"/>
          <w:szCs w:val="21"/>
          <w:highlight w:val="none"/>
          <w:lang w:val="en-US" w:eastAsia="zh-CN"/>
        </w:rPr>
        <w:t>省生态环境厅关于江苏金坛经济开发区开发建设规划（2025-2035年）</w:t>
      </w:r>
      <w:r>
        <w:rPr>
          <w:rFonts w:hint="default" w:ascii="Times New Roman" w:hAnsi="Times New Roman" w:eastAsia="仿宋" w:cs="Times New Roman"/>
          <w:color w:val="auto"/>
          <w:sz w:val="21"/>
          <w:szCs w:val="21"/>
          <w:highlight w:val="none"/>
        </w:rPr>
        <w:t>环境影响评价</w:t>
      </w:r>
      <w:r>
        <w:rPr>
          <w:rFonts w:hint="default" w:ascii="Times New Roman" w:hAnsi="Times New Roman" w:eastAsia="仿宋" w:cs="Times New Roman"/>
          <w:color w:val="auto"/>
          <w:sz w:val="21"/>
          <w:szCs w:val="21"/>
          <w:highlight w:val="none"/>
          <w:lang w:val="en-US" w:eastAsia="zh-CN"/>
        </w:rPr>
        <w:t>报告书的</w:t>
      </w:r>
      <w:r>
        <w:rPr>
          <w:rFonts w:hint="default" w:ascii="Times New Roman" w:hAnsi="Times New Roman" w:eastAsia="仿宋" w:cs="Times New Roman"/>
          <w:color w:val="auto"/>
          <w:sz w:val="21"/>
          <w:szCs w:val="21"/>
          <w:highlight w:val="none"/>
        </w:rPr>
        <w:t>审查意见》（苏环审</w:t>
      </w:r>
      <w:r>
        <w:rPr>
          <w:rFonts w:hint="default" w:ascii="Times New Roman" w:hAnsi="Times New Roman" w:eastAsia="仿宋" w:cs="Times New Roman"/>
          <w:color w:val="auto"/>
          <w:sz w:val="21"/>
          <w:szCs w:val="21"/>
          <w:highlight w:val="none"/>
          <w:lang w:eastAsia="zh-CN"/>
        </w:rPr>
        <w:t>〔20</w:t>
      </w:r>
      <w:r>
        <w:rPr>
          <w:rFonts w:hint="default" w:ascii="Times New Roman" w:hAnsi="Times New Roman" w:eastAsia="仿宋" w:cs="Times New Roman"/>
          <w:color w:val="auto"/>
          <w:sz w:val="21"/>
          <w:szCs w:val="21"/>
          <w:highlight w:val="none"/>
          <w:lang w:val="en-US" w:eastAsia="zh-CN"/>
        </w:rPr>
        <w:t>26</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17</w:t>
      </w:r>
      <w:r>
        <w:rPr>
          <w:rFonts w:hint="default" w:ascii="Times New Roman" w:hAnsi="Times New Roman" w:eastAsia="仿宋" w:cs="Times New Roman"/>
          <w:color w:val="auto"/>
          <w:sz w:val="21"/>
          <w:szCs w:val="21"/>
          <w:highlight w:val="none"/>
          <w:lang w:eastAsia="zh-CN"/>
        </w:rPr>
        <w:t>号</w:t>
      </w:r>
      <w:r>
        <w:rPr>
          <w:rFonts w:hint="default" w:ascii="Times New Roman" w:hAnsi="Times New Roman" w:eastAsia="仿宋" w:cs="Times New Roman"/>
          <w:color w:val="auto"/>
          <w:sz w:val="21"/>
          <w:szCs w:val="21"/>
          <w:highlight w:val="none"/>
        </w:rPr>
        <w:t>）</w:t>
      </w:r>
      <w:r>
        <w:rPr>
          <w:rFonts w:hint="default" w:ascii="Times New Roman" w:hAnsi="Times New Roman" w:eastAsia="仿宋" w:cs="Times New Roman"/>
          <w:color w:val="auto"/>
          <w:kern w:val="0"/>
          <w:sz w:val="21"/>
          <w:szCs w:val="21"/>
          <w:highlight w:val="none"/>
        </w:rPr>
        <w:t>；</w:t>
      </w:r>
    </w:p>
    <w:p w14:paraId="135AD44B">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kern w:val="0"/>
          <w:sz w:val="21"/>
          <w:szCs w:val="21"/>
          <w:highlight w:val="none"/>
        </w:rPr>
        <w:t>附件</w:t>
      </w:r>
      <w:r>
        <w:rPr>
          <w:rFonts w:hint="eastAsia" w:eastAsia="仿宋" w:cs="Times New Roman"/>
          <w:color w:val="auto"/>
          <w:kern w:val="0"/>
          <w:sz w:val="21"/>
          <w:szCs w:val="21"/>
          <w:highlight w:val="none"/>
          <w:lang w:val="en-US" w:eastAsia="zh-CN"/>
        </w:rPr>
        <w:t>10</w:t>
      </w:r>
      <w:r>
        <w:rPr>
          <w:rFonts w:hint="default" w:ascii="Times New Roman" w:hAnsi="Times New Roman" w:eastAsia="仿宋" w:cs="Times New Roman"/>
          <w:color w:val="auto"/>
          <w:sz w:val="21"/>
          <w:szCs w:val="21"/>
          <w:highlight w:val="none"/>
        </w:rPr>
        <w:t xml:space="preserve">  环评委托书；</w:t>
      </w:r>
    </w:p>
    <w:p w14:paraId="38FD90BF">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附件1</w:t>
      </w:r>
      <w:r>
        <w:rPr>
          <w:rFonts w:hint="eastAsia" w:eastAsia="仿宋" w:cs="Times New Roman"/>
          <w:color w:val="auto"/>
          <w:sz w:val="21"/>
          <w:szCs w:val="21"/>
          <w:highlight w:val="none"/>
          <w:lang w:val="en-US" w:eastAsia="zh-CN"/>
        </w:rPr>
        <w:t>1</w:t>
      </w:r>
      <w:r>
        <w:rPr>
          <w:rFonts w:hint="default" w:ascii="Times New Roman" w:hAnsi="Times New Roman" w:eastAsia="仿宋" w:cs="Times New Roman"/>
          <w:color w:val="auto"/>
          <w:sz w:val="21"/>
          <w:szCs w:val="21"/>
          <w:highlight w:val="none"/>
        </w:rPr>
        <w:t xml:space="preserve">  建设单位作出的环评基础数据真实性承诺书；</w:t>
      </w:r>
    </w:p>
    <w:p w14:paraId="2E54D871">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附件1</w:t>
      </w:r>
      <w:r>
        <w:rPr>
          <w:rFonts w:hint="eastAsia" w:eastAsia="仿宋"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 xml:space="preserve">  建设单位作出的相关环境保护措施承诺；</w:t>
      </w:r>
    </w:p>
    <w:p w14:paraId="4158B3A8">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附件1</w:t>
      </w:r>
      <w:r>
        <w:rPr>
          <w:rFonts w:hint="eastAsia" w:eastAsia="仿宋" w:cs="Times New Roman"/>
          <w:color w:val="auto"/>
          <w:sz w:val="21"/>
          <w:szCs w:val="21"/>
          <w:highlight w:val="none"/>
          <w:lang w:val="en-US" w:eastAsia="zh-CN"/>
        </w:rPr>
        <w:t>3</w:t>
      </w:r>
      <w:r>
        <w:rPr>
          <w:rFonts w:hint="default" w:ascii="Times New Roman" w:hAnsi="Times New Roman" w:eastAsia="仿宋" w:cs="Times New Roman"/>
          <w:color w:val="auto"/>
          <w:sz w:val="21"/>
          <w:szCs w:val="21"/>
          <w:highlight w:val="none"/>
        </w:rPr>
        <w:t xml:space="preserve">  主要环境影响及预防或者减轻不良环境影响的对策和措施；</w:t>
      </w:r>
    </w:p>
    <w:p w14:paraId="4C71901B">
      <w:pPr>
        <w:adjustRightInd w:val="0"/>
        <w:snapToGrid w:val="0"/>
        <w:spacing w:line="336"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附件1</w:t>
      </w:r>
      <w:r>
        <w:rPr>
          <w:rFonts w:hint="eastAsia" w:eastAsia="仿宋" w:cs="Times New Roman"/>
          <w:color w:val="auto"/>
          <w:szCs w:val="21"/>
          <w:lang w:val="en-US" w:eastAsia="zh-CN"/>
        </w:rPr>
        <w:t>4</w:t>
      </w:r>
      <w:r>
        <w:rPr>
          <w:rFonts w:hint="default" w:ascii="Times New Roman" w:hAnsi="Times New Roman" w:eastAsia="仿宋" w:cs="Times New Roman"/>
          <w:color w:val="auto"/>
          <w:szCs w:val="21"/>
        </w:rPr>
        <w:t xml:space="preserve">  委托函；</w:t>
      </w:r>
    </w:p>
    <w:p w14:paraId="7ABC9257">
      <w:pPr>
        <w:adjustRightInd w:val="0"/>
        <w:snapToGrid w:val="0"/>
        <w:spacing w:line="336"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附件1</w:t>
      </w:r>
      <w:r>
        <w:rPr>
          <w:rFonts w:hint="eastAsia" w:eastAsia="仿宋" w:cs="Times New Roman"/>
          <w:color w:val="auto"/>
          <w:szCs w:val="21"/>
          <w:lang w:val="en-US" w:eastAsia="zh-CN"/>
        </w:rPr>
        <w:t>5</w:t>
      </w:r>
      <w:r>
        <w:rPr>
          <w:rFonts w:hint="default" w:ascii="Times New Roman" w:hAnsi="Times New Roman" w:eastAsia="仿宋" w:cs="Times New Roman"/>
          <w:color w:val="auto"/>
          <w:szCs w:val="21"/>
        </w:rPr>
        <w:t xml:space="preserve">  环境影响报告表全本信息公开；</w:t>
      </w:r>
    </w:p>
    <w:p w14:paraId="50C2FC12">
      <w:pPr>
        <w:adjustRightInd w:val="0"/>
        <w:snapToGrid w:val="0"/>
        <w:spacing w:line="336" w:lineRule="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附件1</w:t>
      </w:r>
      <w:r>
        <w:rPr>
          <w:rFonts w:hint="eastAsia" w:eastAsia="仿宋" w:cs="Times New Roman"/>
          <w:color w:val="auto"/>
          <w:szCs w:val="21"/>
          <w:lang w:val="en-US" w:eastAsia="zh-CN"/>
        </w:rPr>
        <w:t>6</w:t>
      </w:r>
      <w:r>
        <w:rPr>
          <w:rFonts w:hint="default" w:ascii="Times New Roman" w:hAnsi="Times New Roman" w:eastAsia="仿宋" w:cs="Times New Roman"/>
          <w:color w:val="auto"/>
          <w:szCs w:val="21"/>
        </w:rPr>
        <w:t xml:space="preserve">  公示承诺书；</w:t>
      </w:r>
    </w:p>
    <w:p w14:paraId="3C7164A3">
      <w:pPr>
        <w:adjustRightInd w:val="0"/>
        <w:snapToGrid w:val="0"/>
        <w:spacing w:line="336" w:lineRule="auto"/>
        <w:rPr>
          <w:rFonts w:hint="default" w:ascii="Times New Roman" w:hAnsi="Times New Roman" w:eastAsia="仿宋" w:cs="Times New Roman"/>
          <w:color w:val="auto"/>
          <w:szCs w:val="21"/>
          <w:lang w:val="en-US" w:eastAsia="zh-CN"/>
        </w:rPr>
      </w:pPr>
      <w:r>
        <w:rPr>
          <w:rFonts w:hint="eastAsia" w:eastAsia="仿宋" w:cs="Times New Roman"/>
          <w:color w:val="auto"/>
          <w:szCs w:val="21"/>
          <w:lang w:val="en-US" w:eastAsia="zh-CN"/>
        </w:rPr>
        <w:t>附件17  胶粘剂msds；</w:t>
      </w:r>
    </w:p>
    <w:p w14:paraId="7AA90C64">
      <w:pPr>
        <w:spacing w:line="360" w:lineRule="auto"/>
        <w:jc w:val="left"/>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附件1</w:t>
      </w:r>
      <w:r>
        <w:rPr>
          <w:rFonts w:hint="eastAsia" w:eastAsia="仿宋" w:cs="Times New Roman"/>
          <w:color w:val="auto"/>
          <w:sz w:val="21"/>
          <w:szCs w:val="21"/>
          <w:highlight w:val="none"/>
          <w:lang w:val="en-US" w:eastAsia="zh-CN"/>
        </w:rPr>
        <w:t>8</w:t>
      </w:r>
      <w:r>
        <w:rPr>
          <w:rFonts w:hint="default" w:ascii="Times New Roman" w:hAnsi="Times New Roman" w:eastAsia="仿宋" w:cs="Times New Roman"/>
          <w:color w:val="auto"/>
          <w:sz w:val="21"/>
          <w:szCs w:val="21"/>
          <w:highlight w:val="none"/>
        </w:rPr>
        <w:t xml:space="preserve">  工程师现场照</w:t>
      </w:r>
      <w:r>
        <w:rPr>
          <w:rFonts w:hint="eastAsia" w:eastAsia="仿宋" w:cs="Times New Roman"/>
          <w:color w:val="auto"/>
          <w:sz w:val="21"/>
          <w:szCs w:val="21"/>
          <w:highlight w:val="none"/>
          <w:lang w:eastAsia="zh-CN"/>
        </w:rPr>
        <w:t>。</w:t>
      </w:r>
    </w:p>
    <w:p w14:paraId="677AEC85">
      <w:pPr>
        <w:keepNext/>
        <w:overflowPunct w:val="0"/>
        <w:snapToGrid w:val="0"/>
        <w:spacing w:before="120" w:after="160" w:line="256" w:lineRule="auto"/>
        <w:outlineLvl w:val="0"/>
        <w:rPr>
          <w:rFonts w:hint="default" w:ascii="Times New Roman" w:hAnsi="Times New Roman" w:eastAsia="仿宋" w:cs="Times New Roman"/>
          <w:b/>
          <w:bCs/>
          <w:snapToGrid w:val="0"/>
          <w:color w:val="auto"/>
          <w:kern w:val="44"/>
          <w:sz w:val="21"/>
          <w:szCs w:val="21"/>
          <w:highlight w:val="none"/>
        </w:rPr>
      </w:pPr>
      <w:r>
        <w:rPr>
          <w:rFonts w:hint="default" w:ascii="Times New Roman" w:hAnsi="Times New Roman" w:eastAsia="仿宋" w:cs="Times New Roman"/>
          <w:b/>
          <w:bCs/>
          <w:snapToGrid w:val="0"/>
          <w:color w:val="auto"/>
          <w:kern w:val="44"/>
          <w:sz w:val="21"/>
          <w:szCs w:val="21"/>
          <w:highlight w:val="none"/>
        </w:rPr>
        <w:t>附图</w:t>
      </w:r>
      <w:bookmarkEnd w:id="10"/>
      <w:bookmarkEnd w:id="11"/>
    </w:p>
    <w:p w14:paraId="2A648E34">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附图1   建设项目地理位置图；</w:t>
      </w:r>
    </w:p>
    <w:p w14:paraId="1864262C">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附图2   建设项目厂区周边500米范围用地现状图；</w:t>
      </w:r>
    </w:p>
    <w:p w14:paraId="2B222A0C">
      <w:pPr>
        <w:spacing w:line="360" w:lineRule="auto"/>
        <w:jc w:val="left"/>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附图3   建设项目</w:t>
      </w:r>
      <w:r>
        <w:rPr>
          <w:rFonts w:hint="eastAsia" w:eastAsia="仿宋" w:cs="Times New Roman"/>
          <w:color w:val="auto"/>
          <w:sz w:val="21"/>
          <w:szCs w:val="21"/>
          <w:highlight w:val="none"/>
          <w:lang w:val="en-US" w:eastAsia="zh-CN"/>
        </w:rPr>
        <w:t>D6车间</w:t>
      </w:r>
      <w:r>
        <w:rPr>
          <w:rFonts w:hint="eastAsia" w:ascii="Times New Roman" w:hAnsi="Times New Roman" w:eastAsia="仿宋" w:cs="Times New Roman"/>
          <w:color w:val="auto"/>
          <w:sz w:val="21"/>
          <w:szCs w:val="21"/>
          <w:highlight w:val="none"/>
          <w:lang w:val="en-US" w:eastAsia="zh-CN"/>
        </w:rPr>
        <w:t>平面布置图；</w:t>
      </w:r>
    </w:p>
    <w:p w14:paraId="6D48CE66">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附图</w:t>
      </w:r>
      <w:r>
        <w:rPr>
          <w:rFonts w:hint="eastAsia" w:eastAsia="仿宋" w:cs="Times New Roman"/>
          <w:color w:val="auto"/>
          <w:sz w:val="21"/>
          <w:szCs w:val="21"/>
          <w:highlight w:val="none"/>
          <w:lang w:val="en-US" w:eastAsia="zh-CN"/>
        </w:rPr>
        <w:t>4</w:t>
      </w:r>
      <w:r>
        <w:rPr>
          <w:rFonts w:hint="default" w:ascii="Times New Roman" w:hAnsi="Times New Roman" w:eastAsia="仿宋" w:cs="Times New Roman"/>
          <w:color w:val="auto"/>
          <w:sz w:val="21"/>
          <w:szCs w:val="21"/>
          <w:highlight w:val="none"/>
        </w:rPr>
        <w:t xml:space="preserve">   区域水系及地表水现状监测示意图；</w:t>
      </w:r>
    </w:p>
    <w:p w14:paraId="02BCAFF7">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附图</w:t>
      </w:r>
      <w:r>
        <w:rPr>
          <w:rFonts w:hint="eastAsia"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rPr>
        <w:t xml:space="preserve">   金坛经济开发区土地利用规划图；</w:t>
      </w:r>
    </w:p>
    <w:p w14:paraId="2E9C6625">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附图</w:t>
      </w:r>
      <w:r>
        <w:rPr>
          <w:rFonts w:hint="eastAsia" w:eastAsia="仿宋" w:cs="Times New Roman"/>
          <w:color w:val="auto"/>
          <w:sz w:val="21"/>
          <w:szCs w:val="21"/>
          <w:highlight w:val="none"/>
          <w:lang w:val="en-US" w:eastAsia="zh-CN"/>
        </w:rPr>
        <w:t>6</w:t>
      </w:r>
      <w:r>
        <w:rPr>
          <w:rFonts w:hint="default" w:ascii="Times New Roman" w:hAnsi="Times New Roman" w:eastAsia="仿宋" w:cs="Times New Roman"/>
          <w:color w:val="auto"/>
          <w:sz w:val="21"/>
          <w:szCs w:val="21"/>
          <w:highlight w:val="none"/>
        </w:rPr>
        <w:t xml:space="preserve">   金坛区中心城区声环境功能区划图；</w:t>
      </w:r>
    </w:p>
    <w:p w14:paraId="5D7E504B">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附图</w:t>
      </w:r>
      <w:r>
        <w:rPr>
          <w:rFonts w:hint="eastAsia" w:eastAsia="仿宋" w:cs="Times New Roman"/>
          <w:color w:val="auto"/>
          <w:sz w:val="21"/>
          <w:szCs w:val="21"/>
          <w:highlight w:val="none"/>
          <w:lang w:val="en-US" w:eastAsia="zh-CN"/>
        </w:rPr>
        <w:t>7</w:t>
      </w:r>
      <w:r>
        <w:rPr>
          <w:rFonts w:hint="default" w:ascii="Times New Roman" w:hAnsi="Times New Roman" w:eastAsia="仿宋" w:cs="Times New Roman"/>
          <w:color w:val="auto"/>
          <w:sz w:val="21"/>
          <w:szCs w:val="21"/>
          <w:highlight w:val="none"/>
        </w:rPr>
        <w:t xml:space="preserve">   常州市国土空间总体规划图；</w:t>
      </w:r>
    </w:p>
    <w:p w14:paraId="47058CFD">
      <w:pPr>
        <w:spacing w:line="360" w:lineRule="auto"/>
        <w:jc w:val="left"/>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附图</w:t>
      </w:r>
      <w:r>
        <w:rPr>
          <w:rFonts w:hint="eastAsia" w:eastAsia="仿宋" w:cs="Times New Roman"/>
          <w:color w:val="auto"/>
          <w:sz w:val="21"/>
          <w:szCs w:val="21"/>
          <w:highlight w:val="none"/>
          <w:lang w:val="en-US" w:eastAsia="zh-CN"/>
        </w:rPr>
        <w:t xml:space="preserve">8 </w:t>
      </w:r>
      <w:r>
        <w:rPr>
          <w:rFonts w:hint="default" w:ascii="Times New Roman" w:hAnsi="Times New Roman" w:eastAsia="仿宋" w:cs="Times New Roman"/>
          <w:color w:val="auto"/>
          <w:sz w:val="21"/>
          <w:szCs w:val="21"/>
          <w:highlight w:val="none"/>
        </w:rPr>
        <w:t xml:space="preserve">  常州市</w:t>
      </w:r>
      <w:r>
        <w:rPr>
          <w:rFonts w:hint="default" w:ascii="Times New Roman" w:hAnsi="Times New Roman" w:eastAsia="仿宋" w:cs="Times New Roman"/>
          <w:color w:val="auto"/>
          <w:sz w:val="21"/>
          <w:szCs w:val="21"/>
          <w:highlight w:val="none"/>
          <w:lang w:val="en-US" w:eastAsia="zh-CN"/>
        </w:rPr>
        <w:t>生态</w:t>
      </w:r>
      <w:r>
        <w:rPr>
          <w:rFonts w:hint="default" w:ascii="Times New Roman" w:hAnsi="Times New Roman" w:eastAsia="仿宋" w:cs="Times New Roman"/>
          <w:color w:val="auto"/>
          <w:sz w:val="21"/>
          <w:szCs w:val="21"/>
          <w:highlight w:val="none"/>
        </w:rPr>
        <w:t>环境管控单元图；</w:t>
      </w:r>
    </w:p>
    <w:p w14:paraId="446CC1C3">
      <w:pPr>
        <w:spacing w:line="360" w:lineRule="auto"/>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附图</w:t>
      </w:r>
      <w:r>
        <w:rPr>
          <w:rFonts w:hint="eastAsia" w:ascii="Times New Roman" w:hAnsi="Times New Roman" w:eastAsia="仿宋" w:cs="Times New Roman"/>
          <w:color w:val="auto"/>
          <w:sz w:val="21"/>
          <w:szCs w:val="21"/>
          <w:highlight w:val="none"/>
          <w:lang w:val="en-US" w:eastAsia="zh-CN"/>
        </w:rPr>
        <w:t xml:space="preserve">9 </w:t>
      </w:r>
      <w:r>
        <w:rPr>
          <w:rFonts w:hint="default" w:ascii="Times New Roman" w:hAnsi="Times New Roman" w:eastAsia="仿宋" w:cs="Times New Roman"/>
          <w:color w:val="auto"/>
          <w:sz w:val="21"/>
          <w:szCs w:val="21"/>
          <w:highlight w:val="none"/>
        </w:rPr>
        <w:t xml:space="preserve">  常州市生态空间保护区域分布图</w:t>
      </w:r>
      <w:r>
        <w:rPr>
          <w:rFonts w:hint="default" w:ascii="Times New Roman" w:hAnsi="Times New Roman" w:eastAsia="仿宋" w:cs="Times New Roman"/>
          <w:color w:val="auto"/>
          <w:sz w:val="21"/>
          <w:szCs w:val="21"/>
          <w:highlight w:val="none"/>
          <w:lang w:eastAsia="zh-CN"/>
        </w:rPr>
        <w:t>；</w:t>
      </w:r>
    </w:p>
    <w:p w14:paraId="0AFF1B87">
      <w:pPr>
        <w:spacing w:line="360" w:lineRule="auto"/>
        <w:jc w:val="left"/>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附图10  江苏省生态环境分区管控综合查询报告书</w:t>
      </w:r>
    </w:p>
    <w:p w14:paraId="6C5D5F91">
      <w:pPr>
        <w:spacing w:line="360" w:lineRule="auto"/>
        <w:jc w:val="left"/>
        <w:rPr>
          <w:rFonts w:hint="default" w:ascii="Times New Roman" w:hAnsi="Times New Roman" w:eastAsia="仿宋" w:cs="Times New Roman"/>
          <w:color w:val="auto"/>
          <w:sz w:val="21"/>
          <w:szCs w:val="21"/>
          <w:highlight w:val="none"/>
        </w:rPr>
      </w:pPr>
    </w:p>
    <w:sectPr>
      <w:footerReference r:id="rId9" w:type="default"/>
      <w:pgSz w:w="11907" w:h="16840"/>
      <w:pgMar w:top="1301" w:right="1531" w:bottom="1259"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Black">
    <w:panose1 w:val="020B0A04020102020204"/>
    <w:charset w:val="00"/>
    <w:family w:val="swiss"/>
    <w:pitch w:val="default"/>
    <w:sig w:usb0="00000287" w:usb1="00000000" w:usb2="00000000" w:usb3="00000000" w:csb0="2000009F" w:csb1="DFD70000"/>
  </w:font>
  <w:font w:name="Microsoft YaHei UI">
    <w:altName w:val="宋体"/>
    <w:panose1 w:val="020B0503020204020204"/>
    <w:charset w:val="86"/>
    <w:family w:val="swiss"/>
    <w:pitch w:val="default"/>
    <w:sig w:usb0="00000000" w:usb1="00000000" w:usb2="00000016" w:usb3="00000000" w:csb0="0004001F" w:csb1="0000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8ADDB">
    <w:pPr>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30DDC9">
                          <w:pPr>
                            <w:pStyle w:val="22"/>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rlGvMkBAACa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qNc3fc4sTPP3+cf/05//5O&#10;rrM+fYAa0+4DJqbhnR9wa2Y/oDPTHlS0+YuECMZR3dNFXTkkIvKj1XK1qjAkMDZfEJ89PA8R0nvp&#10;LclGQyOOr6jKjx8hjalzSq7m/J02pozQuH8ciJk9LPc+9pitNOyGidDOtyfk0+PkG+pw0SkxHxwK&#10;m5dkNuJs7GbjEKLed2WLcj0It4eETZTecoURdiqMIyvspvXKO/H4XrIef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muUa8yQEAAJoDAAAOAAAAAAAAAAEAIAAAAB4BAABkcnMvZTJvRG9j&#10;LnhtbFBLBQYAAAAABgAGAFkBAABZBQAAAAA=&#10;">
              <v:fill on="f" focussize="0,0"/>
              <v:stroke on="f"/>
              <v:imagedata o:title=""/>
              <o:lock v:ext="edit" aspectratio="f"/>
              <v:textbox inset="0mm,0mm,0mm,0mm" style="mso-fit-shape-to-text:t;">
                <w:txbxContent>
                  <w:p w14:paraId="3C30DDC9">
                    <w:pPr>
                      <w:pStyle w:val="2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9702A">
    <w:pPr>
      <w:framePr w:wrap="around" w:vAnchor="text" w:hAnchor="margin" w:xAlign="center" w:y="1"/>
      <w:rPr>
        <w:rStyle w:val="52"/>
      </w:rPr>
    </w:pPr>
    <w:r>
      <w:fldChar w:fldCharType="begin"/>
    </w:r>
    <w:r>
      <w:rPr>
        <w:rStyle w:val="52"/>
      </w:rPr>
      <w:instrText xml:space="preserve">PAGE  </w:instrText>
    </w:r>
    <w:r>
      <w:fldChar w:fldCharType="end"/>
    </w:r>
  </w:p>
  <w:p w14:paraId="610E283B">
    <w:pP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D0216">
    <w:pPr>
      <w:ind w:right="360" w:firstLine="360"/>
      <w:jc w:val="righ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DD5B91">
                          <w:pPr>
                            <w:pStyle w:val="22"/>
                            <w:jc w:val="right"/>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t/xi8kBAACaAwAADgAAAGRycy9lMm9Eb2MueG1srVPNjtMwEL4j8Q6W&#10;79TZClCJ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OUbShy3OPHzzx/nX3/Ov7+T&#10;V1mfPkCNabcBE9Pwzg+4NbMf0JlpDyra/EVCBOOo7umirhwSEfnRarlaVRgSGJsviM/unocI6b30&#10;lmSjoRHHV1Tlx4+QxtQ5JVdz/kYbU0Zo3H8OxMwelnsfe8xWGnbDRGjn2xPy6XHyDXW46JSYDw6F&#10;zUsyG3E2drNxCFHvu7JFuR6Et4eETZTecoURdiqMIyvspvXKO/HvvWTd/V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W3/GLyQEAAJoDAAAOAAAAAAAAAAEAIAAAAB4BAABkcnMvZTJvRG9j&#10;LnhtbFBLBQYAAAAABgAGAFkBAABZBQAAAAA=&#10;">
              <v:fill on="f" focussize="0,0"/>
              <v:stroke on="f"/>
              <v:imagedata o:title=""/>
              <o:lock v:ext="edit" aspectratio="f"/>
              <v:textbox inset="0mm,0mm,0mm,0mm" style="mso-fit-shape-to-text:t;">
                <w:txbxContent>
                  <w:p w14:paraId="72DD5B91">
                    <w:pPr>
                      <w:pStyle w:val="22"/>
                      <w:jc w:val="right"/>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10073">
    <w:pPr>
      <w:ind w:right="360" w:firstLine="36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13757100">
                          <w:r>
                            <w:fldChar w:fldCharType="begin"/>
                          </w:r>
                          <w:r>
                            <w:instrText xml:space="preserve"> PAGE  \* MERGEFORMAT </w:instrText>
                          </w:r>
                          <w:r>
                            <w:fldChar w:fldCharType="separate"/>
                          </w:r>
                          <w:r>
                            <w:t>113</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5X5J0AAAAAMBAAAPAAAAAAAAAAEAIAAAACIAAABkcnMvZG93&#10;bnJldi54bWxQSwECFAAUAAAACACHTuJAXZnjFM8BAACYAwAADgAAAAAAAAABACAAAAAfAQAAZHJz&#10;L2Uyb0RvYy54bWxQSwUGAAAAAAYABgBZAQAAYAUAAAAA&#10;">
              <v:fill on="f" focussize="0,0"/>
              <v:stroke on="f"/>
              <v:imagedata o:title=""/>
              <o:lock v:ext="edit" aspectratio="f"/>
              <v:textbox inset="0mm,0mm,0mm,0mm" style="mso-fit-shape-to-text:t;">
                <w:txbxContent>
                  <w:p w14:paraId="13757100">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4AD04">
    <w:pPr>
      <w:ind w:right="360" w:firstLine="360"/>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47"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4AF720CD">
                          <w:pPr>
                            <w:jc w:val="right"/>
                          </w:pPr>
                          <w:r>
                            <w:fldChar w:fldCharType="begin"/>
                          </w:r>
                          <w:r>
                            <w:instrText xml:space="preserve"> PAGE  \* MERGEFORMAT </w:instrText>
                          </w:r>
                          <w:r>
                            <w:fldChar w:fldCharType="separate"/>
                          </w:r>
                          <w:r>
                            <w:t>114</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Cj1id8zgEAAJgDAAAOAAAAAAAAAAEAIAAAAB8BAABkcnMv&#10;ZTJvRG9jLnhtbFBLBQYAAAAABgAGAFkBAABfBQAAAAA=&#10;">
              <v:fill on="f" focussize="0,0"/>
              <v:stroke on="f"/>
              <v:imagedata o:title=""/>
              <o:lock v:ext="edit" aspectratio="f"/>
              <v:textbox inset="0mm,0mm,0mm,0mm" style="mso-fit-shape-to-text:t;">
                <w:txbxContent>
                  <w:p w14:paraId="4AF720CD">
                    <w:pPr>
                      <w:jc w:val="right"/>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E792C">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C65BE">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CE612B"/>
    <w:multiLevelType w:val="singleLevel"/>
    <w:tmpl w:val="9FCE612B"/>
    <w:lvl w:ilvl="0" w:tentative="0">
      <w:start w:val="2"/>
      <w:numFmt w:val="decimal"/>
      <w:suff w:val="nothing"/>
      <w:lvlText w:val="%1、"/>
      <w:lvlJc w:val="left"/>
    </w:lvl>
  </w:abstractNum>
  <w:abstractNum w:abstractNumId="1">
    <w:nsid w:val="CDE8A0B0"/>
    <w:multiLevelType w:val="singleLevel"/>
    <w:tmpl w:val="CDE8A0B0"/>
    <w:lvl w:ilvl="0" w:tentative="0">
      <w:start w:val="5"/>
      <w:numFmt w:val="decimal"/>
      <w:suff w:val="nothing"/>
      <w:lvlText w:val="%1、"/>
      <w:lvlJc w:val="left"/>
    </w:lvl>
  </w:abstractNum>
  <w:abstractNum w:abstractNumId="2">
    <w:nsid w:val="D2A039F3"/>
    <w:multiLevelType w:val="singleLevel"/>
    <w:tmpl w:val="D2A039F3"/>
    <w:lvl w:ilvl="0" w:tentative="0">
      <w:start w:val="1"/>
      <w:numFmt w:val="decimal"/>
      <w:pStyle w:val="17"/>
      <w:suff w:val="nothing"/>
      <w:lvlText w:val="（%1）"/>
      <w:lvlJc w:val="left"/>
      <w:pPr>
        <w:ind w:left="0" w:firstLine="0"/>
      </w:pPr>
    </w:lvl>
  </w:abstractNum>
  <w:abstractNum w:abstractNumId="3">
    <w:nsid w:val="D74EFDCE"/>
    <w:multiLevelType w:val="singleLevel"/>
    <w:tmpl w:val="D74EFDCE"/>
    <w:lvl w:ilvl="0" w:tentative="0">
      <w:start w:val="2"/>
      <w:numFmt w:val="decimal"/>
      <w:suff w:val="nothing"/>
      <w:lvlText w:val="%1、"/>
      <w:lvlJc w:val="left"/>
    </w:lvl>
  </w:abstractNum>
  <w:abstractNum w:abstractNumId="4">
    <w:nsid w:val="D92671F6"/>
    <w:multiLevelType w:val="singleLevel"/>
    <w:tmpl w:val="D92671F6"/>
    <w:lvl w:ilvl="0" w:tentative="0">
      <w:start w:val="1"/>
      <w:numFmt w:val="decimal"/>
      <w:suff w:val="nothing"/>
      <w:lvlText w:val="%1．"/>
      <w:lvlJc w:val="left"/>
    </w:lvl>
  </w:abstractNum>
  <w:abstractNum w:abstractNumId="5">
    <w:nsid w:val="DF8F078A"/>
    <w:multiLevelType w:val="singleLevel"/>
    <w:tmpl w:val="DF8F078A"/>
    <w:lvl w:ilvl="0" w:tentative="0">
      <w:start w:val="2"/>
      <w:numFmt w:val="chineseCounting"/>
      <w:suff w:val="nothing"/>
      <w:lvlText w:val="%1、"/>
      <w:lvlJc w:val="left"/>
      <w:rPr>
        <w:rFonts w:hint="eastAsia"/>
      </w:rPr>
    </w:lvl>
  </w:abstractNum>
  <w:abstractNum w:abstractNumId="6">
    <w:nsid w:val="E304D3DB"/>
    <w:multiLevelType w:val="singleLevel"/>
    <w:tmpl w:val="E304D3DB"/>
    <w:lvl w:ilvl="0" w:tentative="0">
      <w:start w:val="2"/>
      <w:numFmt w:val="decimal"/>
      <w:suff w:val="nothing"/>
      <w:lvlText w:val="%1、"/>
      <w:lvlJc w:val="left"/>
    </w:lvl>
  </w:abstractNum>
  <w:abstractNum w:abstractNumId="7">
    <w:nsid w:val="F7DDD63E"/>
    <w:multiLevelType w:val="singleLevel"/>
    <w:tmpl w:val="F7DDD63E"/>
    <w:lvl w:ilvl="0" w:tentative="0">
      <w:start w:val="1"/>
      <w:numFmt w:val="decimal"/>
      <w:suff w:val="nothing"/>
      <w:lvlText w:val="%1．"/>
      <w:lvlJc w:val="left"/>
    </w:lvl>
  </w:abstractNum>
  <w:abstractNum w:abstractNumId="8">
    <w:nsid w:val="3021B0C5"/>
    <w:multiLevelType w:val="singleLevel"/>
    <w:tmpl w:val="3021B0C5"/>
    <w:lvl w:ilvl="0" w:tentative="0">
      <w:start w:val="7"/>
      <w:numFmt w:val="chineseCounting"/>
      <w:suff w:val="nothing"/>
      <w:lvlText w:val="%1、"/>
      <w:lvlJc w:val="left"/>
      <w:rPr>
        <w:rFonts w:hint="eastAsia"/>
      </w:rPr>
    </w:lvl>
  </w:abstractNum>
  <w:abstractNum w:abstractNumId="9">
    <w:nsid w:val="37FDF73D"/>
    <w:multiLevelType w:val="singleLevel"/>
    <w:tmpl w:val="37FDF73D"/>
    <w:lvl w:ilvl="0" w:tentative="0">
      <w:start w:val="1"/>
      <w:numFmt w:val="decimal"/>
      <w:suff w:val="nothing"/>
      <w:lvlText w:val="%1．"/>
      <w:lvlJc w:val="left"/>
    </w:lvl>
  </w:abstractNum>
  <w:abstractNum w:abstractNumId="10">
    <w:nsid w:val="5DCE5CCD"/>
    <w:multiLevelType w:val="singleLevel"/>
    <w:tmpl w:val="5DCE5CCD"/>
    <w:lvl w:ilvl="0" w:tentative="0">
      <w:start w:val="1"/>
      <w:numFmt w:val="decimal"/>
      <w:suff w:val="nothing"/>
      <w:lvlText w:val="%1．"/>
      <w:lvlJc w:val="left"/>
    </w:lvl>
  </w:abstractNum>
  <w:abstractNum w:abstractNumId="11">
    <w:nsid w:val="6D3C7333"/>
    <w:multiLevelType w:val="multilevel"/>
    <w:tmpl w:val="6D3C7333"/>
    <w:lvl w:ilvl="0" w:tentative="0">
      <w:start w:val="1"/>
      <w:numFmt w:val="decimal"/>
      <w:pStyle w:val="175"/>
      <w:suff w:val="space"/>
      <w:lvlText w:val="(%1)"/>
      <w:lvlJc w:val="left"/>
      <w:pPr>
        <w:ind w:left="900" w:hanging="420"/>
      </w:pPr>
      <w:rPr>
        <w:rFonts w:hint="default" w:ascii="宋体" w:hAnsi="宋体" w:eastAsia="宋体"/>
        <w:b w:val="0"/>
        <w:i w:val="0"/>
        <w:sz w:val="24"/>
      </w:rPr>
    </w:lvl>
    <w:lvl w:ilvl="1" w:tentative="0">
      <w:start w:val="1"/>
      <w:numFmt w:val="none"/>
      <w:lvlText w:val="%2"/>
      <w:lvlJc w:val="left"/>
      <w:pPr>
        <w:ind w:left="922" w:hanging="360"/>
      </w:pPr>
      <w:rPr>
        <w:rFonts w:hint="default" w:eastAsia="华文中宋"/>
        <w:sz w:val="21"/>
      </w:rPr>
    </w:lvl>
    <w:lvl w:ilvl="2" w:tentative="0">
      <w:start w:val="1"/>
      <w:numFmt w:val="lowerRoman"/>
      <w:lvlText w:val="%3."/>
      <w:lvlJc w:val="right"/>
      <w:pPr>
        <w:ind w:left="1402" w:hanging="420"/>
      </w:pPr>
      <w:rPr>
        <w:rFonts w:hint="eastAsia"/>
      </w:rPr>
    </w:lvl>
    <w:lvl w:ilvl="3" w:tentative="0">
      <w:start w:val="1"/>
      <w:numFmt w:val="decimal"/>
      <w:lvlText w:val="%4."/>
      <w:lvlJc w:val="left"/>
      <w:pPr>
        <w:ind w:left="1822" w:hanging="420"/>
      </w:pPr>
      <w:rPr>
        <w:rFonts w:hint="eastAsia"/>
      </w:rPr>
    </w:lvl>
    <w:lvl w:ilvl="4" w:tentative="0">
      <w:start w:val="1"/>
      <w:numFmt w:val="lowerLetter"/>
      <w:lvlText w:val="%5)"/>
      <w:lvlJc w:val="left"/>
      <w:pPr>
        <w:ind w:left="2242" w:hanging="420"/>
      </w:pPr>
      <w:rPr>
        <w:rFonts w:hint="eastAsia"/>
      </w:rPr>
    </w:lvl>
    <w:lvl w:ilvl="5" w:tentative="0">
      <w:start w:val="1"/>
      <w:numFmt w:val="lowerRoman"/>
      <w:lvlText w:val="%6."/>
      <w:lvlJc w:val="right"/>
      <w:pPr>
        <w:ind w:left="2662" w:hanging="420"/>
      </w:pPr>
      <w:rPr>
        <w:rFonts w:hint="eastAsia"/>
      </w:rPr>
    </w:lvl>
    <w:lvl w:ilvl="6" w:tentative="0">
      <w:start w:val="1"/>
      <w:numFmt w:val="decimal"/>
      <w:lvlText w:val="%7."/>
      <w:lvlJc w:val="left"/>
      <w:pPr>
        <w:ind w:left="3082" w:hanging="420"/>
      </w:pPr>
      <w:rPr>
        <w:rFonts w:hint="eastAsia"/>
      </w:rPr>
    </w:lvl>
    <w:lvl w:ilvl="7" w:tentative="0">
      <w:start w:val="1"/>
      <w:numFmt w:val="lowerLetter"/>
      <w:lvlText w:val="%8)"/>
      <w:lvlJc w:val="left"/>
      <w:pPr>
        <w:ind w:left="3502" w:hanging="420"/>
      </w:pPr>
      <w:rPr>
        <w:rFonts w:hint="eastAsia"/>
      </w:rPr>
    </w:lvl>
    <w:lvl w:ilvl="8" w:tentative="0">
      <w:start w:val="1"/>
      <w:numFmt w:val="lowerRoman"/>
      <w:lvlText w:val="%9."/>
      <w:lvlJc w:val="right"/>
      <w:pPr>
        <w:ind w:left="3922" w:hanging="420"/>
      </w:pPr>
      <w:rPr>
        <w:rFonts w:hint="eastAsia"/>
      </w:rPr>
    </w:lvl>
  </w:abstractNum>
  <w:num w:numId="1">
    <w:abstractNumId w:val="2"/>
  </w:num>
  <w:num w:numId="2">
    <w:abstractNumId w:val="11"/>
  </w:num>
  <w:num w:numId="3">
    <w:abstractNumId w:val="7"/>
  </w:num>
  <w:num w:numId="4">
    <w:abstractNumId w:val="9"/>
  </w:num>
  <w:num w:numId="5">
    <w:abstractNumId w:val="4"/>
  </w:num>
  <w:num w:numId="6">
    <w:abstractNumId w:val="10"/>
  </w:num>
  <w:num w:numId="7">
    <w:abstractNumId w:val="6"/>
  </w:num>
  <w:num w:numId="8">
    <w:abstractNumId w:val="3"/>
  </w:num>
  <w:num w:numId="9">
    <w:abstractNumId w:val="0"/>
  </w:num>
  <w:num w:numId="10">
    <w:abstractNumId w:val="1"/>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isplayHorizontalDrawingGridEvery w:val="1"/>
  <w:displayVerticalDrawingGridEvery w:val="1"/>
  <w:noPunctuationKerning w:val="1"/>
  <w:characterSpacingControl w:val="doNotCompress"/>
  <w:compat>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zYWE2MDY2ODdhMDExMWIzM2Q5NjhiODlkNTgwYjMifQ=="/>
  </w:docVars>
  <w:rsids>
    <w:rsidRoot w:val="00172A27"/>
    <w:rsid w:val="00000B41"/>
    <w:rsid w:val="00000C99"/>
    <w:rsid w:val="0000127B"/>
    <w:rsid w:val="00001FF4"/>
    <w:rsid w:val="00003108"/>
    <w:rsid w:val="0000352A"/>
    <w:rsid w:val="00003AEA"/>
    <w:rsid w:val="00003C87"/>
    <w:rsid w:val="00003CF3"/>
    <w:rsid w:val="00003D2E"/>
    <w:rsid w:val="000042F1"/>
    <w:rsid w:val="0000482F"/>
    <w:rsid w:val="00004DDD"/>
    <w:rsid w:val="000051EC"/>
    <w:rsid w:val="00006199"/>
    <w:rsid w:val="0000649A"/>
    <w:rsid w:val="000068D2"/>
    <w:rsid w:val="00006BA7"/>
    <w:rsid w:val="00007B39"/>
    <w:rsid w:val="00010E55"/>
    <w:rsid w:val="000110BE"/>
    <w:rsid w:val="0001111C"/>
    <w:rsid w:val="000113A7"/>
    <w:rsid w:val="000115A4"/>
    <w:rsid w:val="00012199"/>
    <w:rsid w:val="00012700"/>
    <w:rsid w:val="000127D2"/>
    <w:rsid w:val="00013513"/>
    <w:rsid w:val="00013B4B"/>
    <w:rsid w:val="00013BCD"/>
    <w:rsid w:val="00013D66"/>
    <w:rsid w:val="00014EFC"/>
    <w:rsid w:val="00016034"/>
    <w:rsid w:val="0001604F"/>
    <w:rsid w:val="0001672D"/>
    <w:rsid w:val="00016AD5"/>
    <w:rsid w:val="000170FC"/>
    <w:rsid w:val="00017144"/>
    <w:rsid w:val="0001779D"/>
    <w:rsid w:val="00017F53"/>
    <w:rsid w:val="00020B97"/>
    <w:rsid w:val="0002179B"/>
    <w:rsid w:val="000218A1"/>
    <w:rsid w:val="00021A86"/>
    <w:rsid w:val="00021DE3"/>
    <w:rsid w:val="00022FD6"/>
    <w:rsid w:val="00023330"/>
    <w:rsid w:val="000237D3"/>
    <w:rsid w:val="00023B6F"/>
    <w:rsid w:val="00023E0A"/>
    <w:rsid w:val="00023E75"/>
    <w:rsid w:val="00024228"/>
    <w:rsid w:val="000244E2"/>
    <w:rsid w:val="000250A7"/>
    <w:rsid w:val="0002518B"/>
    <w:rsid w:val="000251BE"/>
    <w:rsid w:val="000255AD"/>
    <w:rsid w:val="000261D0"/>
    <w:rsid w:val="00026721"/>
    <w:rsid w:val="0002738C"/>
    <w:rsid w:val="00027746"/>
    <w:rsid w:val="00027F38"/>
    <w:rsid w:val="000301AB"/>
    <w:rsid w:val="0003074F"/>
    <w:rsid w:val="00030C08"/>
    <w:rsid w:val="00030D52"/>
    <w:rsid w:val="00030F58"/>
    <w:rsid w:val="000311D8"/>
    <w:rsid w:val="00032685"/>
    <w:rsid w:val="000328A9"/>
    <w:rsid w:val="00033102"/>
    <w:rsid w:val="000341C8"/>
    <w:rsid w:val="00034567"/>
    <w:rsid w:val="00034911"/>
    <w:rsid w:val="000351FB"/>
    <w:rsid w:val="00035266"/>
    <w:rsid w:val="00035957"/>
    <w:rsid w:val="00035B63"/>
    <w:rsid w:val="00036156"/>
    <w:rsid w:val="000365FD"/>
    <w:rsid w:val="000375D1"/>
    <w:rsid w:val="00037BC3"/>
    <w:rsid w:val="00040000"/>
    <w:rsid w:val="00040027"/>
    <w:rsid w:val="000404D7"/>
    <w:rsid w:val="00040A58"/>
    <w:rsid w:val="00040E57"/>
    <w:rsid w:val="00042E28"/>
    <w:rsid w:val="0004461B"/>
    <w:rsid w:val="000449FA"/>
    <w:rsid w:val="00045215"/>
    <w:rsid w:val="0004535C"/>
    <w:rsid w:val="0004549E"/>
    <w:rsid w:val="00045CA8"/>
    <w:rsid w:val="00045D92"/>
    <w:rsid w:val="00046762"/>
    <w:rsid w:val="00046A4C"/>
    <w:rsid w:val="000470AA"/>
    <w:rsid w:val="0004714E"/>
    <w:rsid w:val="00047338"/>
    <w:rsid w:val="00047E6D"/>
    <w:rsid w:val="00050719"/>
    <w:rsid w:val="00050728"/>
    <w:rsid w:val="00050C10"/>
    <w:rsid w:val="00051592"/>
    <w:rsid w:val="00051CFB"/>
    <w:rsid w:val="00051E93"/>
    <w:rsid w:val="00052BE1"/>
    <w:rsid w:val="00053018"/>
    <w:rsid w:val="0005343A"/>
    <w:rsid w:val="00053C58"/>
    <w:rsid w:val="0005414E"/>
    <w:rsid w:val="00054D90"/>
    <w:rsid w:val="0005503C"/>
    <w:rsid w:val="00055245"/>
    <w:rsid w:val="000554BA"/>
    <w:rsid w:val="00055709"/>
    <w:rsid w:val="000568C6"/>
    <w:rsid w:val="00056F1E"/>
    <w:rsid w:val="00057519"/>
    <w:rsid w:val="00057AEB"/>
    <w:rsid w:val="00057C60"/>
    <w:rsid w:val="000604F8"/>
    <w:rsid w:val="000605C6"/>
    <w:rsid w:val="00060791"/>
    <w:rsid w:val="000610F2"/>
    <w:rsid w:val="000617FF"/>
    <w:rsid w:val="00061CE5"/>
    <w:rsid w:val="00062D6E"/>
    <w:rsid w:val="000630B8"/>
    <w:rsid w:val="000631EF"/>
    <w:rsid w:val="00063B57"/>
    <w:rsid w:val="000640CE"/>
    <w:rsid w:val="0006430E"/>
    <w:rsid w:val="0006457D"/>
    <w:rsid w:val="00064C62"/>
    <w:rsid w:val="000655ED"/>
    <w:rsid w:val="00066253"/>
    <w:rsid w:val="000663D9"/>
    <w:rsid w:val="00066A45"/>
    <w:rsid w:val="000673CE"/>
    <w:rsid w:val="000674D6"/>
    <w:rsid w:val="000700E4"/>
    <w:rsid w:val="00070599"/>
    <w:rsid w:val="00070BF1"/>
    <w:rsid w:val="0007114A"/>
    <w:rsid w:val="000715E5"/>
    <w:rsid w:val="00071778"/>
    <w:rsid w:val="0007290F"/>
    <w:rsid w:val="00072C98"/>
    <w:rsid w:val="000731FB"/>
    <w:rsid w:val="000734C9"/>
    <w:rsid w:val="00073DE1"/>
    <w:rsid w:val="00073FCD"/>
    <w:rsid w:val="00074272"/>
    <w:rsid w:val="0007457B"/>
    <w:rsid w:val="00074BAE"/>
    <w:rsid w:val="00074FC7"/>
    <w:rsid w:val="0007543F"/>
    <w:rsid w:val="00075819"/>
    <w:rsid w:val="00075FF1"/>
    <w:rsid w:val="000760A1"/>
    <w:rsid w:val="000769D9"/>
    <w:rsid w:val="000776C9"/>
    <w:rsid w:val="00077F06"/>
    <w:rsid w:val="0008004F"/>
    <w:rsid w:val="0008015D"/>
    <w:rsid w:val="00080410"/>
    <w:rsid w:val="000808FB"/>
    <w:rsid w:val="00080A89"/>
    <w:rsid w:val="00080B0F"/>
    <w:rsid w:val="00080DB6"/>
    <w:rsid w:val="0008149A"/>
    <w:rsid w:val="000820E0"/>
    <w:rsid w:val="000823EF"/>
    <w:rsid w:val="00082CF0"/>
    <w:rsid w:val="00083502"/>
    <w:rsid w:val="0008380F"/>
    <w:rsid w:val="00083ACC"/>
    <w:rsid w:val="00083D4E"/>
    <w:rsid w:val="00084228"/>
    <w:rsid w:val="000844CF"/>
    <w:rsid w:val="000846B5"/>
    <w:rsid w:val="00085192"/>
    <w:rsid w:val="0008583A"/>
    <w:rsid w:val="00085B22"/>
    <w:rsid w:val="00085D71"/>
    <w:rsid w:val="00086154"/>
    <w:rsid w:val="0008683E"/>
    <w:rsid w:val="00087230"/>
    <w:rsid w:val="00087262"/>
    <w:rsid w:val="00087711"/>
    <w:rsid w:val="00087FC2"/>
    <w:rsid w:val="00090753"/>
    <w:rsid w:val="00091212"/>
    <w:rsid w:val="00092483"/>
    <w:rsid w:val="000933A7"/>
    <w:rsid w:val="000934DC"/>
    <w:rsid w:val="00093560"/>
    <w:rsid w:val="0009358C"/>
    <w:rsid w:val="00093F37"/>
    <w:rsid w:val="0009505E"/>
    <w:rsid w:val="000952CA"/>
    <w:rsid w:val="00095663"/>
    <w:rsid w:val="0009600D"/>
    <w:rsid w:val="000973FA"/>
    <w:rsid w:val="00097937"/>
    <w:rsid w:val="000A01F7"/>
    <w:rsid w:val="000A17D7"/>
    <w:rsid w:val="000A1ABA"/>
    <w:rsid w:val="000A2723"/>
    <w:rsid w:val="000A2A7B"/>
    <w:rsid w:val="000A34A1"/>
    <w:rsid w:val="000A3E3E"/>
    <w:rsid w:val="000A3E69"/>
    <w:rsid w:val="000A481D"/>
    <w:rsid w:val="000A57E7"/>
    <w:rsid w:val="000A5A0C"/>
    <w:rsid w:val="000A5D9C"/>
    <w:rsid w:val="000A63A7"/>
    <w:rsid w:val="000A6558"/>
    <w:rsid w:val="000A6CBE"/>
    <w:rsid w:val="000A72E9"/>
    <w:rsid w:val="000A7925"/>
    <w:rsid w:val="000A7BFB"/>
    <w:rsid w:val="000A7D7A"/>
    <w:rsid w:val="000B0D8A"/>
    <w:rsid w:val="000B1312"/>
    <w:rsid w:val="000B189C"/>
    <w:rsid w:val="000B27C5"/>
    <w:rsid w:val="000B2887"/>
    <w:rsid w:val="000B2C86"/>
    <w:rsid w:val="000B2E78"/>
    <w:rsid w:val="000B3809"/>
    <w:rsid w:val="000B511E"/>
    <w:rsid w:val="000B57ED"/>
    <w:rsid w:val="000B5D60"/>
    <w:rsid w:val="000B5F45"/>
    <w:rsid w:val="000B5F86"/>
    <w:rsid w:val="000B67A3"/>
    <w:rsid w:val="000B6AE6"/>
    <w:rsid w:val="000B702D"/>
    <w:rsid w:val="000B76DB"/>
    <w:rsid w:val="000B779B"/>
    <w:rsid w:val="000C0183"/>
    <w:rsid w:val="000C243C"/>
    <w:rsid w:val="000C24FC"/>
    <w:rsid w:val="000C2BBC"/>
    <w:rsid w:val="000C2E5D"/>
    <w:rsid w:val="000C2F57"/>
    <w:rsid w:val="000C307A"/>
    <w:rsid w:val="000C39FB"/>
    <w:rsid w:val="000C3DE4"/>
    <w:rsid w:val="000C42DE"/>
    <w:rsid w:val="000C54F0"/>
    <w:rsid w:val="000C5FF7"/>
    <w:rsid w:val="000C629B"/>
    <w:rsid w:val="000C6463"/>
    <w:rsid w:val="000C66C9"/>
    <w:rsid w:val="000C730A"/>
    <w:rsid w:val="000C799B"/>
    <w:rsid w:val="000C7EC6"/>
    <w:rsid w:val="000D036C"/>
    <w:rsid w:val="000D1B67"/>
    <w:rsid w:val="000D1C59"/>
    <w:rsid w:val="000D2738"/>
    <w:rsid w:val="000D2D1C"/>
    <w:rsid w:val="000D2D25"/>
    <w:rsid w:val="000D34F8"/>
    <w:rsid w:val="000D3F31"/>
    <w:rsid w:val="000D46A1"/>
    <w:rsid w:val="000D46D5"/>
    <w:rsid w:val="000D4E4D"/>
    <w:rsid w:val="000D5572"/>
    <w:rsid w:val="000D5D08"/>
    <w:rsid w:val="000D66B7"/>
    <w:rsid w:val="000D67D5"/>
    <w:rsid w:val="000D6C28"/>
    <w:rsid w:val="000D6D3B"/>
    <w:rsid w:val="000D7975"/>
    <w:rsid w:val="000E0063"/>
    <w:rsid w:val="000E025E"/>
    <w:rsid w:val="000E02D5"/>
    <w:rsid w:val="000E1E5B"/>
    <w:rsid w:val="000E2409"/>
    <w:rsid w:val="000E298A"/>
    <w:rsid w:val="000E2C4E"/>
    <w:rsid w:val="000E2CE7"/>
    <w:rsid w:val="000E327F"/>
    <w:rsid w:val="000E3C47"/>
    <w:rsid w:val="000E3C5A"/>
    <w:rsid w:val="000E426E"/>
    <w:rsid w:val="000E431F"/>
    <w:rsid w:val="000E44AF"/>
    <w:rsid w:val="000E47F9"/>
    <w:rsid w:val="000E55F1"/>
    <w:rsid w:val="000E63E3"/>
    <w:rsid w:val="000E6DE5"/>
    <w:rsid w:val="000F2136"/>
    <w:rsid w:val="000F21BB"/>
    <w:rsid w:val="000F2DD3"/>
    <w:rsid w:val="000F2E75"/>
    <w:rsid w:val="000F30C2"/>
    <w:rsid w:val="000F3770"/>
    <w:rsid w:val="000F3EA1"/>
    <w:rsid w:val="000F47CB"/>
    <w:rsid w:val="000F4A94"/>
    <w:rsid w:val="000F4FB0"/>
    <w:rsid w:val="000F53D3"/>
    <w:rsid w:val="000F5E41"/>
    <w:rsid w:val="000F6B4E"/>
    <w:rsid w:val="000F711E"/>
    <w:rsid w:val="00100609"/>
    <w:rsid w:val="001025E2"/>
    <w:rsid w:val="001032DF"/>
    <w:rsid w:val="0010334E"/>
    <w:rsid w:val="00103380"/>
    <w:rsid w:val="001037C6"/>
    <w:rsid w:val="001041F5"/>
    <w:rsid w:val="00105391"/>
    <w:rsid w:val="001058D3"/>
    <w:rsid w:val="00106611"/>
    <w:rsid w:val="001068FE"/>
    <w:rsid w:val="001069C0"/>
    <w:rsid w:val="00106E9F"/>
    <w:rsid w:val="00107012"/>
    <w:rsid w:val="001070C4"/>
    <w:rsid w:val="001071ED"/>
    <w:rsid w:val="00107727"/>
    <w:rsid w:val="0010789F"/>
    <w:rsid w:val="00110061"/>
    <w:rsid w:val="00110BD0"/>
    <w:rsid w:val="0011146D"/>
    <w:rsid w:val="0011196A"/>
    <w:rsid w:val="00111BE0"/>
    <w:rsid w:val="00111C2E"/>
    <w:rsid w:val="00111E5D"/>
    <w:rsid w:val="0011209F"/>
    <w:rsid w:val="001120CB"/>
    <w:rsid w:val="00112823"/>
    <w:rsid w:val="00112D2A"/>
    <w:rsid w:val="00114419"/>
    <w:rsid w:val="00115715"/>
    <w:rsid w:val="00117C6A"/>
    <w:rsid w:val="00117EC6"/>
    <w:rsid w:val="00117ECC"/>
    <w:rsid w:val="00120160"/>
    <w:rsid w:val="00120888"/>
    <w:rsid w:val="00120BAE"/>
    <w:rsid w:val="00122158"/>
    <w:rsid w:val="0012294C"/>
    <w:rsid w:val="00122AD0"/>
    <w:rsid w:val="00122AF3"/>
    <w:rsid w:val="00123184"/>
    <w:rsid w:val="0012323B"/>
    <w:rsid w:val="00123268"/>
    <w:rsid w:val="001235B8"/>
    <w:rsid w:val="001235CB"/>
    <w:rsid w:val="001238EE"/>
    <w:rsid w:val="00124C1F"/>
    <w:rsid w:val="00124F0A"/>
    <w:rsid w:val="001254B9"/>
    <w:rsid w:val="00125543"/>
    <w:rsid w:val="00125601"/>
    <w:rsid w:val="00125907"/>
    <w:rsid w:val="00125AB3"/>
    <w:rsid w:val="00125C2C"/>
    <w:rsid w:val="00126457"/>
    <w:rsid w:val="00126D30"/>
    <w:rsid w:val="00127750"/>
    <w:rsid w:val="00127A89"/>
    <w:rsid w:val="00127BC5"/>
    <w:rsid w:val="00127D54"/>
    <w:rsid w:val="00127EB7"/>
    <w:rsid w:val="00130006"/>
    <w:rsid w:val="001303EC"/>
    <w:rsid w:val="00131E31"/>
    <w:rsid w:val="00132136"/>
    <w:rsid w:val="00132440"/>
    <w:rsid w:val="00132A28"/>
    <w:rsid w:val="00133051"/>
    <w:rsid w:val="001333B5"/>
    <w:rsid w:val="0013452E"/>
    <w:rsid w:val="00134E30"/>
    <w:rsid w:val="00136797"/>
    <w:rsid w:val="00137016"/>
    <w:rsid w:val="0013718C"/>
    <w:rsid w:val="001372E8"/>
    <w:rsid w:val="0013769B"/>
    <w:rsid w:val="001376F4"/>
    <w:rsid w:val="00137BBA"/>
    <w:rsid w:val="00140395"/>
    <w:rsid w:val="00140661"/>
    <w:rsid w:val="00140978"/>
    <w:rsid w:val="00140FA0"/>
    <w:rsid w:val="00141604"/>
    <w:rsid w:val="00142410"/>
    <w:rsid w:val="001430E4"/>
    <w:rsid w:val="001434CC"/>
    <w:rsid w:val="001439B9"/>
    <w:rsid w:val="00143D6B"/>
    <w:rsid w:val="00144E39"/>
    <w:rsid w:val="00145279"/>
    <w:rsid w:val="00145600"/>
    <w:rsid w:val="00146520"/>
    <w:rsid w:val="001466C6"/>
    <w:rsid w:val="00146882"/>
    <w:rsid w:val="00146AF3"/>
    <w:rsid w:val="00147216"/>
    <w:rsid w:val="0014736C"/>
    <w:rsid w:val="001473B1"/>
    <w:rsid w:val="00147647"/>
    <w:rsid w:val="00147E41"/>
    <w:rsid w:val="001507EB"/>
    <w:rsid w:val="00150B86"/>
    <w:rsid w:val="001513C5"/>
    <w:rsid w:val="001518D2"/>
    <w:rsid w:val="001520AC"/>
    <w:rsid w:val="001529CB"/>
    <w:rsid w:val="00153234"/>
    <w:rsid w:val="001538E4"/>
    <w:rsid w:val="00153C96"/>
    <w:rsid w:val="00153F5F"/>
    <w:rsid w:val="00154228"/>
    <w:rsid w:val="00154CD8"/>
    <w:rsid w:val="001558C8"/>
    <w:rsid w:val="00155B37"/>
    <w:rsid w:val="00155D78"/>
    <w:rsid w:val="00155E7E"/>
    <w:rsid w:val="00156082"/>
    <w:rsid w:val="0015608B"/>
    <w:rsid w:val="00156140"/>
    <w:rsid w:val="00156348"/>
    <w:rsid w:val="001568FD"/>
    <w:rsid w:val="00157374"/>
    <w:rsid w:val="001573F0"/>
    <w:rsid w:val="00157ED0"/>
    <w:rsid w:val="00157F5C"/>
    <w:rsid w:val="00160258"/>
    <w:rsid w:val="0016132C"/>
    <w:rsid w:val="001627A5"/>
    <w:rsid w:val="0016296F"/>
    <w:rsid w:val="00162BA7"/>
    <w:rsid w:val="00162DE2"/>
    <w:rsid w:val="00162EE5"/>
    <w:rsid w:val="0016397A"/>
    <w:rsid w:val="00163C39"/>
    <w:rsid w:val="00164508"/>
    <w:rsid w:val="00164946"/>
    <w:rsid w:val="001649CF"/>
    <w:rsid w:val="0016592A"/>
    <w:rsid w:val="00166259"/>
    <w:rsid w:val="00166BA7"/>
    <w:rsid w:val="00167883"/>
    <w:rsid w:val="00167CF5"/>
    <w:rsid w:val="00170A59"/>
    <w:rsid w:val="00170D41"/>
    <w:rsid w:val="001714A1"/>
    <w:rsid w:val="001714C9"/>
    <w:rsid w:val="001722B0"/>
    <w:rsid w:val="0017283C"/>
    <w:rsid w:val="00172A27"/>
    <w:rsid w:val="00172EC6"/>
    <w:rsid w:val="001734B1"/>
    <w:rsid w:val="0017425E"/>
    <w:rsid w:val="00174466"/>
    <w:rsid w:val="001744B0"/>
    <w:rsid w:val="00175475"/>
    <w:rsid w:val="00175C32"/>
    <w:rsid w:val="00180410"/>
    <w:rsid w:val="00180FB1"/>
    <w:rsid w:val="00181EC9"/>
    <w:rsid w:val="001823E8"/>
    <w:rsid w:val="00182BF6"/>
    <w:rsid w:val="00182DE3"/>
    <w:rsid w:val="00182FA4"/>
    <w:rsid w:val="001848B6"/>
    <w:rsid w:val="00184D79"/>
    <w:rsid w:val="001850DB"/>
    <w:rsid w:val="00185705"/>
    <w:rsid w:val="001864FB"/>
    <w:rsid w:val="00186693"/>
    <w:rsid w:val="00186BD4"/>
    <w:rsid w:val="0018744A"/>
    <w:rsid w:val="00187F6E"/>
    <w:rsid w:val="00190A01"/>
    <w:rsid w:val="00190E2F"/>
    <w:rsid w:val="00190F04"/>
    <w:rsid w:val="001916D0"/>
    <w:rsid w:val="0019187B"/>
    <w:rsid w:val="0019273B"/>
    <w:rsid w:val="001935B3"/>
    <w:rsid w:val="00194046"/>
    <w:rsid w:val="00194433"/>
    <w:rsid w:val="001953A5"/>
    <w:rsid w:val="0019597A"/>
    <w:rsid w:val="00195F24"/>
    <w:rsid w:val="001961B9"/>
    <w:rsid w:val="0019710A"/>
    <w:rsid w:val="00197277"/>
    <w:rsid w:val="00197545"/>
    <w:rsid w:val="001A0356"/>
    <w:rsid w:val="001A04F3"/>
    <w:rsid w:val="001A05F9"/>
    <w:rsid w:val="001A1271"/>
    <w:rsid w:val="001A33CF"/>
    <w:rsid w:val="001A377B"/>
    <w:rsid w:val="001A4945"/>
    <w:rsid w:val="001A5221"/>
    <w:rsid w:val="001A5BE6"/>
    <w:rsid w:val="001A5FCD"/>
    <w:rsid w:val="001A6089"/>
    <w:rsid w:val="001A769C"/>
    <w:rsid w:val="001B0551"/>
    <w:rsid w:val="001B0558"/>
    <w:rsid w:val="001B12E5"/>
    <w:rsid w:val="001B14B2"/>
    <w:rsid w:val="001B2217"/>
    <w:rsid w:val="001B2654"/>
    <w:rsid w:val="001B2ACE"/>
    <w:rsid w:val="001B2C56"/>
    <w:rsid w:val="001B2F92"/>
    <w:rsid w:val="001B4095"/>
    <w:rsid w:val="001B5089"/>
    <w:rsid w:val="001B51B3"/>
    <w:rsid w:val="001B58B1"/>
    <w:rsid w:val="001B5E20"/>
    <w:rsid w:val="001B6DBE"/>
    <w:rsid w:val="001B7438"/>
    <w:rsid w:val="001B7F19"/>
    <w:rsid w:val="001B7FC4"/>
    <w:rsid w:val="001C0603"/>
    <w:rsid w:val="001C09E8"/>
    <w:rsid w:val="001C0EC6"/>
    <w:rsid w:val="001C101B"/>
    <w:rsid w:val="001C1C84"/>
    <w:rsid w:val="001C20B0"/>
    <w:rsid w:val="001C2FCF"/>
    <w:rsid w:val="001C4A7E"/>
    <w:rsid w:val="001C4E93"/>
    <w:rsid w:val="001C50E7"/>
    <w:rsid w:val="001C56B5"/>
    <w:rsid w:val="001C5767"/>
    <w:rsid w:val="001C5773"/>
    <w:rsid w:val="001C6E7F"/>
    <w:rsid w:val="001C7228"/>
    <w:rsid w:val="001C734E"/>
    <w:rsid w:val="001C75FD"/>
    <w:rsid w:val="001C79A7"/>
    <w:rsid w:val="001C7AF6"/>
    <w:rsid w:val="001C7ED0"/>
    <w:rsid w:val="001D01F2"/>
    <w:rsid w:val="001D04AA"/>
    <w:rsid w:val="001D07D6"/>
    <w:rsid w:val="001D0EBA"/>
    <w:rsid w:val="001D277D"/>
    <w:rsid w:val="001D2D4F"/>
    <w:rsid w:val="001D2DF8"/>
    <w:rsid w:val="001D2E9A"/>
    <w:rsid w:val="001D3278"/>
    <w:rsid w:val="001D357C"/>
    <w:rsid w:val="001D386E"/>
    <w:rsid w:val="001D390B"/>
    <w:rsid w:val="001D41B9"/>
    <w:rsid w:val="001D4EAF"/>
    <w:rsid w:val="001D5994"/>
    <w:rsid w:val="001D663B"/>
    <w:rsid w:val="001D749D"/>
    <w:rsid w:val="001D7607"/>
    <w:rsid w:val="001D788B"/>
    <w:rsid w:val="001D7B31"/>
    <w:rsid w:val="001D7E64"/>
    <w:rsid w:val="001E04F9"/>
    <w:rsid w:val="001E0786"/>
    <w:rsid w:val="001E07F6"/>
    <w:rsid w:val="001E097C"/>
    <w:rsid w:val="001E0992"/>
    <w:rsid w:val="001E0C02"/>
    <w:rsid w:val="001E1A03"/>
    <w:rsid w:val="001E1D77"/>
    <w:rsid w:val="001E1DC9"/>
    <w:rsid w:val="001E3D11"/>
    <w:rsid w:val="001E3DEE"/>
    <w:rsid w:val="001E4279"/>
    <w:rsid w:val="001E5034"/>
    <w:rsid w:val="001E586D"/>
    <w:rsid w:val="001E5CBF"/>
    <w:rsid w:val="001E601D"/>
    <w:rsid w:val="001E6226"/>
    <w:rsid w:val="001E684C"/>
    <w:rsid w:val="001E6963"/>
    <w:rsid w:val="001E6C35"/>
    <w:rsid w:val="001E6EF2"/>
    <w:rsid w:val="001E7E69"/>
    <w:rsid w:val="001F0422"/>
    <w:rsid w:val="001F11F5"/>
    <w:rsid w:val="001F1200"/>
    <w:rsid w:val="001F20DB"/>
    <w:rsid w:val="001F26D2"/>
    <w:rsid w:val="001F28D2"/>
    <w:rsid w:val="001F2F93"/>
    <w:rsid w:val="001F340A"/>
    <w:rsid w:val="001F386C"/>
    <w:rsid w:val="001F4295"/>
    <w:rsid w:val="001F4CF8"/>
    <w:rsid w:val="001F4DC3"/>
    <w:rsid w:val="001F5511"/>
    <w:rsid w:val="001F5702"/>
    <w:rsid w:val="001F5905"/>
    <w:rsid w:val="001F5CBC"/>
    <w:rsid w:val="001F633F"/>
    <w:rsid w:val="001F65B0"/>
    <w:rsid w:val="001F6EF9"/>
    <w:rsid w:val="001F78D1"/>
    <w:rsid w:val="0020096A"/>
    <w:rsid w:val="00201111"/>
    <w:rsid w:val="00201C93"/>
    <w:rsid w:val="00201E3D"/>
    <w:rsid w:val="00202057"/>
    <w:rsid w:val="0020217D"/>
    <w:rsid w:val="002022E1"/>
    <w:rsid w:val="00202F52"/>
    <w:rsid w:val="00203B2C"/>
    <w:rsid w:val="00203C78"/>
    <w:rsid w:val="00203EF3"/>
    <w:rsid w:val="002045A4"/>
    <w:rsid w:val="00204DD4"/>
    <w:rsid w:val="002058BE"/>
    <w:rsid w:val="00206504"/>
    <w:rsid w:val="00206CBA"/>
    <w:rsid w:val="00207852"/>
    <w:rsid w:val="00207C6D"/>
    <w:rsid w:val="00207D72"/>
    <w:rsid w:val="00210449"/>
    <w:rsid w:val="002107B3"/>
    <w:rsid w:val="002107C3"/>
    <w:rsid w:val="00210B88"/>
    <w:rsid w:val="002110FF"/>
    <w:rsid w:val="0021159F"/>
    <w:rsid w:val="00211664"/>
    <w:rsid w:val="00211A58"/>
    <w:rsid w:val="002127D7"/>
    <w:rsid w:val="002129F4"/>
    <w:rsid w:val="00212D5D"/>
    <w:rsid w:val="00213831"/>
    <w:rsid w:val="00213905"/>
    <w:rsid w:val="00213933"/>
    <w:rsid w:val="0021393B"/>
    <w:rsid w:val="00213C0D"/>
    <w:rsid w:val="00213F56"/>
    <w:rsid w:val="00214416"/>
    <w:rsid w:val="0021499F"/>
    <w:rsid w:val="00214C5E"/>
    <w:rsid w:val="00215008"/>
    <w:rsid w:val="00215719"/>
    <w:rsid w:val="002160B8"/>
    <w:rsid w:val="0021751B"/>
    <w:rsid w:val="00217894"/>
    <w:rsid w:val="00217C23"/>
    <w:rsid w:val="00217D71"/>
    <w:rsid w:val="00220461"/>
    <w:rsid w:val="00220723"/>
    <w:rsid w:val="0022095B"/>
    <w:rsid w:val="00221445"/>
    <w:rsid w:val="00221902"/>
    <w:rsid w:val="00221ED1"/>
    <w:rsid w:val="002221A2"/>
    <w:rsid w:val="00222569"/>
    <w:rsid w:val="0022272C"/>
    <w:rsid w:val="00222B9C"/>
    <w:rsid w:val="002235D6"/>
    <w:rsid w:val="002240D8"/>
    <w:rsid w:val="00224E4E"/>
    <w:rsid w:val="00225378"/>
    <w:rsid w:val="00225633"/>
    <w:rsid w:val="0022575D"/>
    <w:rsid w:val="00225808"/>
    <w:rsid w:val="002259A8"/>
    <w:rsid w:val="00225D0A"/>
    <w:rsid w:val="00225E49"/>
    <w:rsid w:val="00225F7D"/>
    <w:rsid w:val="0022632E"/>
    <w:rsid w:val="00226707"/>
    <w:rsid w:val="002267E4"/>
    <w:rsid w:val="00226DFC"/>
    <w:rsid w:val="002270CC"/>
    <w:rsid w:val="00227630"/>
    <w:rsid w:val="00227C6D"/>
    <w:rsid w:val="00227F3B"/>
    <w:rsid w:val="00230D6E"/>
    <w:rsid w:val="002313CE"/>
    <w:rsid w:val="00231572"/>
    <w:rsid w:val="002321AA"/>
    <w:rsid w:val="00232856"/>
    <w:rsid w:val="00232974"/>
    <w:rsid w:val="00233501"/>
    <w:rsid w:val="0023374E"/>
    <w:rsid w:val="002337EB"/>
    <w:rsid w:val="00234E9C"/>
    <w:rsid w:val="00235086"/>
    <w:rsid w:val="0023533A"/>
    <w:rsid w:val="00235EC1"/>
    <w:rsid w:val="00236BDB"/>
    <w:rsid w:val="00236C0D"/>
    <w:rsid w:val="00237ABE"/>
    <w:rsid w:val="00237C51"/>
    <w:rsid w:val="00237D4E"/>
    <w:rsid w:val="00240636"/>
    <w:rsid w:val="00240804"/>
    <w:rsid w:val="00240C55"/>
    <w:rsid w:val="0024100A"/>
    <w:rsid w:val="0024156E"/>
    <w:rsid w:val="0024195D"/>
    <w:rsid w:val="00241A2B"/>
    <w:rsid w:val="00242F4C"/>
    <w:rsid w:val="00243A29"/>
    <w:rsid w:val="00244DCD"/>
    <w:rsid w:val="00246414"/>
    <w:rsid w:val="00246701"/>
    <w:rsid w:val="002475C5"/>
    <w:rsid w:val="0025025B"/>
    <w:rsid w:val="00251211"/>
    <w:rsid w:val="00251E87"/>
    <w:rsid w:val="00251EA5"/>
    <w:rsid w:val="0025203A"/>
    <w:rsid w:val="0025227E"/>
    <w:rsid w:val="00252D18"/>
    <w:rsid w:val="00252EF6"/>
    <w:rsid w:val="0025496C"/>
    <w:rsid w:val="00254CEF"/>
    <w:rsid w:val="002565D2"/>
    <w:rsid w:val="0025685D"/>
    <w:rsid w:val="00256E9C"/>
    <w:rsid w:val="00257069"/>
    <w:rsid w:val="00257085"/>
    <w:rsid w:val="002570E0"/>
    <w:rsid w:val="002573CD"/>
    <w:rsid w:val="0025798C"/>
    <w:rsid w:val="00257B14"/>
    <w:rsid w:val="00257D34"/>
    <w:rsid w:val="002602CC"/>
    <w:rsid w:val="002603C1"/>
    <w:rsid w:val="0026047D"/>
    <w:rsid w:val="002605BC"/>
    <w:rsid w:val="00260A04"/>
    <w:rsid w:val="00261766"/>
    <w:rsid w:val="002623F1"/>
    <w:rsid w:val="002625E1"/>
    <w:rsid w:val="00262BE6"/>
    <w:rsid w:val="002637F5"/>
    <w:rsid w:val="00263B8E"/>
    <w:rsid w:val="00263CA6"/>
    <w:rsid w:val="00264267"/>
    <w:rsid w:val="002642CF"/>
    <w:rsid w:val="00264333"/>
    <w:rsid w:val="002647BD"/>
    <w:rsid w:val="00264935"/>
    <w:rsid w:val="002655B7"/>
    <w:rsid w:val="00265B1C"/>
    <w:rsid w:val="00267845"/>
    <w:rsid w:val="00267A20"/>
    <w:rsid w:val="00267A75"/>
    <w:rsid w:val="0027057F"/>
    <w:rsid w:val="00270E68"/>
    <w:rsid w:val="002717CD"/>
    <w:rsid w:val="002720A1"/>
    <w:rsid w:val="00272A9A"/>
    <w:rsid w:val="00273092"/>
    <w:rsid w:val="002733D8"/>
    <w:rsid w:val="002737D2"/>
    <w:rsid w:val="00274831"/>
    <w:rsid w:val="002749EC"/>
    <w:rsid w:val="00275015"/>
    <w:rsid w:val="00275B75"/>
    <w:rsid w:val="00276093"/>
    <w:rsid w:val="00276291"/>
    <w:rsid w:val="0027639C"/>
    <w:rsid w:val="00276B99"/>
    <w:rsid w:val="00276F37"/>
    <w:rsid w:val="00276F67"/>
    <w:rsid w:val="00276FBB"/>
    <w:rsid w:val="002774E8"/>
    <w:rsid w:val="00277585"/>
    <w:rsid w:val="00277E8A"/>
    <w:rsid w:val="00280886"/>
    <w:rsid w:val="0028099A"/>
    <w:rsid w:val="00280AF0"/>
    <w:rsid w:val="00280D6B"/>
    <w:rsid w:val="002819DB"/>
    <w:rsid w:val="00281F1D"/>
    <w:rsid w:val="00282B4E"/>
    <w:rsid w:val="00282C7F"/>
    <w:rsid w:val="00282DA7"/>
    <w:rsid w:val="0028320D"/>
    <w:rsid w:val="0028372E"/>
    <w:rsid w:val="00284002"/>
    <w:rsid w:val="00284093"/>
    <w:rsid w:val="00284282"/>
    <w:rsid w:val="00284948"/>
    <w:rsid w:val="0028496F"/>
    <w:rsid w:val="00284D06"/>
    <w:rsid w:val="00284E03"/>
    <w:rsid w:val="00285CFF"/>
    <w:rsid w:val="0028625F"/>
    <w:rsid w:val="00287986"/>
    <w:rsid w:val="00287D43"/>
    <w:rsid w:val="00287E08"/>
    <w:rsid w:val="0029007B"/>
    <w:rsid w:val="002902F0"/>
    <w:rsid w:val="0029174E"/>
    <w:rsid w:val="00291D58"/>
    <w:rsid w:val="00291ED3"/>
    <w:rsid w:val="002924C9"/>
    <w:rsid w:val="002929C9"/>
    <w:rsid w:val="00293050"/>
    <w:rsid w:val="002935B7"/>
    <w:rsid w:val="00293BA5"/>
    <w:rsid w:val="00294339"/>
    <w:rsid w:val="00295491"/>
    <w:rsid w:val="002958BC"/>
    <w:rsid w:val="002973FB"/>
    <w:rsid w:val="002A0096"/>
    <w:rsid w:val="002A0618"/>
    <w:rsid w:val="002A0DF5"/>
    <w:rsid w:val="002A0DF9"/>
    <w:rsid w:val="002A0E1F"/>
    <w:rsid w:val="002A10F2"/>
    <w:rsid w:val="002A121E"/>
    <w:rsid w:val="002A1939"/>
    <w:rsid w:val="002A1F8C"/>
    <w:rsid w:val="002A23E7"/>
    <w:rsid w:val="002A288E"/>
    <w:rsid w:val="002A2C26"/>
    <w:rsid w:val="002A3379"/>
    <w:rsid w:val="002A3514"/>
    <w:rsid w:val="002A382C"/>
    <w:rsid w:val="002A3E5B"/>
    <w:rsid w:val="002A4B50"/>
    <w:rsid w:val="002A5BD7"/>
    <w:rsid w:val="002A6174"/>
    <w:rsid w:val="002A6C3F"/>
    <w:rsid w:val="002A78C5"/>
    <w:rsid w:val="002A7D22"/>
    <w:rsid w:val="002B0171"/>
    <w:rsid w:val="002B025D"/>
    <w:rsid w:val="002B142E"/>
    <w:rsid w:val="002B1A00"/>
    <w:rsid w:val="002B1D44"/>
    <w:rsid w:val="002B2C33"/>
    <w:rsid w:val="002B3148"/>
    <w:rsid w:val="002B3159"/>
    <w:rsid w:val="002B3780"/>
    <w:rsid w:val="002B390B"/>
    <w:rsid w:val="002B47A5"/>
    <w:rsid w:val="002B49DD"/>
    <w:rsid w:val="002B4EC7"/>
    <w:rsid w:val="002B509A"/>
    <w:rsid w:val="002B551C"/>
    <w:rsid w:val="002B56FA"/>
    <w:rsid w:val="002B5B0A"/>
    <w:rsid w:val="002B644F"/>
    <w:rsid w:val="002B660F"/>
    <w:rsid w:val="002B6766"/>
    <w:rsid w:val="002B69DB"/>
    <w:rsid w:val="002B73DE"/>
    <w:rsid w:val="002B7456"/>
    <w:rsid w:val="002B7ABA"/>
    <w:rsid w:val="002B7B70"/>
    <w:rsid w:val="002B7BE2"/>
    <w:rsid w:val="002B7EF6"/>
    <w:rsid w:val="002C011F"/>
    <w:rsid w:val="002C273E"/>
    <w:rsid w:val="002C3580"/>
    <w:rsid w:val="002C35FD"/>
    <w:rsid w:val="002C36AA"/>
    <w:rsid w:val="002C36F3"/>
    <w:rsid w:val="002C3C7C"/>
    <w:rsid w:val="002C4C57"/>
    <w:rsid w:val="002C503C"/>
    <w:rsid w:val="002C7EE8"/>
    <w:rsid w:val="002D0402"/>
    <w:rsid w:val="002D101F"/>
    <w:rsid w:val="002D1553"/>
    <w:rsid w:val="002D1B7A"/>
    <w:rsid w:val="002D3530"/>
    <w:rsid w:val="002D36EB"/>
    <w:rsid w:val="002D46E3"/>
    <w:rsid w:val="002D47B3"/>
    <w:rsid w:val="002D4920"/>
    <w:rsid w:val="002D4BA4"/>
    <w:rsid w:val="002D522B"/>
    <w:rsid w:val="002D531A"/>
    <w:rsid w:val="002D7749"/>
    <w:rsid w:val="002D77FA"/>
    <w:rsid w:val="002D7A37"/>
    <w:rsid w:val="002D7C95"/>
    <w:rsid w:val="002D7D6C"/>
    <w:rsid w:val="002E03DA"/>
    <w:rsid w:val="002E06A5"/>
    <w:rsid w:val="002E0E88"/>
    <w:rsid w:val="002E0FC3"/>
    <w:rsid w:val="002E16C5"/>
    <w:rsid w:val="002E19AA"/>
    <w:rsid w:val="002E1B64"/>
    <w:rsid w:val="002E1CA5"/>
    <w:rsid w:val="002E1CD7"/>
    <w:rsid w:val="002E1D5D"/>
    <w:rsid w:val="002E1F22"/>
    <w:rsid w:val="002E2903"/>
    <w:rsid w:val="002E3225"/>
    <w:rsid w:val="002E4F19"/>
    <w:rsid w:val="002E506B"/>
    <w:rsid w:val="002E5111"/>
    <w:rsid w:val="002E547D"/>
    <w:rsid w:val="002E54C1"/>
    <w:rsid w:val="002E5718"/>
    <w:rsid w:val="002E5A00"/>
    <w:rsid w:val="002E5A55"/>
    <w:rsid w:val="002E5E08"/>
    <w:rsid w:val="002E656B"/>
    <w:rsid w:val="002E66E6"/>
    <w:rsid w:val="002E6BF5"/>
    <w:rsid w:val="002E6D69"/>
    <w:rsid w:val="002E7468"/>
    <w:rsid w:val="002E7698"/>
    <w:rsid w:val="002F06B7"/>
    <w:rsid w:val="002F0762"/>
    <w:rsid w:val="002F0F3C"/>
    <w:rsid w:val="002F1772"/>
    <w:rsid w:val="002F1EB0"/>
    <w:rsid w:val="002F24E8"/>
    <w:rsid w:val="002F273A"/>
    <w:rsid w:val="002F2843"/>
    <w:rsid w:val="002F29E4"/>
    <w:rsid w:val="002F2F67"/>
    <w:rsid w:val="002F33EC"/>
    <w:rsid w:val="002F3410"/>
    <w:rsid w:val="002F3570"/>
    <w:rsid w:val="002F3FB4"/>
    <w:rsid w:val="002F4015"/>
    <w:rsid w:val="002F40E9"/>
    <w:rsid w:val="002F425E"/>
    <w:rsid w:val="002F44AA"/>
    <w:rsid w:val="002F4595"/>
    <w:rsid w:val="002F46DA"/>
    <w:rsid w:val="002F4701"/>
    <w:rsid w:val="002F54D4"/>
    <w:rsid w:val="002F61E7"/>
    <w:rsid w:val="002F6401"/>
    <w:rsid w:val="002F7276"/>
    <w:rsid w:val="002F754A"/>
    <w:rsid w:val="002F7EE2"/>
    <w:rsid w:val="003006DD"/>
    <w:rsid w:val="003007E3"/>
    <w:rsid w:val="00300A1D"/>
    <w:rsid w:val="00301039"/>
    <w:rsid w:val="003016D8"/>
    <w:rsid w:val="003018FF"/>
    <w:rsid w:val="00302367"/>
    <w:rsid w:val="00302434"/>
    <w:rsid w:val="0030252D"/>
    <w:rsid w:val="00303092"/>
    <w:rsid w:val="00303C12"/>
    <w:rsid w:val="00304707"/>
    <w:rsid w:val="00304908"/>
    <w:rsid w:val="00305140"/>
    <w:rsid w:val="0030553F"/>
    <w:rsid w:val="0030587F"/>
    <w:rsid w:val="003058F9"/>
    <w:rsid w:val="00305A6D"/>
    <w:rsid w:val="00305DFE"/>
    <w:rsid w:val="00306111"/>
    <w:rsid w:val="00306BF3"/>
    <w:rsid w:val="00307B67"/>
    <w:rsid w:val="00310A3D"/>
    <w:rsid w:val="00310AF7"/>
    <w:rsid w:val="00310FCA"/>
    <w:rsid w:val="003112DA"/>
    <w:rsid w:val="00311AEF"/>
    <w:rsid w:val="00312099"/>
    <w:rsid w:val="00312F0F"/>
    <w:rsid w:val="00312F10"/>
    <w:rsid w:val="003134DE"/>
    <w:rsid w:val="00314E92"/>
    <w:rsid w:val="00315865"/>
    <w:rsid w:val="0031668E"/>
    <w:rsid w:val="00316878"/>
    <w:rsid w:val="00316BBA"/>
    <w:rsid w:val="00316E4E"/>
    <w:rsid w:val="00316F16"/>
    <w:rsid w:val="00317632"/>
    <w:rsid w:val="003177B1"/>
    <w:rsid w:val="00317FC0"/>
    <w:rsid w:val="00320413"/>
    <w:rsid w:val="003207FD"/>
    <w:rsid w:val="00320889"/>
    <w:rsid w:val="00320B88"/>
    <w:rsid w:val="00320D30"/>
    <w:rsid w:val="0032126A"/>
    <w:rsid w:val="003214DE"/>
    <w:rsid w:val="00321893"/>
    <w:rsid w:val="00321975"/>
    <w:rsid w:val="003221F8"/>
    <w:rsid w:val="00322696"/>
    <w:rsid w:val="003229B7"/>
    <w:rsid w:val="00322E51"/>
    <w:rsid w:val="003244C9"/>
    <w:rsid w:val="00324903"/>
    <w:rsid w:val="00326087"/>
    <w:rsid w:val="00326848"/>
    <w:rsid w:val="003269E3"/>
    <w:rsid w:val="00326F9E"/>
    <w:rsid w:val="003270C6"/>
    <w:rsid w:val="003276E3"/>
    <w:rsid w:val="003277AB"/>
    <w:rsid w:val="003278F9"/>
    <w:rsid w:val="00327AF1"/>
    <w:rsid w:val="00330369"/>
    <w:rsid w:val="003303EE"/>
    <w:rsid w:val="003304DF"/>
    <w:rsid w:val="0033116E"/>
    <w:rsid w:val="003315F8"/>
    <w:rsid w:val="003316C7"/>
    <w:rsid w:val="0033171D"/>
    <w:rsid w:val="00331804"/>
    <w:rsid w:val="003319FE"/>
    <w:rsid w:val="003323F5"/>
    <w:rsid w:val="00332F46"/>
    <w:rsid w:val="00333345"/>
    <w:rsid w:val="00334143"/>
    <w:rsid w:val="00334CCE"/>
    <w:rsid w:val="00335071"/>
    <w:rsid w:val="00335511"/>
    <w:rsid w:val="003358A6"/>
    <w:rsid w:val="00336272"/>
    <w:rsid w:val="003363AB"/>
    <w:rsid w:val="00337211"/>
    <w:rsid w:val="00337320"/>
    <w:rsid w:val="00337CEC"/>
    <w:rsid w:val="00340173"/>
    <w:rsid w:val="00340B3A"/>
    <w:rsid w:val="00340C97"/>
    <w:rsid w:val="00340EF2"/>
    <w:rsid w:val="003413CB"/>
    <w:rsid w:val="003416A5"/>
    <w:rsid w:val="0034210D"/>
    <w:rsid w:val="0034244F"/>
    <w:rsid w:val="00342F26"/>
    <w:rsid w:val="00342FCE"/>
    <w:rsid w:val="003432F2"/>
    <w:rsid w:val="00344295"/>
    <w:rsid w:val="00344374"/>
    <w:rsid w:val="003445D8"/>
    <w:rsid w:val="00344C54"/>
    <w:rsid w:val="00344E5E"/>
    <w:rsid w:val="00344ED1"/>
    <w:rsid w:val="00345598"/>
    <w:rsid w:val="00346A6E"/>
    <w:rsid w:val="0034724D"/>
    <w:rsid w:val="0034739B"/>
    <w:rsid w:val="0035052A"/>
    <w:rsid w:val="00350A5A"/>
    <w:rsid w:val="00352169"/>
    <w:rsid w:val="00352C6A"/>
    <w:rsid w:val="003531D7"/>
    <w:rsid w:val="00354F12"/>
    <w:rsid w:val="00355289"/>
    <w:rsid w:val="003556EA"/>
    <w:rsid w:val="003562AA"/>
    <w:rsid w:val="0035649D"/>
    <w:rsid w:val="0035710A"/>
    <w:rsid w:val="0036011A"/>
    <w:rsid w:val="003602B4"/>
    <w:rsid w:val="00360D5A"/>
    <w:rsid w:val="003610AD"/>
    <w:rsid w:val="00361208"/>
    <w:rsid w:val="00361227"/>
    <w:rsid w:val="003618DD"/>
    <w:rsid w:val="00361B26"/>
    <w:rsid w:val="00362487"/>
    <w:rsid w:val="0036274C"/>
    <w:rsid w:val="00363007"/>
    <w:rsid w:val="00364279"/>
    <w:rsid w:val="00364344"/>
    <w:rsid w:val="00365300"/>
    <w:rsid w:val="00365858"/>
    <w:rsid w:val="00366162"/>
    <w:rsid w:val="00366B94"/>
    <w:rsid w:val="00370268"/>
    <w:rsid w:val="003707F2"/>
    <w:rsid w:val="00370F44"/>
    <w:rsid w:val="003710A2"/>
    <w:rsid w:val="00371579"/>
    <w:rsid w:val="00371D3E"/>
    <w:rsid w:val="00371D4C"/>
    <w:rsid w:val="00372362"/>
    <w:rsid w:val="00373E57"/>
    <w:rsid w:val="00374E00"/>
    <w:rsid w:val="0037528E"/>
    <w:rsid w:val="00375506"/>
    <w:rsid w:val="00375D37"/>
    <w:rsid w:val="00375F39"/>
    <w:rsid w:val="003764E0"/>
    <w:rsid w:val="003769AE"/>
    <w:rsid w:val="00376F84"/>
    <w:rsid w:val="0037711C"/>
    <w:rsid w:val="00377ACC"/>
    <w:rsid w:val="00377DC8"/>
    <w:rsid w:val="00377FC0"/>
    <w:rsid w:val="00380113"/>
    <w:rsid w:val="003805EA"/>
    <w:rsid w:val="00380A55"/>
    <w:rsid w:val="003823E8"/>
    <w:rsid w:val="003825A2"/>
    <w:rsid w:val="003827DF"/>
    <w:rsid w:val="00382910"/>
    <w:rsid w:val="00383C46"/>
    <w:rsid w:val="0038462F"/>
    <w:rsid w:val="00384B9C"/>
    <w:rsid w:val="003857E1"/>
    <w:rsid w:val="003879AC"/>
    <w:rsid w:val="00387E1F"/>
    <w:rsid w:val="003901D1"/>
    <w:rsid w:val="0039025A"/>
    <w:rsid w:val="00390278"/>
    <w:rsid w:val="00390484"/>
    <w:rsid w:val="003910EC"/>
    <w:rsid w:val="00391395"/>
    <w:rsid w:val="0039279C"/>
    <w:rsid w:val="00392A5D"/>
    <w:rsid w:val="00392CBD"/>
    <w:rsid w:val="00393AD9"/>
    <w:rsid w:val="0039418B"/>
    <w:rsid w:val="003949C7"/>
    <w:rsid w:val="00394FA8"/>
    <w:rsid w:val="003956E6"/>
    <w:rsid w:val="0039580C"/>
    <w:rsid w:val="003958C6"/>
    <w:rsid w:val="003963C1"/>
    <w:rsid w:val="00396F56"/>
    <w:rsid w:val="00397098"/>
    <w:rsid w:val="0039780A"/>
    <w:rsid w:val="003979FC"/>
    <w:rsid w:val="003A06FC"/>
    <w:rsid w:val="003A0E80"/>
    <w:rsid w:val="003A1646"/>
    <w:rsid w:val="003A1C05"/>
    <w:rsid w:val="003A1E93"/>
    <w:rsid w:val="003A32D7"/>
    <w:rsid w:val="003A4588"/>
    <w:rsid w:val="003A4BF0"/>
    <w:rsid w:val="003A4F28"/>
    <w:rsid w:val="003A54B4"/>
    <w:rsid w:val="003A559A"/>
    <w:rsid w:val="003A5BB2"/>
    <w:rsid w:val="003A5E69"/>
    <w:rsid w:val="003A65AF"/>
    <w:rsid w:val="003A6847"/>
    <w:rsid w:val="003A727C"/>
    <w:rsid w:val="003A7827"/>
    <w:rsid w:val="003A7F12"/>
    <w:rsid w:val="003B01AD"/>
    <w:rsid w:val="003B09BC"/>
    <w:rsid w:val="003B1565"/>
    <w:rsid w:val="003B1965"/>
    <w:rsid w:val="003B2134"/>
    <w:rsid w:val="003B23FB"/>
    <w:rsid w:val="003B2556"/>
    <w:rsid w:val="003B26DD"/>
    <w:rsid w:val="003B2919"/>
    <w:rsid w:val="003B2FB3"/>
    <w:rsid w:val="003B3132"/>
    <w:rsid w:val="003B3E8D"/>
    <w:rsid w:val="003B417C"/>
    <w:rsid w:val="003B4491"/>
    <w:rsid w:val="003B44EC"/>
    <w:rsid w:val="003B4990"/>
    <w:rsid w:val="003B5163"/>
    <w:rsid w:val="003B52DE"/>
    <w:rsid w:val="003B56FC"/>
    <w:rsid w:val="003B5A10"/>
    <w:rsid w:val="003B60D8"/>
    <w:rsid w:val="003B61A9"/>
    <w:rsid w:val="003B643A"/>
    <w:rsid w:val="003B6740"/>
    <w:rsid w:val="003B69D0"/>
    <w:rsid w:val="003B6A09"/>
    <w:rsid w:val="003B7052"/>
    <w:rsid w:val="003C0F31"/>
    <w:rsid w:val="003C14E5"/>
    <w:rsid w:val="003C19C8"/>
    <w:rsid w:val="003C22DA"/>
    <w:rsid w:val="003C233F"/>
    <w:rsid w:val="003C2433"/>
    <w:rsid w:val="003C2624"/>
    <w:rsid w:val="003C2C12"/>
    <w:rsid w:val="003C3176"/>
    <w:rsid w:val="003C38D4"/>
    <w:rsid w:val="003C3FC8"/>
    <w:rsid w:val="003C45F7"/>
    <w:rsid w:val="003C515B"/>
    <w:rsid w:val="003C5332"/>
    <w:rsid w:val="003C5C68"/>
    <w:rsid w:val="003C5DB6"/>
    <w:rsid w:val="003C65DA"/>
    <w:rsid w:val="003C7AE8"/>
    <w:rsid w:val="003D0245"/>
    <w:rsid w:val="003D0269"/>
    <w:rsid w:val="003D0A0D"/>
    <w:rsid w:val="003D143B"/>
    <w:rsid w:val="003D1AD1"/>
    <w:rsid w:val="003D1E7F"/>
    <w:rsid w:val="003D26B8"/>
    <w:rsid w:val="003D2AF7"/>
    <w:rsid w:val="003D2EA4"/>
    <w:rsid w:val="003D34C8"/>
    <w:rsid w:val="003D362E"/>
    <w:rsid w:val="003D3D32"/>
    <w:rsid w:val="003D4A2C"/>
    <w:rsid w:val="003D4B6F"/>
    <w:rsid w:val="003D4D93"/>
    <w:rsid w:val="003D5CD3"/>
    <w:rsid w:val="003D5DB5"/>
    <w:rsid w:val="003D5E0C"/>
    <w:rsid w:val="003D677A"/>
    <w:rsid w:val="003D6848"/>
    <w:rsid w:val="003D6A02"/>
    <w:rsid w:val="003D721A"/>
    <w:rsid w:val="003D73C1"/>
    <w:rsid w:val="003D7AD9"/>
    <w:rsid w:val="003E0AA1"/>
    <w:rsid w:val="003E0B4E"/>
    <w:rsid w:val="003E0C40"/>
    <w:rsid w:val="003E11C6"/>
    <w:rsid w:val="003E1439"/>
    <w:rsid w:val="003E1C77"/>
    <w:rsid w:val="003E1D3D"/>
    <w:rsid w:val="003E243C"/>
    <w:rsid w:val="003E2733"/>
    <w:rsid w:val="003E30CD"/>
    <w:rsid w:val="003E33DB"/>
    <w:rsid w:val="003E405A"/>
    <w:rsid w:val="003E417E"/>
    <w:rsid w:val="003E4CD2"/>
    <w:rsid w:val="003E4E5E"/>
    <w:rsid w:val="003E6F7B"/>
    <w:rsid w:val="003E6FC6"/>
    <w:rsid w:val="003E75C1"/>
    <w:rsid w:val="003E7B73"/>
    <w:rsid w:val="003E7E46"/>
    <w:rsid w:val="003F02E4"/>
    <w:rsid w:val="003F0DB4"/>
    <w:rsid w:val="003F0E08"/>
    <w:rsid w:val="003F0F6A"/>
    <w:rsid w:val="003F11AE"/>
    <w:rsid w:val="003F1FD4"/>
    <w:rsid w:val="003F23CE"/>
    <w:rsid w:val="003F267F"/>
    <w:rsid w:val="003F2817"/>
    <w:rsid w:val="003F2BF1"/>
    <w:rsid w:val="003F2C40"/>
    <w:rsid w:val="003F3340"/>
    <w:rsid w:val="003F3D63"/>
    <w:rsid w:val="003F3DB2"/>
    <w:rsid w:val="003F6148"/>
    <w:rsid w:val="003F6998"/>
    <w:rsid w:val="003F6DE0"/>
    <w:rsid w:val="003F7523"/>
    <w:rsid w:val="003F75E8"/>
    <w:rsid w:val="003F76C8"/>
    <w:rsid w:val="003F788B"/>
    <w:rsid w:val="00400350"/>
    <w:rsid w:val="00400931"/>
    <w:rsid w:val="004015AE"/>
    <w:rsid w:val="00401E48"/>
    <w:rsid w:val="00401F06"/>
    <w:rsid w:val="00402C50"/>
    <w:rsid w:val="00404637"/>
    <w:rsid w:val="00404745"/>
    <w:rsid w:val="004049A4"/>
    <w:rsid w:val="004058B8"/>
    <w:rsid w:val="0040594B"/>
    <w:rsid w:val="00405A19"/>
    <w:rsid w:val="004063B2"/>
    <w:rsid w:val="00406FB8"/>
    <w:rsid w:val="004073F6"/>
    <w:rsid w:val="00407B01"/>
    <w:rsid w:val="004101A1"/>
    <w:rsid w:val="00410329"/>
    <w:rsid w:val="00410F1D"/>
    <w:rsid w:val="0041149B"/>
    <w:rsid w:val="00411663"/>
    <w:rsid w:val="004122C2"/>
    <w:rsid w:val="00412BD3"/>
    <w:rsid w:val="0041363F"/>
    <w:rsid w:val="0041379B"/>
    <w:rsid w:val="00414C66"/>
    <w:rsid w:val="00415751"/>
    <w:rsid w:val="00415762"/>
    <w:rsid w:val="0041596E"/>
    <w:rsid w:val="00415990"/>
    <w:rsid w:val="004160DC"/>
    <w:rsid w:val="00416867"/>
    <w:rsid w:val="00416F92"/>
    <w:rsid w:val="00416F9B"/>
    <w:rsid w:val="00417938"/>
    <w:rsid w:val="00417DA9"/>
    <w:rsid w:val="00417FF3"/>
    <w:rsid w:val="0042030B"/>
    <w:rsid w:val="00421039"/>
    <w:rsid w:val="0042222A"/>
    <w:rsid w:val="004229CD"/>
    <w:rsid w:val="00422AB5"/>
    <w:rsid w:val="004234A5"/>
    <w:rsid w:val="004237A6"/>
    <w:rsid w:val="00423E31"/>
    <w:rsid w:val="0042481B"/>
    <w:rsid w:val="004249B5"/>
    <w:rsid w:val="004249CB"/>
    <w:rsid w:val="00424A32"/>
    <w:rsid w:val="00424DD6"/>
    <w:rsid w:val="004250E8"/>
    <w:rsid w:val="0042520B"/>
    <w:rsid w:val="00425410"/>
    <w:rsid w:val="00425B5A"/>
    <w:rsid w:val="0042616A"/>
    <w:rsid w:val="004270D4"/>
    <w:rsid w:val="0042742B"/>
    <w:rsid w:val="004277C9"/>
    <w:rsid w:val="00427F4E"/>
    <w:rsid w:val="004312F6"/>
    <w:rsid w:val="00431BC5"/>
    <w:rsid w:val="00432E6D"/>
    <w:rsid w:val="004345AB"/>
    <w:rsid w:val="00434FA9"/>
    <w:rsid w:val="0043599B"/>
    <w:rsid w:val="00435BE9"/>
    <w:rsid w:val="004378EA"/>
    <w:rsid w:val="00437F9A"/>
    <w:rsid w:val="0044083A"/>
    <w:rsid w:val="00440AB1"/>
    <w:rsid w:val="00440CB9"/>
    <w:rsid w:val="004412DB"/>
    <w:rsid w:val="00441396"/>
    <w:rsid w:val="00441783"/>
    <w:rsid w:val="004417BF"/>
    <w:rsid w:val="00441EC3"/>
    <w:rsid w:val="00442054"/>
    <w:rsid w:val="00442394"/>
    <w:rsid w:val="00442BF5"/>
    <w:rsid w:val="00443137"/>
    <w:rsid w:val="004434EF"/>
    <w:rsid w:val="004436F1"/>
    <w:rsid w:val="00443807"/>
    <w:rsid w:val="0044389D"/>
    <w:rsid w:val="004439EE"/>
    <w:rsid w:val="00444D44"/>
    <w:rsid w:val="00445C76"/>
    <w:rsid w:val="004460D6"/>
    <w:rsid w:val="00446B05"/>
    <w:rsid w:val="0044701B"/>
    <w:rsid w:val="0044787D"/>
    <w:rsid w:val="00451028"/>
    <w:rsid w:val="00452313"/>
    <w:rsid w:val="004528E6"/>
    <w:rsid w:val="00452BD1"/>
    <w:rsid w:val="0045404D"/>
    <w:rsid w:val="00454479"/>
    <w:rsid w:val="00454A05"/>
    <w:rsid w:val="00455990"/>
    <w:rsid w:val="00455A9E"/>
    <w:rsid w:val="00455D3F"/>
    <w:rsid w:val="004562C5"/>
    <w:rsid w:val="004566C0"/>
    <w:rsid w:val="00456913"/>
    <w:rsid w:val="00457322"/>
    <w:rsid w:val="00457618"/>
    <w:rsid w:val="00457728"/>
    <w:rsid w:val="004602C9"/>
    <w:rsid w:val="004616D1"/>
    <w:rsid w:val="004618EE"/>
    <w:rsid w:val="00461F32"/>
    <w:rsid w:val="004631F2"/>
    <w:rsid w:val="00463F66"/>
    <w:rsid w:val="004650F1"/>
    <w:rsid w:val="00465409"/>
    <w:rsid w:val="00466ACB"/>
    <w:rsid w:val="004675A2"/>
    <w:rsid w:val="00467899"/>
    <w:rsid w:val="00467A7F"/>
    <w:rsid w:val="00470779"/>
    <w:rsid w:val="00470E9E"/>
    <w:rsid w:val="004710A5"/>
    <w:rsid w:val="0047255C"/>
    <w:rsid w:val="004727F7"/>
    <w:rsid w:val="004729E4"/>
    <w:rsid w:val="00472ACF"/>
    <w:rsid w:val="00472BAC"/>
    <w:rsid w:val="0047368D"/>
    <w:rsid w:val="004738CD"/>
    <w:rsid w:val="00473948"/>
    <w:rsid w:val="00475394"/>
    <w:rsid w:val="004753A4"/>
    <w:rsid w:val="00475AC1"/>
    <w:rsid w:val="004765CF"/>
    <w:rsid w:val="00476E87"/>
    <w:rsid w:val="00477559"/>
    <w:rsid w:val="00480715"/>
    <w:rsid w:val="00480AA6"/>
    <w:rsid w:val="004814B4"/>
    <w:rsid w:val="00481508"/>
    <w:rsid w:val="0048179E"/>
    <w:rsid w:val="004819CF"/>
    <w:rsid w:val="00482406"/>
    <w:rsid w:val="004829D2"/>
    <w:rsid w:val="00482B17"/>
    <w:rsid w:val="00483254"/>
    <w:rsid w:val="004832EF"/>
    <w:rsid w:val="004834F2"/>
    <w:rsid w:val="004835A6"/>
    <w:rsid w:val="00483BA2"/>
    <w:rsid w:val="00483F5B"/>
    <w:rsid w:val="00484ADF"/>
    <w:rsid w:val="00485121"/>
    <w:rsid w:val="00485208"/>
    <w:rsid w:val="00485409"/>
    <w:rsid w:val="00486279"/>
    <w:rsid w:val="004862B9"/>
    <w:rsid w:val="00486364"/>
    <w:rsid w:val="0048648C"/>
    <w:rsid w:val="0048669A"/>
    <w:rsid w:val="004867F1"/>
    <w:rsid w:val="00487286"/>
    <w:rsid w:val="0048739E"/>
    <w:rsid w:val="00487A63"/>
    <w:rsid w:val="004901E6"/>
    <w:rsid w:val="00490228"/>
    <w:rsid w:val="004904DB"/>
    <w:rsid w:val="004909A3"/>
    <w:rsid w:val="004909F3"/>
    <w:rsid w:val="0049104B"/>
    <w:rsid w:val="004912AA"/>
    <w:rsid w:val="0049131B"/>
    <w:rsid w:val="004914A1"/>
    <w:rsid w:val="00492A55"/>
    <w:rsid w:val="00492F29"/>
    <w:rsid w:val="00493598"/>
    <w:rsid w:val="00493FE4"/>
    <w:rsid w:val="00494700"/>
    <w:rsid w:val="00495EBF"/>
    <w:rsid w:val="004966F9"/>
    <w:rsid w:val="00496C23"/>
    <w:rsid w:val="0049704F"/>
    <w:rsid w:val="0049752F"/>
    <w:rsid w:val="004977EF"/>
    <w:rsid w:val="004A0527"/>
    <w:rsid w:val="004A065D"/>
    <w:rsid w:val="004A0B68"/>
    <w:rsid w:val="004A0CCA"/>
    <w:rsid w:val="004A16FF"/>
    <w:rsid w:val="004A1AB2"/>
    <w:rsid w:val="004A307F"/>
    <w:rsid w:val="004A4425"/>
    <w:rsid w:val="004A4772"/>
    <w:rsid w:val="004A4F06"/>
    <w:rsid w:val="004A60A9"/>
    <w:rsid w:val="004A7AD0"/>
    <w:rsid w:val="004B0579"/>
    <w:rsid w:val="004B1007"/>
    <w:rsid w:val="004B254C"/>
    <w:rsid w:val="004B2649"/>
    <w:rsid w:val="004B26E7"/>
    <w:rsid w:val="004B32E0"/>
    <w:rsid w:val="004B3664"/>
    <w:rsid w:val="004B4044"/>
    <w:rsid w:val="004B4EE0"/>
    <w:rsid w:val="004B526F"/>
    <w:rsid w:val="004B5E71"/>
    <w:rsid w:val="004B6428"/>
    <w:rsid w:val="004B679F"/>
    <w:rsid w:val="004C0549"/>
    <w:rsid w:val="004C0564"/>
    <w:rsid w:val="004C0983"/>
    <w:rsid w:val="004C0A03"/>
    <w:rsid w:val="004C0ACC"/>
    <w:rsid w:val="004C0BBF"/>
    <w:rsid w:val="004C0C46"/>
    <w:rsid w:val="004C0C62"/>
    <w:rsid w:val="004C1519"/>
    <w:rsid w:val="004C17EF"/>
    <w:rsid w:val="004C20EE"/>
    <w:rsid w:val="004C2201"/>
    <w:rsid w:val="004C2B05"/>
    <w:rsid w:val="004C5163"/>
    <w:rsid w:val="004C5348"/>
    <w:rsid w:val="004C5443"/>
    <w:rsid w:val="004C56F0"/>
    <w:rsid w:val="004C5773"/>
    <w:rsid w:val="004C5B20"/>
    <w:rsid w:val="004C5D3E"/>
    <w:rsid w:val="004C5DA4"/>
    <w:rsid w:val="004C6211"/>
    <w:rsid w:val="004C6C96"/>
    <w:rsid w:val="004C6F7D"/>
    <w:rsid w:val="004C7064"/>
    <w:rsid w:val="004C78CB"/>
    <w:rsid w:val="004C7C95"/>
    <w:rsid w:val="004C7F2D"/>
    <w:rsid w:val="004D0301"/>
    <w:rsid w:val="004D226E"/>
    <w:rsid w:val="004D26CC"/>
    <w:rsid w:val="004D27F3"/>
    <w:rsid w:val="004D44D3"/>
    <w:rsid w:val="004D4577"/>
    <w:rsid w:val="004D5059"/>
    <w:rsid w:val="004D5166"/>
    <w:rsid w:val="004D5937"/>
    <w:rsid w:val="004D5BBC"/>
    <w:rsid w:val="004D5EA5"/>
    <w:rsid w:val="004D6031"/>
    <w:rsid w:val="004D6080"/>
    <w:rsid w:val="004D6F66"/>
    <w:rsid w:val="004D7618"/>
    <w:rsid w:val="004D761C"/>
    <w:rsid w:val="004D7ACD"/>
    <w:rsid w:val="004E0C9D"/>
    <w:rsid w:val="004E0D7D"/>
    <w:rsid w:val="004E14A5"/>
    <w:rsid w:val="004E19A4"/>
    <w:rsid w:val="004E2262"/>
    <w:rsid w:val="004E298D"/>
    <w:rsid w:val="004E2B5E"/>
    <w:rsid w:val="004E2D91"/>
    <w:rsid w:val="004E30EB"/>
    <w:rsid w:val="004E38A2"/>
    <w:rsid w:val="004E3924"/>
    <w:rsid w:val="004E3A00"/>
    <w:rsid w:val="004E40EA"/>
    <w:rsid w:val="004E4530"/>
    <w:rsid w:val="004E45EF"/>
    <w:rsid w:val="004E48E7"/>
    <w:rsid w:val="004E4EA9"/>
    <w:rsid w:val="004E52FE"/>
    <w:rsid w:val="004E54BA"/>
    <w:rsid w:val="004E5B09"/>
    <w:rsid w:val="004E5FE5"/>
    <w:rsid w:val="004E6046"/>
    <w:rsid w:val="004E66B8"/>
    <w:rsid w:val="004E6B47"/>
    <w:rsid w:val="004E7905"/>
    <w:rsid w:val="004E7A07"/>
    <w:rsid w:val="004E7AD0"/>
    <w:rsid w:val="004E7D06"/>
    <w:rsid w:val="004F133F"/>
    <w:rsid w:val="004F1427"/>
    <w:rsid w:val="004F14FA"/>
    <w:rsid w:val="004F2245"/>
    <w:rsid w:val="004F3A8B"/>
    <w:rsid w:val="004F3BEE"/>
    <w:rsid w:val="004F3E02"/>
    <w:rsid w:val="004F4128"/>
    <w:rsid w:val="004F4872"/>
    <w:rsid w:val="004F49E1"/>
    <w:rsid w:val="004F4BE3"/>
    <w:rsid w:val="004F548F"/>
    <w:rsid w:val="004F5ED3"/>
    <w:rsid w:val="004F5EEC"/>
    <w:rsid w:val="004F61BF"/>
    <w:rsid w:val="004F6577"/>
    <w:rsid w:val="004F662F"/>
    <w:rsid w:val="004F69B9"/>
    <w:rsid w:val="004F74F7"/>
    <w:rsid w:val="004F75A1"/>
    <w:rsid w:val="004F7F5E"/>
    <w:rsid w:val="00500117"/>
    <w:rsid w:val="00500450"/>
    <w:rsid w:val="005007CE"/>
    <w:rsid w:val="00500E67"/>
    <w:rsid w:val="00501098"/>
    <w:rsid w:val="00501590"/>
    <w:rsid w:val="00501CCE"/>
    <w:rsid w:val="00501D49"/>
    <w:rsid w:val="00501F68"/>
    <w:rsid w:val="00503182"/>
    <w:rsid w:val="0050339E"/>
    <w:rsid w:val="005039C6"/>
    <w:rsid w:val="00503A19"/>
    <w:rsid w:val="00503A5B"/>
    <w:rsid w:val="00503E50"/>
    <w:rsid w:val="00504221"/>
    <w:rsid w:val="0050424A"/>
    <w:rsid w:val="005042BE"/>
    <w:rsid w:val="005053F5"/>
    <w:rsid w:val="00505662"/>
    <w:rsid w:val="00505C24"/>
    <w:rsid w:val="00506030"/>
    <w:rsid w:val="005063D2"/>
    <w:rsid w:val="0050670A"/>
    <w:rsid w:val="00506C85"/>
    <w:rsid w:val="00506F0B"/>
    <w:rsid w:val="00507CC3"/>
    <w:rsid w:val="005107E7"/>
    <w:rsid w:val="00510E41"/>
    <w:rsid w:val="00510FD8"/>
    <w:rsid w:val="005110A3"/>
    <w:rsid w:val="005118FC"/>
    <w:rsid w:val="0051194D"/>
    <w:rsid w:val="005126B9"/>
    <w:rsid w:val="00512ADA"/>
    <w:rsid w:val="00513D66"/>
    <w:rsid w:val="0051409F"/>
    <w:rsid w:val="005142E8"/>
    <w:rsid w:val="00514C39"/>
    <w:rsid w:val="00514D51"/>
    <w:rsid w:val="00515711"/>
    <w:rsid w:val="00515D53"/>
    <w:rsid w:val="00515F51"/>
    <w:rsid w:val="0051623B"/>
    <w:rsid w:val="0051658D"/>
    <w:rsid w:val="005166D3"/>
    <w:rsid w:val="00516B22"/>
    <w:rsid w:val="00516E84"/>
    <w:rsid w:val="0051727C"/>
    <w:rsid w:val="00517403"/>
    <w:rsid w:val="00517626"/>
    <w:rsid w:val="0052039F"/>
    <w:rsid w:val="005206CE"/>
    <w:rsid w:val="00520E31"/>
    <w:rsid w:val="00520FF2"/>
    <w:rsid w:val="005213F5"/>
    <w:rsid w:val="00521C2C"/>
    <w:rsid w:val="00521D52"/>
    <w:rsid w:val="00521E93"/>
    <w:rsid w:val="00522160"/>
    <w:rsid w:val="005224CE"/>
    <w:rsid w:val="005225E0"/>
    <w:rsid w:val="00522878"/>
    <w:rsid w:val="00523B33"/>
    <w:rsid w:val="00525792"/>
    <w:rsid w:val="00526159"/>
    <w:rsid w:val="00526188"/>
    <w:rsid w:val="005264B1"/>
    <w:rsid w:val="005267F9"/>
    <w:rsid w:val="00526D5F"/>
    <w:rsid w:val="00526DB0"/>
    <w:rsid w:val="00530005"/>
    <w:rsid w:val="005308D0"/>
    <w:rsid w:val="00530FA1"/>
    <w:rsid w:val="005310F7"/>
    <w:rsid w:val="005311B4"/>
    <w:rsid w:val="005312F6"/>
    <w:rsid w:val="005323FE"/>
    <w:rsid w:val="00532487"/>
    <w:rsid w:val="0053455D"/>
    <w:rsid w:val="00534D63"/>
    <w:rsid w:val="005352FE"/>
    <w:rsid w:val="00535C72"/>
    <w:rsid w:val="00535CB4"/>
    <w:rsid w:val="00535EC0"/>
    <w:rsid w:val="005361B0"/>
    <w:rsid w:val="00536CA1"/>
    <w:rsid w:val="00537670"/>
    <w:rsid w:val="00537EBA"/>
    <w:rsid w:val="005405F7"/>
    <w:rsid w:val="00541063"/>
    <w:rsid w:val="00541130"/>
    <w:rsid w:val="00541436"/>
    <w:rsid w:val="005428D9"/>
    <w:rsid w:val="00542E58"/>
    <w:rsid w:val="0054307E"/>
    <w:rsid w:val="005431B4"/>
    <w:rsid w:val="005438FB"/>
    <w:rsid w:val="005445A9"/>
    <w:rsid w:val="00544620"/>
    <w:rsid w:val="00544753"/>
    <w:rsid w:val="00544784"/>
    <w:rsid w:val="00544B9D"/>
    <w:rsid w:val="00545EE1"/>
    <w:rsid w:val="00546420"/>
    <w:rsid w:val="00546472"/>
    <w:rsid w:val="005464C5"/>
    <w:rsid w:val="0054662B"/>
    <w:rsid w:val="0054681D"/>
    <w:rsid w:val="00546937"/>
    <w:rsid w:val="00546A38"/>
    <w:rsid w:val="00546E3F"/>
    <w:rsid w:val="0054744B"/>
    <w:rsid w:val="00547C89"/>
    <w:rsid w:val="005501B6"/>
    <w:rsid w:val="0055065F"/>
    <w:rsid w:val="005508A3"/>
    <w:rsid w:val="0055094E"/>
    <w:rsid w:val="00550F74"/>
    <w:rsid w:val="005512A8"/>
    <w:rsid w:val="0055178F"/>
    <w:rsid w:val="00551AC9"/>
    <w:rsid w:val="00551C3B"/>
    <w:rsid w:val="00552005"/>
    <w:rsid w:val="005520AD"/>
    <w:rsid w:val="00553398"/>
    <w:rsid w:val="00553996"/>
    <w:rsid w:val="00553B1F"/>
    <w:rsid w:val="00554441"/>
    <w:rsid w:val="00554EE4"/>
    <w:rsid w:val="00555214"/>
    <w:rsid w:val="0055525A"/>
    <w:rsid w:val="005559AC"/>
    <w:rsid w:val="005561CF"/>
    <w:rsid w:val="00556234"/>
    <w:rsid w:val="005562B6"/>
    <w:rsid w:val="00556D76"/>
    <w:rsid w:val="00556F05"/>
    <w:rsid w:val="00557452"/>
    <w:rsid w:val="005574D0"/>
    <w:rsid w:val="0055796A"/>
    <w:rsid w:val="00557B0B"/>
    <w:rsid w:val="00557CC7"/>
    <w:rsid w:val="00557ED9"/>
    <w:rsid w:val="005609C2"/>
    <w:rsid w:val="00560F45"/>
    <w:rsid w:val="00561A06"/>
    <w:rsid w:val="00561AA0"/>
    <w:rsid w:val="00561CF4"/>
    <w:rsid w:val="00561F2B"/>
    <w:rsid w:val="00563470"/>
    <w:rsid w:val="00563582"/>
    <w:rsid w:val="005636FC"/>
    <w:rsid w:val="005637BF"/>
    <w:rsid w:val="00563AC3"/>
    <w:rsid w:val="0056444C"/>
    <w:rsid w:val="00564779"/>
    <w:rsid w:val="00565034"/>
    <w:rsid w:val="00565C75"/>
    <w:rsid w:val="00565D25"/>
    <w:rsid w:val="00566D90"/>
    <w:rsid w:val="0056707F"/>
    <w:rsid w:val="005705B6"/>
    <w:rsid w:val="005705D8"/>
    <w:rsid w:val="0057121F"/>
    <w:rsid w:val="005723C7"/>
    <w:rsid w:val="00572C0D"/>
    <w:rsid w:val="00572C80"/>
    <w:rsid w:val="00573BFF"/>
    <w:rsid w:val="005740FE"/>
    <w:rsid w:val="00574485"/>
    <w:rsid w:val="00574C1F"/>
    <w:rsid w:val="005762D0"/>
    <w:rsid w:val="00576B6D"/>
    <w:rsid w:val="0057701A"/>
    <w:rsid w:val="0057711B"/>
    <w:rsid w:val="0057746A"/>
    <w:rsid w:val="005777C4"/>
    <w:rsid w:val="005809F5"/>
    <w:rsid w:val="00581296"/>
    <w:rsid w:val="0058138C"/>
    <w:rsid w:val="00581A7C"/>
    <w:rsid w:val="00582450"/>
    <w:rsid w:val="005829E7"/>
    <w:rsid w:val="00583AE9"/>
    <w:rsid w:val="005851BD"/>
    <w:rsid w:val="00585216"/>
    <w:rsid w:val="005863FF"/>
    <w:rsid w:val="005864E6"/>
    <w:rsid w:val="005867B8"/>
    <w:rsid w:val="00586A3E"/>
    <w:rsid w:val="0058711C"/>
    <w:rsid w:val="00587303"/>
    <w:rsid w:val="00587DC7"/>
    <w:rsid w:val="00587E00"/>
    <w:rsid w:val="00590463"/>
    <w:rsid w:val="00590E35"/>
    <w:rsid w:val="00590E5A"/>
    <w:rsid w:val="005911F6"/>
    <w:rsid w:val="005917C8"/>
    <w:rsid w:val="00591E62"/>
    <w:rsid w:val="00592030"/>
    <w:rsid w:val="0059321E"/>
    <w:rsid w:val="0059345B"/>
    <w:rsid w:val="005935E9"/>
    <w:rsid w:val="00593DB5"/>
    <w:rsid w:val="00593F56"/>
    <w:rsid w:val="00594204"/>
    <w:rsid w:val="00594506"/>
    <w:rsid w:val="005956B8"/>
    <w:rsid w:val="0059636B"/>
    <w:rsid w:val="00596C7B"/>
    <w:rsid w:val="00597672"/>
    <w:rsid w:val="00597BFC"/>
    <w:rsid w:val="005A052E"/>
    <w:rsid w:val="005A10CA"/>
    <w:rsid w:val="005A196A"/>
    <w:rsid w:val="005A19AD"/>
    <w:rsid w:val="005A2532"/>
    <w:rsid w:val="005A2C70"/>
    <w:rsid w:val="005A3D85"/>
    <w:rsid w:val="005A42BF"/>
    <w:rsid w:val="005A443F"/>
    <w:rsid w:val="005A453B"/>
    <w:rsid w:val="005A4951"/>
    <w:rsid w:val="005A4F01"/>
    <w:rsid w:val="005A55DA"/>
    <w:rsid w:val="005A570F"/>
    <w:rsid w:val="005A596C"/>
    <w:rsid w:val="005A608C"/>
    <w:rsid w:val="005A660A"/>
    <w:rsid w:val="005A66F9"/>
    <w:rsid w:val="005B08A1"/>
    <w:rsid w:val="005B109D"/>
    <w:rsid w:val="005B12F2"/>
    <w:rsid w:val="005B173A"/>
    <w:rsid w:val="005B1AFD"/>
    <w:rsid w:val="005B1DD8"/>
    <w:rsid w:val="005B2189"/>
    <w:rsid w:val="005B2C57"/>
    <w:rsid w:val="005B2D31"/>
    <w:rsid w:val="005B326E"/>
    <w:rsid w:val="005B3357"/>
    <w:rsid w:val="005B3547"/>
    <w:rsid w:val="005B37D1"/>
    <w:rsid w:val="005B481B"/>
    <w:rsid w:val="005B4B17"/>
    <w:rsid w:val="005B542F"/>
    <w:rsid w:val="005B72B3"/>
    <w:rsid w:val="005B7E29"/>
    <w:rsid w:val="005B7EE8"/>
    <w:rsid w:val="005C01E9"/>
    <w:rsid w:val="005C0345"/>
    <w:rsid w:val="005C0719"/>
    <w:rsid w:val="005C0D71"/>
    <w:rsid w:val="005C17BD"/>
    <w:rsid w:val="005C1A08"/>
    <w:rsid w:val="005C2D02"/>
    <w:rsid w:val="005C369A"/>
    <w:rsid w:val="005C36C5"/>
    <w:rsid w:val="005C61F2"/>
    <w:rsid w:val="005C6314"/>
    <w:rsid w:val="005C6CBA"/>
    <w:rsid w:val="005D056A"/>
    <w:rsid w:val="005D0958"/>
    <w:rsid w:val="005D0E1A"/>
    <w:rsid w:val="005D1065"/>
    <w:rsid w:val="005D124C"/>
    <w:rsid w:val="005D1E07"/>
    <w:rsid w:val="005D1F20"/>
    <w:rsid w:val="005D2A74"/>
    <w:rsid w:val="005D2D5D"/>
    <w:rsid w:val="005D33BD"/>
    <w:rsid w:val="005D377E"/>
    <w:rsid w:val="005D3882"/>
    <w:rsid w:val="005D4848"/>
    <w:rsid w:val="005D4D3E"/>
    <w:rsid w:val="005D5563"/>
    <w:rsid w:val="005D5792"/>
    <w:rsid w:val="005D5D10"/>
    <w:rsid w:val="005D69EE"/>
    <w:rsid w:val="005D6FAD"/>
    <w:rsid w:val="005D7099"/>
    <w:rsid w:val="005D71F2"/>
    <w:rsid w:val="005E02A4"/>
    <w:rsid w:val="005E0903"/>
    <w:rsid w:val="005E0ACE"/>
    <w:rsid w:val="005E16A2"/>
    <w:rsid w:val="005E1C98"/>
    <w:rsid w:val="005E275C"/>
    <w:rsid w:val="005E2AF2"/>
    <w:rsid w:val="005E2DC4"/>
    <w:rsid w:val="005E2EA7"/>
    <w:rsid w:val="005E3075"/>
    <w:rsid w:val="005E329C"/>
    <w:rsid w:val="005E5207"/>
    <w:rsid w:val="005E57B6"/>
    <w:rsid w:val="005E6B2B"/>
    <w:rsid w:val="005E6B51"/>
    <w:rsid w:val="005E6D66"/>
    <w:rsid w:val="005E6F55"/>
    <w:rsid w:val="005E7441"/>
    <w:rsid w:val="005E78E3"/>
    <w:rsid w:val="005E7945"/>
    <w:rsid w:val="005E7C9D"/>
    <w:rsid w:val="005F0DD6"/>
    <w:rsid w:val="005F10B0"/>
    <w:rsid w:val="005F15A0"/>
    <w:rsid w:val="005F1CB1"/>
    <w:rsid w:val="005F1CE0"/>
    <w:rsid w:val="005F1D61"/>
    <w:rsid w:val="005F26D9"/>
    <w:rsid w:val="005F28CA"/>
    <w:rsid w:val="005F33EE"/>
    <w:rsid w:val="005F41F3"/>
    <w:rsid w:val="005F4710"/>
    <w:rsid w:val="005F4B3D"/>
    <w:rsid w:val="005F4D32"/>
    <w:rsid w:val="005F52D2"/>
    <w:rsid w:val="005F5BCC"/>
    <w:rsid w:val="005F61EC"/>
    <w:rsid w:val="005F6860"/>
    <w:rsid w:val="005F6BD2"/>
    <w:rsid w:val="005F70DB"/>
    <w:rsid w:val="005F718A"/>
    <w:rsid w:val="005F760F"/>
    <w:rsid w:val="00600CF5"/>
    <w:rsid w:val="00601395"/>
    <w:rsid w:val="0060247C"/>
    <w:rsid w:val="0060273B"/>
    <w:rsid w:val="00602BF3"/>
    <w:rsid w:val="006039B0"/>
    <w:rsid w:val="00603B78"/>
    <w:rsid w:val="006042C8"/>
    <w:rsid w:val="006042CE"/>
    <w:rsid w:val="00604891"/>
    <w:rsid w:val="00604B60"/>
    <w:rsid w:val="006054A0"/>
    <w:rsid w:val="006056D5"/>
    <w:rsid w:val="006058BA"/>
    <w:rsid w:val="006062B9"/>
    <w:rsid w:val="00606856"/>
    <w:rsid w:val="006068E2"/>
    <w:rsid w:val="00606A0F"/>
    <w:rsid w:val="006071EE"/>
    <w:rsid w:val="00607BAA"/>
    <w:rsid w:val="00607E95"/>
    <w:rsid w:val="006101E2"/>
    <w:rsid w:val="0061022C"/>
    <w:rsid w:val="00610A5F"/>
    <w:rsid w:val="00610D2E"/>
    <w:rsid w:val="00611376"/>
    <w:rsid w:val="0061191A"/>
    <w:rsid w:val="00611AF3"/>
    <w:rsid w:val="00612626"/>
    <w:rsid w:val="0061280C"/>
    <w:rsid w:val="00612831"/>
    <w:rsid w:val="00614BA9"/>
    <w:rsid w:val="00615E62"/>
    <w:rsid w:val="00615E6F"/>
    <w:rsid w:val="00616476"/>
    <w:rsid w:val="0061785C"/>
    <w:rsid w:val="00617864"/>
    <w:rsid w:val="006201F0"/>
    <w:rsid w:val="00620286"/>
    <w:rsid w:val="006206D8"/>
    <w:rsid w:val="00620B87"/>
    <w:rsid w:val="0062133F"/>
    <w:rsid w:val="0062255E"/>
    <w:rsid w:val="00622E7F"/>
    <w:rsid w:val="00623138"/>
    <w:rsid w:val="006235C3"/>
    <w:rsid w:val="00623946"/>
    <w:rsid w:val="00623D83"/>
    <w:rsid w:val="00624011"/>
    <w:rsid w:val="006242A5"/>
    <w:rsid w:val="00624B74"/>
    <w:rsid w:val="0062519E"/>
    <w:rsid w:val="00625979"/>
    <w:rsid w:val="00625CA0"/>
    <w:rsid w:val="00625E96"/>
    <w:rsid w:val="00625EF3"/>
    <w:rsid w:val="00626091"/>
    <w:rsid w:val="00626226"/>
    <w:rsid w:val="00626C58"/>
    <w:rsid w:val="00626F02"/>
    <w:rsid w:val="00626F87"/>
    <w:rsid w:val="006272D7"/>
    <w:rsid w:val="006272F8"/>
    <w:rsid w:val="00627887"/>
    <w:rsid w:val="00627D12"/>
    <w:rsid w:val="00627E00"/>
    <w:rsid w:val="00627E12"/>
    <w:rsid w:val="00630321"/>
    <w:rsid w:val="0063077D"/>
    <w:rsid w:val="0063086B"/>
    <w:rsid w:val="00630A9A"/>
    <w:rsid w:val="00630B40"/>
    <w:rsid w:val="00630BFB"/>
    <w:rsid w:val="00630CBA"/>
    <w:rsid w:val="006311AF"/>
    <w:rsid w:val="00631DC9"/>
    <w:rsid w:val="0063286A"/>
    <w:rsid w:val="006335A8"/>
    <w:rsid w:val="00633884"/>
    <w:rsid w:val="0063455C"/>
    <w:rsid w:val="00634AFE"/>
    <w:rsid w:val="00635A9F"/>
    <w:rsid w:val="00635BC6"/>
    <w:rsid w:val="0063605C"/>
    <w:rsid w:val="00640F2E"/>
    <w:rsid w:val="006410D4"/>
    <w:rsid w:val="006428ED"/>
    <w:rsid w:val="00643CD0"/>
    <w:rsid w:val="00643D03"/>
    <w:rsid w:val="0064486F"/>
    <w:rsid w:val="0064487C"/>
    <w:rsid w:val="0064505B"/>
    <w:rsid w:val="006453A7"/>
    <w:rsid w:val="0064553B"/>
    <w:rsid w:val="006459C5"/>
    <w:rsid w:val="00646493"/>
    <w:rsid w:val="006467B3"/>
    <w:rsid w:val="006467FB"/>
    <w:rsid w:val="0064783A"/>
    <w:rsid w:val="006500B5"/>
    <w:rsid w:val="0065076F"/>
    <w:rsid w:val="006509F1"/>
    <w:rsid w:val="00651009"/>
    <w:rsid w:val="00651DB5"/>
    <w:rsid w:val="006520C7"/>
    <w:rsid w:val="00652587"/>
    <w:rsid w:val="00652AC0"/>
    <w:rsid w:val="006536A2"/>
    <w:rsid w:val="00654957"/>
    <w:rsid w:val="00654C5C"/>
    <w:rsid w:val="00654E15"/>
    <w:rsid w:val="00654E6F"/>
    <w:rsid w:val="006562CD"/>
    <w:rsid w:val="006562F0"/>
    <w:rsid w:val="00656A2B"/>
    <w:rsid w:val="00656B60"/>
    <w:rsid w:val="00656F8B"/>
    <w:rsid w:val="00657135"/>
    <w:rsid w:val="00657364"/>
    <w:rsid w:val="00657E2E"/>
    <w:rsid w:val="00660174"/>
    <w:rsid w:val="006601AE"/>
    <w:rsid w:val="006603E8"/>
    <w:rsid w:val="006603F9"/>
    <w:rsid w:val="006617F2"/>
    <w:rsid w:val="00662069"/>
    <w:rsid w:val="006620CC"/>
    <w:rsid w:val="00662297"/>
    <w:rsid w:val="00663E54"/>
    <w:rsid w:val="00664434"/>
    <w:rsid w:val="006647E6"/>
    <w:rsid w:val="0066498F"/>
    <w:rsid w:val="00664F3D"/>
    <w:rsid w:val="00665000"/>
    <w:rsid w:val="006650A2"/>
    <w:rsid w:val="0066551D"/>
    <w:rsid w:val="00665C72"/>
    <w:rsid w:val="00665F8F"/>
    <w:rsid w:val="00666B83"/>
    <w:rsid w:val="00667360"/>
    <w:rsid w:val="00667481"/>
    <w:rsid w:val="00667615"/>
    <w:rsid w:val="00667626"/>
    <w:rsid w:val="00667AF9"/>
    <w:rsid w:val="0067025F"/>
    <w:rsid w:val="00670EFE"/>
    <w:rsid w:val="00671A1E"/>
    <w:rsid w:val="00671CC7"/>
    <w:rsid w:val="006724FF"/>
    <w:rsid w:val="0067254B"/>
    <w:rsid w:val="00672FC1"/>
    <w:rsid w:val="0067314C"/>
    <w:rsid w:val="00673797"/>
    <w:rsid w:val="00674720"/>
    <w:rsid w:val="0067495A"/>
    <w:rsid w:val="006749D3"/>
    <w:rsid w:val="00675080"/>
    <w:rsid w:val="006752BB"/>
    <w:rsid w:val="0067588B"/>
    <w:rsid w:val="00676603"/>
    <w:rsid w:val="00676CE2"/>
    <w:rsid w:val="00677526"/>
    <w:rsid w:val="006804BF"/>
    <w:rsid w:val="00680774"/>
    <w:rsid w:val="00680E1B"/>
    <w:rsid w:val="006826C2"/>
    <w:rsid w:val="00683529"/>
    <w:rsid w:val="00683601"/>
    <w:rsid w:val="00683E5A"/>
    <w:rsid w:val="00684291"/>
    <w:rsid w:val="00684BF9"/>
    <w:rsid w:val="00684F54"/>
    <w:rsid w:val="0068528A"/>
    <w:rsid w:val="006852A8"/>
    <w:rsid w:val="006852B5"/>
    <w:rsid w:val="00685C2C"/>
    <w:rsid w:val="00686B33"/>
    <w:rsid w:val="00687783"/>
    <w:rsid w:val="0069000C"/>
    <w:rsid w:val="00690382"/>
    <w:rsid w:val="006904F7"/>
    <w:rsid w:val="006906F2"/>
    <w:rsid w:val="006908DD"/>
    <w:rsid w:val="00690CC6"/>
    <w:rsid w:val="00691798"/>
    <w:rsid w:val="00691DA7"/>
    <w:rsid w:val="00692118"/>
    <w:rsid w:val="00692CAD"/>
    <w:rsid w:val="00692E73"/>
    <w:rsid w:val="00693069"/>
    <w:rsid w:val="0069452C"/>
    <w:rsid w:val="006947E1"/>
    <w:rsid w:val="00694814"/>
    <w:rsid w:val="006949C5"/>
    <w:rsid w:val="00694FF1"/>
    <w:rsid w:val="00695BA2"/>
    <w:rsid w:val="00695E92"/>
    <w:rsid w:val="00696212"/>
    <w:rsid w:val="00696225"/>
    <w:rsid w:val="006963A9"/>
    <w:rsid w:val="00696E34"/>
    <w:rsid w:val="00696F55"/>
    <w:rsid w:val="0069702F"/>
    <w:rsid w:val="006971FA"/>
    <w:rsid w:val="006A0340"/>
    <w:rsid w:val="006A04DD"/>
    <w:rsid w:val="006A091E"/>
    <w:rsid w:val="006A0CEC"/>
    <w:rsid w:val="006A0FFC"/>
    <w:rsid w:val="006A1120"/>
    <w:rsid w:val="006A1D1A"/>
    <w:rsid w:val="006A1D7D"/>
    <w:rsid w:val="006A26C1"/>
    <w:rsid w:val="006A2ED8"/>
    <w:rsid w:val="006A300A"/>
    <w:rsid w:val="006A331B"/>
    <w:rsid w:val="006A3883"/>
    <w:rsid w:val="006A45B3"/>
    <w:rsid w:val="006A4BC5"/>
    <w:rsid w:val="006A4C9A"/>
    <w:rsid w:val="006A4DC7"/>
    <w:rsid w:val="006A63BB"/>
    <w:rsid w:val="006A669A"/>
    <w:rsid w:val="006A6A9B"/>
    <w:rsid w:val="006A71A1"/>
    <w:rsid w:val="006A71AA"/>
    <w:rsid w:val="006A7A17"/>
    <w:rsid w:val="006A7DE6"/>
    <w:rsid w:val="006A7F4C"/>
    <w:rsid w:val="006B0247"/>
    <w:rsid w:val="006B0741"/>
    <w:rsid w:val="006B0795"/>
    <w:rsid w:val="006B0B1B"/>
    <w:rsid w:val="006B0CBD"/>
    <w:rsid w:val="006B31E4"/>
    <w:rsid w:val="006B36B9"/>
    <w:rsid w:val="006B3F33"/>
    <w:rsid w:val="006B40BB"/>
    <w:rsid w:val="006B414D"/>
    <w:rsid w:val="006B41EC"/>
    <w:rsid w:val="006B44C0"/>
    <w:rsid w:val="006B4732"/>
    <w:rsid w:val="006B5184"/>
    <w:rsid w:val="006B587D"/>
    <w:rsid w:val="006B58C6"/>
    <w:rsid w:val="006B59D7"/>
    <w:rsid w:val="006B613A"/>
    <w:rsid w:val="006B620D"/>
    <w:rsid w:val="006B6BF5"/>
    <w:rsid w:val="006B729D"/>
    <w:rsid w:val="006B7653"/>
    <w:rsid w:val="006B78BD"/>
    <w:rsid w:val="006B7FB4"/>
    <w:rsid w:val="006C028F"/>
    <w:rsid w:val="006C0C17"/>
    <w:rsid w:val="006C1305"/>
    <w:rsid w:val="006C182F"/>
    <w:rsid w:val="006C1839"/>
    <w:rsid w:val="006C1F52"/>
    <w:rsid w:val="006C24A8"/>
    <w:rsid w:val="006C24F8"/>
    <w:rsid w:val="006C3AD3"/>
    <w:rsid w:val="006C5B61"/>
    <w:rsid w:val="006C63F3"/>
    <w:rsid w:val="006C6E6F"/>
    <w:rsid w:val="006C6F62"/>
    <w:rsid w:val="006C7A61"/>
    <w:rsid w:val="006C7A7B"/>
    <w:rsid w:val="006C7BB4"/>
    <w:rsid w:val="006D0101"/>
    <w:rsid w:val="006D02F7"/>
    <w:rsid w:val="006D0A6D"/>
    <w:rsid w:val="006D1005"/>
    <w:rsid w:val="006D15E4"/>
    <w:rsid w:val="006D22FB"/>
    <w:rsid w:val="006D2B6D"/>
    <w:rsid w:val="006D3F62"/>
    <w:rsid w:val="006D665B"/>
    <w:rsid w:val="006D6A38"/>
    <w:rsid w:val="006D6A96"/>
    <w:rsid w:val="006D73FF"/>
    <w:rsid w:val="006D7691"/>
    <w:rsid w:val="006D7B2A"/>
    <w:rsid w:val="006D7FF2"/>
    <w:rsid w:val="006E0397"/>
    <w:rsid w:val="006E07D0"/>
    <w:rsid w:val="006E1021"/>
    <w:rsid w:val="006E1273"/>
    <w:rsid w:val="006E1644"/>
    <w:rsid w:val="006E1A99"/>
    <w:rsid w:val="006E1BF1"/>
    <w:rsid w:val="006E2068"/>
    <w:rsid w:val="006E2F90"/>
    <w:rsid w:val="006E3EB1"/>
    <w:rsid w:val="006E46DC"/>
    <w:rsid w:val="006E4CCA"/>
    <w:rsid w:val="006E543B"/>
    <w:rsid w:val="006E56F4"/>
    <w:rsid w:val="006E573C"/>
    <w:rsid w:val="006E574F"/>
    <w:rsid w:val="006E59D9"/>
    <w:rsid w:val="006E5BFA"/>
    <w:rsid w:val="006E612C"/>
    <w:rsid w:val="006E6C27"/>
    <w:rsid w:val="006E73AD"/>
    <w:rsid w:val="006E77FE"/>
    <w:rsid w:val="006E7E4B"/>
    <w:rsid w:val="006F15A6"/>
    <w:rsid w:val="006F1B9D"/>
    <w:rsid w:val="006F1DDF"/>
    <w:rsid w:val="006F259A"/>
    <w:rsid w:val="006F2C15"/>
    <w:rsid w:val="006F2CCD"/>
    <w:rsid w:val="006F3239"/>
    <w:rsid w:val="006F3459"/>
    <w:rsid w:val="006F3D58"/>
    <w:rsid w:val="006F3DDA"/>
    <w:rsid w:val="006F4B59"/>
    <w:rsid w:val="006F5412"/>
    <w:rsid w:val="006F54F7"/>
    <w:rsid w:val="006F5AA0"/>
    <w:rsid w:val="006F5BCE"/>
    <w:rsid w:val="006F6259"/>
    <w:rsid w:val="006F75CE"/>
    <w:rsid w:val="006F7A34"/>
    <w:rsid w:val="0070031B"/>
    <w:rsid w:val="007009DE"/>
    <w:rsid w:val="00700CDB"/>
    <w:rsid w:val="00701235"/>
    <w:rsid w:val="00701603"/>
    <w:rsid w:val="0070234A"/>
    <w:rsid w:val="0070260A"/>
    <w:rsid w:val="00702DE3"/>
    <w:rsid w:val="0070300B"/>
    <w:rsid w:val="0070321E"/>
    <w:rsid w:val="00703222"/>
    <w:rsid w:val="00703F12"/>
    <w:rsid w:val="00704792"/>
    <w:rsid w:val="00704F78"/>
    <w:rsid w:val="00704FC0"/>
    <w:rsid w:val="00705016"/>
    <w:rsid w:val="0070578E"/>
    <w:rsid w:val="007058C6"/>
    <w:rsid w:val="00705A03"/>
    <w:rsid w:val="00706442"/>
    <w:rsid w:val="00706A9D"/>
    <w:rsid w:val="00706BF8"/>
    <w:rsid w:val="00707457"/>
    <w:rsid w:val="0070786E"/>
    <w:rsid w:val="00707D53"/>
    <w:rsid w:val="00710324"/>
    <w:rsid w:val="0071070C"/>
    <w:rsid w:val="00710734"/>
    <w:rsid w:val="00710878"/>
    <w:rsid w:val="00710C62"/>
    <w:rsid w:val="00710E45"/>
    <w:rsid w:val="0071137D"/>
    <w:rsid w:val="0071163A"/>
    <w:rsid w:val="00712E63"/>
    <w:rsid w:val="00713CE5"/>
    <w:rsid w:val="00715892"/>
    <w:rsid w:val="00716362"/>
    <w:rsid w:val="0071680A"/>
    <w:rsid w:val="00716BE7"/>
    <w:rsid w:val="00716F0E"/>
    <w:rsid w:val="0071714A"/>
    <w:rsid w:val="007171A0"/>
    <w:rsid w:val="00717C4D"/>
    <w:rsid w:val="00720163"/>
    <w:rsid w:val="007203B3"/>
    <w:rsid w:val="00720D18"/>
    <w:rsid w:val="00721817"/>
    <w:rsid w:val="007219BC"/>
    <w:rsid w:val="007220B8"/>
    <w:rsid w:val="00723F29"/>
    <w:rsid w:val="0072489C"/>
    <w:rsid w:val="007250E3"/>
    <w:rsid w:val="007258F2"/>
    <w:rsid w:val="00725CD2"/>
    <w:rsid w:val="0072604F"/>
    <w:rsid w:val="00726911"/>
    <w:rsid w:val="00727337"/>
    <w:rsid w:val="00727C25"/>
    <w:rsid w:val="00730F3B"/>
    <w:rsid w:val="00731ABC"/>
    <w:rsid w:val="00732E9B"/>
    <w:rsid w:val="007330DE"/>
    <w:rsid w:val="0073358B"/>
    <w:rsid w:val="00734573"/>
    <w:rsid w:val="007347C2"/>
    <w:rsid w:val="00734820"/>
    <w:rsid w:val="00734B36"/>
    <w:rsid w:val="0073587D"/>
    <w:rsid w:val="00735E47"/>
    <w:rsid w:val="007369A5"/>
    <w:rsid w:val="00736DE5"/>
    <w:rsid w:val="00737D70"/>
    <w:rsid w:val="00737E64"/>
    <w:rsid w:val="0074016C"/>
    <w:rsid w:val="00741560"/>
    <w:rsid w:val="007415A6"/>
    <w:rsid w:val="0074173A"/>
    <w:rsid w:val="007417BD"/>
    <w:rsid w:val="007417CA"/>
    <w:rsid w:val="007418FB"/>
    <w:rsid w:val="00741B5F"/>
    <w:rsid w:val="00741E7A"/>
    <w:rsid w:val="007439B2"/>
    <w:rsid w:val="00743E10"/>
    <w:rsid w:val="007442F0"/>
    <w:rsid w:val="007443D5"/>
    <w:rsid w:val="00744664"/>
    <w:rsid w:val="00744674"/>
    <w:rsid w:val="007447EE"/>
    <w:rsid w:val="00744C53"/>
    <w:rsid w:val="007457A7"/>
    <w:rsid w:val="00745AF4"/>
    <w:rsid w:val="00745EB1"/>
    <w:rsid w:val="00745EFA"/>
    <w:rsid w:val="00746DF0"/>
    <w:rsid w:val="00747800"/>
    <w:rsid w:val="00750183"/>
    <w:rsid w:val="00750311"/>
    <w:rsid w:val="00750604"/>
    <w:rsid w:val="007515DE"/>
    <w:rsid w:val="0075184C"/>
    <w:rsid w:val="00752128"/>
    <w:rsid w:val="00752DC9"/>
    <w:rsid w:val="0075352D"/>
    <w:rsid w:val="007535B8"/>
    <w:rsid w:val="00753908"/>
    <w:rsid w:val="007539EF"/>
    <w:rsid w:val="0075452C"/>
    <w:rsid w:val="00754E94"/>
    <w:rsid w:val="00755380"/>
    <w:rsid w:val="007558A8"/>
    <w:rsid w:val="00756052"/>
    <w:rsid w:val="007565CA"/>
    <w:rsid w:val="00756A4A"/>
    <w:rsid w:val="00757556"/>
    <w:rsid w:val="00757836"/>
    <w:rsid w:val="0075799C"/>
    <w:rsid w:val="00757AB6"/>
    <w:rsid w:val="00757D89"/>
    <w:rsid w:val="00760202"/>
    <w:rsid w:val="00760764"/>
    <w:rsid w:val="007608C3"/>
    <w:rsid w:val="007609A4"/>
    <w:rsid w:val="00760DBA"/>
    <w:rsid w:val="007617E8"/>
    <w:rsid w:val="00761D94"/>
    <w:rsid w:val="00761DA4"/>
    <w:rsid w:val="00761DF2"/>
    <w:rsid w:val="0076202C"/>
    <w:rsid w:val="007624C5"/>
    <w:rsid w:val="00762642"/>
    <w:rsid w:val="0076392D"/>
    <w:rsid w:val="00764C1F"/>
    <w:rsid w:val="00764D9B"/>
    <w:rsid w:val="0076550B"/>
    <w:rsid w:val="00765952"/>
    <w:rsid w:val="00765C0B"/>
    <w:rsid w:val="00766533"/>
    <w:rsid w:val="00767217"/>
    <w:rsid w:val="00767426"/>
    <w:rsid w:val="00770069"/>
    <w:rsid w:val="0077060B"/>
    <w:rsid w:val="00770921"/>
    <w:rsid w:val="007709BF"/>
    <w:rsid w:val="007709F4"/>
    <w:rsid w:val="00770AFC"/>
    <w:rsid w:val="00770DE1"/>
    <w:rsid w:val="0077104B"/>
    <w:rsid w:val="007711F8"/>
    <w:rsid w:val="00771AF5"/>
    <w:rsid w:val="00771E63"/>
    <w:rsid w:val="00772236"/>
    <w:rsid w:val="00772350"/>
    <w:rsid w:val="007723A2"/>
    <w:rsid w:val="0077270E"/>
    <w:rsid w:val="00773D78"/>
    <w:rsid w:val="00774074"/>
    <w:rsid w:val="00774297"/>
    <w:rsid w:val="0077432A"/>
    <w:rsid w:val="00774509"/>
    <w:rsid w:val="007748AC"/>
    <w:rsid w:val="007748F9"/>
    <w:rsid w:val="007758CF"/>
    <w:rsid w:val="00776290"/>
    <w:rsid w:val="007763C8"/>
    <w:rsid w:val="00776871"/>
    <w:rsid w:val="00776B0D"/>
    <w:rsid w:val="00777864"/>
    <w:rsid w:val="00777AAE"/>
    <w:rsid w:val="00780FA8"/>
    <w:rsid w:val="0078120A"/>
    <w:rsid w:val="007815F1"/>
    <w:rsid w:val="00781CB1"/>
    <w:rsid w:val="007825CD"/>
    <w:rsid w:val="00782AA2"/>
    <w:rsid w:val="00782EEA"/>
    <w:rsid w:val="00783BC9"/>
    <w:rsid w:val="00783D71"/>
    <w:rsid w:val="00783ECF"/>
    <w:rsid w:val="00784674"/>
    <w:rsid w:val="00784A18"/>
    <w:rsid w:val="00784B47"/>
    <w:rsid w:val="00785395"/>
    <w:rsid w:val="0078556F"/>
    <w:rsid w:val="00785B7D"/>
    <w:rsid w:val="00786EE4"/>
    <w:rsid w:val="00787261"/>
    <w:rsid w:val="00787D8F"/>
    <w:rsid w:val="007901B7"/>
    <w:rsid w:val="00790885"/>
    <w:rsid w:val="0079173E"/>
    <w:rsid w:val="007918BE"/>
    <w:rsid w:val="00791C31"/>
    <w:rsid w:val="0079282F"/>
    <w:rsid w:val="00793175"/>
    <w:rsid w:val="007931DF"/>
    <w:rsid w:val="007934CF"/>
    <w:rsid w:val="007935CC"/>
    <w:rsid w:val="00793D7D"/>
    <w:rsid w:val="00794214"/>
    <w:rsid w:val="00794539"/>
    <w:rsid w:val="0079457D"/>
    <w:rsid w:val="007946DD"/>
    <w:rsid w:val="00794DCA"/>
    <w:rsid w:val="007953A1"/>
    <w:rsid w:val="007953B7"/>
    <w:rsid w:val="00795680"/>
    <w:rsid w:val="007957DF"/>
    <w:rsid w:val="00795C7C"/>
    <w:rsid w:val="00796B6D"/>
    <w:rsid w:val="00796F7B"/>
    <w:rsid w:val="00797240"/>
    <w:rsid w:val="00797525"/>
    <w:rsid w:val="007A01A7"/>
    <w:rsid w:val="007A0866"/>
    <w:rsid w:val="007A13ED"/>
    <w:rsid w:val="007A1B86"/>
    <w:rsid w:val="007A264D"/>
    <w:rsid w:val="007A2DAB"/>
    <w:rsid w:val="007A3161"/>
    <w:rsid w:val="007A3406"/>
    <w:rsid w:val="007A3487"/>
    <w:rsid w:val="007A3934"/>
    <w:rsid w:val="007A407B"/>
    <w:rsid w:val="007A45B4"/>
    <w:rsid w:val="007A4803"/>
    <w:rsid w:val="007A4B4A"/>
    <w:rsid w:val="007A527A"/>
    <w:rsid w:val="007A5548"/>
    <w:rsid w:val="007A5ABE"/>
    <w:rsid w:val="007A6552"/>
    <w:rsid w:val="007A6F8F"/>
    <w:rsid w:val="007A7F80"/>
    <w:rsid w:val="007B0F8E"/>
    <w:rsid w:val="007B1E63"/>
    <w:rsid w:val="007B209E"/>
    <w:rsid w:val="007B2503"/>
    <w:rsid w:val="007B30FE"/>
    <w:rsid w:val="007B380A"/>
    <w:rsid w:val="007B3C06"/>
    <w:rsid w:val="007B3E7F"/>
    <w:rsid w:val="007B411B"/>
    <w:rsid w:val="007B4483"/>
    <w:rsid w:val="007B4E52"/>
    <w:rsid w:val="007B58C7"/>
    <w:rsid w:val="007B64E2"/>
    <w:rsid w:val="007B67B4"/>
    <w:rsid w:val="007B6886"/>
    <w:rsid w:val="007B7694"/>
    <w:rsid w:val="007B7749"/>
    <w:rsid w:val="007C0331"/>
    <w:rsid w:val="007C04A7"/>
    <w:rsid w:val="007C067A"/>
    <w:rsid w:val="007C06E7"/>
    <w:rsid w:val="007C0FB9"/>
    <w:rsid w:val="007C1685"/>
    <w:rsid w:val="007C1D82"/>
    <w:rsid w:val="007C21E8"/>
    <w:rsid w:val="007C24BA"/>
    <w:rsid w:val="007C2D96"/>
    <w:rsid w:val="007C2EF7"/>
    <w:rsid w:val="007C3809"/>
    <w:rsid w:val="007C3A7F"/>
    <w:rsid w:val="007C3E8F"/>
    <w:rsid w:val="007C4231"/>
    <w:rsid w:val="007C4342"/>
    <w:rsid w:val="007C46EB"/>
    <w:rsid w:val="007C4719"/>
    <w:rsid w:val="007C4758"/>
    <w:rsid w:val="007C4CF4"/>
    <w:rsid w:val="007C556D"/>
    <w:rsid w:val="007C5CA6"/>
    <w:rsid w:val="007C6135"/>
    <w:rsid w:val="007C662D"/>
    <w:rsid w:val="007C6F48"/>
    <w:rsid w:val="007D0970"/>
    <w:rsid w:val="007D0A88"/>
    <w:rsid w:val="007D0C0E"/>
    <w:rsid w:val="007D0C76"/>
    <w:rsid w:val="007D0EC6"/>
    <w:rsid w:val="007D0F0D"/>
    <w:rsid w:val="007D0F89"/>
    <w:rsid w:val="007D1AC1"/>
    <w:rsid w:val="007D1BE3"/>
    <w:rsid w:val="007D1C29"/>
    <w:rsid w:val="007D2451"/>
    <w:rsid w:val="007D2F1B"/>
    <w:rsid w:val="007D32FA"/>
    <w:rsid w:val="007D3BD3"/>
    <w:rsid w:val="007D4BD6"/>
    <w:rsid w:val="007D4C1E"/>
    <w:rsid w:val="007D5955"/>
    <w:rsid w:val="007D5F52"/>
    <w:rsid w:val="007D647D"/>
    <w:rsid w:val="007D64AD"/>
    <w:rsid w:val="007D6861"/>
    <w:rsid w:val="007D6DD5"/>
    <w:rsid w:val="007D6E02"/>
    <w:rsid w:val="007D749A"/>
    <w:rsid w:val="007D754F"/>
    <w:rsid w:val="007D7F7A"/>
    <w:rsid w:val="007E03D8"/>
    <w:rsid w:val="007E0B30"/>
    <w:rsid w:val="007E0D33"/>
    <w:rsid w:val="007E2B06"/>
    <w:rsid w:val="007E2EFB"/>
    <w:rsid w:val="007E3E8D"/>
    <w:rsid w:val="007E477B"/>
    <w:rsid w:val="007E4A22"/>
    <w:rsid w:val="007E4C57"/>
    <w:rsid w:val="007E503D"/>
    <w:rsid w:val="007E5C4E"/>
    <w:rsid w:val="007E5D29"/>
    <w:rsid w:val="007E65F8"/>
    <w:rsid w:val="007E694C"/>
    <w:rsid w:val="007E7951"/>
    <w:rsid w:val="007E7C8B"/>
    <w:rsid w:val="007E7EAC"/>
    <w:rsid w:val="007F00C0"/>
    <w:rsid w:val="007F0151"/>
    <w:rsid w:val="007F043F"/>
    <w:rsid w:val="007F13F4"/>
    <w:rsid w:val="007F19F8"/>
    <w:rsid w:val="007F21D9"/>
    <w:rsid w:val="007F233D"/>
    <w:rsid w:val="007F2B81"/>
    <w:rsid w:val="007F2DB3"/>
    <w:rsid w:val="007F49E8"/>
    <w:rsid w:val="007F4EED"/>
    <w:rsid w:val="007F592E"/>
    <w:rsid w:val="007F5E9C"/>
    <w:rsid w:val="007F64D8"/>
    <w:rsid w:val="007F6C6D"/>
    <w:rsid w:val="007F7685"/>
    <w:rsid w:val="007F769A"/>
    <w:rsid w:val="007F7B87"/>
    <w:rsid w:val="007F7DB3"/>
    <w:rsid w:val="007F7E09"/>
    <w:rsid w:val="008000FB"/>
    <w:rsid w:val="008013B4"/>
    <w:rsid w:val="008018ED"/>
    <w:rsid w:val="00801D30"/>
    <w:rsid w:val="0080258F"/>
    <w:rsid w:val="008025E8"/>
    <w:rsid w:val="00802E98"/>
    <w:rsid w:val="00803BBE"/>
    <w:rsid w:val="00803C38"/>
    <w:rsid w:val="008040FE"/>
    <w:rsid w:val="00804DB0"/>
    <w:rsid w:val="00805739"/>
    <w:rsid w:val="00805DF8"/>
    <w:rsid w:val="008066C4"/>
    <w:rsid w:val="00806C6F"/>
    <w:rsid w:val="00810119"/>
    <w:rsid w:val="00810186"/>
    <w:rsid w:val="00810B8A"/>
    <w:rsid w:val="00810C0E"/>
    <w:rsid w:val="00810E25"/>
    <w:rsid w:val="00810EBC"/>
    <w:rsid w:val="0081140E"/>
    <w:rsid w:val="00811E47"/>
    <w:rsid w:val="00812168"/>
    <w:rsid w:val="008127B9"/>
    <w:rsid w:val="008135BE"/>
    <w:rsid w:val="008137E1"/>
    <w:rsid w:val="00813E4E"/>
    <w:rsid w:val="00814723"/>
    <w:rsid w:val="00815C3B"/>
    <w:rsid w:val="0081691C"/>
    <w:rsid w:val="00816CFE"/>
    <w:rsid w:val="00816DAD"/>
    <w:rsid w:val="00817206"/>
    <w:rsid w:val="00817233"/>
    <w:rsid w:val="0081758F"/>
    <w:rsid w:val="00817A38"/>
    <w:rsid w:val="0082040D"/>
    <w:rsid w:val="008219D9"/>
    <w:rsid w:val="00821C8A"/>
    <w:rsid w:val="0082306B"/>
    <w:rsid w:val="008240C8"/>
    <w:rsid w:val="008249C8"/>
    <w:rsid w:val="008249D3"/>
    <w:rsid w:val="00824F41"/>
    <w:rsid w:val="008251E3"/>
    <w:rsid w:val="0082534C"/>
    <w:rsid w:val="00825389"/>
    <w:rsid w:val="008254A8"/>
    <w:rsid w:val="00825719"/>
    <w:rsid w:val="008263DF"/>
    <w:rsid w:val="00826796"/>
    <w:rsid w:val="0082773A"/>
    <w:rsid w:val="008302FC"/>
    <w:rsid w:val="00830C0F"/>
    <w:rsid w:val="00831E1A"/>
    <w:rsid w:val="0083237F"/>
    <w:rsid w:val="00832CDB"/>
    <w:rsid w:val="00832EF1"/>
    <w:rsid w:val="00833EE8"/>
    <w:rsid w:val="008341DC"/>
    <w:rsid w:val="008358A3"/>
    <w:rsid w:val="00836AC4"/>
    <w:rsid w:val="00836B12"/>
    <w:rsid w:val="00837D52"/>
    <w:rsid w:val="00840B4B"/>
    <w:rsid w:val="0084105D"/>
    <w:rsid w:val="0084249B"/>
    <w:rsid w:val="0084312E"/>
    <w:rsid w:val="00843818"/>
    <w:rsid w:val="00843B86"/>
    <w:rsid w:val="00843E93"/>
    <w:rsid w:val="00844B91"/>
    <w:rsid w:val="00844BF1"/>
    <w:rsid w:val="00844C21"/>
    <w:rsid w:val="00844FB3"/>
    <w:rsid w:val="008454DE"/>
    <w:rsid w:val="00845D0A"/>
    <w:rsid w:val="0084673B"/>
    <w:rsid w:val="00846CE6"/>
    <w:rsid w:val="00846CF9"/>
    <w:rsid w:val="00846FE3"/>
    <w:rsid w:val="008470FF"/>
    <w:rsid w:val="0084731C"/>
    <w:rsid w:val="00847D01"/>
    <w:rsid w:val="008501E5"/>
    <w:rsid w:val="008503C8"/>
    <w:rsid w:val="008506AF"/>
    <w:rsid w:val="008508E1"/>
    <w:rsid w:val="008513C0"/>
    <w:rsid w:val="00851F31"/>
    <w:rsid w:val="00852176"/>
    <w:rsid w:val="00852E61"/>
    <w:rsid w:val="00852EDC"/>
    <w:rsid w:val="0085380B"/>
    <w:rsid w:val="00854CDC"/>
    <w:rsid w:val="00855098"/>
    <w:rsid w:val="00856104"/>
    <w:rsid w:val="00856228"/>
    <w:rsid w:val="00856A65"/>
    <w:rsid w:val="00856BD0"/>
    <w:rsid w:val="00857D9E"/>
    <w:rsid w:val="0086107C"/>
    <w:rsid w:val="008610BC"/>
    <w:rsid w:val="0086167A"/>
    <w:rsid w:val="00861FB1"/>
    <w:rsid w:val="00862722"/>
    <w:rsid w:val="00862CD6"/>
    <w:rsid w:val="00863077"/>
    <w:rsid w:val="00863B77"/>
    <w:rsid w:val="008646A2"/>
    <w:rsid w:val="00864AF7"/>
    <w:rsid w:val="0086510A"/>
    <w:rsid w:val="008664C5"/>
    <w:rsid w:val="008665BD"/>
    <w:rsid w:val="008668C5"/>
    <w:rsid w:val="00867A1C"/>
    <w:rsid w:val="00867A86"/>
    <w:rsid w:val="0087041F"/>
    <w:rsid w:val="0087069F"/>
    <w:rsid w:val="008707EA"/>
    <w:rsid w:val="00870A9D"/>
    <w:rsid w:val="00870D6F"/>
    <w:rsid w:val="0087117E"/>
    <w:rsid w:val="00871657"/>
    <w:rsid w:val="00871E6B"/>
    <w:rsid w:val="00872DBD"/>
    <w:rsid w:val="00873563"/>
    <w:rsid w:val="00873DA0"/>
    <w:rsid w:val="008742BF"/>
    <w:rsid w:val="0087478C"/>
    <w:rsid w:val="008747E6"/>
    <w:rsid w:val="00874867"/>
    <w:rsid w:val="0087515B"/>
    <w:rsid w:val="00875EE1"/>
    <w:rsid w:val="00876A22"/>
    <w:rsid w:val="00876B3C"/>
    <w:rsid w:val="00876BC7"/>
    <w:rsid w:val="00876E46"/>
    <w:rsid w:val="00877710"/>
    <w:rsid w:val="008777F8"/>
    <w:rsid w:val="00881650"/>
    <w:rsid w:val="0088179D"/>
    <w:rsid w:val="008818C7"/>
    <w:rsid w:val="00881934"/>
    <w:rsid w:val="0088194D"/>
    <w:rsid w:val="00882E3E"/>
    <w:rsid w:val="00883278"/>
    <w:rsid w:val="00883320"/>
    <w:rsid w:val="0088332A"/>
    <w:rsid w:val="0088368B"/>
    <w:rsid w:val="00884021"/>
    <w:rsid w:val="00884229"/>
    <w:rsid w:val="00884713"/>
    <w:rsid w:val="0088489A"/>
    <w:rsid w:val="00884A7B"/>
    <w:rsid w:val="00884B36"/>
    <w:rsid w:val="00885013"/>
    <w:rsid w:val="008851AC"/>
    <w:rsid w:val="008859B6"/>
    <w:rsid w:val="00885D2A"/>
    <w:rsid w:val="00886839"/>
    <w:rsid w:val="00887745"/>
    <w:rsid w:val="0089004D"/>
    <w:rsid w:val="00890409"/>
    <w:rsid w:val="00890663"/>
    <w:rsid w:val="00890934"/>
    <w:rsid w:val="00890C02"/>
    <w:rsid w:val="00890CC4"/>
    <w:rsid w:val="00890ED5"/>
    <w:rsid w:val="0089173B"/>
    <w:rsid w:val="00891874"/>
    <w:rsid w:val="008921ED"/>
    <w:rsid w:val="00893508"/>
    <w:rsid w:val="00893A56"/>
    <w:rsid w:val="00893B8D"/>
    <w:rsid w:val="00893C4A"/>
    <w:rsid w:val="00894C7F"/>
    <w:rsid w:val="00894D4D"/>
    <w:rsid w:val="00896610"/>
    <w:rsid w:val="00896D85"/>
    <w:rsid w:val="00896E50"/>
    <w:rsid w:val="00897116"/>
    <w:rsid w:val="0089718F"/>
    <w:rsid w:val="00897570"/>
    <w:rsid w:val="008975ED"/>
    <w:rsid w:val="008976DD"/>
    <w:rsid w:val="00897B9B"/>
    <w:rsid w:val="00897CEB"/>
    <w:rsid w:val="008A05D1"/>
    <w:rsid w:val="008A0792"/>
    <w:rsid w:val="008A126B"/>
    <w:rsid w:val="008A1399"/>
    <w:rsid w:val="008A16C7"/>
    <w:rsid w:val="008A1783"/>
    <w:rsid w:val="008A1E2F"/>
    <w:rsid w:val="008A2865"/>
    <w:rsid w:val="008A2897"/>
    <w:rsid w:val="008A2B22"/>
    <w:rsid w:val="008A2E3D"/>
    <w:rsid w:val="008A34E9"/>
    <w:rsid w:val="008A3538"/>
    <w:rsid w:val="008A3C0E"/>
    <w:rsid w:val="008A4654"/>
    <w:rsid w:val="008A4D4C"/>
    <w:rsid w:val="008A5473"/>
    <w:rsid w:val="008A55EF"/>
    <w:rsid w:val="008A56AB"/>
    <w:rsid w:val="008A60A6"/>
    <w:rsid w:val="008A7B6A"/>
    <w:rsid w:val="008A7B9E"/>
    <w:rsid w:val="008A7F26"/>
    <w:rsid w:val="008B035D"/>
    <w:rsid w:val="008B056E"/>
    <w:rsid w:val="008B0980"/>
    <w:rsid w:val="008B0D6D"/>
    <w:rsid w:val="008B0F3D"/>
    <w:rsid w:val="008B174F"/>
    <w:rsid w:val="008B1BB1"/>
    <w:rsid w:val="008B2199"/>
    <w:rsid w:val="008B26DF"/>
    <w:rsid w:val="008B27AE"/>
    <w:rsid w:val="008B2F05"/>
    <w:rsid w:val="008B3F4D"/>
    <w:rsid w:val="008B40FF"/>
    <w:rsid w:val="008B4421"/>
    <w:rsid w:val="008B45F6"/>
    <w:rsid w:val="008B491C"/>
    <w:rsid w:val="008B512E"/>
    <w:rsid w:val="008B58D8"/>
    <w:rsid w:val="008B5D70"/>
    <w:rsid w:val="008B5FF7"/>
    <w:rsid w:val="008B6B17"/>
    <w:rsid w:val="008B6B59"/>
    <w:rsid w:val="008B6BE2"/>
    <w:rsid w:val="008B6E0D"/>
    <w:rsid w:val="008B77BB"/>
    <w:rsid w:val="008C02FF"/>
    <w:rsid w:val="008C0677"/>
    <w:rsid w:val="008C098F"/>
    <w:rsid w:val="008C0A84"/>
    <w:rsid w:val="008C0E03"/>
    <w:rsid w:val="008C0E95"/>
    <w:rsid w:val="008C1507"/>
    <w:rsid w:val="008C1757"/>
    <w:rsid w:val="008C2A42"/>
    <w:rsid w:val="008C2BCA"/>
    <w:rsid w:val="008C31B0"/>
    <w:rsid w:val="008C3248"/>
    <w:rsid w:val="008C3330"/>
    <w:rsid w:val="008C3462"/>
    <w:rsid w:val="008C37C1"/>
    <w:rsid w:val="008C3CEB"/>
    <w:rsid w:val="008C3DD8"/>
    <w:rsid w:val="008C3EE1"/>
    <w:rsid w:val="008C4191"/>
    <w:rsid w:val="008C445A"/>
    <w:rsid w:val="008C49AD"/>
    <w:rsid w:val="008C5375"/>
    <w:rsid w:val="008C5535"/>
    <w:rsid w:val="008C5542"/>
    <w:rsid w:val="008C57C4"/>
    <w:rsid w:val="008C6AF3"/>
    <w:rsid w:val="008C6B46"/>
    <w:rsid w:val="008C7185"/>
    <w:rsid w:val="008D00AA"/>
    <w:rsid w:val="008D0154"/>
    <w:rsid w:val="008D054D"/>
    <w:rsid w:val="008D0AB2"/>
    <w:rsid w:val="008D15E9"/>
    <w:rsid w:val="008D16E9"/>
    <w:rsid w:val="008D19F6"/>
    <w:rsid w:val="008D1F3B"/>
    <w:rsid w:val="008D2085"/>
    <w:rsid w:val="008D2269"/>
    <w:rsid w:val="008D2DCF"/>
    <w:rsid w:val="008D2E68"/>
    <w:rsid w:val="008D337C"/>
    <w:rsid w:val="008D37D1"/>
    <w:rsid w:val="008D3DDE"/>
    <w:rsid w:val="008D3F78"/>
    <w:rsid w:val="008D4E28"/>
    <w:rsid w:val="008D6210"/>
    <w:rsid w:val="008D638A"/>
    <w:rsid w:val="008D64F6"/>
    <w:rsid w:val="008D7125"/>
    <w:rsid w:val="008D75C0"/>
    <w:rsid w:val="008D7CA8"/>
    <w:rsid w:val="008E0415"/>
    <w:rsid w:val="008E08E3"/>
    <w:rsid w:val="008E116C"/>
    <w:rsid w:val="008E17C8"/>
    <w:rsid w:val="008E17D6"/>
    <w:rsid w:val="008E1CCF"/>
    <w:rsid w:val="008E1CDC"/>
    <w:rsid w:val="008E278B"/>
    <w:rsid w:val="008E2A03"/>
    <w:rsid w:val="008E2E93"/>
    <w:rsid w:val="008E2F93"/>
    <w:rsid w:val="008E322A"/>
    <w:rsid w:val="008E3465"/>
    <w:rsid w:val="008E3801"/>
    <w:rsid w:val="008E4761"/>
    <w:rsid w:val="008E4DB8"/>
    <w:rsid w:val="008E51FE"/>
    <w:rsid w:val="008E631F"/>
    <w:rsid w:val="008E64E1"/>
    <w:rsid w:val="008E6B9B"/>
    <w:rsid w:val="008E74B8"/>
    <w:rsid w:val="008E7BEC"/>
    <w:rsid w:val="008E7CCF"/>
    <w:rsid w:val="008F01AA"/>
    <w:rsid w:val="008F065F"/>
    <w:rsid w:val="008F114D"/>
    <w:rsid w:val="008F2314"/>
    <w:rsid w:val="008F271F"/>
    <w:rsid w:val="008F34FB"/>
    <w:rsid w:val="008F38CA"/>
    <w:rsid w:val="008F40E9"/>
    <w:rsid w:val="008F42CA"/>
    <w:rsid w:val="008F4527"/>
    <w:rsid w:val="008F4533"/>
    <w:rsid w:val="008F49ED"/>
    <w:rsid w:val="008F5142"/>
    <w:rsid w:val="008F5512"/>
    <w:rsid w:val="008F559F"/>
    <w:rsid w:val="008F55B7"/>
    <w:rsid w:val="008F5749"/>
    <w:rsid w:val="008F57A3"/>
    <w:rsid w:val="008F5CDB"/>
    <w:rsid w:val="008F65FB"/>
    <w:rsid w:val="008F6F95"/>
    <w:rsid w:val="008F7E88"/>
    <w:rsid w:val="0090058B"/>
    <w:rsid w:val="00900DD7"/>
    <w:rsid w:val="009014C4"/>
    <w:rsid w:val="00902149"/>
    <w:rsid w:val="00902C82"/>
    <w:rsid w:val="00902D19"/>
    <w:rsid w:val="00902DD6"/>
    <w:rsid w:val="00903077"/>
    <w:rsid w:val="00903E3D"/>
    <w:rsid w:val="00903E60"/>
    <w:rsid w:val="0090493A"/>
    <w:rsid w:val="00904995"/>
    <w:rsid w:val="009049D1"/>
    <w:rsid w:val="00905944"/>
    <w:rsid w:val="00906018"/>
    <w:rsid w:val="00906290"/>
    <w:rsid w:val="00906552"/>
    <w:rsid w:val="00906766"/>
    <w:rsid w:val="00906786"/>
    <w:rsid w:val="009067A6"/>
    <w:rsid w:val="00906F90"/>
    <w:rsid w:val="00907653"/>
    <w:rsid w:val="00907799"/>
    <w:rsid w:val="00907BE1"/>
    <w:rsid w:val="00907F5F"/>
    <w:rsid w:val="00910182"/>
    <w:rsid w:val="00910437"/>
    <w:rsid w:val="00910969"/>
    <w:rsid w:val="009110CC"/>
    <w:rsid w:val="009111A1"/>
    <w:rsid w:val="0091252A"/>
    <w:rsid w:val="00912B15"/>
    <w:rsid w:val="00912DD7"/>
    <w:rsid w:val="00913030"/>
    <w:rsid w:val="009133F1"/>
    <w:rsid w:val="00913762"/>
    <w:rsid w:val="00913B4B"/>
    <w:rsid w:val="00913C67"/>
    <w:rsid w:val="00913D06"/>
    <w:rsid w:val="00914593"/>
    <w:rsid w:val="00914775"/>
    <w:rsid w:val="009148D4"/>
    <w:rsid w:val="00914952"/>
    <w:rsid w:val="00914C04"/>
    <w:rsid w:val="00915988"/>
    <w:rsid w:val="00915A71"/>
    <w:rsid w:val="00916360"/>
    <w:rsid w:val="00917017"/>
    <w:rsid w:val="00920839"/>
    <w:rsid w:val="009209AB"/>
    <w:rsid w:val="00921AFF"/>
    <w:rsid w:val="00921D01"/>
    <w:rsid w:val="00921F07"/>
    <w:rsid w:val="00922051"/>
    <w:rsid w:val="0092235A"/>
    <w:rsid w:val="0092293F"/>
    <w:rsid w:val="00922944"/>
    <w:rsid w:val="00922C9A"/>
    <w:rsid w:val="00923093"/>
    <w:rsid w:val="00923F52"/>
    <w:rsid w:val="009241D2"/>
    <w:rsid w:val="00924C04"/>
    <w:rsid w:val="00924EE8"/>
    <w:rsid w:val="009253AB"/>
    <w:rsid w:val="009259D4"/>
    <w:rsid w:val="00925A69"/>
    <w:rsid w:val="00925E58"/>
    <w:rsid w:val="009261E8"/>
    <w:rsid w:val="0092650C"/>
    <w:rsid w:val="0093059F"/>
    <w:rsid w:val="00930B96"/>
    <w:rsid w:val="00930E3F"/>
    <w:rsid w:val="00930FEB"/>
    <w:rsid w:val="0093110B"/>
    <w:rsid w:val="009311B6"/>
    <w:rsid w:val="00931800"/>
    <w:rsid w:val="00931842"/>
    <w:rsid w:val="00931FFA"/>
    <w:rsid w:val="009321B3"/>
    <w:rsid w:val="009324C8"/>
    <w:rsid w:val="00932C6A"/>
    <w:rsid w:val="00933ED3"/>
    <w:rsid w:val="00933F1C"/>
    <w:rsid w:val="00934758"/>
    <w:rsid w:val="0093489A"/>
    <w:rsid w:val="009349A8"/>
    <w:rsid w:val="009355AF"/>
    <w:rsid w:val="009356A6"/>
    <w:rsid w:val="00935E18"/>
    <w:rsid w:val="00936F0E"/>
    <w:rsid w:val="009378E8"/>
    <w:rsid w:val="00937B6F"/>
    <w:rsid w:val="00937C90"/>
    <w:rsid w:val="00937EE3"/>
    <w:rsid w:val="009402CC"/>
    <w:rsid w:val="0094043C"/>
    <w:rsid w:val="009407EB"/>
    <w:rsid w:val="009417C3"/>
    <w:rsid w:val="009419D4"/>
    <w:rsid w:val="00942948"/>
    <w:rsid w:val="00942B3A"/>
    <w:rsid w:val="00942CF6"/>
    <w:rsid w:val="00944CDB"/>
    <w:rsid w:val="00945633"/>
    <w:rsid w:val="00945E50"/>
    <w:rsid w:val="00946B7D"/>
    <w:rsid w:val="00947348"/>
    <w:rsid w:val="0094775B"/>
    <w:rsid w:val="00947B71"/>
    <w:rsid w:val="00950626"/>
    <w:rsid w:val="00950CCF"/>
    <w:rsid w:val="009514B5"/>
    <w:rsid w:val="00952293"/>
    <w:rsid w:val="00952400"/>
    <w:rsid w:val="00952751"/>
    <w:rsid w:val="00952BF8"/>
    <w:rsid w:val="009534C1"/>
    <w:rsid w:val="00953BF2"/>
    <w:rsid w:val="0095433E"/>
    <w:rsid w:val="0095460F"/>
    <w:rsid w:val="00954CE9"/>
    <w:rsid w:val="00954DC6"/>
    <w:rsid w:val="009552E2"/>
    <w:rsid w:val="009562DE"/>
    <w:rsid w:val="009564F0"/>
    <w:rsid w:val="00956EB2"/>
    <w:rsid w:val="009574C3"/>
    <w:rsid w:val="0096002A"/>
    <w:rsid w:val="00960307"/>
    <w:rsid w:val="009615FE"/>
    <w:rsid w:val="009616C8"/>
    <w:rsid w:val="00961886"/>
    <w:rsid w:val="0096197E"/>
    <w:rsid w:val="0096277C"/>
    <w:rsid w:val="00962A69"/>
    <w:rsid w:val="00962F76"/>
    <w:rsid w:val="00963083"/>
    <w:rsid w:val="0096314D"/>
    <w:rsid w:val="00963152"/>
    <w:rsid w:val="009632BB"/>
    <w:rsid w:val="009638B3"/>
    <w:rsid w:val="00963EA5"/>
    <w:rsid w:val="0096491B"/>
    <w:rsid w:val="00964AD3"/>
    <w:rsid w:val="00964D0B"/>
    <w:rsid w:val="00964F7C"/>
    <w:rsid w:val="00965241"/>
    <w:rsid w:val="00965AAA"/>
    <w:rsid w:val="00965E1D"/>
    <w:rsid w:val="00965E5D"/>
    <w:rsid w:val="00966076"/>
    <w:rsid w:val="009661F9"/>
    <w:rsid w:val="009668E9"/>
    <w:rsid w:val="00966B00"/>
    <w:rsid w:val="00966CE2"/>
    <w:rsid w:val="009677F4"/>
    <w:rsid w:val="009708AE"/>
    <w:rsid w:val="00971C7D"/>
    <w:rsid w:val="0097232E"/>
    <w:rsid w:val="00972655"/>
    <w:rsid w:val="009727FD"/>
    <w:rsid w:val="009729F0"/>
    <w:rsid w:val="00972CC2"/>
    <w:rsid w:val="00973620"/>
    <w:rsid w:val="00973DA9"/>
    <w:rsid w:val="009746FC"/>
    <w:rsid w:val="00974C20"/>
    <w:rsid w:val="00974D1E"/>
    <w:rsid w:val="00974E0C"/>
    <w:rsid w:val="00976E3E"/>
    <w:rsid w:val="0097712C"/>
    <w:rsid w:val="00977287"/>
    <w:rsid w:val="009811E7"/>
    <w:rsid w:val="00981255"/>
    <w:rsid w:val="00981FAA"/>
    <w:rsid w:val="00982243"/>
    <w:rsid w:val="009827A9"/>
    <w:rsid w:val="009834D1"/>
    <w:rsid w:val="00983667"/>
    <w:rsid w:val="009838EA"/>
    <w:rsid w:val="00983E1D"/>
    <w:rsid w:val="009842B8"/>
    <w:rsid w:val="00985F6D"/>
    <w:rsid w:val="00986454"/>
    <w:rsid w:val="009870C3"/>
    <w:rsid w:val="0098717D"/>
    <w:rsid w:val="009871A3"/>
    <w:rsid w:val="00987CE9"/>
    <w:rsid w:val="0099040F"/>
    <w:rsid w:val="0099045D"/>
    <w:rsid w:val="00990818"/>
    <w:rsid w:val="0099088A"/>
    <w:rsid w:val="00990CEE"/>
    <w:rsid w:val="0099152B"/>
    <w:rsid w:val="00991836"/>
    <w:rsid w:val="00991F56"/>
    <w:rsid w:val="009921D0"/>
    <w:rsid w:val="009927BC"/>
    <w:rsid w:val="00992941"/>
    <w:rsid w:val="00993358"/>
    <w:rsid w:val="009935F5"/>
    <w:rsid w:val="00993D01"/>
    <w:rsid w:val="00994328"/>
    <w:rsid w:val="00994918"/>
    <w:rsid w:val="00994D9F"/>
    <w:rsid w:val="00994F58"/>
    <w:rsid w:val="00995135"/>
    <w:rsid w:val="00995BA7"/>
    <w:rsid w:val="009962A3"/>
    <w:rsid w:val="0099640D"/>
    <w:rsid w:val="00996A05"/>
    <w:rsid w:val="009971BB"/>
    <w:rsid w:val="00997249"/>
    <w:rsid w:val="00997F6F"/>
    <w:rsid w:val="009A0136"/>
    <w:rsid w:val="009A0FBE"/>
    <w:rsid w:val="009A13DB"/>
    <w:rsid w:val="009A1E48"/>
    <w:rsid w:val="009A1F33"/>
    <w:rsid w:val="009A223F"/>
    <w:rsid w:val="009A2ABE"/>
    <w:rsid w:val="009A356A"/>
    <w:rsid w:val="009A4119"/>
    <w:rsid w:val="009A424F"/>
    <w:rsid w:val="009A4509"/>
    <w:rsid w:val="009A4C7C"/>
    <w:rsid w:val="009A4E18"/>
    <w:rsid w:val="009A504E"/>
    <w:rsid w:val="009A66D5"/>
    <w:rsid w:val="009A73CF"/>
    <w:rsid w:val="009A7FC5"/>
    <w:rsid w:val="009B0105"/>
    <w:rsid w:val="009B01AD"/>
    <w:rsid w:val="009B0695"/>
    <w:rsid w:val="009B1681"/>
    <w:rsid w:val="009B1F7D"/>
    <w:rsid w:val="009B27E0"/>
    <w:rsid w:val="009B2AE3"/>
    <w:rsid w:val="009B3007"/>
    <w:rsid w:val="009B34A1"/>
    <w:rsid w:val="009B3F29"/>
    <w:rsid w:val="009B42F0"/>
    <w:rsid w:val="009B442B"/>
    <w:rsid w:val="009B5BFA"/>
    <w:rsid w:val="009B5C1D"/>
    <w:rsid w:val="009B5EA1"/>
    <w:rsid w:val="009B602C"/>
    <w:rsid w:val="009B72DA"/>
    <w:rsid w:val="009B75A0"/>
    <w:rsid w:val="009C04CD"/>
    <w:rsid w:val="009C09F6"/>
    <w:rsid w:val="009C0B1E"/>
    <w:rsid w:val="009C164E"/>
    <w:rsid w:val="009C1E97"/>
    <w:rsid w:val="009C1EE1"/>
    <w:rsid w:val="009C2ABB"/>
    <w:rsid w:val="009C326F"/>
    <w:rsid w:val="009C3604"/>
    <w:rsid w:val="009C399E"/>
    <w:rsid w:val="009C3F3C"/>
    <w:rsid w:val="009C49FF"/>
    <w:rsid w:val="009C4A86"/>
    <w:rsid w:val="009C4D29"/>
    <w:rsid w:val="009C4ED5"/>
    <w:rsid w:val="009C5547"/>
    <w:rsid w:val="009C5C73"/>
    <w:rsid w:val="009C5EBD"/>
    <w:rsid w:val="009C6305"/>
    <w:rsid w:val="009C67AF"/>
    <w:rsid w:val="009C6DF6"/>
    <w:rsid w:val="009C6F41"/>
    <w:rsid w:val="009C747C"/>
    <w:rsid w:val="009C755C"/>
    <w:rsid w:val="009C7FE4"/>
    <w:rsid w:val="009D0119"/>
    <w:rsid w:val="009D0364"/>
    <w:rsid w:val="009D0544"/>
    <w:rsid w:val="009D0A91"/>
    <w:rsid w:val="009D0F31"/>
    <w:rsid w:val="009D1174"/>
    <w:rsid w:val="009D1821"/>
    <w:rsid w:val="009D2089"/>
    <w:rsid w:val="009D2276"/>
    <w:rsid w:val="009D227D"/>
    <w:rsid w:val="009D2F66"/>
    <w:rsid w:val="009D3610"/>
    <w:rsid w:val="009D37CA"/>
    <w:rsid w:val="009D3A72"/>
    <w:rsid w:val="009D4003"/>
    <w:rsid w:val="009D54D5"/>
    <w:rsid w:val="009D5567"/>
    <w:rsid w:val="009D62DD"/>
    <w:rsid w:val="009D75E9"/>
    <w:rsid w:val="009E038E"/>
    <w:rsid w:val="009E0CED"/>
    <w:rsid w:val="009E0FB8"/>
    <w:rsid w:val="009E15D8"/>
    <w:rsid w:val="009E328F"/>
    <w:rsid w:val="009E3604"/>
    <w:rsid w:val="009E3B7A"/>
    <w:rsid w:val="009E3CCC"/>
    <w:rsid w:val="009E42AA"/>
    <w:rsid w:val="009E4B58"/>
    <w:rsid w:val="009E4CCF"/>
    <w:rsid w:val="009E59E8"/>
    <w:rsid w:val="009E59EF"/>
    <w:rsid w:val="009E5A2A"/>
    <w:rsid w:val="009E5E7D"/>
    <w:rsid w:val="009E5F0B"/>
    <w:rsid w:val="009E63B2"/>
    <w:rsid w:val="009E6F09"/>
    <w:rsid w:val="009E729D"/>
    <w:rsid w:val="009E73B2"/>
    <w:rsid w:val="009E7768"/>
    <w:rsid w:val="009F002E"/>
    <w:rsid w:val="009F00A6"/>
    <w:rsid w:val="009F11D7"/>
    <w:rsid w:val="009F153C"/>
    <w:rsid w:val="009F1898"/>
    <w:rsid w:val="009F2424"/>
    <w:rsid w:val="009F2808"/>
    <w:rsid w:val="009F35F9"/>
    <w:rsid w:val="009F39C2"/>
    <w:rsid w:val="009F3D11"/>
    <w:rsid w:val="009F3F12"/>
    <w:rsid w:val="009F42E1"/>
    <w:rsid w:val="009F4979"/>
    <w:rsid w:val="009F5241"/>
    <w:rsid w:val="009F5DF5"/>
    <w:rsid w:val="009F7299"/>
    <w:rsid w:val="009F765C"/>
    <w:rsid w:val="009F7D9D"/>
    <w:rsid w:val="009F7F6D"/>
    <w:rsid w:val="00A021DA"/>
    <w:rsid w:val="00A02358"/>
    <w:rsid w:val="00A02D89"/>
    <w:rsid w:val="00A030D2"/>
    <w:rsid w:val="00A0341D"/>
    <w:rsid w:val="00A03A2C"/>
    <w:rsid w:val="00A03E05"/>
    <w:rsid w:val="00A04514"/>
    <w:rsid w:val="00A0488B"/>
    <w:rsid w:val="00A048A3"/>
    <w:rsid w:val="00A048B7"/>
    <w:rsid w:val="00A04B1D"/>
    <w:rsid w:val="00A04B53"/>
    <w:rsid w:val="00A0507D"/>
    <w:rsid w:val="00A06964"/>
    <w:rsid w:val="00A07B1A"/>
    <w:rsid w:val="00A1052F"/>
    <w:rsid w:val="00A111CB"/>
    <w:rsid w:val="00A116A6"/>
    <w:rsid w:val="00A118FC"/>
    <w:rsid w:val="00A126F6"/>
    <w:rsid w:val="00A12AFE"/>
    <w:rsid w:val="00A12B4F"/>
    <w:rsid w:val="00A12D8A"/>
    <w:rsid w:val="00A1325B"/>
    <w:rsid w:val="00A136C2"/>
    <w:rsid w:val="00A13748"/>
    <w:rsid w:val="00A138B3"/>
    <w:rsid w:val="00A13B49"/>
    <w:rsid w:val="00A13C55"/>
    <w:rsid w:val="00A13F87"/>
    <w:rsid w:val="00A14308"/>
    <w:rsid w:val="00A145B5"/>
    <w:rsid w:val="00A14772"/>
    <w:rsid w:val="00A147D6"/>
    <w:rsid w:val="00A14A63"/>
    <w:rsid w:val="00A15620"/>
    <w:rsid w:val="00A1566B"/>
    <w:rsid w:val="00A158C6"/>
    <w:rsid w:val="00A15F72"/>
    <w:rsid w:val="00A1601D"/>
    <w:rsid w:val="00A165C8"/>
    <w:rsid w:val="00A1668B"/>
    <w:rsid w:val="00A168BC"/>
    <w:rsid w:val="00A16D03"/>
    <w:rsid w:val="00A16DA6"/>
    <w:rsid w:val="00A17D26"/>
    <w:rsid w:val="00A203B0"/>
    <w:rsid w:val="00A20644"/>
    <w:rsid w:val="00A20712"/>
    <w:rsid w:val="00A20F18"/>
    <w:rsid w:val="00A217C3"/>
    <w:rsid w:val="00A21938"/>
    <w:rsid w:val="00A21EB0"/>
    <w:rsid w:val="00A23905"/>
    <w:rsid w:val="00A246B1"/>
    <w:rsid w:val="00A246BA"/>
    <w:rsid w:val="00A25381"/>
    <w:rsid w:val="00A25D14"/>
    <w:rsid w:val="00A25E32"/>
    <w:rsid w:val="00A269BF"/>
    <w:rsid w:val="00A26B44"/>
    <w:rsid w:val="00A27E0E"/>
    <w:rsid w:val="00A30126"/>
    <w:rsid w:val="00A308B9"/>
    <w:rsid w:val="00A30A20"/>
    <w:rsid w:val="00A31F31"/>
    <w:rsid w:val="00A31FC7"/>
    <w:rsid w:val="00A32BF5"/>
    <w:rsid w:val="00A33DE7"/>
    <w:rsid w:val="00A34026"/>
    <w:rsid w:val="00A34D7B"/>
    <w:rsid w:val="00A3607C"/>
    <w:rsid w:val="00A37BD0"/>
    <w:rsid w:val="00A40316"/>
    <w:rsid w:val="00A40A9B"/>
    <w:rsid w:val="00A40DDD"/>
    <w:rsid w:val="00A41251"/>
    <w:rsid w:val="00A413DB"/>
    <w:rsid w:val="00A41423"/>
    <w:rsid w:val="00A418B9"/>
    <w:rsid w:val="00A4302C"/>
    <w:rsid w:val="00A43041"/>
    <w:rsid w:val="00A4333B"/>
    <w:rsid w:val="00A43777"/>
    <w:rsid w:val="00A43C3C"/>
    <w:rsid w:val="00A43C9C"/>
    <w:rsid w:val="00A44FA3"/>
    <w:rsid w:val="00A4506F"/>
    <w:rsid w:val="00A46612"/>
    <w:rsid w:val="00A46BD3"/>
    <w:rsid w:val="00A47505"/>
    <w:rsid w:val="00A477E7"/>
    <w:rsid w:val="00A5039F"/>
    <w:rsid w:val="00A50487"/>
    <w:rsid w:val="00A507CA"/>
    <w:rsid w:val="00A50C22"/>
    <w:rsid w:val="00A51726"/>
    <w:rsid w:val="00A52394"/>
    <w:rsid w:val="00A526DE"/>
    <w:rsid w:val="00A52879"/>
    <w:rsid w:val="00A52BB9"/>
    <w:rsid w:val="00A52CB1"/>
    <w:rsid w:val="00A530FE"/>
    <w:rsid w:val="00A53AD4"/>
    <w:rsid w:val="00A53F88"/>
    <w:rsid w:val="00A53FEC"/>
    <w:rsid w:val="00A54296"/>
    <w:rsid w:val="00A543C3"/>
    <w:rsid w:val="00A5479E"/>
    <w:rsid w:val="00A54B74"/>
    <w:rsid w:val="00A54B76"/>
    <w:rsid w:val="00A55185"/>
    <w:rsid w:val="00A562E5"/>
    <w:rsid w:val="00A56809"/>
    <w:rsid w:val="00A574BE"/>
    <w:rsid w:val="00A57635"/>
    <w:rsid w:val="00A576F8"/>
    <w:rsid w:val="00A57793"/>
    <w:rsid w:val="00A600D0"/>
    <w:rsid w:val="00A60E18"/>
    <w:rsid w:val="00A6208B"/>
    <w:rsid w:val="00A621FC"/>
    <w:rsid w:val="00A6253F"/>
    <w:rsid w:val="00A63789"/>
    <w:rsid w:val="00A63D03"/>
    <w:rsid w:val="00A64029"/>
    <w:rsid w:val="00A647E1"/>
    <w:rsid w:val="00A65413"/>
    <w:rsid w:val="00A65A9D"/>
    <w:rsid w:val="00A65CF6"/>
    <w:rsid w:val="00A66A7B"/>
    <w:rsid w:val="00A66E59"/>
    <w:rsid w:val="00A66F6D"/>
    <w:rsid w:val="00A67384"/>
    <w:rsid w:val="00A678D7"/>
    <w:rsid w:val="00A67B5C"/>
    <w:rsid w:val="00A67FE4"/>
    <w:rsid w:val="00A716AF"/>
    <w:rsid w:val="00A724AC"/>
    <w:rsid w:val="00A739D9"/>
    <w:rsid w:val="00A748B7"/>
    <w:rsid w:val="00A74B00"/>
    <w:rsid w:val="00A75D5D"/>
    <w:rsid w:val="00A77605"/>
    <w:rsid w:val="00A776BA"/>
    <w:rsid w:val="00A77763"/>
    <w:rsid w:val="00A77B39"/>
    <w:rsid w:val="00A77B7A"/>
    <w:rsid w:val="00A77CC7"/>
    <w:rsid w:val="00A77EB4"/>
    <w:rsid w:val="00A77F1D"/>
    <w:rsid w:val="00A80C5A"/>
    <w:rsid w:val="00A81370"/>
    <w:rsid w:val="00A821F2"/>
    <w:rsid w:val="00A82E1F"/>
    <w:rsid w:val="00A83499"/>
    <w:rsid w:val="00A83E11"/>
    <w:rsid w:val="00A8446E"/>
    <w:rsid w:val="00A8490D"/>
    <w:rsid w:val="00A850C6"/>
    <w:rsid w:val="00A85479"/>
    <w:rsid w:val="00A85EEA"/>
    <w:rsid w:val="00A8661B"/>
    <w:rsid w:val="00A87000"/>
    <w:rsid w:val="00A875AA"/>
    <w:rsid w:val="00A87857"/>
    <w:rsid w:val="00A879CF"/>
    <w:rsid w:val="00A87D02"/>
    <w:rsid w:val="00A906E9"/>
    <w:rsid w:val="00A915DF"/>
    <w:rsid w:val="00A92971"/>
    <w:rsid w:val="00A92E22"/>
    <w:rsid w:val="00A93E4C"/>
    <w:rsid w:val="00A95288"/>
    <w:rsid w:val="00A95495"/>
    <w:rsid w:val="00A95953"/>
    <w:rsid w:val="00A95DA3"/>
    <w:rsid w:val="00A96059"/>
    <w:rsid w:val="00A962EE"/>
    <w:rsid w:val="00A96483"/>
    <w:rsid w:val="00A96E5D"/>
    <w:rsid w:val="00A96EB0"/>
    <w:rsid w:val="00A973E7"/>
    <w:rsid w:val="00A975D2"/>
    <w:rsid w:val="00A97A8E"/>
    <w:rsid w:val="00A97B82"/>
    <w:rsid w:val="00AA0204"/>
    <w:rsid w:val="00AA0265"/>
    <w:rsid w:val="00AA08D2"/>
    <w:rsid w:val="00AA09F3"/>
    <w:rsid w:val="00AA0F5B"/>
    <w:rsid w:val="00AA12E8"/>
    <w:rsid w:val="00AA194C"/>
    <w:rsid w:val="00AA1EC1"/>
    <w:rsid w:val="00AA22DE"/>
    <w:rsid w:val="00AA2614"/>
    <w:rsid w:val="00AA34FB"/>
    <w:rsid w:val="00AA3B08"/>
    <w:rsid w:val="00AA45C7"/>
    <w:rsid w:val="00AA4E35"/>
    <w:rsid w:val="00AA560E"/>
    <w:rsid w:val="00AA678F"/>
    <w:rsid w:val="00AA6DE0"/>
    <w:rsid w:val="00AA7075"/>
    <w:rsid w:val="00AA774B"/>
    <w:rsid w:val="00AA7AD3"/>
    <w:rsid w:val="00AB02C7"/>
    <w:rsid w:val="00AB0619"/>
    <w:rsid w:val="00AB08ED"/>
    <w:rsid w:val="00AB0A05"/>
    <w:rsid w:val="00AB0A81"/>
    <w:rsid w:val="00AB0AD4"/>
    <w:rsid w:val="00AB0D5C"/>
    <w:rsid w:val="00AB154C"/>
    <w:rsid w:val="00AB161D"/>
    <w:rsid w:val="00AB1DB8"/>
    <w:rsid w:val="00AB1EA4"/>
    <w:rsid w:val="00AB2078"/>
    <w:rsid w:val="00AB24E0"/>
    <w:rsid w:val="00AB2751"/>
    <w:rsid w:val="00AB2E37"/>
    <w:rsid w:val="00AB3692"/>
    <w:rsid w:val="00AB387D"/>
    <w:rsid w:val="00AB38CC"/>
    <w:rsid w:val="00AB3C3B"/>
    <w:rsid w:val="00AB492C"/>
    <w:rsid w:val="00AB5321"/>
    <w:rsid w:val="00AB6CDF"/>
    <w:rsid w:val="00AB7155"/>
    <w:rsid w:val="00AB7598"/>
    <w:rsid w:val="00AB7A1C"/>
    <w:rsid w:val="00AB7D78"/>
    <w:rsid w:val="00AB7DA7"/>
    <w:rsid w:val="00AC019B"/>
    <w:rsid w:val="00AC01CC"/>
    <w:rsid w:val="00AC02F6"/>
    <w:rsid w:val="00AC041B"/>
    <w:rsid w:val="00AC06E0"/>
    <w:rsid w:val="00AC076D"/>
    <w:rsid w:val="00AC10E6"/>
    <w:rsid w:val="00AC1183"/>
    <w:rsid w:val="00AC148B"/>
    <w:rsid w:val="00AC14EC"/>
    <w:rsid w:val="00AC16D9"/>
    <w:rsid w:val="00AC1732"/>
    <w:rsid w:val="00AC17B1"/>
    <w:rsid w:val="00AC1E14"/>
    <w:rsid w:val="00AC1F51"/>
    <w:rsid w:val="00AC228D"/>
    <w:rsid w:val="00AC26C0"/>
    <w:rsid w:val="00AC2B87"/>
    <w:rsid w:val="00AC4144"/>
    <w:rsid w:val="00AC43F0"/>
    <w:rsid w:val="00AC514F"/>
    <w:rsid w:val="00AC5D6B"/>
    <w:rsid w:val="00AC6329"/>
    <w:rsid w:val="00AC6C09"/>
    <w:rsid w:val="00AC78E6"/>
    <w:rsid w:val="00AC796C"/>
    <w:rsid w:val="00AD040E"/>
    <w:rsid w:val="00AD0B93"/>
    <w:rsid w:val="00AD0C3F"/>
    <w:rsid w:val="00AD1607"/>
    <w:rsid w:val="00AD1C50"/>
    <w:rsid w:val="00AD218E"/>
    <w:rsid w:val="00AD21A9"/>
    <w:rsid w:val="00AD2A5E"/>
    <w:rsid w:val="00AD2E53"/>
    <w:rsid w:val="00AD4173"/>
    <w:rsid w:val="00AD424E"/>
    <w:rsid w:val="00AD4547"/>
    <w:rsid w:val="00AD50E7"/>
    <w:rsid w:val="00AD5328"/>
    <w:rsid w:val="00AD5354"/>
    <w:rsid w:val="00AD577D"/>
    <w:rsid w:val="00AD5CC8"/>
    <w:rsid w:val="00AD5FC0"/>
    <w:rsid w:val="00AD71CC"/>
    <w:rsid w:val="00AD77CD"/>
    <w:rsid w:val="00AD78E1"/>
    <w:rsid w:val="00AD78FE"/>
    <w:rsid w:val="00AE1474"/>
    <w:rsid w:val="00AE16B6"/>
    <w:rsid w:val="00AE1CA1"/>
    <w:rsid w:val="00AE1E1E"/>
    <w:rsid w:val="00AE2BD3"/>
    <w:rsid w:val="00AE394C"/>
    <w:rsid w:val="00AE42BD"/>
    <w:rsid w:val="00AE4A62"/>
    <w:rsid w:val="00AE5048"/>
    <w:rsid w:val="00AE574B"/>
    <w:rsid w:val="00AE5D87"/>
    <w:rsid w:val="00AE639B"/>
    <w:rsid w:val="00AE6AD3"/>
    <w:rsid w:val="00AE7006"/>
    <w:rsid w:val="00AE781B"/>
    <w:rsid w:val="00AE7974"/>
    <w:rsid w:val="00AE7DF4"/>
    <w:rsid w:val="00AE7EA9"/>
    <w:rsid w:val="00AF001D"/>
    <w:rsid w:val="00AF0138"/>
    <w:rsid w:val="00AF04CB"/>
    <w:rsid w:val="00AF0D7D"/>
    <w:rsid w:val="00AF1B96"/>
    <w:rsid w:val="00AF1F2A"/>
    <w:rsid w:val="00AF236B"/>
    <w:rsid w:val="00AF3082"/>
    <w:rsid w:val="00AF32DA"/>
    <w:rsid w:val="00AF3CEC"/>
    <w:rsid w:val="00AF47AC"/>
    <w:rsid w:val="00AF4C3F"/>
    <w:rsid w:val="00AF5662"/>
    <w:rsid w:val="00AF640F"/>
    <w:rsid w:val="00AF6D81"/>
    <w:rsid w:val="00AF74CD"/>
    <w:rsid w:val="00AF782F"/>
    <w:rsid w:val="00AF791C"/>
    <w:rsid w:val="00AF7A0D"/>
    <w:rsid w:val="00B00074"/>
    <w:rsid w:val="00B005B0"/>
    <w:rsid w:val="00B006DA"/>
    <w:rsid w:val="00B00B26"/>
    <w:rsid w:val="00B00C5F"/>
    <w:rsid w:val="00B00E34"/>
    <w:rsid w:val="00B00FC4"/>
    <w:rsid w:val="00B011FB"/>
    <w:rsid w:val="00B02357"/>
    <w:rsid w:val="00B028E1"/>
    <w:rsid w:val="00B04191"/>
    <w:rsid w:val="00B04792"/>
    <w:rsid w:val="00B04CC7"/>
    <w:rsid w:val="00B05831"/>
    <w:rsid w:val="00B05ABB"/>
    <w:rsid w:val="00B0663D"/>
    <w:rsid w:val="00B06655"/>
    <w:rsid w:val="00B071EF"/>
    <w:rsid w:val="00B072EB"/>
    <w:rsid w:val="00B07644"/>
    <w:rsid w:val="00B07A3C"/>
    <w:rsid w:val="00B07F3F"/>
    <w:rsid w:val="00B1006D"/>
    <w:rsid w:val="00B10149"/>
    <w:rsid w:val="00B101AB"/>
    <w:rsid w:val="00B10746"/>
    <w:rsid w:val="00B107C6"/>
    <w:rsid w:val="00B109D4"/>
    <w:rsid w:val="00B10CD3"/>
    <w:rsid w:val="00B1102D"/>
    <w:rsid w:val="00B11BC0"/>
    <w:rsid w:val="00B11FFC"/>
    <w:rsid w:val="00B12559"/>
    <w:rsid w:val="00B12850"/>
    <w:rsid w:val="00B12880"/>
    <w:rsid w:val="00B130D6"/>
    <w:rsid w:val="00B1429C"/>
    <w:rsid w:val="00B14833"/>
    <w:rsid w:val="00B1547C"/>
    <w:rsid w:val="00B16640"/>
    <w:rsid w:val="00B16863"/>
    <w:rsid w:val="00B16F37"/>
    <w:rsid w:val="00B17C3E"/>
    <w:rsid w:val="00B17E07"/>
    <w:rsid w:val="00B20BEF"/>
    <w:rsid w:val="00B20CFF"/>
    <w:rsid w:val="00B20F58"/>
    <w:rsid w:val="00B22464"/>
    <w:rsid w:val="00B22BA0"/>
    <w:rsid w:val="00B22BA4"/>
    <w:rsid w:val="00B22D54"/>
    <w:rsid w:val="00B23445"/>
    <w:rsid w:val="00B235A4"/>
    <w:rsid w:val="00B24288"/>
    <w:rsid w:val="00B2479B"/>
    <w:rsid w:val="00B249C1"/>
    <w:rsid w:val="00B24A40"/>
    <w:rsid w:val="00B24DC1"/>
    <w:rsid w:val="00B24E5D"/>
    <w:rsid w:val="00B25855"/>
    <w:rsid w:val="00B27167"/>
    <w:rsid w:val="00B27472"/>
    <w:rsid w:val="00B2757D"/>
    <w:rsid w:val="00B30016"/>
    <w:rsid w:val="00B30CEA"/>
    <w:rsid w:val="00B30DA6"/>
    <w:rsid w:val="00B30E72"/>
    <w:rsid w:val="00B30FE0"/>
    <w:rsid w:val="00B31117"/>
    <w:rsid w:val="00B313E6"/>
    <w:rsid w:val="00B319C6"/>
    <w:rsid w:val="00B31C01"/>
    <w:rsid w:val="00B32D47"/>
    <w:rsid w:val="00B32FCF"/>
    <w:rsid w:val="00B3456F"/>
    <w:rsid w:val="00B35600"/>
    <w:rsid w:val="00B357D4"/>
    <w:rsid w:val="00B35DFA"/>
    <w:rsid w:val="00B35F34"/>
    <w:rsid w:val="00B362C0"/>
    <w:rsid w:val="00B36D64"/>
    <w:rsid w:val="00B36F33"/>
    <w:rsid w:val="00B376D3"/>
    <w:rsid w:val="00B403E0"/>
    <w:rsid w:val="00B41FBB"/>
    <w:rsid w:val="00B420B8"/>
    <w:rsid w:val="00B4316F"/>
    <w:rsid w:val="00B436EC"/>
    <w:rsid w:val="00B43806"/>
    <w:rsid w:val="00B4396C"/>
    <w:rsid w:val="00B43F47"/>
    <w:rsid w:val="00B43FDD"/>
    <w:rsid w:val="00B444D8"/>
    <w:rsid w:val="00B447A0"/>
    <w:rsid w:val="00B44942"/>
    <w:rsid w:val="00B44C5D"/>
    <w:rsid w:val="00B458B9"/>
    <w:rsid w:val="00B467D9"/>
    <w:rsid w:val="00B470E9"/>
    <w:rsid w:val="00B4716A"/>
    <w:rsid w:val="00B4767F"/>
    <w:rsid w:val="00B50310"/>
    <w:rsid w:val="00B50BD0"/>
    <w:rsid w:val="00B512DC"/>
    <w:rsid w:val="00B51B98"/>
    <w:rsid w:val="00B51C2D"/>
    <w:rsid w:val="00B51E38"/>
    <w:rsid w:val="00B51F87"/>
    <w:rsid w:val="00B522F7"/>
    <w:rsid w:val="00B52624"/>
    <w:rsid w:val="00B52981"/>
    <w:rsid w:val="00B52F3F"/>
    <w:rsid w:val="00B53172"/>
    <w:rsid w:val="00B53411"/>
    <w:rsid w:val="00B53ADA"/>
    <w:rsid w:val="00B545B0"/>
    <w:rsid w:val="00B54A10"/>
    <w:rsid w:val="00B55D7A"/>
    <w:rsid w:val="00B56438"/>
    <w:rsid w:val="00B56BA2"/>
    <w:rsid w:val="00B574C0"/>
    <w:rsid w:val="00B57FFE"/>
    <w:rsid w:val="00B60058"/>
    <w:rsid w:val="00B60166"/>
    <w:rsid w:val="00B6061A"/>
    <w:rsid w:val="00B60F38"/>
    <w:rsid w:val="00B61595"/>
    <w:rsid w:val="00B61680"/>
    <w:rsid w:val="00B617A2"/>
    <w:rsid w:val="00B62375"/>
    <w:rsid w:val="00B6339D"/>
    <w:rsid w:val="00B63757"/>
    <w:rsid w:val="00B63C68"/>
    <w:rsid w:val="00B6406B"/>
    <w:rsid w:val="00B6407E"/>
    <w:rsid w:val="00B64096"/>
    <w:rsid w:val="00B6435B"/>
    <w:rsid w:val="00B6442B"/>
    <w:rsid w:val="00B646B2"/>
    <w:rsid w:val="00B64B18"/>
    <w:rsid w:val="00B6559C"/>
    <w:rsid w:val="00B66BAF"/>
    <w:rsid w:val="00B6703F"/>
    <w:rsid w:val="00B70555"/>
    <w:rsid w:val="00B71A85"/>
    <w:rsid w:val="00B71CB9"/>
    <w:rsid w:val="00B720A0"/>
    <w:rsid w:val="00B7287B"/>
    <w:rsid w:val="00B72FAC"/>
    <w:rsid w:val="00B7311B"/>
    <w:rsid w:val="00B73FD3"/>
    <w:rsid w:val="00B740E7"/>
    <w:rsid w:val="00B745DC"/>
    <w:rsid w:val="00B747EE"/>
    <w:rsid w:val="00B74B8C"/>
    <w:rsid w:val="00B74E4E"/>
    <w:rsid w:val="00B7502B"/>
    <w:rsid w:val="00B751C9"/>
    <w:rsid w:val="00B7605E"/>
    <w:rsid w:val="00B77779"/>
    <w:rsid w:val="00B80273"/>
    <w:rsid w:val="00B8048E"/>
    <w:rsid w:val="00B804A3"/>
    <w:rsid w:val="00B80599"/>
    <w:rsid w:val="00B806DD"/>
    <w:rsid w:val="00B80C64"/>
    <w:rsid w:val="00B8161C"/>
    <w:rsid w:val="00B817E0"/>
    <w:rsid w:val="00B821A6"/>
    <w:rsid w:val="00B8256A"/>
    <w:rsid w:val="00B82E75"/>
    <w:rsid w:val="00B82FCF"/>
    <w:rsid w:val="00B8350D"/>
    <w:rsid w:val="00B8352B"/>
    <w:rsid w:val="00B83632"/>
    <w:rsid w:val="00B83636"/>
    <w:rsid w:val="00B83CB8"/>
    <w:rsid w:val="00B848E5"/>
    <w:rsid w:val="00B848F3"/>
    <w:rsid w:val="00B84ABA"/>
    <w:rsid w:val="00B856FA"/>
    <w:rsid w:val="00B86037"/>
    <w:rsid w:val="00B8624A"/>
    <w:rsid w:val="00B86E63"/>
    <w:rsid w:val="00B86F2D"/>
    <w:rsid w:val="00B87ABC"/>
    <w:rsid w:val="00B87E7B"/>
    <w:rsid w:val="00B87F95"/>
    <w:rsid w:val="00B902EE"/>
    <w:rsid w:val="00B90D9A"/>
    <w:rsid w:val="00B90DD7"/>
    <w:rsid w:val="00B92041"/>
    <w:rsid w:val="00B9223B"/>
    <w:rsid w:val="00B92269"/>
    <w:rsid w:val="00B92945"/>
    <w:rsid w:val="00B93A83"/>
    <w:rsid w:val="00B93B31"/>
    <w:rsid w:val="00B95170"/>
    <w:rsid w:val="00B9640B"/>
    <w:rsid w:val="00B9663E"/>
    <w:rsid w:val="00B96B2B"/>
    <w:rsid w:val="00B96C7E"/>
    <w:rsid w:val="00B97200"/>
    <w:rsid w:val="00BA0DE5"/>
    <w:rsid w:val="00BA120F"/>
    <w:rsid w:val="00BA17B0"/>
    <w:rsid w:val="00BA1804"/>
    <w:rsid w:val="00BA1847"/>
    <w:rsid w:val="00BA3A93"/>
    <w:rsid w:val="00BA43F8"/>
    <w:rsid w:val="00BA4E5C"/>
    <w:rsid w:val="00BA5910"/>
    <w:rsid w:val="00BA5B02"/>
    <w:rsid w:val="00BA5E10"/>
    <w:rsid w:val="00BA5ED1"/>
    <w:rsid w:val="00BA67E8"/>
    <w:rsid w:val="00BA6860"/>
    <w:rsid w:val="00BA69F6"/>
    <w:rsid w:val="00BA6AD3"/>
    <w:rsid w:val="00BA6C34"/>
    <w:rsid w:val="00BA6D5B"/>
    <w:rsid w:val="00BA6F96"/>
    <w:rsid w:val="00BA77BC"/>
    <w:rsid w:val="00BA7C33"/>
    <w:rsid w:val="00BA7F26"/>
    <w:rsid w:val="00BB0371"/>
    <w:rsid w:val="00BB0EA5"/>
    <w:rsid w:val="00BB0FAD"/>
    <w:rsid w:val="00BB0FE2"/>
    <w:rsid w:val="00BB10D0"/>
    <w:rsid w:val="00BB1413"/>
    <w:rsid w:val="00BB1750"/>
    <w:rsid w:val="00BB1AB9"/>
    <w:rsid w:val="00BB1DB7"/>
    <w:rsid w:val="00BB2156"/>
    <w:rsid w:val="00BB28C8"/>
    <w:rsid w:val="00BB2EAB"/>
    <w:rsid w:val="00BB31D2"/>
    <w:rsid w:val="00BB3CCC"/>
    <w:rsid w:val="00BB44CA"/>
    <w:rsid w:val="00BB4E6E"/>
    <w:rsid w:val="00BB5053"/>
    <w:rsid w:val="00BB5917"/>
    <w:rsid w:val="00BB5F30"/>
    <w:rsid w:val="00BB61E8"/>
    <w:rsid w:val="00BB64CD"/>
    <w:rsid w:val="00BB6A9B"/>
    <w:rsid w:val="00BB6AE0"/>
    <w:rsid w:val="00BB72A7"/>
    <w:rsid w:val="00BB7413"/>
    <w:rsid w:val="00BB7579"/>
    <w:rsid w:val="00BC04EB"/>
    <w:rsid w:val="00BC0681"/>
    <w:rsid w:val="00BC073A"/>
    <w:rsid w:val="00BC0A30"/>
    <w:rsid w:val="00BC0BDB"/>
    <w:rsid w:val="00BC0E4A"/>
    <w:rsid w:val="00BC1065"/>
    <w:rsid w:val="00BC115A"/>
    <w:rsid w:val="00BC17AC"/>
    <w:rsid w:val="00BC1B91"/>
    <w:rsid w:val="00BC2238"/>
    <w:rsid w:val="00BC2286"/>
    <w:rsid w:val="00BC26A6"/>
    <w:rsid w:val="00BC27C2"/>
    <w:rsid w:val="00BC2C6E"/>
    <w:rsid w:val="00BC319D"/>
    <w:rsid w:val="00BC3514"/>
    <w:rsid w:val="00BC3ADD"/>
    <w:rsid w:val="00BC5981"/>
    <w:rsid w:val="00BC6512"/>
    <w:rsid w:val="00BC655D"/>
    <w:rsid w:val="00BC65EF"/>
    <w:rsid w:val="00BC72A8"/>
    <w:rsid w:val="00BC7585"/>
    <w:rsid w:val="00BC7A95"/>
    <w:rsid w:val="00BD10D4"/>
    <w:rsid w:val="00BD192A"/>
    <w:rsid w:val="00BD1FED"/>
    <w:rsid w:val="00BD2510"/>
    <w:rsid w:val="00BD2AB1"/>
    <w:rsid w:val="00BD2D74"/>
    <w:rsid w:val="00BD3AEA"/>
    <w:rsid w:val="00BD3BBA"/>
    <w:rsid w:val="00BD4B37"/>
    <w:rsid w:val="00BD5111"/>
    <w:rsid w:val="00BD51D3"/>
    <w:rsid w:val="00BD5666"/>
    <w:rsid w:val="00BD566F"/>
    <w:rsid w:val="00BD5BAE"/>
    <w:rsid w:val="00BD5DFF"/>
    <w:rsid w:val="00BD63E3"/>
    <w:rsid w:val="00BD684D"/>
    <w:rsid w:val="00BD68B2"/>
    <w:rsid w:val="00BD72F6"/>
    <w:rsid w:val="00BD7616"/>
    <w:rsid w:val="00BE0108"/>
    <w:rsid w:val="00BE01E4"/>
    <w:rsid w:val="00BE0355"/>
    <w:rsid w:val="00BE1248"/>
    <w:rsid w:val="00BE13F0"/>
    <w:rsid w:val="00BE23CD"/>
    <w:rsid w:val="00BE27AB"/>
    <w:rsid w:val="00BE2C7F"/>
    <w:rsid w:val="00BE3B06"/>
    <w:rsid w:val="00BE47D5"/>
    <w:rsid w:val="00BE4E89"/>
    <w:rsid w:val="00BE5F61"/>
    <w:rsid w:val="00BE693D"/>
    <w:rsid w:val="00BE709B"/>
    <w:rsid w:val="00BE7103"/>
    <w:rsid w:val="00BE71B4"/>
    <w:rsid w:val="00BE767F"/>
    <w:rsid w:val="00BE79DF"/>
    <w:rsid w:val="00BE7CC9"/>
    <w:rsid w:val="00BF0A40"/>
    <w:rsid w:val="00BF0FB1"/>
    <w:rsid w:val="00BF17FA"/>
    <w:rsid w:val="00BF1A4A"/>
    <w:rsid w:val="00BF1D28"/>
    <w:rsid w:val="00BF2765"/>
    <w:rsid w:val="00BF2950"/>
    <w:rsid w:val="00BF29A6"/>
    <w:rsid w:val="00BF2FC7"/>
    <w:rsid w:val="00BF3151"/>
    <w:rsid w:val="00BF3483"/>
    <w:rsid w:val="00BF3AC9"/>
    <w:rsid w:val="00BF4610"/>
    <w:rsid w:val="00BF4C00"/>
    <w:rsid w:val="00BF55E3"/>
    <w:rsid w:val="00BF6A10"/>
    <w:rsid w:val="00BF6E77"/>
    <w:rsid w:val="00BF6FC6"/>
    <w:rsid w:val="00BF75CB"/>
    <w:rsid w:val="00C0013B"/>
    <w:rsid w:val="00C0039A"/>
    <w:rsid w:val="00C0085A"/>
    <w:rsid w:val="00C01983"/>
    <w:rsid w:val="00C0261B"/>
    <w:rsid w:val="00C02E8D"/>
    <w:rsid w:val="00C03624"/>
    <w:rsid w:val="00C036CC"/>
    <w:rsid w:val="00C03DF5"/>
    <w:rsid w:val="00C03E43"/>
    <w:rsid w:val="00C04F08"/>
    <w:rsid w:val="00C05132"/>
    <w:rsid w:val="00C05945"/>
    <w:rsid w:val="00C059A7"/>
    <w:rsid w:val="00C059C0"/>
    <w:rsid w:val="00C05C4D"/>
    <w:rsid w:val="00C06259"/>
    <w:rsid w:val="00C067A9"/>
    <w:rsid w:val="00C06D92"/>
    <w:rsid w:val="00C07BDF"/>
    <w:rsid w:val="00C107B0"/>
    <w:rsid w:val="00C10937"/>
    <w:rsid w:val="00C109BF"/>
    <w:rsid w:val="00C10A61"/>
    <w:rsid w:val="00C10CA5"/>
    <w:rsid w:val="00C10D98"/>
    <w:rsid w:val="00C11033"/>
    <w:rsid w:val="00C11887"/>
    <w:rsid w:val="00C118D1"/>
    <w:rsid w:val="00C12258"/>
    <w:rsid w:val="00C126B9"/>
    <w:rsid w:val="00C129B7"/>
    <w:rsid w:val="00C12B0E"/>
    <w:rsid w:val="00C12B7D"/>
    <w:rsid w:val="00C13349"/>
    <w:rsid w:val="00C133CA"/>
    <w:rsid w:val="00C137AD"/>
    <w:rsid w:val="00C143EA"/>
    <w:rsid w:val="00C14F8C"/>
    <w:rsid w:val="00C16066"/>
    <w:rsid w:val="00C16901"/>
    <w:rsid w:val="00C17088"/>
    <w:rsid w:val="00C17D7A"/>
    <w:rsid w:val="00C2091D"/>
    <w:rsid w:val="00C2113C"/>
    <w:rsid w:val="00C2148D"/>
    <w:rsid w:val="00C21B83"/>
    <w:rsid w:val="00C23541"/>
    <w:rsid w:val="00C23DEA"/>
    <w:rsid w:val="00C23E05"/>
    <w:rsid w:val="00C24CDA"/>
    <w:rsid w:val="00C24E1F"/>
    <w:rsid w:val="00C2549E"/>
    <w:rsid w:val="00C258D3"/>
    <w:rsid w:val="00C26336"/>
    <w:rsid w:val="00C26BA3"/>
    <w:rsid w:val="00C26FE1"/>
    <w:rsid w:val="00C2703B"/>
    <w:rsid w:val="00C27212"/>
    <w:rsid w:val="00C2735C"/>
    <w:rsid w:val="00C27CBB"/>
    <w:rsid w:val="00C27D14"/>
    <w:rsid w:val="00C300D3"/>
    <w:rsid w:val="00C30FD9"/>
    <w:rsid w:val="00C31699"/>
    <w:rsid w:val="00C31ED9"/>
    <w:rsid w:val="00C321EE"/>
    <w:rsid w:val="00C323FE"/>
    <w:rsid w:val="00C32647"/>
    <w:rsid w:val="00C327E0"/>
    <w:rsid w:val="00C32865"/>
    <w:rsid w:val="00C33C68"/>
    <w:rsid w:val="00C33D08"/>
    <w:rsid w:val="00C34A9D"/>
    <w:rsid w:val="00C35D96"/>
    <w:rsid w:val="00C360FF"/>
    <w:rsid w:val="00C36222"/>
    <w:rsid w:val="00C3679E"/>
    <w:rsid w:val="00C36B9B"/>
    <w:rsid w:val="00C36E78"/>
    <w:rsid w:val="00C371C9"/>
    <w:rsid w:val="00C374B6"/>
    <w:rsid w:val="00C37604"/>
    <w:rsid w:val="00C37A00"/>
    <w:rsid w:val="00C37C0E"/>
    <w:rsid w:val="00C40B38"/>
    <w:rsid w:val="00C40CE0"/>
    <w:rsid w:val="00C41177"/>
    <w:rsid w:val="00C412B4"/>
    <w:rsid w:val="00C416A0"/>
    <w:rsid w:val="00C4176F"/>
    <w:rsid w:val="00C4221B"/>
    <w:rsid w:val="00C439D3"/>
    <w:rsid w:val="00C445AA"/>
    <w:rsid w:val="00C44C63"/>
    <w:rsid w:val="00C44CDA"/>
    <w:rsid w:val="00C44DAE"/>
    <w:rsid w:val="00C45706"/>
    <w:rsid w:val="00C45CFC"/>
    <w:rsid w:val="00C466CD"/>
    <w:rsid w:val="00C475C6"/>
    <w:rsid w:val="00C50273"/>
    <w:rsid w:val="00C50327"/>
    <w:rsid w:val="00C50D8E"/>
    <w:rsid w:val="00C50E3B"/>
    <w:rsid w:val="00C51557"/>
    <w:rsid w:val="00C51725"/>
    <w:rsid w:val="00C52E89"/>
    <w:rsid w:val="00C52EAE"/>
    <w:rsid w:val="00C530C6"/>
    <w:rsid w:val="00C53774"/>
    <w:rsid w:val="00C53915"/>
    <w:rsid w:val="00C53B76"/>
    <w:rsid w:val="00C541B5"/>
    <w:rsid w:val="00C55EDE"/>
    <w:rsid w:val="00C56349"/>
    <w:rsid w:val="00C563F4"/>
    <w:rsid w:val="00C571C2"/>
    <w:rsid w:val="00C57210"/>
    <w:rsid w:val="00C57323"/>
    <w:rsid w:val="00C5752D"/>
    <w:rsid w:val="00C57A49"/>
    <w:rsid w:val="00C57E63"/>
    <w:rsid w:val="00C607C9"/>
    <w:rsid w:val="00C60F84"/>
    <w:rsid w:val="00C61A35"/>
    <w:rsid w:val="00C632F9"/>
    <w:rsid w:val="00C635F2"/>
    <w:rsid w:val="00C638BB"/>
    <w:rsid w:val="00C63FEA"/>
    <w:rsid w:val="00C642BB"/>
    <w:rsid w:val="00C64B3D"/>
    <w:rsid w:val="00C64C15"/>
    <w:rsid w:val="00C65245"/>
    <w:rsid w:val="00C65956"/>
    <w:rsid w:val="00C65D22"/>
    <w:rsid w:val="00C65D76"/>
    <w:rsid w:val="00C6676E"/>
    <w:rsid w:val="00C6681C"/>
    <w:rsid w:val="00C66AFE"/>
    <w:rsid w:val="00C66DD3"/>
    <w:rsid w:val="00C67056"/>
    <w:rsid w:val="00C7015D"/>
    <w:rsid w:val="00C70AD6"/>
    <w:rsid w:val="00C70E74"/>
    <w:rsid w:val="00C71EFF"/>
    <w:rsid w:val="00C72012"/>
    <w:rsid w:val="00C72649"/>
    <w:rsid w:val="00C72740"/>
    <w:rsid w:val="00C72F0F"/>
    <w:rsid w:val="00C733EB"/>
    <w:rsid w:val="00C74129"/>
    <w:rsid w:val="00C74BC9"/>
    <w:rsid w:val="00C75BFF"/>
    <w:rsid w:val="00C75C1F"/>
    <w:rsid w:val="00C75EDA"/>
    <w:rsid w:val="00C776CF"/>
    <w:rsid w:val="00C777BD"/>
    <w:rsid w:val="00C77CD2"/>
    <w:rsid w:val="00C80047"/>
    <w:rsid w:val="00C8063D"/>
    <w:rsid w:val="00C811B6"/>
    <w:rsid w:val="00C815DA"/>
    <w:rsid w:val="00C8232C"/>
    <w:rsid w:val="00C82E04"/>
    <w:rsid w:val="00C832F8"/>
    <w:rsid w:val="00C83B47"/>
    <w:rsid w:val="00C843FF"/>
    <w:rsid w:val="00C84F01"/>
    <w:rsid w:val="00C85176"/>
    <w:rsid w:val="00C85393"/>
    <w:rsid w:val="00C858E2"/>
    <w:rsid w:val="00C86CD6"/>
    <w:rsid w:val="00C87390"/>
    <w:rsid w:val="00C8748F"/>
    <w:rsid w:val="00C87A0E"/>
    <w:rsid w:val="00C91292"/>
    <w:rsid w:val="00C91659"/>
    <w:rsid w:val="00C91A08"/>
    <w:rsid w:val="00C9208E"/>
    <w:rsid w:val="00C9271D"/>
    <w:rsid w:val="00C92915"/>
    <w:rsid w:val="00C92FA0"/>
    <w:rsid w:val="00C936C4"/>
    <w:rsid w:val="00C9432D"/>
    <w:rsid w:val="00C944C3"/>
    <w:rsid w:val="00C947CC"/>
    <w:rsid w:val="00C94877"/>
    <w:rsid w:val="00C95934"/>
    <w:rsid w:val="00C95B4D"/>
    <w:rsid w:val="00C962B5"/>
    <w:rsid w:val="00C96768"/>
    <w:rsid w:val="00C96783"/>
    <w:rsid w:val="00C97A76"/>
    <w:rsid w:val="00CA018C"/>
    <w:rsid w:val="00CA0BA3"/>
    <w:rsid w:val="00CA0CF2"/>
    <w:rsid w:val="00CA116E"/>
    <w:rsid w:val="00CA15F4"/>
    <w:rsid w:val="00CA1E7D"/>
    <w:rsid w:val="00CA2542"/>
    <w:rsid w:val="00CA2808"/>
    <w:rsid w:val="00CA2E61"/>
    <w:rsid w:val="00CA3CA9"/>
    <w:rsid w:val="00CA4057"/>
    <w:rsid w:val="00CA4793"/>
    <w:rsid w:val="00CA51FB"/>
    <w:rsid w:val="00CA5E5E"/>
    <w:rsid w:val="00CA75EE"/>
    <w:rsid w:val="00CA7605"/>
    <w:rsid w:val="00CB0EF1"/>
    <w:rsid w:val="00CB109A"/>
    <w:rsid w:val="00CB19EA"/>
    <w:rsid w:val="00CB1DA6"/>
    <w:rsid w:val="00CB2016"/>
    <w:rsid w:val="00CB2188"/>
    <w:rsid w:val="00CB2192"/>
    <w:rsid w:val="00CB273D"/>
    <w:rsid w:val="00CB2BEE"/>
    <w:rsid w:val="00CB3058"/>
    <w:rsid w:val="00CB3403"/>
    <w:rsid w:val="00CB4353"/>
    <w:rsid w:val="00CB4F08"/>
    <w:rsid w:val="00CB5153"/>
    <w:rsid w:val="00CB53A3"/>
    <w:rsid w:val="00CB6062"/>
    <w:rsid w:val="00CB614F"/>
    <w:rsid w:val="00CB61CD"/>
    <w:rsid w:val="00CB667B"/>
    <w:rsid w:val="00CB783A"/>
    <w:rsid w:val="00CB7C5A"/>
    <w:rsid w:val="00CB7F06"/>
    <w:rsid w:val="00CC0934"/>
    <w:rsid w:val="00CC17C0"/>
    <w:rsid w:val="00CC2BDB"/>
    <w:rsid w:val="00CC316B"/>
    <w:rsid w:val="00CC345E"/>
    <w:rsid w:val="00CC4979"/>
    <w:rsid w:val="00CC4C84"/>
    <w:rsid w:val="00CC580E"/>
    <w:rsid w:val="00CC5D75"/>
    <w:rsid w:val="00CC6986"/>
    <w:rsid w:val="00CC6A38"/>
    <w:rsid w:val="00CC7142"/>
    <w:rsid w:val="00CC768D"/>
    <w:rsid w:val="00CC7D25"/>
    <w:rsid w:val="00CC7F74"/>
    <w:rsid w:val="00CD053D"/>
    <w:rsid w:val="00CD0B51"/>
    <w:rsid w:val="00CD1495"/>
    <w:rsid w:val="00CD1850"/>
    <w:rsid w:val="00CD1CD3"/>
    <w:rsid w:val="00CD24E4"/>
    <w:rsid w:val="00CD2676"/>
    <w:rsid w:val="00CD2E50"/>
    <w:rsid w:val="00CD4269"/>
    <w:rsid w:val="00CD4598"/>
    <w:rsid w:val="00CD4780"/>
    <w:rsid w:val="00CD4839"/>
    <w:rsid w:val="00CD4AC9"/>
    <w:rsid w:val="00CD4AEC"/>
    <w:rsid w:val="00CD4C30"/>
    <w:rsid w:val="00CD505D"/>
    <w:rsid w:val="00CD5768"/>
    <w:rsid w:val="00CD5A0E"/>
    <w:rsid w:val="00CD5A7E"/>
    <w:rsid w:val="00CD603D"/>
    <w:rsid w:val="00CD60A5"/>
    <w:rsid w:val="00CD6104"/>
    <w:rsid w:val="00CD792A"/>
    <w:rsid w:val="00CE06E7"/>
    <w:rsid w:val="00CE1248"/>
    <w:rsid w:val="00CE25AE"/>
    <w:rsid w:val="00CE29CE"/>
    <w:rsid w:val="00CE2BF8"/>
    <w:rsid w:val="00CE3A91"/>
    <w:rsid w:val="00CE3E60"/>
    <w:rsid w:val="00CE4007"/>
    <w:rsid w:val="00CE490D"/>
    <w:rsid w:val="00CE518C"/>
    <w:rsid w:val="00CE59E0"/>
    <w:rsid w:val="00CE5AA1"/>
    <w:rsid w:val="00CE6366"/>
    <w:rsid w:val="00CE7B3B"/>
    <w:rsid w:val="00CF0476"/>
    <w:rsid w:val="00CF054B"/>
    <w:rsid w:val="00CF07CF"/>
    <w:rsid w:val="00CF166C"/>
    <w:rsid w:val="00CF19BC"/>
    <w:rsid w:val="00CF1A53"/>
    <w:rsid w:val="00CF254C"/>
    <w:rsid w:val="00CF2B47"/>
    <w:rsid w:val="00CF2D4F"/>
    <w:rsid w:val="00CF42E4"/>
    <w:rsid w:val="00CF4586"/>
    <w:rsid w:val="00CF4A93"/>
    <w:rsid w:val="00CF4B60"/>
    <w:rsid w:val="00CF4F15"/>
    <w:rsid w:val="00CF527E"/>
    <w:rsid w:val="00CF53AB"/>
    <w:rsid w:val="00CF59FC"/>
    <w:rsid w:val="00CF6156"/>
    <w:rsid w:val="00CF726B"/>
    <w:rsid w:val="00CF781E"/>
    <w:rsid w:val="00D0073F"/>
    <w:rsid w:val="00D00A8D"/>
    <w:rsid w:val="00D00F3F"/>
    <w:rsid w:val="00D024CB"/>
    <w:rsid w:val="00D027AC"/>
    <w:rsid w:val="00D030A5"/>
    <w:rsid w:val="00D03179"/>
    <w:rsid w:val="00D03C77"/>
    <w:rsid w:val="00D03DA6"/>
    <w:rsid w:val="00D040A5"/>
    <w:rsid w:val="00D04F45"/>
    <w:rsid w:val="00D0561C"/>
    <w:rsid w:val="00D05AA6"/>
    <w:rsid w:val="00D05C64"/>
    <w:rsid w:val="00D05E88"/>
    <w:rsid w:val="00D05FE6"/>
    <w:rsid w:val="00D06171"/>
    <w:rsid w:val="00D066F8"/>
    <w:rsid w:val="00D06A9E"/>
    <w:rsid w:val="00D070BB"/>
    <w:rsid w:val="00D07611"/>
    <w:rsid w:val="00D07F07"/>
    <w:rsid w:val="00D10184"/>
    <w:rsid w:val="00D10E0B"/>
    <w:rsid w:val="00D10EC5"/>
    <w:rsid w:val="00D1144C"/>
    <w:rsid w:val="00D1187E"/>
    <w:rsid w:val="00D13917"/>
    <w:rsid w:val="00D13948"/>
    <w:rsid w:val="00D14F17"/>
    <w:rsid w:val="00D15441"/>
    <w:rsid w:val="00D15588"/>
    <w:rsid w:val="00D15911"/>
    <w:rsid w:val="00D15C3D"/>
    <w:rsid w:val="00D1607D"/>
    <w:rsid w:val="00D16EA9"/>
    <w:rsid w:val="00D1706B"/>
    <w:rsid w:val="00D17273"/>
    <w:rsid w:val="00D179FF"/>
    <w:rsid w:val="00D214CC"/>
    <w:rsid w:val="00D216B5"/>
    <w:rsid w:val="00D217A3"/>
    <w:rsid w:val="00D21C51"/>
    <w:rsid w:val="00D21E8B"/>
    <w:rsid w:val="00D21F03"/>
    <w:rsid w:val="00D2204A"/>
    <w:rsid w:val="00D22EE9"/>
    <w:rsid w:val="00D23A2D"/>
    <w:rsid w:val="00D24DC9"/>
    <w:rsid w:val="00D24F12"/>
    <w:rsid w:val="00D263FE"/>
    <w:rsid w:val="00D26B19"/>
    <w:rsid w:val="00D26B8D"/>
    <w:rsid w:val="00D27198"/>
    <w:rsid w:val="00D27D48"/>
    <w:rsid w:val="00D27D9C"/>
    <w:rsid w:val="00D27EFE"/>
    <w:rsid w:val="00D30845"/>
    <w:rsid w:val="00D30F14"/>
    <w:rsid w:val="00D3127C"/>
    <w:rsid w:val="00D313B9"/>
    <w:rsid w:val="00D3144F"/>
    <w:rsid w:val="00D31E4F"/>
    <w:rsid w:val="00D32436"/>
    <w:rsid w:val="00D32883"/>
    <w:rsid w:val="00D33072"/>
    <w:rsid w:val="00D33C91"/>
    <w:rsid w:val="00D34080"/>
    <w:rsid w:val="00D34BE8"/>
    <w:rsid w:val="00D350F4"/>
    <w:rsid w:val="00D3530D"/>
    <w:rsid w:val="00D35CE6"/>
    <w:rsid w:val="00D35E61"/>
    <w:rsid w:val="00D35E90"/>
    <w:rsid w:val="00D35F82"/>
    <w:rsid w:val="00D36357"/>
    <w:rsid w:val="00D36C5A"/>
    <w:rsid w:val="00D3709A"/>
    <w:rsid w:val="00D37199"/>
    <w:rsid w:val="00D37504"/>
    <w:rsid w:val="00D37799"/>
    <w:rsid w:val="00D37887"/>
    <w:rsid w:val="00D3792C"/>
    <w:rsid w:val="00D37CE0"/>
    <w:rsid w:val="00D37D76"/>
    <w:rsid w:val="00D37DE7"/>
    <w:rsid w:val="00D4000A"/>
    <w:rsid w:val="00D40708"/>
    <w:rsid w:val="00D415CD"/>
    <w:rsid w:val="00D4192E"/>
    <w:rsid w:val="00D42025"/>
    <w:rsid w:val="00D42966"/>
    <w:rsid w:val="00D4328B"/>
    <w:rsid w:val="00D433B7"/>
    <w:rsid w:val="00D43EF3"/>
    <w:rsid w:val="00D441AC"/>
    <w:rsid w:val="00D44469"/>
    <w:rsid w:val="00D44926"/>
    <w:rsid w:val="00D4636C"/>
    <w:rsid w:val="00D46414"/>
    <w:rsid w:val="00D46763"/>
    <w:rsid w:val="00D476C9"/>
    <w:rsid w:val="00D47AB8"/>
    <w:rsid w:val="00D503D3"/>
    <w:rsid w:val="00D50C65"/>
    <w:rsid w:val="00D5179F"/>
    <w:rsid w:val="00D51BA7"/>
    <w:rsid w:val="00D51E1A"/>
    <w:rsid w:val="00D52366"/>
    <w:rsid w:val="00D52747"/>
    <w:rsid w:val="00D52A0D"/>
    <w:rsid w:val="00D52B3A"/>
    <w:rsid w:val="00D53D5B"/>
    <w:rsid w:val="00D5403C"/>
    <w:rsid w:val="00D54728"/>
    <w:rsid w:val="00D54E9A"/>
    <w:rsid w:val="00D552F1"/>
    <w:rsid w:val="00D55E1E"/>
    <w:rsid w:val="00D561D0"/>
    <w:rsid w:val="00D564DE"/>
    <w:rsid w:val="00D60622"/>
    <w:rsid w:val="00D60E79"/>
    <w:rsid w:val="00D61365"/>
    <w:rsid w:val="00D613CE"/>
    <w:rsid w:val="00D61538"/>
    <w:rsid w:val="00D62328"/>
    <w:rsid w:val="00D628AD"/>
    <w:rsid w:val="00D634CE"/>
    <w:rsid w:val="00D636A7"/>
    <w:rsid w:val="00D63AEA"/>
    <w:rsid w:val="00D655D1"/>
    <w:rsid w:val="00D67800"/>
    <w:rsid w:val="00D70229"/>
    <w:rsid w:val="00D70C20"/>
    <w:rsid w:val="00D7107A"/>
    <w:rsid w:val="00D711CB"/>
    <w:rsid w:val="00D71856"/>
    <w:rsid w:val="00D73156"/>
    <w:rsid w:val="00D7316C"/>
    <w:rsid w:val="00D73247"/>
    <w:rsid w:val="00D7372C"/>
    <w:rsid w:val="00D73B18"/>
    <w:rsid w:val="00D748D0"/>
    <w:rsid w:val="00D754B2"/>
    <w:rsid w:val="00D75530"/>
    <w:rsid w:val="00D75567"/>
    <w:rsid w:val="00D76A60"/>
    <w:rsid w:val="00D76B0F"/>
    <w:rsid w:val="00D77DDE"/>
    <w:rsid w:val="00D8083A"/>
    <w:rsid w:val="00D81903"/>
    <w:rsid w:val="00D81931"/>
    <w:rsid w:val="00D81B63"/>
    <w:rsid w:val="00D81FA8"/>
    <w:rsid w:val="00D8240E"/>
    <w:rsid w:val="00D82928"/>
    <w:rsid w:val="00D83291"/>
    <w:rsid w:val="00D83D2A"/>
    <w:rsid w:val="00D841FF"/>
    <w:rsid w:val="00D84209"/>
    <w:rsid w:val="00D8468B"/>
    <w:rsid w:val="00D84709"/>
    <w:rsid w:val="00D8479E"/>
    <w:rsid w:val="00D8491B"/>
    <w:rsid w:val="00D849E5"/>
    <w:rsid w:val="00D85489"/>
    <w:rsid w:val="00D856E6"/>
    <w:rsid w:val="00D85804"/>
    <w:rsid w:val="00D8604F"/>
    <w:rsid w:val="00D86932"/>
    <w:rsid w:val="00D8775F"/>
    <w:rsid w:val="00D87E3F"/>
    <w:rsid w:val="00D90A11"/>
    <w:rsid w:val="00D90CB2"/>
    <w:rsid w:val="00D91123"/>
    <w:rsid w:val="00D9130F"/>
    <w:rsid w:val="00D91936"/>
    <w:rsid w:val="00D91D15"/>
    <w:rsid w:val="00D92363"/>
    <w:rsid w:val="00D93208"/>
    <w:rsid w:val="00D932B0"/>
    <w:rsid w:val="00D94EF6"/>
    <w:rsid w:val="00D95551"/>
    <w:rsid w:val="00D96505"/>
    <w:rsid w:val="00D967E4"/>
    <w:rsid w:val="00D96DBD"/>
    <w:rsid w:val="00D97DDB"/>
    <w:rsid w:val="00D97E41"/>
    <w:rsid w:val="00DA04EF"/>
    <w:rsid w:val="00DA0615"/>
    <w:rsid w:val="00DA0C21"/>
    <w:rsid w:val="00DA1AA7"/>
    <w:rsid w:val="00DA1E2A"/>
    <w:rsid w:val="00DA2A67"/>
    <w:rsid w:val="00DA2F36"/>
    <w:rsid w:val="00DA348B"/>
    <w:rsid w:val="00DA352E"/>
    <w:rsid w:val="00DA3AB8"/>
    <w:rsid w:val="00DA531C"/>
    <w:rsid w:val="00DA5390"/>
    <w:rsid w:val="00DA58E7"/>
    <w:rsid w:val="00DA59AC"/>
    <w:rsid w:val="00DA5C5C"/>
    <w:rsid w:val="00DA6010"/>
    <w:rsid w:val="00DA6B79"/>
    <w:rsid w:val="00DA70C2"/>
    <w:rsid w:val="00DA7861"/>
    <w:rsid w:val="00DA7951"/>
    <w:rsid w:val="00DA7D8C"/>
    <w:rsid w:val="00DB0CB0"/>
    <w:rsid w:val="00DB0D00"/>
    <w:rsid w:val="00DB1414"/>
    <w:rsid w:val="00DB185D"/>
    <w:rsid w:val="00DB1E22"/>
    <w:rsid w:val="00DB1F82"/>
    <w:rsid w:val="00DB24B5"/>
    <w:rsid w:val="00DB2597"/>
    <w:rsid w:val="00DB2712"/>
    <w:rsid w:val="00DB27D6"/>
    <w:rsid w:val="00DB29FF"/>
    <w:rsid w:val="00DB2B68"/>
    <w:rsid w:val="00DB2E2E"/>
    <w:rsid w:val="00DB3467"/>
    <w:rsid w:val="00DB3C57"/>
    <w:rsid w:val="00DB4B3E"/>
    <w:rsid w:val="00DB4B4C"/>
    <w:rsid w:val="00DB56F4"/>
    <w:rsid w:val="00DB5D79"/>
    <w:rsid w:val="00DB6211"/>
    <w:rsid w:val="00DB6572"/>
    <w:rsid w:val="00DB6C7A"/>
    <w:rsid w:val="00DB6FFC"/>
    <w:rsid w:val="00DB705D"/>
    <w:rsid w:val="00DB7378"/>
    <w:rsid w:val="00DC052C"/>
    <w:rsid w:val="00DC063F"/>
    <w:rsid w:val="00DC0A48"/>
    <w:rsid w:val="00DC0C69"/>
    <w:rsid w:val="00DC1255"/>
    <w:rsid w:val="00DC14B7"/>
    <w:rsid w:val="00DC1B2F"/>
    <w:rsid w:val="00DC28AD"/>
    <w:rsid w:val="00DC2A53"/>
    <w:rsid w:val="00DC2EE2"/>
    <w:rsid w:val="00DC384A"/>
    <w:rsid w:val="00DC3898"/>
    <w:rsid w:val="00DC3C9E"/>
    <w:rsid w:val="00DC3DA4"/>
    <w:rsid w:val="00DC42EC"/>
    <w:rsid w:val="00DC5C16"/>
    <w:rsid w:val="00DC7577"/>
    <w:rsid w:val="00DC7767"/>
    <w:rsid w:val="00DD0577"/>
    <w:rsid w:val="00DD1C7A"/>
    <w:rsid w:val="00DD233D"/>
    <w:rsid w:val="00DD27FD"/>
    <w:rsid w:val="00DD2AFC"/>
    <w:rsid w:val="00DD30C7"/>
    <w:rsid w:val="00DD373E"/>
    <w:rsid w:val="00DD41B8"/>
    <w:rsid w:val="00DD47AB"/>
    <w:rsid w:val="00DD49B6"/>
    <w:rsid w:val="00DD5423"/>
    <w:rsid w:val="00DD5CED"/>
    <w:rsid w:val="00DD608D"/>
    <w:rsid w:val="00DD6278"/>
    <w:rsid w:val="00DD650B"/>
    <w:rsid w:val="00DD6A66"/>
    <w:rsid w:val="00DD714E"/>
    <w:rsid w:val="00DD7378"/>
    <w:rsid w:val="00DE122E"/>
    <w:rsid w:val="00DE12DE"/>
    <w:rsid w:val="00DE174E"/>
    <w:rsid w:val="00DE1938"/>
    <w:rsid w:val="00DE1986"/>
    <w:rsid w:val="00DE1E6E"/>
    <w:rsid w:val="00DE2E3E"/>
    <w:rsid w:val="00DE435C"/>
    <w:rsid w:val="00DE45BF"/>
    <w:rsid w:val="00DE5514"/>
    <w:rsid w:val="00DE554E"/>
    <w:rsid w:val="00DE5F60"/>
    <w:rsid w:val="00DE5FF0"/>
    <w:rsid w:val="00DE63DD"/>
    <w:rsid w:val="00DE65A8"/>
    <w:rsid w:val="00DE6724"/>
    <w:rsid w:val="00DE68B6"/>
    <w:rsid w:val="00DE749F"/>
    <w:rsid w:val="00DF129B"/>
    <w:rsid w:val="00DF15A8"/>
    <w:rsid w:val="00DF160C"/>
    <w:rsid w:val="00DF177D"/>
    <w:rsid w:val="00DF2470"/>
    <w:rsid w:val="00DF2AE0"/>
    <w:rsid w:val="00DF2CE3"/>
    <w:rsid w:val="00DF4121"/>
    <w:rsid w:val="00DF426E"/>
    <w:rsid w:val="00DF485F"/>
    <w:rsid w:val="00DF4930"/>
    <w:rsid w:val="00DF4965"/>
    <w:rsid w:val="00DF6241"/>
    <w:rsid w:val="00DF63B5"/>
    <w:rsid w:val="00DF66A1"/>
    <w:rsid w:val="00DF7332"/>
    <w:rsid w:val="00DF7A63"/>
    <w:rsid w:val="00DF7E1A"/>
    <w:rsid w:val="00E00CBF"/>
    <w:rsid w:val="00E01068"/>
    <w:rsid w:val="00E0196B"/>
    <w:rsid w:val="00E0277D"/>
    <w:rsid w:val="00E029F4"/>
    <w:rsid w:val="00E02A12"/>
    <w:rsid w:val="00E02A82"/>
    <w:rsid w:val="00E02E31"/>
    <w:rsid w:val="00E03374"/>
    <w:rsid w:val="00E03A1C"/>
    <w:rsid w:val="00E042F9"/>
    <w:rsid w:val="00E047DE"/>
    <w:rsid w:val="00E04825"/>
    <w:rsid w:val="00E048F0"/>
    <w:rsid w:val="00E04C91"/>
    <w:rsid w:val="00E04DEA"/>
    <w:rsid w:val="00E04FAA"/>
    <w:rsid w:val="00E059C5"/>
    <w:rsid w:val="00E05B3B"/>
    <w:rsid w:val="00E06079"/>
    <w:rsid w:val="00E065D2"/>
    <w:rsid w:val="00E06680"/>
    <w:rsid w:val="00E068A8"/>
    <w:rsid w:val="00E06E45"/>
    <w:rsid w:val="00E07826"/>
    <w:rsid w:val="00E100AE"/>
    <w:rsid w:val="00E10230"/>
    <w:rsid w:val="00E10B8E"/>
    <w:rsid w:val="00E1229A"/>
    <w:rsid w:val="00E124B8"/>
    <w:rsid w:val="00E1279D"/>
    <w:rsid w:val="00E12932"/>
    <w:rsid w:val="00E1293C"/>
    <w:rsid w:val="00E12B84"/>
    <w:rsid w:val="00E133E2"/>
    <w:rsid w:val="00E1343C"/>
    <w:rsid w:val="00E1381B"/>
    <w:rsid w:val="00E143E7"/>
    <w:rsid w:val="00E15709"/>
    <w:rsid w:val="00E15B14"/>
    <w:rsid w:val="00E15CCE"/>
    <w:rsid w:val="00E15FAF"/>
    <w:rsid w:val="00E16193"/>
    <w:rsid w:val="00E16515"/>
    <w:rsid w:val="00E16533"/>
    <w:rsid w:val="00E17E27"/>
    <w:rsid w:val="00E2076C"/>
    <w:rsid w:val="00E20A25"/>
    <w:rsid w:val="00E21313"/>
    <w:rsid w:val="00E21FFF"/>
    <w:rsid w:val="00E22303"/>
    <w:rsid w:val="00E22750"/>
    <w:rsid w:val="00E22A79"/>
    <w:rsid w:val="00E231DC"/>
    <w:rsid w:val="00E2369F"/>
    <w:rsid w:val="00E239AB"/>
    <w:rsid w:val="00E239AF"/>
    <w:rsid w:val="00E23D7E"/>
    <w:rsid w:val="00E23EE6"/>
    <w:rsid w:val="00E23F66"/>
    <w:rsid w:val="00E2416E"/>
    <w:rsid w:val="00E249B5"/>
    <w:rsid w:val="00E25047"/>
    <w:rsid w:val="00E25CFE"/>
    <w:rsid w:val="00E25FAC"/>
    <w:rsid w:val="00E2678E"/>
    <w:rsid w:val="00E26E07"/>
    <w:rsid w:val="00E26E12"/>
    <w:rsid w:val="00E26E8E"/>
    <w:rsid w:val="00E276FC"/>
    <w:rsid w:val="00E31A07"/>
    <w:rsid w:val="00E3315E"/>
    <w:rsid w:val="00E346B7"/>
    <w:rsid w:val="00E34824"/>
    <w:rsid w:val="00E3530A"/>
    <w:rsid w:val="00E35C66"/>
    <w:rsid w:val="00E35F3C"/>
    <w:rsid w:val="00E36AF2"/>
    <w:rsid w:val="00E36B76"/>
    <w:rsid w:val="00E37678"/>
    <w:rsid w:val="00E37952"/>
    <w:rsid w:val="00E37C02"/>
    <w:rsid w:val="00E37E34"/>
    <w:rsid w:val="00E40560"/>
    <w:rsid w:val="00E4060D"/>
    <w:rsid w:val="00E40888"/>
    <w:rsid w:val="00E411CC"/>
    <w:rsid w:val="00E41419"/>
    <w:rsid w:val="00E4150C"/>
    <w:rsid w:val="00E41877"/>
    <w:rsid w:val="00E41B2F"/>
    <w:rsid w:val="00E41EE7"/>
    <w:rsid w:val="00E4292B"/>
    <w:rsid w:val="00E42C2B"/>
    <w:rsid w:val="00E42D55"/>
    <w:rsid w:val="00E432CC"/>
    <w:rsid w:val="00E43681"/>
    <w:rsid w:val="00E43F40"/>
    <w:rsid w:val="00E441EB"/>
    <w:rsid w:val="00E44802"/>
    <w:rsid w:val="00E44BB0"/>
    <w:rsid w:val="00E458E1"/>
    <w:rsid w:val="00E4607B"/>
    <w:rsid w:val="00E468D4"/>
    <w:rsid w:val="00E46AB9"/>
    <w:rsid w:val="00E47279"/>
    <w:rsid w:val="00E50438"/>
    <w:rsid w:val="00E508EE"/>
    <w:rsid w:val="00E50C3A"/>
    <w:rsid w:val="00E518B6"/>
    <w:rsid w:val="00E51EDA"/>
    <w:rsid w:val="00E51EDE"/>
    <w:rsid w:val="00E52B47"/>
    <w:rsid w:val="00E52F7B"/>
    <w:rsid w:val="00E53579"/>
    <w:rsid w:val="00E53E96"/>
    <w:rsid w:val="00E548DD"/>
    <w:rsid w:val="00E548EF"/>
    <w:rsid w:val="00E56B55"/>
    <w:rsid w:val="00E56C7F"/>
    <w:rsid w:val="00E56EED"/>
    <w:rsid w:val="00E5729A"/>
    <w:rsid w:val="00E601F9"/>
    <w:rsid w:val="00E60417"/>
    <w:rsid w:val="00E60823"/>
    <w:rsid w:val="00E60A21"/>
    <w:rsid w:val="00E60D46"/>
    <w:rsid w:val="00E60F63"/>
    <w:rsid w:val="00E62334"/>
    <w:rsid w:val="00E62492"/>
    <w:rsid w:val="00E62655"/>
    <w:rsid w:val="00E62665"/>
    <w:rsid w:val="00E6398E"/>
    <w:rsid w:val="00E63C15"/>
    <w:rsid w:val="00E63D45"/>
    <w:rsid w:val="00E64222"/>
    <w:rsid w:val="00E64ABB"/>
    <w:rsid w:val="00E650DD"/>
    <w:rsid w:val="00E65D5E"/>
    <w:rsid w:val="00E66D7D"/>
    <w:rsid w:val="00E66E3B"/>
    <w:rsid w:val="00E67A81"/>
    <w:rsid w:val="00E67F13"/>
    <w:rsid w:val="00E70850"/>
    <w:rsid w:val="00E70A20"/>
    <w:rsid w:val="00E70E41"/>
    <w:rsid w:val="00E72952"/>
    <w:rsid w:val="00E73503"/>
    <w:rsid w:val="00E73A43"/>
    <w:rsid w:val="00E742AF"/>
    <w:rsid w:val="00E74D34"/>
    <w:rsid w:val="00E75781"/>
    <w:rsid w:val="00E76655"/>
    <w:rsid w:val="00E76C31"/>
    <w:rsid w:val="00E76D76"/>
    <w:rsid w:val="00E76DA6"/>
    <w:rsid w:val="00E7709F"/>
    <w:rsid w:val="00E779A9"/>
    <w:rsid w:val="00E779C6"/>
    <w:rsid w:val="00E77FA7"/>
    <w:rsid w:val="00E80067"/>
    <w:rsid w:val="00E80515"/>
    <w:rsid w:val="00E80607"/>
    <w:rsid w:val="00E828BC"/>
    <w:rsid w:val="00E82934"/>
    <w:rsid w:val="00E83062"/>
    <w:rsid w:val="00E84276"/>
    <w:rsid w:val="00E84A61"/>
    <w:rsid w:val="00E84CDE"/>
    <w:rsid w:val="00E84E85"/>
    <w:rsid w:val="00E85664"/>
    <w:rsid w:val="00E85B5D"/>
    <w:rsid w:val="00E85B5F"/>
    <w:rsid w:val="00E864ED"/>
    <w:rsid w:val="00E86582"/>
    <w:rsid w:val="00E865C2"/>
    <w:rsid w:val="00E8680B"/>
    <w:rsid w:val="00E86A9B"/>
    <w:rsid w:val="00E86C14"/>
    <w:rsid w:val="00E86D3E"/>
    <w:rsid w:val="00E9086D"/>
    <w:rsid w:val="00E90E9E"/>
    <w:rsid w:val="00E91801"/>
    <w:rsid w:val="00E91B5E"/>
    <w:rsid w:val="00E91E6C"/>
    <w:rsid w:val="00E92350"/>
    <w:rsid w:val="00E92CE2"/>
    <w:rsid w:val="00E92FB5"/>
    <w:rsid w:val="00E935E2"/>
    <w:rsid w:val="00E93B46"/>
    <w:rsid w:val="00E93C85"/>
    <w:rsid w:val="00E93CEF"/>
    <w:rsid w:val="00E94D3A"/>
    <w:rsid w:val="00E94DF0"/>
    <w:rsid w:val="00E95F92"/>
    <w:rsid w:val="00E964B7"/>
    <w:rsid w:val="00E9661E"/>
    <w:rsid w:val="00E9674E"/>
    <w:rsid w:val="00E96EC1"/>
    <w:rsid w:val="00E974E7"/>
    <w:rsid w:val="00EA058C"/>
    <w:rsid w:val="00EA080F"/>
    <w:rsid w:val="00EA0CC4"/>
    <w:rsid w:val="00EA1CB1"/>
    <w:rsid w:val="00EA1CB6"/>
    <w:rsid w:val="00EA37F8"/>
    <w:rsid w:val="00EA3EBF"/>
    <w:rsid w:val="00EA540C"/>
    <w:rsid w:val="00EA589E"/>
    <w:rsid w:val="00EA6D35"/>
    <w:rsid w:val="00EA7657"/>
    <w:rsid w:val="00EA7CD6"/>
    <w:rsid w:val="00EB00C4"/>
    <w:rsid w:val="00EB0CB7"/>
    <w:rsid w:val="00EB0F09"/>
    <w:rsid w:val="00EB262C"/>
    <w:rsid w:val="00EB2A80"/>
    <w:rsid w:val="00EB2B52"/>
    <w:rsid w:val="00EB2EB2"/>
    <w:rsid w:val="00EB339E"/>
    <w:rsid w:val="00EB3741"/>
    <w:rsid w:val="00EB37F9"/>
    <w:rsid w:val="00EB3ACB"/>
    <w:rsid w:val="00EB3DCA"/>
    <w:rsid w:val="00EB3F7C"/>
    <w:rsid w:val="00EB4047"/>
    <w:rsid w:val="00EB4EDB"/>
    <w:rsid w:val="00EB5587"/>
    <w:rsid w:val="00EB57E5"/>
    <w:rsid w:val="00EB6421"/>
    <w:rsid w:val="00EB6B95"/>
    <w:rsid w:val="00EB6C18"/>
    <w:rsid w:val="00EB6F72"/>
    <w:rsid w:val="00EB722C"/>
    <w:rsid w:val="00EB7726"/>
    <w:rsid w:val="00EB7AF4"/>
    <w:rsid w:val="00EC09ED"/>
    <w:rsid w:val="00EC110A"/>
    <w:rsid w:val="00EC1379"/>
    <w:rsid w:val="00EC1AF4"/>
    <w:rsid w:val="00EC1C16"/>
    <w:rsid w:val="00EC1E48"/>
    <w:rsid w:val="00EC2C98"/>
    <w:rsid w:val="00EC2E98"/>
    <w:rsid w:val="00EC4610"/>
    <w:rsid w:val="00EC47D3"/>
    <w:rsid w:val="00EC4D59"/>
    <w:rsid w:val="00EC513C"/>
    <w:rsid w:val="00EC5909"/>
    <w:rsid w:val="00EC67EE"/>
    <w:rsid w:val="00ED0E3E"/>
    <w:rsid w:val="00ED1377"/>
    <w:rsid w:val="00ED24DD"/>
    <w:rsid w:val="00ED33CB"/>
    <w:rsid w:val="00ED3C79"/>
    <w:rsid w:val="00ED42EF"/>
    <w:rsid w:val="00ED44C8"/>
    <w:rsid w:val="00ED4B2E"/>
    <w:rsid w:val="00ED4DCD"/>
    <w:rsid w:val="00ED5A33"/>
    <w:rsid w:val="00ED6158"/>
    <w:rsid w:val="00ED6E35"/>
    <w:rsid w:val="00ED6F53"/>
    <w:rsid w:val="00EE0087"/>
    <w:rsid w:val="00EE0207"/>
    <w:rsid w:val="00EE03F2"/>
    <w:rsid w:val="00EE069C"/>
    <w:rsid w:val="00EE187A"/>
    <w:rsid w:val="00EE22B4"/>
    <w:rsid w:val="00EE268A"/>
    <w:rsid w:val="00EE29E5"/>
    <w:rsid w:val="00EE368D"/>
    <w:rsid w:val="00EE42F8"/>
    <w:rsid w:val="00EE4A60"/>
    <w:rsid w:val="00EE4C56"/>
    <w:rsid w:val="00EE4F25"/>
    <w:rsid w:val="00EE4FA6"/>
    <w:rsid w:val="00EE54FA"/>
    <w:rsid w:val="00EE57A3"/>
    <w:rsid w:val="00EE5A04"/>
    <w:rsid w:val="00EE5C15"/>
    <w:rsid w:val="00EE5FF0"/>
    <w:rsid w:val="00EE6296"/>
    <w:rsid w:val="00EE7781"/>
    <w:rsid w:val="00EE7C8C"/>
    <w:rsid w:val="00EF0429"/>
    <w:rsid w:val="00EF076E"/>
    <w:rsid w:val="00EF1337"/>
    <w:rsid w:val="00EF1D5A"/>
    <w:rsid w:val="00EF24B9"/>
    <w:rsid w:val="00EF2D14"/>
    <w:rsid w:val="00EF2DDA"/>
    <w:rsid w:val="00EF2FF9"/>
    <w:rsid w:val="00EF3F5B"/>
    <w:rsid w:val="00EF515D"/>
    <w:rsid w:val="00EF5710"/>
    <w:rsid w:val="00EF57AA"/>
    <w:rsid w:val="00EF5A65"/>
    <w:rsid w:val="00EF5B78"/>
    <w:rsid w:val="00EF6011"/>
    <w:rsid w:val="00EF622C"/>
    <w:rsid w:val="00EF6F25"/>
    <w:rsid w:val="00EF798D"/>
    <w:rsid w:val="00F0081D"/>
    <w:rsid w:val="00F009A6"/>
    <w:rsid w:val="00F0117C"/>
    <w:rsid w:val="00F016DF"/>
    <w:rsid w:val="00F01717"/>
    <w:rsid w:val="00F01798"/>
    <w:rsid w:val="00F0184F"/>
    <w:rsid w:val="00F01C6F"/>
    <w:rsid w:val="00F01F34"/>
    <w:rsid w:val="00F02049"/>
    <w:rsid w:val="00F02BA2"/>
    <w:rsid w:val="00F02DD0"/>
    <w:rsid w:val="00F02FCA"/>
    <w:rsid w:val="00F03262"/>
    <w:rsid w:val="00F038AD"/>
    <w:rsid w:val="00F03CC0"/>
    <w:rsid w:val="00F043FE"/>
    <w:rsid w:val="00F04ADD"/>
    <w:rsid w:val="00F0571E"/>
    <w:rsid w:val="00F05B68"/>
    <w:rsid w:val="00F06323"/>
    <w:rsid w:val="00F063A1"/>
    <w:rsid w:val="00F0664A"/>
    <w:rsid w:val="00F06DD4"/>
    <w:rsid w:val="00F06E57"/>
    <w:rsid w:val="00F0707A"/>
    <w:rsid w:val="00F10455"/>
    <w:rsid w:val="00F10695"/>
    <w:rsid w:val="00F10AFF"/>
    <w:rsid w:val="00F11082"/>
    <w:rsid w:val="00F11097"/>
    <w:rsid w:val="00F11CEF"/>
    <w:rsid w:val="00F12A57"/>
    <w:rsid w:val="00F12B53"/>
    <w:rsid w:val="00F12CC0"/>
    <w:rsid w:val="00F131D1"/>
    <w:rsid w:val="00F13532"/>
    <w:rsid w:val="00F1410B"/>
    <w:rsid w:val="00F145D2"/>
    <w:rsid w:val="00F14A97"/>
    <w:rsid w:val="00F14CA9"/>
    <w:rsid w:val="00F14EB9"/>
    <w:rsid w:val="00F15CA3"/>
    <w:rsid w:val="00F15D9F"/>
    <w:rsid w:val="00F15EB4"/>
    <w:rsid w:val="00F176F1"/>
    <w:rsid w:val="00F177CD"/>
    <w:rsid w:val="00F17F7B"/>
    <w:rsid w:val="00F207C6"/>
    <w:rsid w:val="00F20DAB"/>
    <w:rsid w:val="00F20F6E"/>
    <w:rsid w:val="00F21A5B"/>
    <w:rsid w:val="00F21B73"/>
    <w:rsid w:val="00F22582"/>
    <w:rsid w:val="00F227A5"/>
    <w:rsid w:val="00F22C8D"/>
    <w:rsid w:val="00F22CE3"/>
    <w:rsid w:val="00F22DCC"/>
    <w:rsid w:val="00F235EF"/>
    <w:rsid w:val="00F23D8C"/>
    <w:rsid w:val="00F23E92"/>
    <w:rsid w:val="00F23F8D"/>
    <w:rsid w:val="00F24464"/>
    <w:rsid w:val="00F249D9"/>
    <w:rsid w:val="00F24A8F"/>
    <w:rsid w:val="00F2546C"/>
    <w:rsid w:val="00F259F8"/>
    <w:rsid w:val="00F25B87"/>
    <w:rsid w:val="00F25C02"/>
    <w:rsid w:val="00F262D3"/>
    <w:rsid w:val="00F27797"/>
    <w:rsid w:val="00F27BC1"/>
    <w:rsid w:val="00F27BF9"/>
    <w:rsid w:val="00F27FC7"/>
    <w:rsid w:val="00F301ED"/>
    <w:rsid w:val="00F306BE"/>
    <w:rsid w:val="00F307AE"/>
    <w:rsid w:val="00F30AD6"/>
    <w:rsid w:val="00F31198"/>
    <w:rsid w:val="00F313E0"/>
    <w:rsid w:val="00F3242D"/>
    <w:rsid w:val="00F32658"/>
    <w:rsid w:val="00F32FCF"/>
    <w:rsid w:val="00F3376A"/>
    <w:rsid w:val="00F33D1B"/>
    <w:rsid w:val="00F34C7D"/>
    <w:rsid w:val="00F35B7E"/>
    <w:rsid w:val="00F362B1"/>
    <w:rsid w:val="00F3644C"/>
    <w:rsid w:val="00F36C14"/>
    <w:rsid w:val="00F36D65"/>
    <w:rsid w:val="00F3748B"/>
    <w:rsid w:val="00F37807"/>
    <w:rsid w:val="00F37E0C"/>
    <w:rsid w:val="00F401EE"/>
    <w:rsid w:val="00F4023C"/>
    <w:rsid w:val="00F4053A"/>
    <w:rsid w:val="00F40610"/>
    <w:rsid w:val="00F40847"/>
    <w:rsid w:val="00F40E1C"/>
    <w:rsid w:val="00F41B64"/>
    <w:rsid w:val="00F41D8F"/>
    <w:rsid w:val="00F4216B"/>
    <w:rsid w:val="00F42FF2"/>
    <w:rsid w:val="00F43364"/>
    <w:rsid w:val="00F43456"/>
    <w:rsid w:val="00F44235"/>
    <w:rsid w:val="00F455FA"/>
    <w:rsid w:val="00F457C7"/>
    <w:rsid w:val="00F45864"/>
    <w:rsid w:val="00F45C1E"/>
    <w:rsid w:val="00F46295"/>
    <w:rsid w:val="00F47574"/>
    <w:rsid w:val="00F47B59"/>
    <w:rsid w:val="00F47CCE"/>
    <w:rsid w:val="00F505AF"/>
    <w:rsid w:val="00F506C8"/>
    <w:rsid w:val="00F50B2A"/>
    <w:rsid w:val="00F51863"/>
    <w:rsid w:val="00F519A8"/>
    <w:rsid w:val="00F51DBD"/>
    <w:rsid w:val="00F52966"/>
    <w:rsid w:val="00F53053"/>
    <w:rsid w:val="00F53CE1"/>
    <w:rsid w:val="00F53D00"/>
    <w:rsid w:val="00F54D43"/>
    <w:rsid w:val="00F54EA5"/>
    <w:rsid w:val="00F55152"/>
    <w:rsid w:val="00F5681F"/>
    <w:rsid w:val="00F5708D"/>
    <w:rsid w:val="00F57275"/>
    <w:rsid w:val="00F57819"/>
    <w:rsid w:val="00F57848"/>
    <w:rsid w:val="00F579C2"/>
    <w:rsid w:val="00F57A1A"/>
    <w:rsid w:val="00F57C38"/>
    <w:rsid w:val="00F57C3A"/>
    <w:rsid w:val="00F57EA3"/>
    <w:rsid w:val="00F60D03"/>
    <w:rsid w:val="00F60EDC"/>
    <w:rsid w:val="00F61211"/>
    <w:rsid w:val="00F618CD"/>
    <w:rsid w:val="00F61C29"/>
    <w:rsid w:val="00F63083"/>
    <w:rsid w:val="00F6365A"/>
    <w:rsid w:val="00F63C74"/>
    <w:rsid w:val="00F643C8"/>
    <w:rsid w:val="00F64A7F"/>
    <w:rsid w:val="00F64E70"/>
    <w:rsid w:val="00F653E8"/>
    <w:rsid w:val="00F65832"/>
    <w:rsid w:val="00F65FF1"/>
    <w:rsid w:val="00F666EB"/>
    <w:rsid w:val="00F66A57"/>
    <w:rsid w:val="00F66B61"/>
    <w:rsid w:val="00F6717C"/>
    <w:rsid w:val="00F6736D"/>
    <w:rsid w:val="00F70033"/>
    <w:rsid w:val="00F709C5"/>
    <w:rsid w:val="00F71073"/>
    <w:rsid w:val="00F713AF"/>
    <w:rsid w:val="00F7215D"/>
    <w:rsid w:val="00F7248F"/>
    <w:rsid w:val="00F7294A"/>
    <w:rsid w:val="00F729EB"/>
    <w:rsid w:val="00F73194"/>
    <w:rsid w:val="00F765A3"/>
    <w:rsid w:val="00F769EB"/>
    <w:rsid w:val="00F76A41"/>
    <w:rsid w:val="00F76F47"/>
    <w:rsid w:val="00F773F8"/>
    <w:rsid w:val="00F77D22"/>
    <w:rsid w:val="00F77D8F"/>
    <w:rsid w:val="00F802B3"/>
    <w:rsid w:val="00F80368"/>
    <w:rsid w:val="00F80B41"/>
    <w:rsid w:val="00F81231"/>
    <w:rsid w:val="00F81940"/>
    <w:rsid w:val="00F81BB5"/>
    <w:rsid w:val="00F81BD5"/>
    <w:rsid w:val="00F82605"/>
    <w:rsid w:val="00F82988"/>
    <w:rsid w:val="00F82BCF"/>
    <w:rsid w:val="00F82CBA"/>
    <w:rsid w:val="00F83849"/>
    <w:rsid w:val="00F83A8F"/>
    <w:rsid w:val="00F83B94"/>
    <w:rsid w:val="00F85300"/>
    <w:rsid w:val="00F85760"/>
    <w:rsid w:val="00F85AD1"/>
    <w:rsid w:val="00F85D57"/>
    <w:rsid w:val="00F85E63"/>
    <w:rsid w:val="00F86120"/>
    <w:rsid w:val="00F866A7"/>
    <w:rsid w:val="00F868E3"/>
    <w:rsid w:val="00F86A14"/>
    <w:rsid w:val="00F86D62"/>
    <w:rsid w:val="00F877FB"/>
    <w:rsid w:val="00F903C9"/>
    <w:rsid w:val="00F90C4C"/>
    <w:rsid w:val="00F91213"/>
    <w:rsid w:val="00F912B0"/>
    <w:rsid w:val="00F91D92"/>
    <w:rsid w:val="00F922E0"/>
    <w:rsid w:val="00F931EF"/>
    <w:rsid w:val="00F93DD2"/>
    <w:rsid w:val="00F94069"/>
    <w:rsid w:val="00F940A5"/>
    <w:rsid w:val="00F94451"/>
    <w:rsid w:val="00F945D7"/>
    <w:rsid w:val="00F95364"/>
    <w:rsid w:val="00F95F73"/>
    <w:rsid w:val="00F96AC6"/>
    <w:rsid w:val="00F9726A"/>
    <w:rsid w:val="00F977F4"/>
    <w:rsid w:val="00F97CF6"/>
    <w:rsid w:val="00F97D88"/>
    <w:rsid w:val="00FA2425"/>
    <w:rsid w:val="00FA254C"/>
    <w:rsid w:val="00FA2A52"/>
    <w:rsid w:val="00FA3220"/>
    <w:rsid w:val="00FA3625"/>
    <w:rsid w:val="00FA38E3"/>
    <w:rsid w:val="00FA39A5"/>
    <w:rsid w:val="00FA39F2"/>
    <w:rsid w:val="00FA4746"/>
    <w:rsid w:val="00FA476B"/>
    <w:rsid w:val="00FA47A8"/>
    <w:rsid w:val="00FA5595"/>
    <w:rsid w:val="00FA5DC7"/>
    <w:rsid w:val="00FA6051"/>
    <w:rsid w:val="00FA6376"/>
    <w:rsid w:val="00FA6FB5"/>
    <w:rsid w:val="00FA7204"/>
    <w:rsid w:val="00FA7676"/>
    <w:rsid w:val="00FA79B9"/>
    <w:rsid w:val="00FB0321"/>
    <w:rsid w:val="00FB0527"/>
    <w:rsid w:val="00FB152B"/>
    <w:rsid w:val="00FB1FF3"/>
    <w:rsid w:val="00FB272A"/>
    <w:rsid w:val="00FB291B"/>
    <w:rsid w:val="00FB3D47"/>
    <w:rsid w:val="00FB463E"/>
    <w:rsid w:val="00FB5312"/>
    <w:rsid w:val="00FB5617"/>
    <w:rsid w:val="00FB5E72"/>
    <w:rsid w:val="00FB60E4"/>
    <w:rsid w:val="00FB676D"/>
    <w:rsid w:val="00FB67F2"/>
    <w:rsid w:val="00FB7844"/>
    <w:rsid w:val="00FB78CA"/>
    <w:rsid w:val="00FB790F"/>
    <w:rsid w:val="00FC0C71"/>
    <w:rsid w:val="00FC109E"/>
    <w:rsid w:val="00FC1818"/>
    <w:rsid w:val="00FC1FE0"/>
    <w:rsid w:val="00FC264A"/>
    <w:rsid w:val="00FC2726"/>
    <w:rsid w:val="00FC324F"/>
    <w:rsid w:val="00FC32ED"/>
    <w:rsid w:val="00FC3559"/>
    <w:rsid w:val="00FC35B2"/>
    <w:rsid w:val="00FC36D0"/>
    <w:rsid w:val="00FC40FD"/>
    <w:rsid w:val="00FC450E"/>
    <w:rsid w:val="00FC46EF"/>
    <w:rsid w:val="00FC483D"/>
    <w:rsid w:val="00FC4A71"/>
    <w:rsid w:val="00FC5466"/>
    <w:rsid w:val="00FC54A9"/>
    <w:rsid w:val="00FC54CE"/>
    <w:rsid w:val="00FC587C"/>
    <w:rsid w:val="00FC63B6"/>
    <w:rsid w:val="00FC6864"/>
    <w:rsid w:val="00FC6D32"/>
    <w:rsid w:val="00FC6EAC"/>
    <w:rsid w:val="00FC7022"/>
    <w:rsid w:val="00FC7CE2"/>
    <w:rsid w:val="00FC7E53"/>
    <w:rsid w:val="00FD0167"/>
    <w:rsid w:val="00FD168B"/>
    <w:rsid w:val="00FD1E07"/>
    <w:rsid w:val="00FD204D"/>
    <w:rsid w:val="00FD212A"/>
    <w:rsid w:val="00FD3011"/>
    <w:rsid w:val="00FD333B"/>
    <w:rsid w:val="00FD3347"/>
    <w:rsid w:val="00FD38C1"/>
    <w:rsid w:val="00FD441C"/>
    <w:rsid w:val="00FD473F"/>
    <w:rsid w:val="00FD56BB"/>
    <w:rsid w:val="00FD59E3"/>
    <w:rsid w:val="00FD5E71"/>
    <w:rsid w:val="00FD63D5"/>
    <w:rsid w:val="00FD649C"/>
    <w:rsid w:val="00FD6CBC"/>
    <w:rsid w:val="00FD6D32"/>
    <w:rsid w:val="00FD6F2C"/>
    <w:rsid w:val="00FD703F"/>
    <w:rsid w:val="00FD7A48"/>
    <w:rsid w:val="00FE0D03"/>
    <w:rsid w:val="00FE0F9F"/>
    <w:rsid w:val="00FE121A"/>
    <w:rsid w:val="00FE1713"/>
    <w:rsid w:val="00FE1E1A"/>
    <w:rsid w:val="00FE1E9E"/>
    <w:rsid w:val="00FE2307"/>
    <w:rsid w:val="00FE2FA0"/>
    <w:rsid w:val="00FE3116"/>
    <w:rsid w:val="00FE349A"/>
    <w:rsid w:val="00FE3E3C"/>
    <w:rsid w:val="00FE3ED0"/>
    <w:rsid w:val="00FE4199"/>
    <w:rsid w:val="00FE4603"/>
    <w:rsid w:val="00FE4C09"/>
    <w:rsid w:val="00FE4C56"/>
    <w:rsid w:val="00FE54AD"/>
    <w:rsid w:val="00FE6007"/>
    <w:rsid w:val="00FE6520"/>
    <w:rsid w:val="00FE67C7"/>
    <w:rsid w:val="00FE686F"/>
    <w:rsid w:val="00FE7068"/>
    <w:rsid w:val="00FE70A5"/>
    <w:rsid w:val="00FE733C"/>
    <w:rsid w:val="00FE7E98"/>
    <w:rsid w:val="00FF01ED"/>
    <w:rsid w:val="00FF063B"/>
    <w:rsid w:val="00FF070B"/>
    <w:rsid w:val="00FF157E"/>
    <w:rsid w:val="00FF3321"/>
    <w:rsid w:val="00FF45F1"/>
    <w:rsid w:val="00FF47EC"/>
    <w:rsid w:val="00FF4A85"/>
    <w:rsid w:val="00FF4AF7"/>
    <w:rsid w:val="00FF55A4"/>
    <w:rsid w:val="00FF5A30"/>
    <w:rsid w:val="00FF6537"/>
    <w:rsid w:val="00FF6558"/>
    <w:rsid w:val="00FF679C"/>
    <w:rsid w:val="00FF67ED"/>
    <w:rsid w:val="00FF6FB3"/>
    <w:rsid w:val="00FF77D1"/>
    <w:rsid w:val="01064C9A"/>
    <w:rsid w:val="010C3980"/>
    <w:rsid w:val="01176EA7"/>
    <w:rsid w:val="011B0B5F"/>
    <w:rsid w:val="011B6997"/>
    <w:rsid w:val="01304A6D"/>
    <w:rsid w:val="01321BC5"/>
    <w:rsid w:val="014234DF"/>
    <w:rsid w:val="015A571A"/>
    <w:rsid w:val="01657C13"/>
    <w:rsid w:val="01852BF4"/>
    <w:rsid w:val="0189664D"/>
    <w:rsid w:val="018A7679"/>
    <w:rsid w:val="018B1F6C"/>
    <w:rsid w:val="01A7300D"/>
    <w:rsid w:val="01A85250"/>
    <w:rsid w:val="01B5249C"/>
    <w:rsid w:val="01B554DA"/>
    <w:rsid w:val="01B80D3F"/>
    <w:rsid w:val="01C62F2B"/>
    <w:rsid w:val="01D37272"/>
    <w:rsid w:val="01DF4EDA"/>
    <w:rsid w:val="01F8440D"/>
    <w:rsid w:val="0200793B"/>
    <w:rsid w:val="020142D5"/>
    <w:rsid w:val="020F5B76"/>
    <w:rsid w:val="022655F4"/>
    <w:rsid w:val="02377801"/>
    <w:rsid w:val="027A149C"/>
    <w:rsid w:val="02953EA8"/>
    <w:rsid w:val="029867D4"/>
    <w:rsid w:val="02995F50"/>
    <w:rsid w:val="02A31D66"/>
    <w:rsid w:val="02A36C44"/>
    <w:rsid w:val="02A62291"/>
    <w:rsid w:val="02B5285C"/>
    <w:rsid w:val="02BD2DDC"/>
    <w:rsid w:val="02C62933"/>
    <w:rsid w:val="02CF23C2"/>
    <w:rsid w:val="02E41BD9"/>
    <w:rsid w:val="02E71453"/>
    <w:rsid w:val="03060F81"/>
    <w:rsid w:val="03173601"/>
    <w:rsid w:val="03326279"/>
    <w:rsid w:val="03343090"/>
    <w:rsid w:val="03353615"/>
    <w:rsid w:val="03415C1D"/>
    <w:rsid w:val="034F1899"/>
    <w:rsid w:val="035F693C"/>
    <w:rsid w:val="03810BB8"/>
    <w:rsid w:val="0388408C"/>
    <w:rsid w:val="038B058F"/>
    <w:rsid w:val="039C77C9"/>
    <w:rsid w:val="03AD10E5"/>
    <w:rsid w:val="03AD1F43"/>
    <w:rsid w:val="03D575A8"/>
    <w:rsid w:val="03EC63C9"/>
    <w:rsid w:val="03F4527E"/>
    <w:rsid w:val="03FD2384"/>
    <w:rsid w:val="04043713"/>
    <w:rsid w:val="04117BA0"/>
    <w:rsid w:val="0422003D"/>
    <w:rsid w:val="04351B1E"/>
    <w:rsid w:val="045A6DB0"/>
    <w:rsid w:val="046643CE"/>
    <w:rsid w:val="046B19E4"/>
    <w:rsid w:val="047010F6"/>
    <w:rsid w:val="047368F3"/>
    <w:rsid w:val="04795062"/>
    <w:rsid w:val="047C6DCE"/>
    <w:rsid w:val="04802032"/>
    <w:rsid w:val="04891E6A"/>
    <w:rsid w:val="0494445C"/>
    <w:rsid w:val="049D7357"/>
    <w:rsid w:val="04A42BE0"/>
    <w:rsid w:val="04BE2D4C"/>
    <w:rsid w:val="04D738B2"/>
    <w:rsid w:val="04DC287B"/>
    <w:rsid w:val="04DD3789"/>
    <w:rsid w:val="04EE7F1F"/>
    <w:rsid w:val="04F92F45"/>
    <w:rsid w:val="050977F2"/>
    <w:rsid w:val="05107E95"/>
    <w:rsid w:val="05171224"/>
    <w:rsid w:val="051A0D14"/>
    <w:rsid w:val="051C4A8C"/>
    <w:rsid w:val="05235E1B"/>
    <w:rsid w:val="052B4CCF"/>
    <w:rsid w:val="052D4B75"/>
    <w:rsid w:val="053C512E"/>
    <w:rsid w:val="054007EF"/>
    <w:rsid w:val="054D733B"/>
    <w:rsid w:val="05540B15"/>
    <w:rsid w:val="057228FE"/>
    <w:rsid w:val="05793C8D"/>
    <w:rsid w:val="05812B41"/>
    <w:rsid w:val="05905187"/>
    <w:rsid w:val="0599432F"/>
    <w:rsid w:val="05A131E3"/>
    <w:rsid w:val="05BB0E6A"/>
    <w:rsid w:val="05C150DD"/>
    <w:rsid w:val="05D45367"/>
    <w:rsid w:val="05F13113"/>
    <w:rsid w:val="05F601B2"/>
    <w:rsid w:val="05FE2887"/>
    <w:rsid w:val="06044803"/>
    <w:rsid w:val="06253E14"/>
    <w:rsid w:val="06287461"/>
    <w:rsid w:val="067B57E2"/>
    <w:rsid w:val="067D155B"/>
    <w:rsid w:val="068B3573"/>
    <w:rsid w:val="069074E0"/>
    <w:rsid w:val="069F5975"/>
    <w:rsid w:val="06A448BD"/>
    <w:rsid w:val="06BC02D5"/>
    <w:rsid w:val="06C254FC"/>
    <w:rsid w:val="06CB5922"/>
    <w:rsid w:val="06D154B1"/>
    <w:rsid w:val="06E83ECF"/>
    <w:rsid w:val="06FA0DFD"/>
    <w:rsid w:val="07003538"/>
    <w:rsid w:val="07035F04"/>
    <w:rsid w:val="073347C4"/>
    <w:rsid w:val="074E7B14"/>
    <w:rsid w:val="075229E7"/>
    <w:rsid w:val="077706A0"/>
    <w:rsid w:val="07832BA1"/>
    <w:rsid w:val="078901E4"/>
    <w:rsid w:val="078B5EF9"/>
    <w:rsid w:val="07B13964"/>
    <w:rsid w:val="07CD6512"/>
    <w:rsid w:val="07D93EDA"/>
    <w:rsid w:val="07E439BB"/>
    <w:rsid w:val="07FD5ED5"/>
    <w:rsid w:val="07FE67C2"/>
    <w:rsid w:val="08057A5A"/>
    <w:rsid w:val="080F26FF"/>
    <w:rsid w:val="08193505"/>
    <w:rsid w:val="081E4FBF"/>
    <w:rsid w:val="082D7B4F"/>
    <w:rsid w:val="084F6BDA"/>
    <w:rsid w:val="085B3B1D"/>
    <w:rsid w:val="08617550"/>
    <w:rsid w:val="089D6191"/>
    <w:rsid w:val="08AB0AE0"/>
    <w:rsid w:val="08B64B4E"/>
    <w:rsid w:val="08BE6C67"/>
    <w:rsid w:val="08D16500"/>
    <w:rsid w:val="08DE04B9"/>
    <w:rsid w:val="08ED677C"/>
    <w:rsid w:val="08F9386D"/>
    <w:rsid w:val="09075A53"/>
    <w:rsid w:val="092A7AD4"/>
    <w:rsid w:val="09344859"/>
    <w:rsid w:val="09414AC1"/>
    <w:rsid w:val="096457E8"/>
    <w:rsid w:val="096D58B6"/>
    <w:rsid w:val="097D1872"/>
    <w:rsid w:val="09B44D0D"/>
    <w:rsid w:val="09CF031F"/>
    <w:rsid w:val="09CF6571"/>
    <w:rsid w:val="09D5345C"/>
    <w:rsid w:val="0A054BE4"/>
    <w:rsid w:val="0A1C72DC"/>
    <w:rsid w:val="0A2B0B0D"/>
    <w:rsid w:val="0A3D4B5A"/>
    <w:rsid w:val="0A430D0D"/>
    <w:rsid w:val="0A5A7FE2"/>
    <w:rsid w:val="0A7B30EB"/>
    <w:rsid w:val="0A832BD5"/>
    <w:rsid w:val="0A96708F"/>
    <w:rsid w:val="0A98656A"/>
    <w:rsid w:val="0A9A33C4"/>
    <w:rsid w:val="0AB4509C"/>
    <w:rsid w:val="0AB45767"/>
    <w:rsid w:val="0ABD461B"/>
    <w:rsid w:val="0AC21C32"/>
    <w:rsid w:val="0AD772D6"/>
    <w:rsid w:val="0AE438C8"/>
    <w:rsid w:val="0AF03B7E"/>
    <w:rsid w:val="0AF50259"/>
    <w:rsid w:val="0AF73FD1"/>
    <w:rsid w:val="0AFA761E"/>
    <w:rsid w:val="0AFD2C6A"/>
    <w:rsid w:val="0B0A3E9B"/>
    <w:rsid w:val="0B1701D0"/>
    <w:rsid w:val="0B362BF0"/>
    <w:rsid w:val="0B640F3B"/>
    <w:rsid w:val="0B6B051B"/>
    <w:rsid w:val="0B742B26"/>
    <w:rsid w:val="0B802BBC"/>
    <w:rsid w:val="0BA0772C"/>
    <w:rsid w:val="0BAD736F"/>
    <w:rsid w:val="0BB860B1"/>
    <w:rsid w:val="0BD643AC"/>
    <w:rsid w:val="0BF57DE5"/>
    <w:rsid w:val="0C036249"/>
    <w:rsid w:val="0C0C1D38"/>
    <w:rsid w:val="0C0D512F"/>
    <w:rsid w:val="0C161698"/>
    <w:rsid w:val="0C1C1ED3"/>
    <w:rsid w:val="0C2B3807"/>
    <w:rsid w:val="0C2C6E4C"/>
    <w:rsid w:val="0C6A2581"/>
    <w:rsid w:val="0C6A750D"/>
    <w:rsid w:val="0C6D20DD"/>
    <w:rsid w:val="0C74522B"/>
    <w:rsid w:val="0C767178"/>
    <w:rsid w:val="0C7A56D7"/>
    <w:rsid w:val="0C7C4062"/>
    <w:rsid w:val="0C860B62"/>
    <w:rsid w:val="0C89186A"/>
    <w:rsid w:val="0C8C0749"/>
    <w:rsid w:val="0C9B7EBC"/>
    <w:rsid w:val="0CA47203"/>
    <w:rsid w:val="0CB63A18"/>
    <w:rsid w:val="0CC3045E"/>
    <w:rsid w:val="0CCC3E9A"/>
    <w:rsid w:val="0CE560AB"/>
    <w:rsid w:val="0CF57B2C"/>
    <w:rsid w:val="0CFA3EB7"/>
    <w:rsid w:val="0D1118E5"/>
    <w:rsid w:val="0D183D8B"/>
    <w:rsid w:val="0D192D09"/>
    <w:rsid w:val="0D2E35AF"/>
    <w:rsid w:val="0D33389B"/>
    <w:rsid w:val="0D500D75"/>
    <w:rsid w:val="0D5154EF"/>
    <w:rsid w:val="0D625B94"/>
    <w:rsid w:val="0D646FD0"/>
    <w:rsid w:val="0D683E73"/>
    <w:rsid w:val="0D6945E7"/>
    <w:rsid w:val="0D7D4536"/>
    <w:rsid w:val="0D822514"/>
    <w:rsid w:val="0DA63A8D"/>
    <w:rsid w:val="0DB51DAB"/>
    <w:rsid w:val="0DB735A4"/>
    <w:rsid w:val="0DBC505E"/>
    <w:rsid w:val="0DC765A6"/>
    <w:rsid w:val="0DD17B12"/>
    <w:rsid w:val="0DFE5677"/>
    <w:rsid w:val="0E080413"/>
    <w:rsid w:val="0E0830D6"/>
    <w:rsid w:val="0E265A00"/>
    <w:rsid w:val="0E2A021A"/>
    <w:rsid w:val="0E3B3FA0"/>
    <w:rsid w:val="0E460DCC"/>
    <w:rsid w:val="0E6059EA"/>
    <w:rsid w:val="0E625C06"/>
    <w:rsid w:val="0E651561"/>
    <w:rsid w:val="0E6D72E6"/>
    <w:rsid w:val="0E7E2314"/>
    <w:rsid w:val="0E8368FD"/>
    <w:rsid w:val="0E863321"/>
    <w:rsid w:val="0E9602DD"/>
    <w:rsid w:val="0EAB1E37"/>
    <w:rsid w:val="0EBB3B81"/>
    <w:rsid w:val="0EE24651"/>
    <w:rsid w:val="0EE65845"/>
    <w:rsid w:val="0EFD76DC"/>
    <w:rsid w:val="0F000F7B"/>
    <w:rsid w:val="0F07055B"/>
    <w:rsid w:val="0F2C1D70"/>
    <w:rsid w:val="0F516E9D"/>
    <w:rsid w:val="0F582B65"/>
    <w:rsid w:val="0F692FC4"/>
    <w:rsid w:val="0F73174D"/>
    <w:rsid w:val="0FAC15DD"/>
    <w:rsid w:val="0FB26719"/>
    <w:rsid w:val="0FB73D2F"/>
    <w:rsid w:val="0FC43086"/>
    <w:rsid w:val="0FE26A14"/>
    <w:rsid w:val="0FEC1540"/>
    <w:rsid w:val="10021B7B"/>
    <w:rsid w:val="10022AD1"/>
    <w:rsid w:val="101412D3"/>
    <w:rsid w:val="10156498"/>
    <w:rsid w:val="10246EEB"/>
    <w:rsid w:val="102B0279"/>
    <w:rsid w:val="102F7D69"/>
    <w:rsid w:val="103241E5"/>
    <w:rsid w:val="103724CB"/>
    <w:rsid w:val="10374E70"/>
    <w:rsid w:val="1043347E"/>
    <w:rsid w:val="104A4BA3"/>
    <w:rsid w:val="104D4694"/>
    <w:rsid w:val="10507CE0"/>
    <w:rsid w:val="10525A72"/>
    <w:rsid w:val="105C6DE2"/>
    <w:rsid w:val="10615A49"/>
    <w:rsid w:val="107050FC"/>
    <w:rsid w:val="10731884"/>
    <w:rsid w:val="108654B0"/>
    <w:rsid w:val="1092654A"/>
    <w:rsid w:val="10A43CE3"/>
    <w:rsid w:val="10B65D95"/>
    <w:rsid w:val="10C52BD0"/>
    <w:rsid w:val="10C9732B"/>
    <w:rsid w:val="10D95F27"/>
    <w:rsid w:val="10D97CD5"/>
    <w:rsid w:val="10DB1C9F"/>
    <w:rsid w:val="10ED3781"/>
    <w:rsid w:val="10F4502B"/>
    <w:rsid w:val="10FE629D"/>
    <w:rsid w:val="110830B8"/>
    <w:rsid w:val="1116076B"/>
    <w:rsid w:val="11205904"/>
    <w:rsid w:val="113C3DDC"/>
    <w:rsid w:val="114415F3"/>
    <w:rsid w:val="114E4A0A"/>
    <w:rsid w:val="116F23E8"/>
    <w:rsid w:val="11731ED8"/>
    <w:rsid w:val="11902A8A"/>
    <w:rsid w:val="11936674"/>
    <w:rsid w:val="1195236D"/>
    <w:rsid w:val="11A55E09"/>
    <w:rsid w:val="11B11DE5"/>
    <w:rsid w:val="11BD2B3B"/>
    <w:rsid w:val="11D0732A"/>
    <w:rsid w:val="11D47836"/>
    <w:rsid w:val="11E518A7"/>
    <w:rsid w:val="11E73C6A"/>
    <w:rsid w:val="11FA08A7"/>
    <w:rsid w:val="11FB4533"/>
    <w:rsid w:val="1202500A"/>
    <w:rsid w:val="12080923"/>
    <w:rsid w:val="12170AB5"/>
    <w:rsid w:val="1218364A"/>
    <w:rsid w:val="121865DB"/>
    <w:rsid w:val="12275901"/>
    <w:rsid w:val="12316EB7"/>
    <w:rsid w:val="12522574"/>
    <w:rsid w:val="12555A81"/>
    <w:rsid w:val="126235C2"/>
    <w:rsid w:val="126B3346"/>
    <w:rsid w:val="127146D8"/>
    <w:rsid w:val="12851EC3"/>
    <w:rsid w:val="1288550F"/>
    <w:rsid w:val="128D0644"/>
    <w:rsid w:val="129A3494"/>
    <w:rsid w:val="12A411BA"/>
    <w:rsid w:val="12A84C29"/>
    <w:rsid w:val="12AC0E1B"/>
    <w:rsid w:val="12AD13B4"/>
    <w:rsid w:val="12AD31C8"/>
    <w:rsid w:val="12FB2185"/>
    <w:rsid w:val="13100BDE"/>
    <w:rsid w:val="131A3751"/>
    <w:rsid w:val="13203999"/>
    <w:rsid w:val="133106B8"/>
    <w:rsid w:val="13346AFF"/>
    <w:rsid w:val="13405DEA"/>
    <w:rsid w:val="13420660"/>
    <w:rsid w:val="13470D1B"/>
    <w:rsid w:val="13554000"/>
    <w:rsid w:val="13557018"/>
    <w:rsid w:val="135D4BEE"/>
    <w:rsid w:val="1367781A"/>
    <w:rsid w:val="13AE5DCB"/>
    <w:rsid w:val="13C50D8E"/>
    <w:rsid w:val="13C55AF4"/>
    <w:rsid w:val="13D660DB"/>
    <w:rsid w:val="13DF1AA7"/>
    <w:rsid w:val="13E175CD"/>
    <w:rsid w:val="13E76168"/>
    <w:rsid w:val="13FB3458"/>
    <w:rsid w:val="14101C60"/>
    <w:rsid w:val="143D5096"/>
    <w:rsid w:val="14553B17"/>
    <w:rsid w:val="14593ABD"/>
    <w:rsid w:val="147742FE"/>
    <w:rsid w:val="147C70D2"/>
    <w:rsid w:val="14824A9F"/>
    <w:rsid w:val="148B3890"/>
    <w:rsid w:val="148B7538"/>
    <w:rsid w:val="149442E3"/>
    <w:rsid w:val="14A95AB7"/>
    <w:rsid w:val="14E60C13"/>
    <w:rsid w:val="14E86739"/>
    <w:rsid w:val="14FC7061"/>
    <w:rsid w:val="152359C3"/>
    <w:rsid w:val="152D77B0"/>
    <w:rsid w:val="15316A58"/>
    <w:rsid w:val="15344D3E"/>
    <w:rsid w:val="154716B1"/>
    <w:rsid w:val="154D0ACE"/>
    <w:rsid w:val="154E4A13"/>
    <w:rsid w:val="15673B02"/>
    <w:rsid w:val="1571672E"/>
    <w:rsid w:val="157D3325"/>
    <w:rsid w:val="157D4BDF"/>
    <w:rsid w:val="15805CC9"/>
    <w:rsid w:val="158A77F0"/>
    <w:rsid w:val="158E3642"/>
    <w:rsid w:val="15AA5A95"/>
    <w:rsid w:val="15BD1974"/>
    <w:rsid w:val="15BE749A"/>
    <w:rsid w:val="15BF4E74"/>
    <w:rsid w:val="15C93DA0"/>
    <w:rsid w:val="15DE05DB"/>
    <w:rsid w:val="15E44B4B"/>
    <w:rsid w:val="15EA37B8"/>
    <w:rsid w:val="15FE5F1B"/>
    <w:rsid w:val="1606156C"/>
    <w:rsid w:val="160F6F2A"/>
    <w:rsid w:val="16134A98"/>
    <w:rsid w:val="163A6417"/>
    <w:rsid w:val="164019E1"/>
    <w:rsid w:val="16476477"/>
    <w:rsid w:val="16504596"/>
    <w:rsid w:val="16563FC8"/>
    <w:rsid w:val="16585CC2"/>
    <w:rsid w:val="165A22C5"/>
    <w:rsid w:val="166149F5"/>
    <w:rsid w:val="166762DE"/>
    <w:rsid w:val="168D57EA"/>
    <w:rsid w:val="16905EE8"/>
    <w:rsid w:val="169C6A4B"/>
    <w:rsid w:val="16A55FBE"/>
    <w:rsid w:val="16AB5C70"/>
    <w:rsid w:val="16B230F3"/>
    <w:rsid w:val="16B2693A"/>
    <w:rsid w:val="16B569CD"/>
    <w:rsid w:val="16BC7E7D"/>
    <w:rsid w:val="16C44F84"/>
    <w:rsid w:val="16CC417B"/>
    <w:rsid w:val="16CD4698"/>
    <w:rsid w:val="16EB124F"/>
    <w:rsid w:val="16EC34F3"/>
    <w:rsid w:val="16FB7141"/>
    <w:rsid w:val="16FC6A7F"/>
    <w:rsid w:val="1724541E"/>
    <w:rsid w:val="173F136A"/>
    <w:rsid w:val="17625BEF"/>
    <w:rsid w:val="176D312B"/>
    <w:rsid w:val="176F6C9D"/>
    <w:rsid w:val="177249E0"/>
    <w:rsid w:val="17AA5F28"/>
    <w:rsid w:val="17AE12EC"/>
    <w:rsid w:val="17B0246F"/>
    <w:rsid w:val="17BD3500"/>
    <w:rsid w:val="17CC0594"/>
    <w:rsid w:val="17D5354C"/>
    <w:rsid w:val="17DB2585"/>
    <w:rsid w:val="17DE3E23"/>
    <w:rsid w:val="18040982"/>
    <w:rsid w:val="18045745"/>
    <w:rsid w:val="180A1D0F"/>
    <w:rsid w:val="18295325"/>
    <w:rsid w:val="186F3018"/>
    <w:rsid w:val="188908F1"/>
    <w:rsid w:val="188C1683"/>
    <w:rsid w:val="1890412B"/>
    <w:rsid w:val="189C129B"/>
    <w:rsid w:val="189E0581"/>
    <w:rsid w:val="18A84B5D"/>
    <w:rsid w:val="18AB4E55"/>
    <w:rsid w:val="18B039DD"/>
    <w:rsid w:val="18B07A8C"/>
    <w:rsid w:val="18B1372F"/>
    <w:rsid w:val="18DA6CE0"/>
    <w:rsid w:val="18DB6D01"/>
    <w:rsid w:val="18DC23F5"/>
    <w:rsid w:val="18E878E8"/>
    <w:rsid w:val="18F72E92"/>
    <w:rsid w:val="19037E5E"/>
    <w:rsid w:val="190D3817"/>
    <w:rsid w:val="19153875"/>
    <w:rsid w:val="191915B7"/>
    <w:rsid w:val="191B4C94"/>
    <w:rsid w:val="191C08A4"/>
    <w:rsid w:val="191D3CDD"/>
    <w:rsid w:val="19232435"/>
    <w:rsid w:val="192833BF"/>
    <w:rsid w:val="195910E9"/>
    <w:rsid w:val="19612500"/>
    <w:rsid w:val="19704147"/>
    <w:rsid w:val="197C4046"/>
    <w:rsid w:val="19AC71F3"/>
    <w:rsid w:val="19B7492C"/>
    <w:rsid w:val="19BD5AC7"/>
    <w:rsid w:val="19C332D1"/>
    <w:rsid w:val="19E576EB"/>
    <w:rsid w:val="19F172DC"/>
    <w:rsid w:val="1A0D5DDB"/>
    <w:rsid w:val="1A2B53F3"/>
    <w:rsid w:val="1A424778"/>
    <w:rsid w:val="1A616AC1"/>
    <w:rsid w:val="1A713602"/>
    <w:rsid w:val="1A82318C"/>
    <w:rsid w:val="1A845156"/>
    <w:rsid w:val="1A9739F7"/>
    <w:rsid w:val="1AA749A0"/>
    <w:rsid w:val="1ABF1101"/>
    <w:rsid w:val="1AC71B91"/>
    <w:rsid w:val="1ADC289C"/>
    <w:rsid w:val="1B013E7C"/>
    <w:rsid w:val="1B0911B7"/>
    <w:rsid w:val="1B1035B3"/>
    <w:rsid w:val="1B1A7868"/>
    <w:rsid w:val="1B20658C"/>
    <w:rsid w:val="1B216501"/>
    <w:rsid w:val="1B21661A"/>
    <w:rsid w:val="1B28697E"/>
    <w:rsid w:val="1B2A7531"/>
    <w:rsid w:val="1B2C34EC"/>
    <w:rsid w:val="1B542D7A"/>
    <w:rsid w:val="1B5508A0"/>
    <w:rsid w:val="1B582548"/>
    <w:rsid w:val="1B5A4D16"/>
    <w:rsid w:val="1B7165D9"/>
    <w:rsid w:val="1B724FAE"/>
    <w:rsid w:val="1B990BA6"/>
    <w:rsid w:val="1B9C027D"/>
    <w:rsid w:val="1BA0410A"/>
    <w:rsid w:val="1BA73847"/>
    <w:rsid w:val="1BBB11B5"/>
    <w:rsid w:val="1BCA303C"/>
    <w:rsid w:val="1BCB0DC9"/>
    <w:rsid w:val="1BCC2910"/>
    <w:rsid w:val="1BCF0E71"/>
    <w:rsid w:val="1BD17F27"/>
    <w:rsid w:val="1BF6798D"/>
    <w:rsid w:val="1C042A47"/>
    <w:rsid w:val="1C0F6782"/>
    <w:rsid w:val="1C166281"/>
    <w:rsid w:val="1C1E7BE1"/>
    <w:rsid w:val="1C220782"/>
    <w:rsid w:val="1C2207D3"/>
    <w:rsid w:val="1C3404B6"/>
    <w:rsid w:val="1C3B5CE8"/>
    <w:rsid w:val="1C495ADA"/>
    <w:rsid w:val="1C5F56D9"/>
    <w:rsid w:val="1C6806CA"/>
    <w:rsid w:val="1C6E35C0"/>
    <w:rsid w:val="1C7D3C0B"/>
    <w:rsid w:val="1C890801"/>
    <w:rsid w:val="1C915908"/>
    <w:rsid w:val="1CA64748"/>
    <w:rsid w:val="1CAC430F"/>
    <w:rsid w:val="1CC950A2"/>
    <w:rsid w:val="1CD44AF2"/>
    <w:rsid w:val="1CD53A47"/>
    <w:rsid w:val="1CD65C5D"/>
    <w:rsid w:val="1CDA105D"/>
    <w:rsid w:val="1CF71C0F"/>
    <w:rsid w:val="1D0F1DEB"/>
    <w:rsid w:val="1D1E3640"/>
    <w:rsid w:val="1D24604D"/>
    <w:rsid w:val="1D250176"/>
    <w:rsid w:val="1D3B2012"/>
    <w:rsid w:val="1D4209B0"/>
    <w:rsid w:val="1D440BCC"/>
    <w:rsid w:val="1D494FEE"/>
    <w:rsid w:val="1D6372A4"/>
    <w:rsid w:val="1D641885"/>
    <w:rsid w:val="1D6617CA"/>
    <w:rsid w:val="1D6D1B54"/>
    <w:rsid w:val="1D747BA4"/>
    <w:rsid w:val="1D7C69FE"/>
    <w:rsid w:val="1D84602E"/>
    <w:rsid w:val="1D8C46F7"/>
    <w:rsid w:val="1DA17A47"/>
    <w:rsid w:val="1DBB0E8E"/>
    <w:rsid w:val="1DC31AF1"/>
    <w:rsid w:val="1DCD2970"/>
    <w:rsid w:val="1DE71C83"/>
    <w:rsid w:val="1DFD14A7"/>
    <w:rsid w:val="1E043561"/>
    <w:rsid w:val="1E37603B"/>
    <w:rsid w:val="1E3A3BD5"/>
    <w:rsid w:val="1E4C75DC"/>
    <w:rsid w:val="1E4D6D50"/>
    <w:rsid w:val="1E674B72"/>
    <w:rsid w:val="1E6A11E7"/>
    <w:rsid w:val="1E6A4663"/>
    <w:rsid w:val="1E6C680D"/>
    <w:rsid w:val="1E805C34"/>
    <w:rsid w:val="1E94348E"/>
    <w:rsid w:val="1E9B481C"/>
    <w:rsid w:val="1EA30526"/>
    <w:rsid w:val="1EA5569B"/>
    <w:rsid w:val="1EC41FC5"/>
    <w:rsid w:val="1EEE7042"/>
    <w:rsid w:val="1EF5370F"/>
    <w:rsid w:val="1EFC62AD"/>
    <w:rsid w:val="1F096428"/>
    <w:rsid w:val="1F197FD7"/>
    <w:rsid w:val="1F1F71FB"/>
    <w:rsid w:val="1F2C36C6"/>
    <w:rsid w:val="1F345D75"/>
    <w:rsid w:val="1F3F164B"/>
    <w:rsid w:val="1F42113B"/>
    <w:rsid w:val="1F576995"/>
    <w:rsid w:val="1F60453B"/>
    <w:rsid w:val="1F6B41EE"/>
    <w:rsid w:val="1F72557D"/>
    <w:rsid w:val="1F835F38"/>
    <w:rsid w:val="1F85085E"/>
    <w:rsid w:val="1F8B7238"/>
    <w:rsid w:val="1F970531"/>
    <w:rsid w:val="1FA32707"/>
    <w:rsid w:val="1FAD0E97"/>
    <w:rsid w:val="1FB223E3"/>
    <w:rsid w:val="1FB37FF3"/>
    <w:rsid w:val="1FC61D6D"/>
    <w:rsid w:val="1FD46237"/>
    <w:rsid w:val="1FE521F3"/>
    <w:rsid w:val="1FFA4EF4"/>
    <w:rsid w:val="200C27F1"/>
    <w:rsid w:val="200D6846"/>
    <w:rsid w:val="201B72DF"/>
    <w:rsid w:val="202820DF"/>
    <w:rsid w:val="202D1DEC"/>
    <w:rsid w:val="2036092B"/>
    <w:rsid w:val="203942EC"/>
    <w:rsid w:val="203C3DDD"/>
    <w:rsid w:val="203D39F0"/>
    <w:rsid w:val="20600D5D"/>
    <w:rsid w:val="206C6470"/>
    <w:rsid w:val="20825C93"/>
    <w:rsid w:val="20915ED7"/>
    <w:rsid w:val="20B3409F"/>
    <w:rsid w:val="20BB0410"/>
    <w:rsid w:val="20C165EF"/>
    <w:rsid w:val="20C52E37"/>
    <w:rsid w:val="20CC264B"/>
    <w:rsid w:val="20D109C9"/>
    <w:rsid w:val="20D772F7"/>
    <w:rsid w:val="20E32646"/>
    <w:rsid w:val="21061A7D"/>
    <w:rsid w:val="211543B6"/>
    <w:rsid w:val="21244F9D"/>
    <w:rsid w:val="212C5BFF"/>
    <w:rsid w:val="212E3725"/>
    <w:rsid w:val="214174ED"/>
    <w:rsid w:val="215A7A23"/>
    <w:rsid w:val="215F5FD5"/>
    <w:rsid w:val="216205DE"/>
    <w:rsid w:val="216536A1"/>
    <w:rsid w:val="216C2294"/>
    <w:rsid w:val="2177331E"/>
    <w:rsid w:val="21774F7A"/>
    <w:rsid w:val="217952E8"/>
    <w:rsid w:val="217A56D2"/>
    <w:rsid w:val="217D5218"/>
    <w:rsid w:val="21882F6F"/>
    <w:rsid w:val="21AF3493"/>
    <w:rsid w:val="21D2742D"/>
    <w:rsid w:val="21D62C50"/>
    <w:rsid w:val="21E70034"/>
    <w:rsid w:val="21E81F30"/>
    <w:rsid w:val="21EF3EC7"/>
    <w:rsid w:val="21F20BF7"/>
    <w:rsid w:val="21F91F85"/>
    <w:rsid w:val="21FE11B6"/>
    <w:rsid w:val="22071D3D"/>
    <w:rsid w:val="22194AE1"/>
    <w:rsid w:val="222B101D"/>
    <w:rsid w:val="222F59A7"/>
    <w:rsid w:val="22320F9A"/>
    <w:rsid w:val="22372AAE"/>
    <w:rsid w:val="22452DF5"/>
    <w:rsid w:val="2245341D"/>
    <w:rsid w:val="224A4176"/>
    <w:rsid w:val="224E3432"/>
    <w:rsid w:val="224F7DF7"/>
    <w:rsid w:val="22544D46"/>
    <w:rsid w:val="2259018B"/>
    <w:rsid w:val="2262063B"/>
    <w:rsid w:val="226A5C9D"/>
    <w:rsid w:val="22800E87"/>
    <w:rsid w:val="22895CB1"/>
    <w:rsid w:val="229C12E2"/>
    <w:rsid w:val="22D14CB0"/>
    <w:rsid w:val="22E34616"/>
    <w:rsid w:val="22E643FB"/>
    <w:rsid w:val="22FD5AA5"/>
    <w:rsid w:val="23207FBB"/>
    <w:rsid w:val="232B2612"/>
    <w:rsid w:val="232D6531"/>
    <w:rsid w:val="23361055"/>
    <w:rsid w:val="23362D65"/>
    <w:rsid w:val="234C48DE"/>
    <w:rsid w:val="23597A57"/>
    <w:rsid w:val="2378337E"/>
    <w:rsid w:val="237C59C7"/>
    <w:rsid w:val="238621AF"/>
    <w:rsid w:val="23865A9B"/>
    <w:rsid w:val="23953F30"/>
    <w:rsid w:val="23A01940"/>
    <w:rsid w:val="23B05A23"/>
    <w:rsid w:val="23F01166"/>
    <w:rsid w:val="23F7490C"/>
    <w:rsid w:val="23F97876"/>
    <w:rsid w:val="23FC6C77"/>
    <w:rsid w:val="240115C5"/>
    <w:rsid w:val="24241890"/>
    <w:rsid w:val="24327310"/>
    <w:rsid w:val="243279D1"/>
    <w:rsid w:val="24334D2E"/>
    <w:rsid w:val="245242FF"/>
    <w:rsid w:val="24577919"/>
    <w:rsid w:val="24600A59"/>
    <w:rsid w:val="246B699C"/>
    <w:rsid w:val="24704055"/>
    <w:rsid w:val="24741864"/>
    <w:rsid w:val="247B3126"/>
    <w:rsid w:val="2480201F"/>
    <w:rsid w:val="249B0953"/>
    <w:rsid w:val="249D42E2"/>
    <w:rsid w:val="24A03A53"/>
    <w:rsid w:val="24AA7714"/>
    <w:rsid w:val="24B35C75"/>
    <w:rsid w:val="24C40BCE"/>
    <w:rsid w:val="24C85B57"/>
    <w:rsid w:val="24CC6ADA"/>
    <w:rsid w:val="24D677D3"/>
    <w:rsid w:val="24D9144B"/>
    <w:rsid w:val="24F42615"/>
    <w:rsid w:val="250550E5"/>
    <w:rsid w:val="250A44A9"/>
    <w:rsid w:val="251F40F9"/>
    <w:rsid w:val="254205B9"/>
    <w:rsid w:val="25537BFE"/>
    <w:rsid w:val="25657D53"/>
    <w:rsid w:val="256736AA"/>
    <w:rsid w:val="256E2074"/>
    <w:rsid w:val="256E384A"/>
    <w:rsid w:val="256F255E"/>
    <w:rsid w:val="25710085"/>
    <w:rsid w:val="258454C6"/>
    <w:rsid w:val="25851015"/>
    <w:rsid w:val="25BA5251"/>
    <w:rsid w:val="25BC2E15"/>
    <w:rsid w:val="25BD08DC"/>
    <w:rsid w:val="25C74149"/>
    <w:rsid w:val="25CB331D"/>
    <w:rsid w:val="25DA20CE"/>
    <w:rsid w:val="25E1520A"/>
    <w:rsid w:val="25E22D30"/>
    <w:rsid w:val="25E62821"/>
    <w:rsid w:val="25EB6089"/>
    <w:rsid w:val="25F3318F"/>
    <w:rsid w:val="26143832"/>
    <w:rsid w:val="261D55CE"/>
    <w:rsid w:val="26211AAB"/>
    <w:rsid w:val="262234C8"/>
    <w:rsid w:val="2638612F"/>
    <w:rsid w:val="26490DAB"/>
    <w:rsid w:val="26526108"/>
    <w:rsid w:val="266C3B41"/>
    <w:rsid w:val="26766D0B"/>
    <w:rsid w:val="26855060"/>
    <w:rsid w:val="2694227D"/>
    <w:rsid w:val="26986044"/>
    <w:rsid w:val="26B402C7"/>
    <w:rsid w:val="26C16DEA"/>
    <w:rsid w:val="26C372D0"/>
    <w:rsid w:val="26CC5EBA"/>
    <w:rsid w:val="26CC7C68"/>
    <w:rsid w:val="26D20FF7"/>
    <w:rsid w:val="26D66D39"/>
    <w:rsid w:val="26EB042A"/>
    <w:rsid w:val="27091DF8"/>
    <w:rsid w:val="270C4FC5"/>
    <w:rsid w:val="27113651"/>
    <w:rsid w:val="27241FAD"/>
    <w:rsid w:val="272730F1"/>
    <w:rsid w:val="272A3DE8"/>
    <w:rsid w:val="27421CD9"/>
    <w:rsid w:val="276460F3"/>
    <w:rsid w:val="276738C3"/>
    <w:rsid w:val="278B064B"/>
    <w:rsid w:val="27BA3AB6"/>
    <w:rsid w:val="27BB1A8B"/>
    <w:rsid w:val="27BF77CD"/>
    <w:rsid w:val="27C564D2"/>
    <w:rsid w:val="27C804BE"/>
    <w:rsid w:val="27D25752"/>
    <w:rsid w:val="27F5235C"/>
    <w:rsid w:val="281A35CE"/>
    <w:rsid w:val="281F28D7"/>
    <w:rsid w:val="283E1311"/>
    <w:rsid w:val="283E4105"/>
    <w:rsid w:val="284303FE"/>
    <w:rsid w:val="28646119"/>
    <w:rsid w:val="286B34B1"/>
    <w:rsid w:val="287B5F7A"/>
    <w:rsid w:val="287C2C37"/>
    <w:rsid w:val="2895372B"/>
    <w:rsid w:val="28D15F29"/>
    <w:rsid w:val="28D252DE"/>
    <w:rsid w:val="29043426"/>
    <w:rsid w:val="29192F0D"/>
    <w:rsid w:val="29243326"/>
    <w:rsid w:val="292865F2"/>
    <w:rsid w:val="292F1BC5"/>
    <w:rsid w:val="293D309F"/>
    <w:rsid w:val="297C3DE6"/>
    <w:rsid w:val="29886820"/>
    <w:rsid w:val="29915199"/>
    <w:rsid w:val="29BE676F"/>
    <w:rsid w:val="29C0782D"/>
    <w:rsid w:val="29CE0796"/>
    <w:rsid w:val="29DF7CB3"/>
    <w:rsid w:val="29EC3253"/>
    <w:rsid w:val="29F37C02"/>
    <w:rsid w:val="2A0C65CE"/>
    <w:rsid w:val="2A1C1189"/>
    <w:rsid w:val="2A263B34"/>
    <w:rsid w:val="2A271B98"/>
    <w:rsid w:val="2A361FCD"/>
    <w:rsid w:val="2A4A421F"/>
    <w:rsid w:val="2A5D6F4A"/>
    <w:rsid w:val="2A8342BC"/>
    <w:rsid w:val="2A842484"/>
    <w:rsid w:val="2A9D68B2"/>
    <w:rsid w:val="2AA36F32"/>
    <w:rsid w:val="2ACB68FE"/>
    <w:rsid w:val="2AD510B6"/>
    <w:rsid w:val="2AF552B4"/>
    <w:rsid w:val="2AF91076"/>
    <w:rsid w:val="2B004985"/>
    <w:rsid w:val="2B020099"/>
    <w:rsid w:val="2B072777"/>
    <w:rsid w:val="2B1C08BB"/>
    <w:rsid w:val="2B22254D"/>
    <w:rsid w:val="2B24125F"/>
    <w:rsid w:val="2B2511BF"/>
    <w:rsid w:val="2B270BE9"/>
    <w:rsid w:val="2B2F07C6"/>
    <w:rsid w:val="2B396608"/>
    <w:rsid w:val="2B4B1601"/>
    <w:rsid w:val="2B512566"/>
    <w:rsid w:val="2B607D2C"/>
    <w:rsid w:val="2B7E35A6"/>
    <w:rsid w:val="2B8B080A"/>
    <w:rsid w:val="2B8F1B40"/>
    <w:rsid w:val="2B9351F9"/>
    <w:rsid w:val="2B960845"/>
    <w:rsid w:val="2BA458C2"/>
    <w:rsid w:val="2BAC7E59"/>
    <w:rsid w:val="2BC314A8"/>
    <w:rsid w:val="2BE2738B"/>
    <w:rsid w:val="2BF10171"/>
    <w:rsid w:val="2C1300E8"/>
    <w:rsid w:val="2C275602"/>
    <w:rsid w:val="2C2F4A08"/>
    <w:rsid w:val="2C32125C"/>
    <w:rsid w:val="2C3806EC"/>
    <w:rsid w:val="2C3C763E"/>
    <w:rsid w:val="2C45082A"/>
    <w:rsid w:val="2C485860"/>
    <w:rsid w:val="2C4B5AD3"/>
    <w:rsid w:val="2C5D65F6"/>
    <w:rsid w:val="2C6B1CD2"/>
    <w:rsid w:val="2C844B41"/>
    <w:rsid w:val="2C87629D"/>
    <w:rsid w:val="2C8C39F6"/>
    <w:rsid w:val="2C8D45D0"/>
    <w:rsid w:val="2CAB6572"/>
    <w:rsid w:val="2CCB71E2"/>
    <w:rsid w:val="2CD25329"/>
    <w:rsid w:val="2CD47877"/>
    <w:rsid w:val="2CDF0AFD"/>
    <w:rsid w:val="2CED0939"/>
    <w:rsid w:val="2CF471CC"/>
    <w:rsid w:val="2CF963C4"/>
    <w:rsid w:val="2D067C4C"/>
    <w:rsid w:val="2D0E18CC"/>
    <w:rsid w:val="2D122B7B"/>
    <w:rsid w:val="2D340A5A"/>
    <w:rsid w:val="2D42387F"/>
    <w:rsid w:val="2D454740"/>
    <w:rsid w:val="2D4C76E7"/>
    <w:rsid w:val="2D52257B"/>
    <w:rsid w:val="2D57768A"/>
    <w:rsid w:val="2D591BF5"/>
    <w:rsid w:val="2D5B3AF4"/>
    <w:rsid w:val="2D70099D"/>
    <w:rsid w:val="2D744BB6"/>
    <w:rsid w:val="2D763789"/>
    <w:rsid w:val="2D8539B3"/>
    <w:rsid w:val="2D8A2243"/>
    <w:rsid w:val="2D9A4A11"/>
    <w:rsid w:val="2DAD00C8"/>
    <w:rsid w:val="2DBE7403"/>
    <w:rsid w:val="2DC33D17"/>
    <w:rsid w:val="2DCE0BC4"/>
    <w:rsid w:val="2DD12008"/>
    <w:rsid w:val="2DD438A6"/>
    <w:rsid w:val="2DDC4BB8"/>
    <w:rsid w:val="2DF31F7F"/>
    <w:rsid w:val="2DF83A39"/>
    <w:rsid w:val="2DF92249"/>
    <w:rsid w:val="2E0A6B39"/>
    <w:rsid w:val="2E0C7D1E"/>
    <w:rsid w:val="2E1819E5"/>
    <w:rsid w:val="2E24482E"/>
    <w:rsid w:val="2E435883"/>
    <w:rsid w:val="2E4B3B69"/>
    <w:rsid w:val="2E576295"/>
    <w:rsid w:val="2E6609A2"/>
    <w:rsid w:val="2E6D4BFB"/>
    <w:rsid w:val="2E7E49CF"/>
    <w:rsid w:val="2E7F0892"/>
    <w:rsid w:val="2E952CEC"/>
    <w:rsid w:val="2EAD4823"/>
    <w:rsid w:val="2EBB2B6B"/>
    <w:rsid w:val="2EBE07DF"/>
    <w:rsid w:val="2EC1677E"/>
    <w:rsid w:val="2EF10F8E"/>
    <w:rsid w:val="2EFF4953"/>
    <w:rsid w:val="2F091290"/>
    <w:rsid w:val="2F0F64BF"/>
    <w:rsid w:val="2F1B7C2A"/>
    <w:rsid w:val="2F266384"/>
    <w:rsid w:val="2F3B28B9"/>
    <w:rsid w:val="2F3D58ED"/>
    <w:rsid w:val="2F430CE4"/>
    <w:rsid w:val="2F466846"/>
    <w:rsid w:val="2F523172"/>
    <w:rsid w:val="2F6354CD"/>
    <w:rsid w:val="2F662C24"/>
    <w:rsid w:val="2F7D2448"/>
    <w:rsid w:val="2F8119E7"/>
    <w:rsid w:val="2F85218C"/>
    <w:rsid w:val="2F8F5CD7"/>
    <w:rsid w:val="2FC51EE9"/>
    <w:rsid w:val="2FCB52B7"/>
    <w:rsid w:val="2FCF2577"/>
    <w:rsid w:val="2FDB4C6B"/>
    <w:rsid w:val="2FDE6672"/>
    <w:rsid w:val="2FE14059"/>
    <w:rsid w:val="2FE616BB"/>
    <w:rsid w:val="2FEF290A"/>
    <w:rsid w:val="2FF36163"/>
    <w:rsid w:val="30191A45"/>
    <w:rsid w:val="301C6414"/>
    <w:rsid w:val="301D1535"/>
    <w:rsid w:val="301F34FF"/>
    <w:rsid w:val="30226B4B"/>
    <w:rsid w:val="303D1BD7"/>
    <w:rsid w:val="304D6775"/>
    <w:rsid w:val="306C6018"/>
    <w:rsid w:val="308A6C34"/>
    <w:rsid w:val="309A5815"/>
    <w:rsid w:val="309F63EE"/>
    <w:rsid w:val="30AF436F"/>
    <w:rsid w:val="30B05F05"/>
    <w:rsid w:val="30CA112B"/>
    <w:rsid w:val="30DD1801"/>
    <w:rsid w:val="30DD6C58"/>
    <w:rsid w:val="30DE49BA"/>
    <w:rsid w:val="30DF0573"/>
    <w:rsid w:val="31077AEF"/>
    <w:rsid w:val="31182420"/>
    <w:rsid w:val="311B5D8A"/>
    <w:rsid w:val="31321010"/>
    <w:rsid w:val="31496090"/>
    <w:rsid w:val="314B3514"/>
    <w:rsid w:val="315A0567"/>
    <w:rsid w:val="315E73C9"/>
    <w:rsid w:val="3166233E"/>
    <w:rsid w:val="317240D7"/>
    <w:rsid w:val="31741628"/>
    <w:rsid w:val="31744BDB"/>
    <w:rsid w:val="317B1459"/>
    <w:rsid w:val="317E6003"/>
    <w:rsid w:val="31812575"/>
    <w:rsid w:val="318B64F9"/>
    <w:rsid w:val="318E211A"/>
    <w:rsid w:val="31A041CB"/>
    <w:rsid w:val="31A72DB0"/>
    <w:rsid w:val="31A87524"/>
    <w:rsid w:val="31AA2BA6"/>
    <w:rsid w:val="31C872F8"/>
    <w:rsid w:val="31D9148B"/>
    <w:rsid w:val="31E615F1"/>
    <w:rsid w:val="31FE5396"/>
    <w:rsid w:val="32004C6A"/>
    <w:rsid w:val="320D2271"/>
    <w:rsid w:val="321E3342"/>
    <w:rsid w:val="322F416D"/>
    <w:rsid w:val="32345E1C"/>
    <w:rsid w:val="323600BA"/>
    <w:rsid w:val="323B0659"/>
    <w:rsid w:val="323D5EA0"/>
    <w:rsid w:val="323D5EBE"/>
    <w:rsid w:val="324223A0"/>
    <w:rsid w:val="325F42A4"/>
    <w:rsid w:val="326A110A"/>
    <w:rsid w:val="326C67A3"/>
    <w:rsid w:val="32805DAB"/>
    <w:rsid w:val="328B3746"/>
    <w:rsid w:val="328E04C8"/>
    <w:rsid w:val="32933D30"/>
    <w:rsid w:val="32987327"/>
    <w:rsid w:val="32AA1281"/>
    <w:rsid w:val="32AD6B26"/>
    <w:rsid w:val="32B617CD"/>
    <w:rsid w:val="32CC2D9E"/>
    <w:rsid w:val="32CD6857"/>
    <w:rsid w:val="32CD7BC7"/>
    <w:rsid w:val="32D00AE0"/>
    <w:rsid w:val="32F5021B"/>
    <w:rsid w:val="330B3E7D"/>
    <w:rsid w:val="3321133C"/>
    <w:rsid w:val="33294694"/>
    <w:rsid w:val="3331753B"/>
    <w:rsid w:val="33370B5F"/>
    <w:rsid w:val="337376BE"/>
    <w:rsid w:val="338B0EAB"/>
    <w:rsid w:val="339E0BDF"/>
    <w:rsid w:val="33AC4175"/>
    <w:rsid w:val="33CE26DD"/>
    <w:rsid w:val="33CF2B46"/>
    <w:rsid w:val="33CF7A9C"/>
    <w:rsid w:val="33EF4F96"/>
    <w:rsid w:val="340A4CC4"/>
    <w:rsid w:val="342866FA"/>
    <w:rsid w:val="34363CA8"/>
    <w:rsid w:val="343A0036"/>
    <w:rsid w:val="34433534"/>
    <w:rsid w:val="344F3C87"/>
    <w:rsid w:val="34592D57"/>
    <w:rsid w:val="346A596B"/>
    <w:rsid w:val="347651E4"/>
    <w:rsid w:val="34796F56"/>
    <w:rsid w:val="348C0A37"/>
    <w:rsid w:val="34925776"/>
    <w:rsid w:val="349A27B6"/>
    <w:rsid w:val="349B3A5B"/>
    <w:rsid w:val="34A4799F"/>
    <w:rsid w:val="34B13101"/>
    <w:rsid w:val="34C605F6"/>
    <w:rsid w:val="34C74165"/>
    <w:rsid w:val="34D06B52"/>
    <w:rsid w:val="34ED275D"/>
    <w:rsid w:val="35026F4B"/>
    <w:rsid w:val="350619E7"/>
    <w:rsid w:val="351E4E3D"/>
    <w:rsid w:val="352221F8"/>
    <w:rsid w:val="35300C41"/>
    <w:rsid w:val="35305866"/>
    <w:rsid w:val="353912D0"/>
    <w:rsid w:val="35520069"/>
    <w:rsid w:val="35534E88"/>
    <w:rsid w:val="355D5414"/>
    <w:rsid w:val="355E19D0"/>
    <w:rsid w:val="35780FBB"/>
    <w:rsid w:val="35A87E15"/>
    <w:rsid w:val="35CB2596"/>
    <w:rsid w:val="35CD7B49"/>
    <w:rsid w:val="35CF33A3"/>
    <w:rsid w:val="35D5640E"/>
    <w:rsid w:val="35E93C67"/>
    <w:rsid w:val="35EB7B5A"/>
    <w:rsid w:val="35F26FC0"/>
    <w:rsid w:val="36413AA3"/>
    <w:rsid w:val="36575075"/>
    <w:rsid w:val="367D0F7F"/>
    <w:rsid w:val="367F3ADD"/>
    <w:rsid w:val="36806379"/>
    <w:rsid w:val="3699743B"/>
    <w:rsid w:val="369D598D"/>
    <w:rsid w:val="36A71B58"/>
    <w:rsid w:val="36B349A1"/>
    <w:rsid w:val="36BE54AF"/>
    <w:rsid w:val="36C00E6C"/>
    <w:rsid w:val="36CF10AF"/>
    <w:rsid w:val="36EB7528"/>
    <w:rsid w:val="36EC00DC"/>
    <w:rsid w:val="36EF2AE6"/>
    <w:rsid w:val="37024FE0"/>
    <w:rsid w:val="3705164D"/>
    <w:rsid w:val="37103EE5"/>
    <w:rsid w:val="37155A0D"/>
    <w:rsid w:val="371F00D0"/>
    <w:rsid w:val="375347B2"/>
    <w:rsid w:val="377073F0"/>
    <w:rsid w:val="37826121"/>
    <w:rsid w:val="37857A6C"/>
    <w:rsid w:val="37977BBC"/>
    <w:rsid w:val="37991DE9"/>
    <w:rsid w:val="379E4A4D"/>
    <w:rsid w:val="37A809B4"/>
    <w:rsid w:val="37B3277F"/>
    <w:rsid w:val="37C04D76"/>
    <w:rsid w:val="37C87FD8"/>
    <w:rsid w:val="37CD0BA7"/>
    <w:rsid w:val="37CE22F9"/>
    <w:rsid w:val="37D050DF"/>
    <w:rsid w:val="37DB65E4"/>
    <w:rsid w:val="37E17FC7"/>
    <w:rsid w:val="37F1391C"/>
    <w:rsid w:val="38033706"/>
    <w:rsid w:val="380D0A0A"/>
    <w:rsid w:val="38133392"/>
    <w:rsid w:val="381400FA"/>
    <w:rsid w:val="382202D3"/>
    <w:rsid w:val="382A7217"/>
    <w:rsid w:val="3837515E"/>
    <w:rsid w:val="383C0516"/>
    <w:rsid w:val="383D57B8"/>
    <w:rsid w:val="3849616E"/>
    <w:rsid w:val="3867168C"/>
    <w:rsid w:val="387D5266"/>
    <w:rsid w:val="388867A3"/>
    <w:rsid w:val="388A742A"/>
    <w:rsid w:val="388B1145"/>
    <w:rsid w:val="389D5682"/>
    <w:rsid w:val="38A81BB8"/>
    <w:rsid w:val="38AF1198"/>
    <w:rsid w:val="38B7004D"/>
    <w:rsid w:val="38C17470"/>
    <w:rsid w:val="38CC3AF8"/>
    <w:rsid w:val="38D1296D"/>
    <w:rsid w:val="38D8249D"/>
    <w:rsid w:val="38E2156D"/>
    <w:rsid w:val="390D6F7F"/>
    <w:rsid w:val="390E4110"/>
    <w:rsid w:val="392E0749"/>
    <w:rsid w:val="3934169D"/>
    <w:rsid w:val="39355B41"/>
    <w:rsid w:val="39535FC7"/>
    <w:rsid w:val="39677CC5"/>
    <w:rsid w:val="39747D12"/>
    <w:rsid w:val="39810D86"/>
    <w:rsid w:val="3983274D"/>
    <w:rsid w:val="39965EB4"/>
    <w:rsid w:val="399C171C"/>
    <w:rsid w:val="39B131B3"/>
    <w:rsid w:val="39C173D5"/>
    <w:rsid w:val="39D02FF6"/>
    <w:rsid w:val="39E11825"/>
    <w:rsid w:val="39E52225"/>
    <w:rsid w:val="39FF7EFD"/>
    <w:rsid w:val="3A0472C2"/>
    <w:rsid w:val="3A085004"/>
    <w:rsid w:val="3A1476F5"/>
    <w:rsid w:val="3A1855CD"/>
    <w:rsid w:val="3A282FD2"/>
    <w:rsid w:val="3A371445"/>
    <w:rsid w:val="3A437DEA"/>
    <w:rsid w:val="3A500759"/>
    <w:rsid w:val="3A5C0EAC"/>
    <w:rsid w:val="3A804B9A"/>
    <w:rsid w:val="3AA65E47"/>
    <w:rsid w:val="3ABE56C2"/>
    <w:rsid w:val="3AC23405"/>
    <w:rsid w:val="3AC32A70"/>
    <w:rsid w:val="3AC450C1"/>
    <w:rsid w:val="3ACE0F0F"/>
    <w:rsid w:val="3AD9332F"/>
    <w:rsid w:val="3ADB168A"/>
    <w:rsid w:val="3AEB270C"/>
    <w:rsid w:val="3AEF19A1"/>
    <w:rsid w:val="3AF172CC"/>
    <w:rsid w:val="3B0D020F"/>
    <w:rsid w:val="3B182ADC"/>
    <w:rsid w:val="3B1A0A62"/>
    <w:rsid w:val="3B281408"/>
    <w:rsid w:val="3B3140E6"/>
    <w:rsid w:val="3B337E5E"/>
    <w:rsid w:val="3B557A7B"/>
    <w:rsid w:val="3B5B5607"/>
    <w:rsid w:val="3B5D137F"/>
    <w:rsid w:val="3B5D51AF"/>
    <w:rsid w:val="3B7010B2"/>
    <w:rsid w:val="3B701184"/>
    <w:rsid w:val="3B84690C"/>
    <w:rsid w:val="3B95220E"/>
    <w:rsid w:val="3BA225EF"/>
    <w:rsid w:val="3BB9317F"/>
    <w:rsid w:val="3BD72EE0"/>
    <w:rsid w:val="3BDA2C02"/>
    <w:rsid w:val="3BE86E9B"/>
    <w:rsid w:val="3C0417FB"/>
    <w:rsid w:val="3C137C90"/>
    <w:rsid w:val="3C2D6627"/>
    <w:rsid w:val="3C4265E5"/>
    <w:rsid w:val="3C4F70FF"/>
    <w:rsid w:val="3C5C33E5"/>
    <w:rsid w:val="3C8918A9"/>
    <w:rsid w:val="3C8A7134"/>
    <w:rsid w:val="3C943701"/>
    <w:rsid w:val="3C94492D"/>
    <w:rsid w:val="3CA24510"/>
    <w:rsid w:val="3CA57B42"/>
    <w:rsid w:val="3CBE53B5"/>
    <w:rsid w:val="3CCD7E3F"/>
    <w:rsid w:val="3CCF4FA4"/>
    <w:rsid w:val="3CD04C4C"/>
    <w:rsid w:val="3CD43A2C"/>
    <w:rsid w:val="3CEB3ACE"/>
    <w:rsid w:val="3CED4ADC"/>
    <w:rsid w:val="3CFA44A3"/>
    <w:rsid w:val="3CFC24D2"/>
    <w:rsid w:val="3D25252E"/>
    <w:rsid w:val="3D333210"/>
    <w:rsid w:val="3D4520CB"/>
    <w:rsid w:val="3D52271E"/>
    <w:rsid w:val="3D5440BC"/>
    <w:rsid w:val="3D6F14AB"/>
    <w:rsid w:val="3D8876D3"/>
    <w:rsid w:val="3D8E4049"/>
    <w:rsid w:val="3D9372DA"/>
    <w:rsid w:val="3D957F40"/>
    <w:rsid w:val="3DCE0312"/>
    <w:rsid w:val="3DD86A9B"/>
    <w:rsid w:val="3DE25B6C"/>
    <w:rsid w:val="3DE2791A"/>
    <w:rsid w:val="3DE42C19"/>
    <w:rsid w:val="3DF67F84"/>
    <w:rsid w:val="3DFF19BF"/>
    <w:rsid w:val="3DFF3D52"/>
    <w:rsid w:val="3E222CD3"/>
    <w:rsid w:val="3E246184"/>
    <w:rsid w:val="3E335BE6"/>
    <w:rsid w:val="3E3824EF"/>
    <w:rsid w:val="3E3F47F9"/>
    <w:rsid w:val="3E495BEB"/>
    <w:rsid w:val="3E4D4B98"/>
    <w:rsid w:val="3E584838"/>
    <w:rsid w:val="3E651D3C"/>
    <w:rsid w:val="3E6C622C"/>
    <w:rsid w:val="3E6D3687"/>
    <w:rsid w:val="3E827379"/>
    <w:rsid w:val="3E875CB0"/>
    <w:rsid w:val="3E8F1850"/>
    <w:rsid w:val="3E950E30"/>
    <w:rsid w:val="3EA01B6F"/>
    <w:rsid w:val="3EAB41B0"/>
    <w:rsid w:val="3EB41BE5"/>
    <w:rsid w:val="3EC21784"/>
    <w:rsid w:val="3ED023A1"/>
    <w:rsid w:val="3ED03C16"/>
    <w:rsid w:val="3ED9378A"/>
    <w:rsid w:val="3EF148F5"/>
    <w:rsid w:val="3EF20030"/>
    <w:rsid w:val="3EFC3941"/>
    <w:rsid w:val="3F00274D"/>
    <w:rsid w:val="3F280550"/>
    <w:rsid w:val="3F420D49"/>
    <w:rsid w:val="3F4A6D41"/>
    <w:rsid w:val="3F584337"/>
    <w:rsid w:val="3F5C54AA"/>
    <w:rsid w:val="3F6A291D"/>
    <w:rsid w:val="3F7522D1"/>
    <w:rsid w:val="3F7E1647"/>
    <w:rsid w:val="3FBF3411"/>
    <w:rsid w:val="3FC56F60"/>
    <w:rsid w:val="3FCE0156"/>
    <w:rsid w:val="3FCF3ECE"/>
    <w:rsid w:val="3FE0432D"/>
    <w:rsid w:val="3FF22C1F"/>
    <w:rsid w:val="3FF378A6"/>
    <w:rsid w:val="3FF4251D"/>
    <w:rsid w:val="3FFC6AA9"/>
    <w:rsid w:val="3FFE66B6"/>
    <w:rsid w:val="400A1C14"/>
    <w:rsid w:val="40287C10"/>
    <w:rsid w:val="402C6763"/>
    <w:rsid w:val="40385DEA"/>
    <w:rsid w:val="405950E4"/>
    <w:rsid w:val="406608EC"/>
    <w:rsid w:val="408B24EB"/>
    <w:rsid w:val="409075E8"/>
    <w:rsid w:val="40A059BC"/>
    <w:rsid w:val="40AF2BCB"/>
    <w:rsid w:val="40BE466E"/>
    <w:rsid w:val="40C62E1F"/>
    <w:rsid w:val="40C63ECD"/>
    <w:rsid w:val="40C81049"/>
    <w:rsid w:val="40D21EC7"/>
    <w:rsid w:val="40D95873"/>
    <w:rsid w:val="40E51BFB"/>
    <w:rsid w:val="40F92010"/>
    <w:rsid w:val="40FC5C65"/>
    <w:rsid w:val="41171FD0"/>
    <w:rsid w:val="41390199"/>
    <w:rsid w:val="415058B4"/>
    <w:rsid w:val="415A33A3"/>
    <w:rsid w:val="415E7BFF"/>
    <w:rsid w:val="41626E05"/>
    <w:rsid w:val="41630D72"/>
    <w:rsid w:val="41650C54"/>
    <w:rsid w:val="418D4040"/>
    <w:rsid w:val="419F592E"/>
    <w:rsid w:val="41BA772A"/>
    <w:rsid w:val="41CC6917"/>
    <w:rsid w:val="41D41C6F"/>
    <w:rsid w:val="41DB6DDA"/>
    <w:rsid w:val="41DD6D76"/>
    <w:rsid w:val="41E14FB8"/>
    <w:rsid w:val="41E57781"/>
    <w:rsid w:val="41F1637D"/>
    <w:rsid w:val="42011C2B"/>
    <w:rsid w:val="4202446C"/>
    <w:rsid w:val="42116A20"/>
    <w:rsid w:val="42132798"/>
    <w:rsid w:val="42137BC3"/>
    <w:rsid w:val="42177DE2"/>
    <w:rsid w:val="421F1266"/>
    <w:rsid w:val="423076C1"/>
    <w:rsid w:val="424010B3"/>
    <w:rsid w:val="42417305"/>
    <w:rsid w:val="424B1F31"/>
    <w:rsid w:val="424D3EFC"/>
    <w:rsid w:val="42756AD3"/>
    <w:rsid w:val="427D5E63"/>
    <w:rsid w:val="428C0621"/>
    <w:rsid w:val="428C60A6"/>
    <w:rsid w:val="428D56EF"/>
    <w:rsid w:val="42994A08"/>
    <w:rsid w:val="429A316A"/>
    <w:rsid w:val="429D6505"/>
    <w:rsid w:val="42AE426E"/>
    <w:rsid w:val="42B0448A"/>
    <w:rsid w:val="42BF647C"/>
    <w:rsid w:val="42D264F6"/>
    <w:rsid w:val="42D9578F"/>
    <w:rsid w:val="42DA6266"/>
    <w:rsid w:val="42EA799C"/>
    <w:rsid w:val="430B16C1"/>
    <w:rsid w:val="43100A68"/>
    <w:rsid w:val="43600C36"/>
    <w:rsid w:val="43640BDD"/>
    <w:rsid w:val="4368266F"/>
    <w:rsid w:val="438A2186"/>
    <w:rsid w:val="438B0671"/>
    <w:rsid w:val="43CA5CE8"/>
    <w:rsid w:val="43E51F12"/>
    <w:rsid w:val="43F7001B"/>
    <w:rsid w:val="440525B4"/>
    <w:rsid w:val="44103433"/>
    <w:rsid w:val="441E71D2"/>
    <w:rsid w:val="443A225E"/>
    <w:rsid w:val="443C2A7C"/>
    <w:rsid w:val="443E4D3F"/>
    <w:rsid w:val="44427364"/>
    <w:rsid w:val="445240A9"/>
    <w:rsid w:val="44641089"/>
    <w:rsid w:val="446C369C"/>
    <w:rsid w:val="449556E6"/>
    <w:rsid w:val="44957494"/>
    <w:rsid w:val="449F7072"/>
    <w:rsid w:val="44AD4629"/>
    <w:rsid w:val="44B6565C"/>
    <w:rsid w:val="44B80821"/>
    <w:rsid w:val="44C241A2"/>
    <w:rsid w:val="44C61D43"/>
    <w:rsid w:val="44C72567"/>
    <w:rsid w:val="44CC5BF7"/>
    <w:rsid w:val="44D31E56"/>
    <w:rsid w:val="44D34460"/>
    <w:rsid w:val="44E328F5"/>
    <w:rsid w:val="44E71337"/>
    <w:rsid w:val="44EB3558"/>
    <w:rsid w:val="44F1763A"/>
    <w:rsid w:val="44F529B8"/>
    <w:rsid w:val="44F73B91"/>
    <w:rsid w:val="44FE0DBC"/>
    <w:rsid w:val="44FE772F"/>
    <w:rsid w:val="450D7972"/>
    <w:rsid w:val="451D5F0D"/>
    <w:rsid w:val="451E1B7F"/>
    <w:rsid w:val="45230F44"/>
    <w:rsid w:val="45236D61"/>
    <w:rsid w:val="454051B3"/>
    <w:rsid w:val="45436F9D"/>
    <w:rsid w:val="45544939"/>
    <w:rsid w:val="45586690"/>
    <w:rsid w:val="45667082"/>
    <w:rsid w:val="456A3934"/>
    <w:rsid w:val="458F38CC"/>
    <w:rsid w:val="4593794B"/>
    <w:rsid w:val="459647C7"/>
    <w:rsid w:val="459C2D10"/>
    <w:rsid w:val="45A063C7"/>
    <w:rsid w:val="45AC15F9"/>
    <w:rsid w:val="45B778DE"/>
    <w:rsid w:val="45BA67D4"/>
    <w:rsid w:val="45E43CB8"/>
    <w:rsid w:val="45F07053"/>
    <w:rsid w:val="45F17926"/>
    <w:rsid w:val="45F8313F"/>
    <w:rsid w:val="45FB3C6E"/>
    <w:rsid w:val="462A00B0"/>
    <w:rsid w:val="462D4050"/>
    <w:rsid w:val="46343A46"/>
    <w:rsid w:val="46633A38"/>
    <w:rsid w:val="46742B4E"/>
    <w:rsid w:val="467F0A94"/>
    <w:rsid w:val="468E063F"/>
    <w:rsid w:val="4690085B"/>
    <w:rsid w:val="4695472F"/>
    <w:rsid w:val="46A165C4"/>
    <w:rsid w:val="46A75550"/>
    <w:rsid w:val="46AB11F1"/>
    <w:rsid w:val="46AB7443"/>
    <w:rsid w:val="46B34549"/>
    <w:rsid w:val="46B74672"/>
    <w:rsid w:val="46B75DE7"/>
    <w:rsid w:val="46D02A05"/>
    <w:rsid w:val="46D36999"/>
    <w:rsid w:val="46D81671"/>
    <w:rsid w:val="46DC3AA0"/>
    <w:rsid w:val="46EA4CBA"/>
    <w:rsid w:val="46EC425E"/>
    <w:rsid w:val="46F24DE9"/>
    <w:rsid w:val="4700361B"/>
    <w:rsid w:val="470E79D1"/>
    <w:rsid w:val="47130B9D"/>
    <w:rsid w:val="471748B1"/>
    <w:rsid w:val="471E7DCE"/>
    <w:rsid w:val="47207130"/>
    <w:rsid w:val="47372A84"/>
    <w:rsid w:val="4740402F"/>
    <w:rsid w:val="4743767B"/>
    <w:rsid w:val="474500FE"/>
    <w:rsid w:val="47490A0A"/>
    <w:rsid w:val="474A1D1B"/>
    <w:rsid w:val="474D4347"/>
    <w:rsid w:val="475121B4"/>
    <w:rsid w:val="475C7AFC"/>
    <w:rsid w:val="475F5E7A"/>
    <w:rsid w:val="476E7ABF"/>
    <w:rsid w:val="477E6905"/>
    <w:rsid w:val="478E1C13"/>
    <w:rsid w:val="478E255A"/>
    <w:rsid w:val="479E0450"/>
    <w:rsid w:val="479E18C2"/>
    <w:rsid w:val="47A91C41"/>
    <w:rsid w:val="47BC5F5B"/>
    <w:rsid w:val="47C071A5"/>
    <w:rsid w:val="47C22C96"/>
    <w:rsid w:val="47C67337"/>
    <w:rsid w:val="47C72840"/>
    <w:rsid w:val="47DB3DAD"/>
    <w:rsid w:val="47E10C42"/>
    <w:rsid w:val="47FF71AB"/>
    <w:rsid w:val="480468F2"/>
    <w:rsid w:val="480D334D"/>
    <w:rsid w:val="481C1C7A"/>
    <w:rsid w:val="48253225"/>
    <w:rsid w:val="486A6177"/>
    <w:rsid w:val="486A6E89"/>
    <w:rsid w:val="486F44A0"/>
    <w:rsid w:val="48751537"/>
    <w:rsid w:val="48792A01"/>
    <w:rsid w:val="489363E0"/>
    <w:rsid w:val="489E61D5"/>
    <w:rsid w:val="48AE4FC8"/>
    <w:rsid w:val="48B5152B"/>
    <w:rsid w:val="48D5496B"/>
    <w:rsid w:val="48DD2F81"/>
    <w:rsid w:val="48F21359"/>
    <w:rsid w:val="48F34C13"/>
    <w:rsid w:val="48F618EF"/>
    <w:rsid w:val="48F77029"/>
    <w:rsid w:val="4901555D"/>
    <w:rsid w:val="49070853"/>
    <w:rsid w:val="490848D8"/>
    <w:rsid w:val="49090450"/>
    <w:rsid w:val="490A3C53"/>
    <w:rsid w:val="490D12B6"/>
    <w:rsid w:val="49116E93"/>
    <w:rsid w:val="49227764"/>
    <w:rsid w:val="49297CC8"/>
    <w:rsid w:val="492B483F"/>
    <w:rsid w:val="492E435B"/>
    <w:rsid w:val="49431BB4"/>
    <w:rsid w:val="494F522F"/>
    <w:rsid w:val="49553696"/>
    <w:rsid w:val="49584F34"/>
    <w:rsid w:val="495C3ABD"/>
    <w:rsid w:val="49683351"/>
    <w:rsid w:val="496C5184"/>
    <w:rsid w:val="498460A0"/>
    <w:rsid w:val="498F741A"/>
    <w:rsid w:val="49916FD6"/>
    <w:rsid w:val="49D06DB7"/>
    <w:rsid w:val="49D83A04"/>
    <w:rsid w:val="49FA4C7B"/>
    <w:rsid w:val="4A11747C"/>
    <w:rsid w:val="4A187AA1"/>
    <w:rsid w:val="4A463FA1"/>
    <w:rsid w:val="4A5751EC"/>
    <w:rsid w:val="4A655B5A"/>
    <w:rsid w:val="4A6C0C97"/>
    <w:rsid w:val="4A7162AD"/>
    <w:rsid w:val="4A841F0D"/>
    <w:rsid w:val="4A8C1339"/>
    <w:rsid w:val="4A952959"/>
    <w:rsid w:val="4A9621B8"/>
    <w:rsid w:val="4A9D28FF"/>
    <w:rsid w:val="4ACC3CFB"/>
    <w:rsid w:val="4ACE2233"/>
    <w:rsid w:val="4AD20703"/>
    <w:rsid w:val="4AD55620"/>
    <w:rsid w:val="4AD8710F"/>
    <w:rsid w:val="4AE72885"/>
    <w:rsid w:val="4AE83716"/>
    <w:rsid w:val="4AF84C20"/>
    <w:rsid w:val="4AFA54CF"/>
    <w:rsid w:val="4B0660ED"/>
    <w:rsid w:val="4B141AEF"/>
    <w:rsid w:val="4B18418B"/>
    <w:rsid w:val="4B24027C"/>
    <w:rsid w:val="4B2E1A6D"/>
    <w:rsid w:val="4B313BEA"/>
    <w:rsid w:val="4B9D07D7"/>
    <w:rsid w:val="4BD20FCE"/>
    <w:rsid w:val="4BD66E16"/>
    <w:rsid w:val="4BED17B3"/>
    <w:rsid w:val="4BF64E88"/>
    <w:rsid w:val="4C023952"/>
    <w:rsid w:val="4C05634F"/>
    <w:rsid w:val="4C182A77"/>
    <w:rsid w:val="4C252331"/>
    <w:rsid w:val="4C263D9D"/>
    <w:rsid w:val="4C417F01"/>
    <w:rsid w:val="4C612351"/>
    <w:rsid w:val="4C783645"/>
    <w:rsid w:val="4CA50490"/>
    <w:rsid w:val="4CAA5AA7"/>
    <w:rsid w:val="4CB330B1"/>
    <w:rsid w:val="4CBB4158"/>
    <w:rsid w:val="4CBD57DA"/>
    <w:rsid w:val="4CC137C9"/>
    <w:rsid w:val="4CC528E0"/>
    <w:rsid w:val="4CC748AA"/>
    <w:rsid w:val="4CE81047"/>
    <w:rsid w:val="4CEE34D1"/>
    <w:rsid w:val="4D083ED2"/>
    <w:rsid w:val="4D0E4287"/>
    <w:rsid w:val="4D245859"/>
    <w:rsid w:val="4D2F757E"/>
    <w:rsid w:val="4D4128AF"/>
    <w:rsid w:val="4D4203D5"/>
    <w:rsid w:val="4D4D6AF7"/>
    <w:rsid w:val="4D5D32C9"/>
    <w:rsid w:val="4D6F3DD5"/>
    <w:rsid w:val="4D791A46"/>
    <w:rsid w:val="4D8523F0"/>
    <w:rsid w:val="4D88721A"/>
    <w:rsid w:val="4DBE5CAD"/>
    <w:rsid w:val="4DC714ED"/>
    <w:rsid w:val="4DDC010C"/>
    <w:rsid w:val="4DDD3C5A"/>
    <w:rsid w:val="4DE952FD"/>
    <w:rsid w:val="4DF8316E"/>
    <w:rsid w:val="4E173EB6"/>
    <w:rsid w:val="4E1E674C"/>
    <w:rsid w:val="4E242EF1"/>
    <w:rsid w:val="4E3009A0"/>
    <w:rsid w:val="4E3046D1"/>
    <w:rsid w:val="4E481A1B"/>
    <w:rsid w:val="4E4C2032"/>
    <w:rsid w:val="4E555EE6"/>
    <w:rsid w:val="4E5818E4"/>
    <w:rsid w:val="4E5D3E38"/>
    <w:rsid w:val="4E6B67CB"/>
    <w:rsid w:val="4E6F51FA"/>
    <w:rsid w:val="4E8428DD"/>
    <w:rsid w:val="4E91394D"/>
    <w:rsid w:val="4E926AFF"/>
    <w:rsid w:val="4E955C33"/>
    <w:rsid w:val="4E9C260C"/>
    <w:rsid w:val="4EA70C25"/>
    <w:rsid w:val="4EB35C85"/>
    <w:rsid w:val="4EB86BA1"/>
    <w:rsid w:val="4EC70B92"/>
    <w:rsid w:val="4EE47A89"/>
    <w:rsid w:val="4EEE4370"/>
    <w:rsid w:val="4EF93941"/>
    <w:rsid w:val="4F0C0C9A"/>
    <w:rsid w:val="4F196F13"/>
    <w:rsid w:val="4F1D2F93"/>
    <w:rsid w:val="4F2558B8"/>
    <w:rsid w:val="4F295470"/>
    <w:rsid w:val="4F437095"/>
    <w:rsid w:val="4F443F90"/>
    <w:rsid w:val="4F457D08"/>
    <w:rsid w:val="4F4A3571"/>
    <w:rsid w:val="4F5F701C"/>
    <w:rsid w:val="4F6C328C"/>
    <w:rsid w:val="4F710F7E"/>
    <w:rsid w:val="4F7A1E4D"/>
    <w:rsid w:val="4F8A33FE"/>
    <w:rsid w:val="4F9D7B44"/>
    <w:rsid w:val="4FA11285"/>
    <w:rsid w:val="4FA64C4B"/>
    <w:rsid w:val="4FA9473B"/>
    <w:rsid w:val="4FAC0994"/>
    <w:rsid w:val="4FB07878"/>
    <w:rsid w:val="4FB96E6B"/>
    <w:rsid w:val="4FD521A6"/>
    <w:rsid w:val="500951DA"/>
    <w:rsid w:val="501047BA"/>
    <w:rsid w:val="5015720E"/>
    <w:rsid w:val="504A688A"/>
    <w:rsid w:val="505C7A00"/>
    <w:rsid w:val="50616DC4"/>
    <w:rsid w:val="50693AB1"/>
    <w:rsid w:val="506C29B3"/>
    <w:rsid w:val="507C2A18"/>
    <w:rsid w:val="507F724A"/>
    <w:rsid w:val="508B1964"/>
    <w:rsid w:val="508C2CB2"/>
    <w:rsid w:val="508D3A02"/>
    <w:rsid w:val="508E61B5"/>
    <w:rsid w:val="508F2333"/>
    <w:rsid w:val="50A15412"/>
    <w:rsid w:val="50BA3899"/>
    <w:rsid w:val="50BB1EB3"/>
    <w:rsid w:val="50E87F9F"/>
    <w:rsid w:val="50EE1CC7"/>
    <w:rsid w:val="50F662E2"/>
    <w:rsid w:val="50F97B1E"/>
    <w:rsid w:val="51010D79"/>
    <w:rsid w:val="51045D9B"/>
    <w:rsid w:val="510734C7"/>
    <w:rsid w:val="510C3B44"/>
    <w:rsid w:val="511D0F3D"/>
    <w:rsid w:val="51253B27"/>
    <w:rsid w:val="51282BA6"/>
    <w:rsid w:val="51331037"/>
    <w:rsid w:val="51347EA6"/>
    <w:rsid w:val="51472E8E"/>
    <w:rsid w:val="516F0B4D"/>
    <w:rsid w:val="518C7D66"/>
    <w:rsid w:val="518F170F"/>
    <w:rsid w:val="51947440"/>
    <w:rsid w:val="5196484B"/>
    <w:rsid w:val="519805C3"/>
    <w:rsid w:val="5198191D"/>
    <w:rsid w:val="519F1952"/>
    <w:rsid w:val="51AD5CAE"/>
    <w:rsid w:val="51AE58EA"/>
    <w:rsid w:val="51B17F91"/>
    <w:rsid w:val="51B65975"/>
    <w:rsid w:val="51BB2504"/>
    <w:rsid w:val="51CC5275"/>
    <w:rsid w:val="51D22043"/>
    <w:rsid w:val="51D41D38"/>
    <w:rsid w:val="51D830B6"/>
    <w:rsid w:val="51E732F9"/>
    <w:rsid w:val="51EB103B"/>
    <w:rsid w:val="51F37EF0"/>
    <w:rsid w:val="521A547C"/>
    <w:rsid w:val="52263E21"/>
    <w:rsid w:val="52291B63"/>
    <w:rsid w:val="523302EC"/>
    <w:rsid w:val="523A1AA0"/>
    <w:rsid w:val="5257222D"/>
    <w:rsid w:val="52632A25"/>
    <w:rsid w:val="52635075"/>
    <w:rsid w:val="526B2619"/>
    <w:rsid w:val="52770B21"/>
    <w:rsid w:val="527D7680"/>
    <w:rsid w:val="52854FEC"/>
    <w:rsid w:val="528707C1"/>
    <w:rsid w:val="528B1ED6"/>
    <w:rsid w:val="529E60AD"/>
    <w:rsid w:val="52A64F62"/>
    <w:rsid w:val="52AA2646"/>
    <w:rsid w:val="52AF2D38"/>
    <w:rsid w:val="52DC2732"/>
    <w:rsid w:val="52E15705"/>
    <w:rsid w:val="52E53CDC"/>
    <w:rsid w:val="52F1442F"/>
    <w:rsid w:val="52F46503"/>
    <w:rsid w:val="53081779"/>
    <w:rsid w:val="530A6B20"/>
    <w:rsid w:val="53234805"/>
    <w:rsid w:val="533407C0"/>
    <w:rsid w:val="5334256E"/>
    <w:rsid w:val="533B19FC"/>
    <w:rsid w:val="53672943"/>
    <w:rsid w:val="53816407"/>
    <w:rsid w:val="538F3C48"/>
    <w:rsid w:val="53970D61"/>
    <w:rsid w:val="539774E2"/>
    <w:rsid w:val="53A019B1"/>
    <w:rsid w:val="53BF452D"/>
    <w:rsid w:val="53C71AFF"/>
    <w:rsid w:val="53D65ED8"/>
    <w:rsid w:val="53DD2111"/>
    <w:rsid w:val="53E421E6"/>
    <w:rsid w:val="53F51CFD"/>
    <w:rsid w:val="53F87A3F"/>
    <w:rsid w:val="53FF2B7C"/>
    <w:rsid w:val="54071A30"/>
    <w:rsid w:val="54162A92"/>
    <w:rsid w:val="5419056A"/>
    <w:rsid w:val="541B5FE3"/>
    <w:rsid w:val="54262A29"/>
    <w:rsid w:val="54493DF7"/>
    <w:rsid w:val="544C1D62"/>
    <w:rsid w:val="544E48CC"/>
    <w:rsid w:val="545215C9"/>
    <w:rsid w:val="5452183E"/>
    <w:rsid w:val="54641D9D"/>
    <w:rsid w:val="5477123F"/>
    <w:rsid w:val="547E031E"/>
    <w:rsid w:val="547F5A6B"/>
    <w:rsid w:val="54817A35"/>
    <w:rsid w:val="54901DBC"/>
    <w:rsid w:val="54BE606D"/>
    <w:rsid w:val="54C269C9"/>
    <w:rsid w:val="54C65448"/>
    <w:rsid w:val="54DB4130"/>
    <w:rsid w:val="54DB7182"/>
    <w:rsid w:val="551268DF"/>
    <w:rsid w:val="551E34D6"/>
    <w:rsid w:val="552A4180"/>
    <w:rsid w:val="55367BF4"/>
    <w:rsid w:val="55452810"/>
    <w:rsid w:val="55646FF0"/>
    <w:rsid w:val="556A2277"/>
    <w:rsid w:val="556A2BB0"/>
    <w:rsid w:val="556A3D6B"/>
    <w:rsid w:val="556A671B"/>
    <w:rsid w:val="558701EF"/>
    <w:rsid w:val="558F4E33"/>
    <w:rsid w:val="559E63C4"/>
    <w:rsid w:val="55A04516"/>
    <w:rsid w:val="55AF2257"/>
    <w:rsid w:val="55D322F9"/>
    <w:rsid w:val="55F52488"/>
    <w:rsid w:val="56130B60"/>
    <w:rsid w:val="561B07BD"/>
    <w:rsid w:val="562671D0"/>
    <w:rsid w:val="562B4FB5"/>
    <w:rsid w:val="564D550F"/>
    <w:rsid w:val="5679252D"/>
    <w:rsid w:val="568064C7"/>
    <w:rsid w:val="568B6949"/>
    <w:rsid w:val="56AE1628"/>
    <w:rsid w:val="56E65E80"/>
    <w:rsid w:val="56FA762A"/>
    <w:rsid w:val="56FB1496"/>
    <w:rsid w:val="57181396"/>
    <w:rsid w:val="572940CB"/>
    <w:rsid w:val="572B1A9C"/>
    <w:rsid w:val="5731466D"/>
    <w:rsid w:val="574A4432"/>
    <w:rsid w:val="575516E1"/>
    <w:rsid w:val="575B631B"/>
    <w:rsid w:val="57607DD5"/>
    <w:rsid w:val="5765363E"/>
    <w:rsid w:val="576A2555"/>
    <w:rsid w:val="577B4C0F"/>
    <w:rsid w:val="57A05B5B"/>
    <w:rsid w:val="57A73717"/>
    <w:rsid w:val="57B91D36"/>
    <w:rsid w:val="57DA16B0"/>
    <w:rsid w:val="57E91811"/>
    <w:rsid w:val="57EC1ACA"/>
    <w:rsid w:val="58005114"/>
    <w:rsid w:val="58070251"/>
    <w:rsid w:val="580742C8"/>
    <w:rsid w:val="580F6BE1"/>
    <w:rsid w:val="581C61DE"/>
    <w:rsid w:val="58201313"/>
    <w:rsid w:val="58223786"/>
    <w:rsid w:val="583E1337"/>
    <w:rsid w:val="583F3276"/>
    <w:rsid w:val="58672074"/>
    <w:rsid w:val="587B54B0"/>
    <w:rsid w:val="58831FCD"/>
    <w:rsid w:val="58893182"/>
    <w:rsid w:val="588D16EB"/>
    <w:rsid w:val="5898359F"/>
    <w:rsid w:val="58AD0DF8"/>
    <w:rsid w:val="58AE78E0"/>
    <w:rsid w:val="58BD6B62"/>
    <w:rsid w:val="58C0372D"/>
    <w:rsid w:val="58C46142"/>
    <w:rsid w:val="58D2260D"/>
    <w:rsid w:val="58E30CBE"/>
    <w:rsid w:val="58E6255C"/>
    <w:rsid w:val="58FB25F0"/>
    <w:rsid w:val="59056087"/>
    <w:rsid w:val="59097FF9"/>
    <w:rsid w:val="591250FF"/>
    <w:rsid w:val="593D72D5"/>
    <w:rsid w:val="593E4146"/>
    <w:rsid w:val="594D4389"/>
    <w:rsid w:val="59534CCC"/>
    <w:rsid w:val="595C281E"/>
    <w:rsid w:val="596D0588"/>
    <w:rsid w:val="598633F7"/>
    <w:rsid w:val="5987789B"/>
    <w:rsid w:val="599B5491"/>
    <w:rsid w:val="59AA17DC"/>
    <w:rsid w:val="59CE4859"/>
    <w:rsid w:val="59DD570D"/>
    <w:rsid w:val="59E8796D"/>
    <w:rsid w:val="59F1535F"/>
    <w:rsid w:val="59F44805"/>
    <w:rsid w:val="59F45AD3"/>
    <w:rsid w:val="59FD5DAF"/>
    <w:rsid w:val="5A111E08"/>
    <w:rsid w:val="5A364E1D"/>
    <w:rsid w:val="5A434E2D"/>
    <w:rsid w:val="5A51593C"/>
    <w:rsid w:val="5A5D05FC"/>
    <w:rsid w:val="5A6203C5"/>
    <w:rsid w:val="5A6A63F3"/>
    <w:rsid w:val="5A785436"/>
    <w:rsid w:val="5A8B0226"/>
    <w:rsid w:val="5A925F77"/>
    <w:rsid w:val="5AA75D1B"/>
    <w:rsid w:val="5AA93FD1"/>
    <w:rsid w:val="5AB761F7"/>
    <w:rsid w:val="5ADD240D"/>
    <w:rsid w:val="5AE20A4C"/>
    <w:rsid w:val="5AE51E8B"/>
    <w:rsid w:val="5AE75DC0"/>
    <w:rsid w:val="5AF70EA5"/>
    <w:rsid w:val="5AF95712"/>
    <w:rsid w:val="5AFF7905"/>
    <w:rsid w:val="5B046CCA"/>
    <w:rsid w:val="5B07285D"/>
    <w:rsid w:val="5B0950C2"/>
    <w:rsid w:val="5B1A2462"/>
    <w:rsid w:val="5B1A64ED"/>
    <w:rsid w:val="5B232299"/>
    <w:rsid w:val="5B2B56C5"/>
    <w:rsid w:val="5B433C96"/>
    <w:rsid w:val="5B5A4B3C"/>
    <w:rsid w:val="5B6065F6"/>
    <w:rsid w:val="5B7A2C34"/>
    <w:rsid w:val="5B9C6E4B"/>
    <w:rsid w:val="5BAC353B"/>
    <w:rsid w:val="5BD637EC"/>
    <w:rsid w:val="5BDD7C46"/>
    <w:rsid w:val="5BE83AA5"/>
    <w:rsid w:val="5BFF437E"/>
    <w:rsid w:val="5C003935"/>
    <w:rsid w:val="5C0276AD"/>
    <w:rsid w:val="5C0D52B5"/>
    <w:rsid w:val="5C1A497B"/>
    <w:rsid w:val="5C317F92"/>
    <w:rsid w:val="5C5123E2"/>
    <w:rsid w:val="5C537F09"/>
    <w:rsid w:val="5C690CF2"/>
    <w:rsid w:val="5C693288"/>
    <w:rsid w:val="5C7165E1"/>
    <w:rsid w:val="5C82259C"/>
    <w:rsid w:val="5C8864E0"/>
    <w:rsid w:val="5C9078CB"/>
    <w:rsid w:val="5CB150A9"/>
    <w:rsid w:val="5CB444E9"/>
    <w:rsid w:val="5CBC407B"/>
    <w:rsid w:val="5CD7157A"/>
    <w:rsid w:val="5CD8040E"/>
    <w:rsid w:val="5CE85414"/>
    <w:rsid w:val="5CEA5519"/>
    <w:rsid w:val="5CFF78D0"/>
    <w:rsid w:val="5D050F63"/>
    <w:rsid w:val="5D090243"/>
    <w:rsid w:val="5D0A6484"/>
    <w:rsid w:val="5D157C04"/>
    <w:rsid w:val="5D24563D"/>
    <w:rsid w:val="5D417D61"/>
    <w:rsid w:val="5D577585"/>
    <w:rsid w:val="5D5E11BD"/>
    <w:rsid w:val="5D5E4DB7"/>
    <w:rsid w:val="5D6A41D1"/>
    <w:rsid w:val="5D804D2D"/>
    <w:rsid w:val="5D883BE2"/>
    <w:rsid w:val="5D91727D"/>
    <w:rsid w:val="5D942587"/>
    <w:rsid w:val="5DA35B48"/>
    <w:rsid w:val="5DA364B1"/>
    <w:rsid w:val="5DB449D7"/>
    <w:rsid w:val="5DB9604F"/>
    <w:rsid w:val="5DC064EF"/>
    <w:rsid w:val="5DCA7D57"/>
    <w:rsid w:val="5DCF1476"/>
    <w:rsid w:val="5DE0125F"/>
    <w:rsid w:val="5DE22F14"/>
    <w:rsid w:val="5DE3706A"/>
    <w:rsid w:val="5DE80B25"/>
    <w:rsid w:val="5DEC48D6"/>
    <w:rsid w:val="5DED1ED3"/>
    <w:rsid w:val="5DF44B8F"/>
    <w:rsid w:val="5DFC2FFA"/>
    <w:rsid w:val="5E110832"/>
    <w:rsid w:val="5E25402F"/>
    <w:rsid w:val="5E272BC3"/>
    <w:rsid w:val="5E391B10"/>
    <w:rsid w:val="5E4044BD"/>
    <w:rsid w:val="5E4745B8"/>
    <w:rsid w:val="5E714792"/>
    <w:rsid w:val="5E791835"/>
    <w:rsid w:val="5E872C42"/>
    <w:rsid w:val="5E9D3904"/>
    <w:rsid w:val="5EA26A3D"/>
    <w:rsid w:val="5EA625AD"/>
    <w:rsid w:val="5EA81974"/>
    <w:rsid w:val="5EC917FB"/>
    <w:rsid w:val="5ED115B9"/>
    <w:rsid w:val="5ED13367"/>
    <w:rsid w:val="5ED2780B"/>
    <w:rsid w:val="5ED57527"/>
    <w:rsid w:val="5ED65E9E"/>
    <w:rsid w:val="5EFC0A8E"/>
    <w:rsid w:val="5F0370E8"/>
    <w:rsid w:val="5F206796"/>
    <w:rsid w:val="5F2B2A77"/>
    <w:rsid w:val="5F342B25"/>
    <w:rsid w:val="5F453E15"/>
    <w:rsid w:val="5F50072F"/>
    <w:rsid w:val="5F7C1524"/>
    <w:rsid w:val="5F9E593F"/>
    <w:rsid w:val="5FA10F8B"/>
    <w:rsid w:val="5FA336B7"/>
    <w:rsid w:val="5FA62A45"/>
    <w:rsid w:val="5FC8476A"/>
    <w:rsid w:val="5FD56E87"/>
    <w:rsid w:val="5FDC0215"/>
    <w:rsid w:val="5FE61094"/>
    <w:rsid w:val="5FF23595"/>
    <w:rsid w:val="60011A1B"/>
    <w:rsid w:val="60193217"/>
    <w:rsid w:val="602A5424"/>
    <w:rsid w:val="60365B77"/>
    <w:rsid w:val="60430294"/>
    <w:rsid w:val="605A447C"/>
    <w:rsid w:val="605B55DE"/>
    <w:rsid w:val="60613D69"/>
    <w:rsid w:val="606A5821"/>
    <w:rsid w:val="6076085B"/>
    <w:rsid w:val="608B2817"/>
    <w:rsid w:val="608C1C3B"/>
    <w:rsid w:val="60A30D33"/>
    <w:rsid w:val="60AF592A"/>
    <w:rsid w:val="60B92304"/>
    <w:rsid w:val="60BA67A8"/>
    <w:rsid w:val="60C2565D"/>
    <w:rsid w:val="60C95784"/>
    <w:rsid w:val="60D534B6"/>
    <w:rsid w:val="60D84662"/>
    <w:rsid w:val="60E5134B"/>
    <w:rsid w:val="60F33A68"/>
    <w:rsid w:val="611A7247"/>
    <w:rsid w:val="61204131"/>
    <w:rsid w:val="612A6E3D"/>
    <w:rsid w:val="61314591"/>
    <w:rsid w:val="61590930"/>
    <w:rsid w:val="6166423A"/>
    <w:rsid w:val="616A245F"/>
    <w:rsid w:val="617E0DE9"/>
    <w:rsid w:val="618D744E"/>
    <w:rsid w:val="61972646"/>
    <w:rsid w:val="61A74C68"/>
    <w:rsid w:val="61B52ACC"/>
    <w:rsid w:val="61BD042A"/>
    <w:rsid w:val="61F20B08"/>
    <w:rsid w:val="620B211C"/>
    <w:rsid w:val="620C267E"/>
    <w:rsid w:val="6214107C"/>
    <w:rsid w:val="62195750"/>
    <w:rsid w:val="62387745"/>
    <w:rsid w:val="624A76B8"/>
    <w:rsid w:val="62546789"/>
    <w:rsid w:val="62652744"/>
    <w:rsid w:val="62685774"/>
    <w:rsid w:val="626C3AD2"/>
    <w:rsid w:val="626D272C"/>
    <w:rsid w:val="627F644B"/>
    <w:rsid w:val="6291178B"/>
    <w:rsid w:val="6299419B"/>
    <w:rsid w:val="629F238E"/>
    <w:rsid w:val="62A0377C"/>
    <w:rsid w:val="62A2544A"/>
    <w:rsid w:val="62AE2F80"/>
    <w:rsid w:val="62C37595"/>
    <w:rsid w:val="62DB0AE6"/>
    <w:rsid w:val="62F51D1A"/>
    <w:rsid w:val="62F90B52"/>
    <w:rsid w:val="62FF62FA"/>
    <w:rsid w:val="63163A3E"/>
    <w:rsid w:val="631A334C"/>
    <w:rsid w:val="631F7C4D"/>
    <w:rsid w:val="632322C8"/>
    <w:rsid w:val="633610A1"/>
    <w:rsid w:val="633C5D7D"/>
    <w:rsid w:val="636E5628"/>
    <w:rsid w:val="63B20D75"/>
    <w:rsid w:val="63B53257"/>
    <w:rsid w:val="63C03FB5"/>
    <w:rsid w:val="63E53F33"/>
    <w:rsid w:val="63E57F20"/>
    <w:rsid w:val="63ED204F"/>
    <w:rsid w:val="64016D84"/>
    <w:rsid w:val="6410335F"/>
    <w:rsid w:val="641D51CE"/>
    <w:rsid w:val="64316606"/>
    <w:rsid w:val="643A375C"/>
    <w:rsid w:val="64462101"/>
    <w:rsid w:val="644665A5"/>
    <w:rsid w:val="64487C27"/>
    <w:rsid w:val="645057B1"/>
    <w:rsid w:val="64755141"/>
    <w:rsid w:val="647B7FFD"/>
    <w:rsid w:val="648B1196"/>
    <w:rsid w:val="649445F6"/>
    <w:rsid w:val="64AC114E"/>
    <w:rsid w:val="64B0320A"/>
    <w:rsid w:val="64B81251"/>
    <w:rsid w:val="64BB664B"/>
    <w:rsid w:val="64CD50E0"/>
    <w:rsid w:val="64D23995"/>
    <w:rsid w:val="64D36AE2"/>
    <w:rsid w:val="64EC2586"/>
    <w:rsid w:val="65052753"/>
    <w:rsid w:val="651C4FB9"/>
    <w:rsid w:val="6524387C"/>
    <w:rsid w:val="6525705F"/>
    <w:rsid w:val="652D1F23"/>
    <w:rsid w:val="653028DC"/>
    <w:rsid w:val="65436F7D"/>
    <w:rsid w:val="657A5D58"/>
    <w:rsid w:val="658A69AE"/>
    <w:rsid w:val="65982BDD"/>
    <w:rsid w:val="65AA3598"/>
    <w:rsid w:val="65AD68DC"/>
    <w:rsid w:val="65AF0766"/>
    <w:rsid w:val="65BC7DDE"/>
    <w:rsid w:val="65C537A6"/>
    <w:rsid w:val="65CD0D2C"/>
    <w:rsid w:val="65D1408C"/>
    <w:rsid w:val="65D50F87"/>
    <w:rsid w:val="65D8147F"/>
    <w:rsid w:val="65E02F51"/>
    <w:rsid w:val="65E73470"/>
    <w:rsid w:val="65E816C2"/>
    <w:rsid w:val="65F07FB2"/>
    <w:rsid w:val="660051BA"/>
    <w:rsid w:val="6613040F"/>
    <w:rsid w:val="66363D67"/>
    <w:rsid w:val="66393280"/>
    <w:rsid w:val="663B26BA"/>
    <w:rsid w:val="66500A01"/>
    <w:rsid w:val="66622660"/>
    <w:rsid w:val="668A29B0"/>
    <w:rsid w:val="66C86279"/>
    <w:rsid w:val="66CD6B09"/>
    <w:rsid w:val="66D6776C"/>
    <w:rsid w:val="66D9696B"/>
    <w:rsid w:val="66E35699"/>
    <w:rsid w:val="66EE7FF0"/>
    <w:rsid w:val="672C1A82"/>
    <w:rsid w:val="67375865"/>
    <w:rsid w:val="67404CC6"/>
    <w:rsid w:val="674A1F08"/>
    <w:rsid w:val="67890C82"/>
    <w:rsid w:val="679C2918"/>
    <w:rsid w:val="679F2254"/>
    <w:rsid w:val="67A37676"/>
    <w:rsid w:val="67BC0C6C"/>
    <w:rsid w:val="67D75874"/>
    <w:rsid w:val="67EE641B"/>
    <w:rsid w:val="67F443AC"/>
    <w:rsid w:val="67FC7743"/>
    <w:rsid w:val="67FF35A1"/>
    <w:rsid w:val="68014CBD"/>
    <w:rsid w:val="6801632C"/>
    <w:rsid w:val="68183401"/>
    <w:rsid w:val="682B68CB"/>
    <w:rsid w:val="68317DCB"/>
    <w:rsid w:val="68530F51"/>
    <w:rsid w:val="687A6125"/>
    <w:rsid w:val="68802085"/>
    <w:rsid w:val="689344C2"/>
    <w:rsid w:val="689E0944"/>
    <w:rsid w:val="689E69AF"/>
    <w:rsid w:val="68CA3301"/>
    <w:rsid w:val="68D02BEC"/>
    <w:rsid w:val="68D73C6F"/>
    <w:rsid w:val="68D91796"/>
    <w:rsid w:val="68DC1B6E"/>
    <w:rsid w:val="6900355B"/>
    <w:rsid w:val="69192872"/>
    <w:rsid w:val="69205385"/>
    <w:rsid w:val="6921370E"/>
    <w:rsid w:val="69452B87"/>
    <w:rsid w:val="696574CD"/>
    <w:rsid w:val="69951B60"/>
    <w:rsid w:val="69A41DA4"/>
    <w:rsid w:val="69AC07D7"/>
    <w:rsid w:val="69BE6B01"/>
    <w:rsid w:val="69D106BF"/>
    <w:rsid w:val="69D33B54"/>
    <w:rsid w:val="69D34437"/>
    <w:rsid w:val="6A087466"/>
    <w:rsid w:val="6A220C3A"/>
    <w:rsid w:val="6A294057"/>
    <w:rsid w:val="6A3B4AEF"/>
    <w:rsid w:val="6A486BD3"/>
    <w:rsid w:val="6A5E3D1B"/>
    <w:rsid w:val="6A707002"/>
    <w:rsid w:val="6A795D6A"/>
    <w:rsid w:val="6A94006A"/>
    <w:rsid w:val="6A99017C"/>
    <w:rsid w:val="6A9C177A"/>
    <w:rsid w:val="6A9E67F3"/>
    <w:rsid w:val="6AA25A06"/>
    <w:rsid w:val="6AD773F8"/>
    <w:rsid w:val="6AD92158"/>
    <w:rsid w:val="6ADD6008"/>
    <w:rsid w:val="6AE76BE9"/>
    <w:rsid w:val="6AFE1987"/>
    <w:rsid w:val="6AFE54E3"/>
    <w:rsid w:val="6B044FE9"/>
    <w:rsid w:val="6B144D07"/>
    <w:rsid w:val="6B19228A"/>
    <w:rsid w:val="6B193717"/>
    <w:rsid w:val="6B1A11BB"/>
    <w:rsid w:val="6B1B6087"/>
    <w:rsid w:val="6B23319C"/>
    <w:rsid w:val="6B2B5629"/>
    <w:rsid w:val="6B3709F5"/>
    <w:rsid w:val="6B4677AE"/>
    <w:rsid w:val="6B4D0219"/>
    <w:rsid w:val="6B52582F"/>
    <w:rsid w:val="6B5B46E4"/>
    <w:rsid w:val="6B5E2A34"/>
    <w:rsid w:val="6B741C4A"/>
    <w:rsid w:val="6B944A30"/>
    <w:rsid w:val="6BB65DBE"/>
    <w:rsid w:val="6BC049D4"/>
    <w:rsid w:val="6BD67709"/>
    <w:rsid w:val="6BE741CA"/>
    <w:rsid w:val="6BE7462A"/>
    <w:rsid w:val="6C0E3E06"/>
    <w:rsid w:val="6C257BAB"/>
    <w:rsid w:val="6C2770CA"/>
    <w:rsid w:val="6C313EC9"/>
    <w:rsid w:val="6C37655B"/>
    <w:rsid w:val="6C482A24"/>
    <w:rsid w:val="6C692090"/>
    <w:rsid w:val="6C7A26AA"/>
    <w:rsid w:val="6CA65E33"/>
    <w:rsid w:val="6CAD0F6F"/>
    <w:rsid w:val="6CB5251A"/>
    <w:rsid w:val="6CC27773"/>
    <w:rsid w:val="6CC85DA9"/>
    <w:rsid w:val="6CE93F71"/>
    <w:rsid w:val="6CED5418"/>
    <w:rsid w:val="6D013069"/>
    <w:rsid w:val="6D1E1E6D"/>
    <w:rsid w:val="6D2233EA"/>
    <w:rsid w:val="6D2A6B79"/>
    <w:rsid w:val="6D385CB1"/>
    <w:rsid w:val="6D45389E"/>
    <w:rsid w:val="6D4754EC"/>
    <w:rsid w:val="6D5357A1"/>
    <w:rsid w:val="6D55593E"/>
    <w:rsid w:val="6D7179C8"/>
    <w:rsid w:val="6D7640A6"/>
    <w:rsid w:val="6D7E1AE9"/>
    <w:rsid w:val="6DA7560A"/>
    <w:rsid w:val="6DB46109"/>
    <w:rsid w:val="6DB602F7"/>
    <w:rsid w:val="6DBC51E2"/>
    <w:rsid w:val="6DBE53FE"/>
    <w:rsid w:val="6DD31279"/>
    <w:rsid w:val="6DD63AC4"/>
    <w:rsid w:val="6E072901"/>
    <w:rsid w:val="6E0B4071"/>
    <w:rsid w:val="6E0D5FBD"/>
    <w:rsid w:val="6E10519E"/>
    <w:rsid w:val="6E1E2710"/>
    <w:rsid w:val="6E26547D"/>
    <w:rsid w:val="6E2B4E4D"/>
    <w:rsid w:val="6E301E58"/>
    <w:rsid w:val="6E4E0530"/>
    <w:rsid w:val="6E510020"/>
    <w:rsid w:val="6E531B32"/>
    <w:rsid w:val="6E753D0F"/>
    <w:rsid w:val="6E781A51"/>
    <w:rsid w:val="6E9F2BCE"/>
    <w:rsid w:val="6EB02521"/>
    <w:rsid w:val="6EB83BFB"/>
    <w:rsid w:val="6ED767CE"/>
    <w:rsid w:val="6EE22D3E"/>
    <w:rsid w:val="6EE77112"/>
    <w:rsid w:val="6EF353C5"/>
    <w:rsid w:val="6F045092"/>
    <w:rsid w:val="6F09008D"/>
    <w:rsid w:val="6F21679C"/>
    <w:rsid w:val="6F534F3F"/>
    <w:rsid w:val="6F6618A9"/>
    <w:rsid w:val="6F814935"/>
    <w:rsid w:val="6F854425"/>
    <w:rsid w:val="6F885CC3"/>
    <w:rsid w:val="6F9821C1"/>
    <w:rsid w:val="6FA523D2"/>
    <w:rsid w:val="6FAB0966"/>
    <w:rsid w:val="6FAD1286"/>
    <w:rsid w:val="6FAF14A2"/>
    <w:rsid w:val="6FB4119D"/>
    <w:rsid w:val="6FD20682"/>
    <w:rsid w:val="6FDD4ADA"/>
    <w:rsid w:val="701F47C5"/>
    <w:rsid w:val="7030723E"/>
    <w:rsid w:val="70335C2F"/>
    <w:rsid w:val="704C6CF1"/>
    <w:rsid w:val="705B5186"/>
    <w:rsid w:val="706212BB"/>
    <w:rsid w:val="706C2927"/>
    <w:rsid w:val="706E6C67"/>
    <w:rsid w:val="70716758"/>
    <w:rsid w:val="70726596"/>
    <w:rsid w:val="70812E3F"/>
    <w:rsid w:val="70A112AD"/>
    <w:rsid w:val="70A8198C"/>
    <w:rsid w:val="70AC7790"/>
    <w:rsid w:val="70B52AE8"/>
    <w:rsid w:val="70BE10E4"/>
    <w:rsid w:val="70F34F87"/>
    <w:rsid w:val="70F52EE5"/>
    <w:rsid w:val="71031AA6"/>
    <w:rsid w:val="712565D7"/>
    <w:rsid w:val="71257C6E"/>
    <w:rsid w:val="71372767"/>
    <w:rsid w:val="71624F70"/>
    <w:rsid w:val="717767B4"/>
    <w:rsid w:val="718061E5"/>
    <w:rsid w:val="718B55F7"/>
    <w:rsid w:val="718C1A9B"/>
    <w:rsid w:val="71944BCE"/>
    <w:rsid w:val="71A2420A"/>
    <w:rsid w:val="71B21877"/>
    <w:rsid w:val="71C23ED4"/>
    <w:rsid w:val="71D76CAF"/>
    <w:rsid w:val="71F176D9"/>
    <w:rsid w:val="71FB09CF"/>
    <w:rsid w:val="71FB452B"/>
    <w:rsid w:val="721247B4"/>
    <w:rsid w:val="7215244A"/>
    <w:rsid w:val="72227D09"/>
    <w:rsid w:val="722872EA"/>
    <w:rsid w:val="722A306A"/>
    <w:rsid w:val="72595021"/>
    <w:rsid w:val="72652712"/>
    <w:rsid w:val="728E0960"/>
    <w:rsid w:val="7294672D"/>
    <w:rsid w:val="729B2218"/>
    <w:rsid w:val="72A42E14"/>
    <w:rsid w:val="72B666A4"/>
    <w:rsid w:val="72BA2196"/>
    <w:rsid w:val="72BF37AA"/>
    <w:rsid w:val="72C46A7C"/>
    <w:rsid w:val="72D01FA0"/>
    <w:rsid w:val="72D101E2"/>
    <w:rsid w:val="72D22312"/>
    <w:rsid w:val="72D24194"/>
    <w:rsid w:val="72D60AF4"/>
    <w:rsid w:val="72E04D55"/>
    <w:rsid w:val="72F571CC"/>
    <w:rsid w:val="72FD221B"/>
    <w:rsid w:val="73007875"/>
    <w:rsid w:val="73025D8D"/>
    <w:rsid w:val="731F249B"/>
    <w:rsid w:val="732E6B82"/>
    <w:rsid w:val="736A1ABB"/>
    <w:rsid w:val="736D1458"/>
    <w:rsid w:val="736E0E6D"/>
    <w:rsid w:val="7375655F"/>
    <w:rsid w:val="738E5DB6"/>
    <w:rsid w:val="739509AF"/>
    <w:rsid w:val="739E15E1"/>
    <w:rsid w:val="73A56E44"/>
    <w:rsid w:val="73AA6208"/>
    <w:rsid w:val="73AF34AE"/>
    <w:rsid w:val="73B614D6"/>
    <w:rsid w:val="73B85E28"/>
    <w:rsid w:val="73C848E1"/>
    <w:rsid w:val="73CA1111"/>
    <w:rsid w:val="73D24415"/>
    <w:rsid w:val="73E86D31"/>
    <w:rsid w:val="73F863E7"/>
    <w:rsid w:val="73F90A51"/>
    <w:rsid w:val="73FD2F24"/>
    <w:rsid w:val="741D2E7E"/>
    <w:rsid w:val="741F12BA"/>
    <w:rsid w:val="74235B7E"/>
    <w:rsid w:val="742A7349"/>
    <w:rsid w:val="74512B28"/>
    <w:rsid w:val="746E7BAE"/>
    <w:rsid w:val="74813799"/>
    <w:rsid w:val="74911488"/>
    <w:rsid w:val="74934EEE"/>
    <w:rsid w:val="749A44CF"/>
    <w:rsid w:val="74AD4F46"/>
    <w:rsid w:val="74C7246E"/>
    <w:rsid w:val="74E34252"/>
    <w:rsid w:val="75063912"/>
    <w:rsid w:val="750B5159"/>
    <w:rsid w:val="750B53A2"/>
    <w:rsid w:val="75130CC5"/>
    <w:rsid w:val="75223795"/>
    <w:rsid w:val="7544443B"/>
    <w:rsid w:val="755328D0"/>
    <w:rsid w:val="755521A4"/>
    <w:rsid w:val="7572311C"/>
    <w:rsid w:val="75757A29"/>
    <w:rsid w:val="757C1E26"/>
    <w:rsid w:val="75840CDB"/>
    <w:rsid w:val="75882C90"/>
    <w:rsid w:val="758F6E2D"/>
    <w:rsid w:val="75915B3B"/>
    <w:rsid w:val="75947170"/>
    <w:rsid w:val="759A405B"/>
    <w:rsid w:val="75BA294F"/>
    <w:rsid w:val="75BF00A6"/>
    <w:rsid w:val="75BF7F65"/>
    <w:rsid w:val="75CA7C65"/>
    <w:rsid w:val="75D43A11"/>
    <w:rsid w:val="75E5310F"/>
    <w:rsid w:val="75E5336E"/>
    <w:rsid w:val="75EC334B"/>
    <w:rsid w:val="75FF4504"/>
    <w:rsid w:val="76191423"/>
    <w:rsid w:val="76202654"/>
    <w:rsid w:val="762F4680"/>
    <w:rsid w:val="76330BC2"/>
    <w:rsid w:val="7645046A"/>
    <w:rsid w:val="76470B25"/>
    <w:rsid w:val="765238F1"/>
    <w:rsid w:val="76571F4C"/>
    <w:rsid w:val="766A1C7F"/>
    <w:rsid w:val="766E5C13"/>
    <w:rsid w:val="76805946"/>
    <w:rsid w:val="76912C94"/>
    <w:rsid w:val="769438A5"/>
    <w:rsid w:val="76A038F3"/>
    <w:rsid w:val="76AD7DBE"/>
    <w:rsid w:val="76CE3202"/>
    <w:rsid w:val="76DF3CD0"/>
    <w:rsid w:val="76EC08E6"/>
    <w:rsid w:val="76EF422D"/>
    <w:rsid w:val="76F81981"/>
    <w:rsid w:val="77062DFE"/>
    <w:rsid w:val="770B62CA"/>
    <w:rsid w:val="770C0F88"/>
    <w:rsid w:val="771400C4"/>
    <w:rsid w:val="771435A7"/>
    <w:rsid w:val="771C1E27"/>
    <w:rsid w:val="771D2872"/>
    <w:rsid w:val="772A0E90"/>
    <w:rsid w:val="772B58B2"/>
    <w:rsid w:val="772F56B6"/>
    <w:rsid w:val="77316C41"/>
    <w:rsid w:val="773D55E5"/>
    <w:rsid w:val="775070C7"/>
    <w:rsid w:val="775546DD"/>
    <w:rsid w:val="775C4FEC"/>
    <w:rsid w:val="776C66BA"/>
    <w:rsid w:val="77702CAE"/>
    <w:rsid w:val="778C10EB"/>
    <w:rsid w:val="7794726C"/>
    <w:rsid w:val="77A5046C"/>
    <w:rsid w:val="77A81C37"/>
    <w:rsid w:val="77B07B65"/>
    <w:rsid w:val="77C35AEB"/>
    <w:rsid w:val="77CB2E7D"/>
    <w:rsid w:val="77CE4490"/>
    <w:rsid w:val="77DC095A"/>
    <w:rsid w:val="77E241F9"/>
    <w:rsid w:val="77E85551"/>
    <w:rsid w:val="77EF68E0"/>
    <w:rsid w:val="77F739E6"/>
    <w:rsid w:val="780460F6"/>
    <w:rsid w:val="78093016"/>
    <w:rsid w:val="78115238"/>
    <w:rsid w:val="781E7D5E"/>
    <w:rsid w:val="782D565A"/>
    <w:rsid w:val="78411105"/>
    <w:rsid w:val="78581291"/>
    <w:rsid w:val="785A7737"/>
    <w:rsid w:val="785B21C7"/>
    <w:rsid w:val="788D0CAB"/>
    <w:rsid w:val="788D60F9"/>
    <w:rsid w:val="789816F7"/>
    <w:rsid w:val="789B25C4"/>
    <w:rsid w:val="789E3E62"/>
    <w:rsid w:val="78A01BB6"/>
    <w:rsid w:val="78A23952"/>
    <w:rsid w:val="78C0027C"/>
    <w:rsid w:val="78CB2DC3"/>
    <w:rsid w:val="78CC6C21"/>
    <w:rsid w:val="78E71CAD"/>
    <w:rsid w:val="78FA2322"/>
    <w:rsid w:val="790A14F7"/>
    <w:rsid w:val="790A426E"/>
    <w:rsid w:val="790D0BF3"/>
    <w:rsid w:val="79145114"/>
    <w:rsid w:val="79231CC3"/>
    <w:rsid w:val="794D6C70"/>
    <w:rsid w:val="79534C4C"/>
    <w:rsid w:val="795E095D"/>
    <w:rsid w:val="795F5CE7"/>
    <w:rsid w:val="79614DF8"/>
    <w:rsid w:val="79654980"/>
    <w:rsid w:val="796D532B"/>
    <w:rsid w:val="797D2B4A"/>
    <w:rsid w:val="797D61CD"/>
    <w:rsid w:val="799B52C3"/>
    <w:rsid w:val="79A9389B"/>
    <w:rsid w:val="79AC5217"/>
    <w:rsid w:val="79AD1C48"/>
    <w:rsid w:val="79C2046E"/>
    <w:rsid w:val="79C42366"/>
    <w:rsid w:val="79C91656"/>
    <w:rsid w:val="7A170370"/>
    <w:rsid w:val="7A1D26C5"/>
    <w:rsid w:val="7A2D1941"/>
    <w:rsid w:val="7A2E1215"/>
    <w:rsid w:val="7A2F1548"/>
    <w:rsid w:val="7A344A7E"/>
    <w:rsid w:val="7A4438D1"/>
    <w:rsid w:val="7A5C2227"/>
    <w:rsid w:val="7A744793"/>
    <w:rsid w:val="7A784756"/>
    <w:rsid w:val="7A8552D9"/>
    <w:rsid w:val="7A950CD9"/>
    <w:rsid w:val="7AB83901"/>
    <w:rsid w:val="7AB91427"/>
    <w:rsid w:val="7ABE6A3D"/>
    <w:rsid w:val="7AF77BA0"/>
    <w:rsid w:val="7AFB1EE5"/>
    <w:rsid w:val="7B0546E5"/>
    <w:rsid w:val="7B0B038E"/>
    <w:rsid w:val="7B137904"/>
    <w:rsid w:val="7B1D2D88"/>
    <w:rsid w:val="7B2A4444"/>
    <w:rsid w:val="7B3E48AE"/>
    <w:rsid w:val="7B3F5F83"/>
    <w:rsid w:val="7B4156BF"/>
    <w:rsid w:val="7B5B4A54"/>
    <w:rsid w:val="7B68086A"/>
    <w:rsid w:val="7B6A2721"/>
    <w:rsid w:val="7B754A9B"/>
    <w:rsid w:val="7B7679E9"/>
    <w:rsid w:val="7B771A51"/>
    <w:rsid w:val="7B803CF3"/>
    <w:rsid w:val="7B811F45"/>
    <w:rsid w:val="7BA42AD6"/>
    <w:rsid w:val="7BB045D8"/>
    <w:rsid w:val="7BB57E40"/>
    <w:rsid w:val="7BD32074"/>
    <w:rsid w:val="7BD61B65"/>
    <w:rsid w:val="7C0B180E"/>
    <w:rsid w:val="7C26489A"/>
    <w:rsid w:val="7C2C23B3"/>
    <w:rsid w:val="7C3966A2"/>
    <w:rsid w:val="7C460C16"/>
    <w:rsid w:val="7C5F1B5A"/>
    <w:rsid w:val="7C6723F9"/>
    <w:rsid w:val="7C7234B9"/>
    <w:rsid w:val="7C740168"/>
    <w:rsid w:val="7C833431"/>
    <w:rsid w:val="7C8B0BA1"/>
    <w:rsid w:val="7C9C4B5C"/>
    <w:rsid w:val="7C9D1B23"/>
    <w:rsid w:val="7CAD4FBB"/>
    <w:rsid w:val="7CCF767C"/>
    <w:rsid w:val="7CDF47CD"/>
    <w:rsid w:val="7CF36E72"/>
    <w:rsid w:val="7CFE346F"/>
    <w:rsid w:val="7D270B55"/>
    <w:rsid w:val="7D326608"/>
    <w:rsid w:val="7D3A25C1"/>
    <w:rsid w:val="7D450D50"/>
    <w:rsid w:val="7D565D1B"/>
    <w:rsid w:val="7D5E0064"/>
    <w:rsid w:val="7D67516A"/>
    <w:rsid w:val="7D686730"/>
    <w:rsid w:val="7D7F551F"/>
    <w:rsid w:val="7D85337F"/>
    <w:rsid w:val="7D91708B"/>
    <w:rsid w:val="7DA014C9"/>
    <w:rsid w:val="7DB025F5"/>
    <w:rsid w:val="7DBD4780"/>
    <w:rsid w:val="7DC34AED"/>
    <w:rsid w:val="7DC56212"/>
    <w:rsid w:val="7DD3597A"/>
    <w:rsid w:val="7DD722F0"/>
    <w:rsid w:val="7DE91B49"/>
    <w:rsid w:val="7DFA488C"/>
    <w:rsid w:val="7DFA4A9D"/>
    <w:rsid w:val="7E06489D"/>
    <w:rsid w:val="7E140867"/>
    <w:rsid w:val="7E16235D"/>
    <w:rsid w:val="7E162A33"/>
    <w:rsid w:val="7E245210"/>
    <w:rsid w:val="7E39430F"/>
    <w:rsid w:val="7E4234E1"/>
    <w:rsid w:val="7E431733"/>
    <w:rsid w:val="7E590F57"/>
    <w:rsid w:val="7E67791A"/>
    <w:rsid w:val="7E6B47E6"/>
    <w:rsid w:val="7E6D54B9"/>
    <w:rsid w:val="7E7E25E3"/>
    <w:rsid w:val="7E81400A"/>
    <w:rsid w:val="7E8147E1"/>
    <w:rsid w:val="7E900FB1"/>
    <w:rsid w:val="7EB01012"/>
    <w:rsid w:val="7ED607DD"/>
    <w:rsid w:val="7EFB0260"/>
    <w:rsid w:val="7F054C3B"/>
    <w:rsid w:val="7F12275F"/>
    <w:rsid w:val="7F4219EB"/>
    <w:rsid w:val="7F4555B2"/>
    <w:rsid w:val="7F556756"/>
    <w:rsid w:val="7F604567"/>
    <w:rsid w:val="7F6A522E"/>
    <w:rsid w:val="7F875650"/>
    <w:rsid w:val="7F8C2C66"/>
    <w:rsid w:val="7F8D4DFF"/>
    <w:rsid w:val="7F9801FA"/>
    <w:rsid w:val="7F9B4CB4"/>
    <w:rsid w:val="7FB777D7"/>
    <w:rsid w:val="7FBD72C3"/>
    <w:rsid w:val="7FC91442"/>
    <w:rsid w:val="7FCA2E64"/>
    <w:rsid w:val="7FCB1D09"/>
    <w:rsid w:val="7FD85EAB"/>
    <w:rsid w:val="7FE521B9"/>
    <w:rsid w:val="7FEC690D"/>
    <w:rsid w:val="7FED647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qFormat="1" w:uiPriority="99" w:semiHidden="0" w:name="Body Text First Indent 2"/>
    <w:lsdException w:uiPriority="99"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qFormat="1" w:uiPriority="99" w:semiHidden="0" w:name="E-mail Signature"/>
    <w:lsdException w:qFormat="1" w:unhideWhenUsed="0" w:uiPriority="99" w:semiHidden="0" w:name="Normal (Web)"/>
    <w:lsdException w:uiPriority="99" w:name="HTML Acronym"/>
    <w:lsdException w:uiPriority="99" w:name="HTML Address"/>
    <w:lsdException w:qFormat="1" w:uiPriority="99"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0"/>
    <w:pPr>
      <w:keepNext/>
      <w:keepLines/>
      <w:widowControl/>
      <w:adjustRightInd w:val="0"/>
      <w:spacing w:line="348" w:lineRule="auto"/>
      <w:jc w:val="left"/>
      <w:textAlignment w:val="baseline"/>
      <w:outlineLvl w:val="1"/>
    </w:pPr>
    <w:rPr>
      <w:b/>
      <w:kern w:val="0"/>
      <w:sz w:val="28"/>
      <w:szCs w:val="20"/>
    </w:rPr>
  </w:style>
  <w:style w:type="paragraph" w:styleId="4">
    <w:name w:val="heading 3"/>
    <w:basedOn w:val="1"/>
    <w:next w:val="1"/>
    <w:link w:val="41"/>
    <w:qFormat/>
    <w:uiPriority w:val="0"/>
    <w:pPr>
      <w:keepNext/>
      <w:widowControl/>
      <w:spacing w:line="500" w:lineRule="exact"/>
      <w:ind w:right="-105" w:rightChars="-50" w:firstLine="252" w:firstLineChars="100"/>
      <w:jc w:val="center"/>
      <w:outlineLvl w:val="2"/>
    </w:pPr>
    <w:rPr>
      <w:w w:val="90"/>
      <w:sz w:val="28"/>
    </w:rPr>
  </w:style>
  <w:style w:type="paragraph" w:styleId="5">
    <w:name w:val="heading 4"/>
    <w:basedOn w:val="1"/>
    <w:next w:val="1"/>
    <w:link w:val="42"/>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6"/>
    <w:basedOn w:val="1"/>
    <w:next w:val="1"/>
    <w:link w:val="43"/>
    <w:qFormat/>
    <w:uiPriority w:val="0"/>
    <w:pPr>
      <w:keepNext/>
      <w:keepLines/>
      <w:widowControl/>
      <w:spacing w:before="240" w:after="64" w:line="316" w:lineRule="auto"/>
      <w:jc w:val="left"/>
      <w:outlineLvl w:val="5"/>
    </w:pPr>
    <w:rPr>
      <w:rFonts w:ascii="Arial" w:hAnsi="Arial" w:eastAsia="黑体"/>
      <w:b/>
      <w:sz w:val="24"/>
    </w:rPr>
  </w:style>
  <w:style w:type="character" w:default="1" w:styleId="31">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styleId="7">
    <w:name w:val="E-mail Signature"/>
    <w:basedOn w:val="1"/>
    <w:link w:val="44"/>
    <w:unhideWhenUsed/>
    <w:qFormat/>
    <w:uiPriority w:val="99"/>
    <w:pPr>
      <w:widowControl/>
      <w:adjustRightInd w:val="0"/>
      <w:snapToGrid w:val="0"/>
      <w:spacing w:line="300" w:lineRule="auto"/>
      <w:jc w:val="left"/>
    </w:pPr>
    <w:rPr>
      <w:rFonts w:ascii="仿宋_GB2312" w:hAnsi="Calibri" w:eastAsia="仿宋_GB2312"/>
      <w:sz w:val="28"/>
    </w:rPr>
  </w:style>
  <w:style w:type="paragraph" w:styleId="8">
    <w:name w:val="Normal Indent"/>
    <w:basedOn w:val="1"/>
    <w:link w:val="45"/>
    <w:unhideWhenUsed/>
    <w:qFormat/>
    <w:uiPriority w:val="0"/>
    <w:pPr>
      <w:widowControl/>
      <w:ind w:firstLine="420"/>
      <w:jc w:val="left"/>
    </w:pPr>
    <w:rPr>
      <w:rFonts w:ascii="楷体_GB2312" w:hAnsi="Calibri" w:eastAsia="楷体_GB2312" w:cs="Times New Roman"/>
      <w:w w:val="90"/>
      <w:kern w:val="0"/>
      <w:sz w:val="28"/>
      <w:szCs w:val="20"/>
    </w:rPr>
  </w:style>
  <w:style w:type="paragraph" w:styleId="9">
    <w:name w:val="caption"/>
    <w:basedOn w:val="1"/>
    <w:next w:val="1"/>
    <w:link w:val="46"/>
    <w:qFormat/>
    <w:uiPriority w:val="0"/>
    <w:pPr>
      <w:widowControl/>
      <w:adjustRightInd w:val="0"/>
      <w:snapToGrid w:val="0"/>
      <w:spacing w:line="360" w:lineRule="auto"/>
      <w:jc w:val="center"/>
    </w:pPr>
    <w:rPr>
      <w:rFonts w:ascii="宋体" w:hAnsi="宋体" w:cs="Times New Roman"/>
      <w:b/>
      <w:sz w:val="24"/>
      <w:lang w:val="zh-CN"/>
    </w:rPr>
  </w:style>
  <w:style w:type="paragraph" w:styleId="10">
    <w:name w:val="Document Map"/>
    <w:basedOn w:val="1"/>
    <w:link w:val="47"/>
    <w:unhideWhenUsed/>
    <w:qFormat/>
    <w:uiPriority w:val="99"/>
    <w:pPr>
      <w:widowControl/>
      <w:jc w:val="left"/>
    </w:pPr>
    <w:rPr>
      <w:rFonts w:ascii="宋体"/>
      <w:sz w:val="18"/>
      <w:szCs w:val="18"/>
    </w:rPr>
  </w:style>
  <w:style w:type="paragraph" w:styleId="11">
    <w:name w:val="toa heading"/>
    <w:basedOn w:val="1"/>
    <w:next w:val="1"/>
    <w:unhideWhenUsed/>
    <w:qFormat/>
    <w:uiPriority w:val="99"/>
    <w:pPr>
      <w:widowControl/>
      <w:spacing w:before="120"/>
      <w:jc w:val="left"/>
    </w:pPr>
    <w:rPr>
      <w:rFonts w:ascii="Arial" w:hAnsi="Arial" w:eastAsia="等线" w:cs="Arial"/>
      <w:sz w:val="24"/>
    </w:rPr>
  </w:style>
  <w:style w:type="paragraph" w:styleId="12">
    <w:name w:val="annotation text"/>
    <w:basedOn w:val="1"/>
    <w:link w:val="48"/>
    <w:unhideWhenUsed/>
    <w:qFormat/>
    <w:uiPriority w:val="0"/>
    <w:pPr>
      <w:jc w:val="left"/>
    </w:pPr>
  </w:style>
  <w:style w:type="paragraph" w:styleId="13">
    <w:name w:val="Body Text 3"/>
    <w:basedOn w:val="1"/>
    <w:link w:val="49"/>
    <w:unhideWhenUsed/>
    <w:qFormat/>
    <w:uiPriority w:val="99"/>
    <w:pPr>
      <w:widowControl/>
      <w:spacing w:after="120" w:line="480" w:lineRule="exact"/>
      <w:jc w:val="left"/>
    </w:pPr>
    <w:rPr>
      <w:sz w:val="16"/>
      <w:szCs w:val="16"/>
    </w:rPr>
  </w:style>
  <w:style w:type="paragraph" w:styleId="14">
    <w:name w:val="Body Text"/>
    <w:basedOn w:val="1"/>
    <w:link w:val="50"/>
    <w:unhideWhenUsed/>
    <w:qFormat/>
    <w:uiPriority w:val="99"/>
    <w:pPr>
      <w:spacing w:after="120"/>
    </w:pPr>
  </w:style>
  <w:style w:type="paragraph" w:styleId="15">
    <w:name w:val="Body Text Indent"/>
    <w:basedOn w:val="1"/>
    <w:link w:val="51"/>
    <w:qFormat/>
    <w:uiPriority w:val="99"/>
    <w:pPr>
      <w:widowControl/>
      <w:spacing w:line="360" w:lineRule="auto"/>
      <w:ind w:firstLine="480"/>
      <w:jc w:val="left"/>
    </w:pPr>
    <w:rPr>
      <w:sz w:val="24"/>
      <w:szCs w:val="20"/>
    </w:rPr>
  </w:style>
  <w:style w:type="paragraph" w:styleId="16">
    <w:name w:val="Plain Text"/>
    <w:basedOn w:val="1"/>
    <w:link w:val="52"/>
    <w:qFormat/>
    <w:uiPriority w:val="99"/>
    <w:rPr>
      <w:rFonts w:ascii="宋体" w:hAnsi="Courier New" w:eastAsia="宋体" w:cs="Times New Roman"/>
      <w:szCs w:val="20"/>
    </w:rPr>
  </w:style>
  <w:style w:type="paragraph" w:styleId="17">
    <w:name w:val="List Bullet 5"/>
    <w:basedOn w:val="1"/>
    <w:unhideWhenUsed/>
    <w:qFormat/>
    <w:uiPriority w:val="99"/>
    <w:pPr>
      <w:widowControl/>
      <w:numPr>
        <w:ilvl w:val="0"/>
        <w:numId w:val="1"/>
      </w:numPr>
      <w:tabs>
        <w:tab w:val="left" w:pos="2040"/>
        <w:tab w:val="left" w:pos="2340"/>
      </w:tabs>
      <w:spacing w:after="160" w:line="256" w:lineRule="auto"/>
      <w:jc w:val="left"/>
    </w:pPr>
  </w:style>
  <w:style w:type="paragraph" w:styleId="18">
    <w:name w:val="Date"/>
    <w:basedOn w:val="1"/>
    <w:next w:val="1"/>
    <w:link w:val="53"/>
    <w:unhideWhenUsed/>
    <w:qFormat/>
    <w:uiPriority w:val="99"/>
    <w:pPr>
      <w:widowControl/>
      <w:spacing w:line="480" w:lineRule="exact"/>
      <w:ind w:left="2500" w:leftChars="2500"/>
      <w:jc w:val="left"/>
    </w:pPr>
    <w:rPr>
      <w:sz w:val="24"/>
    </w:rPr>
  </w:style>
  <w:style w:type="paragraph" w:styleId="19">
    <w:name w:val="Body Text Indent 2"/>
    <w:basedOn w:val="1"/>
    <w:next w:val="20"/>
    <w:link w:val="54"/>
    <w:unhideWhenUsed/>
    <w:qFormat/>
    <w:uiPriority w:val="99"/>
    <w:pPr>
      <w:widowControl/>
      <w:spacing w:after="120" w:line="480" w:lineRule="auto"/>
      <w:ind w:left="420" w:leftChars="200"/>
      <w:jc w:val="left"/>
    </w:pPr>
  </w:style>
  <w:style w:type="paragraph" w:styleId="20">
    <w:name w:val="Body Text First Indent 2"/>
    <w:basedOn w:val="15"/>
    <w:link w:val="55"/>
    <w:unhideWhenUsed/>
    <w:qFormat/>
    <w:uiPriority w:val="99"/>
    <w:pPr>
      <w:widowControl w:val="0"/>
      <w:spacing w:after="120" w:line="240" w:lineRule="auto"/>
      <w:ind w:left="420" w:leftChars="200" w:firstLine="420" w:firstLineChars="192"/>
      <w:jc w:val="both"/>
    </w:pPr>
    <w:rPr>
      <w:sz w:val="21"/>
      <w:szCs w:val="24"/>
    </w:rPr>
  </w:style>
  <w:style w:type="paragraph" w:styleId="21">
    <w:name w:val="Balloon Text"/>
    <w:basedOn w:val="1"/>
    <w:link w:val="57"/>
    <w:unhideWhenUsed/>
    <w:qFormat/>
    <w:uiPriority w:val="99"/>
    <w:rPr>
      <w:sz w:val="18"/>
      <w:szCs w:val="18"/>
    </w:rPr>
  </w:style>
  <w:style w:type="paragraph" w:styleId="22">
    <w:name w:val="footer"/>
    <w:basedOn w:val="1"/>
    <w:link w:val="58"/>
    <w:unhideWhenUsed/>
    <w:qFormat/>
    <w:uiPriority w:val="99"/>
    <w:pPr>
      <w:tabs>
        <w:tab w:val="center" w:pos="4153"/>
        <w:tab w:val="right" w:pos="8306"/>
      </w:tabs>
      <w:snapToGrid w:val="0"/>
      <w:jc w:val="left"/>
    </w:pPr>
    <w:rPr>
      <w:sz w:val="18"/>
      <w:szCs w:val="18"/>
    </w:rPr>
  </w:style>
  <w:style w:type="paragraph" w:styleId="23">
    <w:name w:val="header"/>
    <w:basedOn w:val="1"/>
    <w:link w:val="59"/>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Body Text Indent 3"/>
    <w:basedOn w:val="1"/>
    <w:link w:val="60"/>
    <w:unhideWhenUsed/>
    <w:qFormat/>
    <w:uiPriority w:val="99"/>
    <w:pPr>
      <w:widowControl/>
      <w:tabs>
        <w:tab w:val="left" w:pos="604"/>
      </w:tabs>
      <w:spacing w:line="360" w:lineRule="auto"/>
      <w:ind w:firstLine="600" w:firstLineChars="200"/>
      <w:jc w:val="left"/>
    </w:pPr>
    <w:rPr>
      <w:sz w:val="24"/>
      <w:szCs w:val="20"/>
    </w:rPr>
  </w:style>
  <w:style w:type="paragraph" w:styleId="25">
    <w:name w:val="Body Text 2"/>
    <w:basedOn w:val="1"/>
    <w:link w:val="61"/>
    <w:unhideWhenUsed/>
    <w:qFormat/>
    <w:uiPriority w:val="99"/>
    <w:pPr>
      <w:spacing w:after="120" w:line="480" w:lineRule="auto"/>
    </w:pPr>
  </w:style>
  <w:style w:type="paragraph" w:styleId="26">
    <w:name w:val="Normal (Web)"/>
    <w:basedOn w:val="1"/>
    <w:link w:val="62"/>
    <w:qFormat/>
    <w:uiPriority w:val="99"/>
    <w:pPr>
      <w:widowControl/>
      <w:spacing w:before="100" w:beforeAutospacing="1" w:after="100" w:afterAutospacing="1"/>
      <w:jc w:val="left"/>
    </w:pPr>
    <w:rPr>
      <w:rFonts w:ascii="宋体" w:hAnsi="宋体" w:cs="Times New Roman"/>
      <w:sz w:val="24"/>
      <w:szCs w:val="22"/>
    </w:rPr>
  </w:style>
  <w:style w:type="paragraph" w:styleId="27">
    <w:name w:val="annotation subject"/>
    <w:basedOn w:val="12"/>
    <w:next w:val="12"/>
    <w:link w:val="63"/>
    <w:unhideWhenUsed/>
    <w:qFormat/>
    <w:uiPriority w:val="99"/>
    <w:rPr>
      <w:b/>
      <w:bCs/>
    </w:rPr>
  </w:style>
  <w:style w:type="paragraph" w:styleId="28">
    <w:name w:val="Body Text First Indent"/>
    <w:basedOn w:val="14"/>
    <w:next w:val="1"/>
    <w:link w:val="56"/>
    <w:unhideWhenUsed/>
    <w:qFormat/>
    <w:uiPriority w:val="99"/>
    <w:pPr>
      <w:ind w:firstLine="420" w:firstLineChars="100"/>
    </w:pPr>
  </w:style>
  <w:style w:type="table" w:styleId="30">
    <w:name w:val="Table Grid"/>
    <w:basedOn w:val="29"/>
    <w:qFormat/>
    <w:uiPriority w:val="59"/>
    <w:pPr>
      <w:widowControl w:val="0"/>
      <w:jc w:val="both"/>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page number"/>
    <w:qFormat/>
    <w:uiPriority w:val="0"/>
  </w:style>
  <w:style w:type="character" w:styleId="34">
    <w:name w:val="FollowedHyperlink"/>
    <w:unhideWhenUsed/>
    <w:qFormat/>
    <w:uiPriority w:val="99"/>
    <w:rPr>
      <w:color w:val="800080"/>
      <w:u w:val="single"/>
    </w:rPr>
  </w:style>
  <w:style w:type="character" w:styleId="35">
    <w:name w:val="Emphasis"/>
    <w:qFormat/>
    <w:uiPriority w:val="20"/>
  </w:style>
  <w:style w:type="character" w:styleId="36">
    <w:name w:val="Hyperlink"/>
    <w:unhideWhenUsed/>
    <w:qFormat/>
    <w:uiPriority w:val="99"/>
    <w:rPr>
      <w:color w:val="0000FF"/>
      <w:u w:val="single"/>
    </w:rPr>
  </w:style>
  <w:style w:type="character" w:styleId="37">
    <w:name w:val="annotation reference"/>
    <w:basedOn w:val="31"/>
    <w:unhideWhenUsed/>
    <w:qFormat/>
    <w:uiPriority w:val="0"/>
    <w:rPr>
      <w:sz w:val="21"/>
      <w:szCs w:val="21"/>
    </w:rPr>
  </w:style>
  <w:style w:type="character" w:styleId="38">
    <w:name w:val="HTML Cite"/>
    <w:unhideWhenUsed/>
    <w:qFormat/>
    <w:uiPriority w:val="99"/>
    <w:rPr>
      <w:color w:val="008000"/>
    </w:rPr>
  </w:style>
  <w:style w:type="character" w:customStyle="1" w:styleId="39">
    <w:name w:val="标题 1 字符"/>
    <w:link w:val="2"/>
    <w:qFormat/>
    <w:uiPriority w:val="0"/>
    <w:rPr>
      <w:rFonts w:ascii="Times New Roman" w:hAnsi="Times New Roman" w:eastAsia="宋体" w:cs="Times New Roman"/>
      <w:b/>
      <w:bCs/>
      <w:kern w:val="44"/>
      <w:sz w:val="44"/>
      <w:szCs w:val="44"/>
    </w:rPr>
  </w:style>
  <w:style w:type="character" w:customStyle="1" w:styleId="40">
    <w:name w:val="标题 2 字符"/>
    <w:link w:val="3"/>
    <w:qFormat/>
    <w:uiPriority w:val="0"/>
    <w:rPr>
      <w:rFonts w:ascii="Times New Roman" w:hAnsi="Times New Roman" w:eastAsia="宋体" w:cs="Times New Roman"/>
      <w:b/>
      <w:kern w:val="0"/>
      <w:sz w:val="28"/>
      <w:szCs w:val="20"/>
    </w:rPr>
  </w:style>
  <w:style w:type="character" w:customStyle="1" w:styleId="41">
    <w:name w:val="标题 3 字符"/>
    <w:link w:val="4"/>
    <w:semiHidden/>
    <w:qFormat/>
    <w:uiPriority w:val="0"/>
    <w:rPr>
      <w:rFonts w:ascii="Times New Roman" w:hAnsi="Times New Roman" w:eastAsia="宋体" w:cs="Times New Roman"/>
      <w:w w:val="90"/>
      <w:kern w:val="2"/>
      <w:sz w:val="28"/>
      <w:szCs w:val="24"/>
    </w:rPr>
  </w:style>
  <w:style w:type="character" w:customStyle="1" w:styleId="42">
    <w:name w:val="标题 4 字符"/>
    <w:link w:val="5"/>
    <w:semiHidden/>
    <w:qFormat/>
    <w:uiPriority w:val="0"/>
    <w:rPr>
      <w:rFonts w:ascii="Cambria" w:hAnsi="Cambria" w:eastAsia="宋体" w:cs="Times New Roman"/>
      <w:b/>
      <w:bCs/>
      <w:kern w:val="2"/>
      <w:sz w:val="28"/>
      <w:szCs w:val="28"/>
    </w:rPr>
  </w:style>
  <w:style w:type="character" w:customStyle="1" w:styleId="43">
    <w:name w:val="标题 6 字符"/>
    <w:link w:val="6"/>
    <w:semiHidden/>
    <w:qFormat/>
    <w:uiPriority w:val="0"/>
    <w:rPr>
      <w:rFonts w:ascii="Arial" w:hAnsi="Arial" w:eastAsia="黑体" w:cs="Times New Roman"/>
      <w:b/>
      <w:kern w:val="2"/>
      <w:sz w:val="24"/>
      <w:szCs w:val="24"/>
    </w:rPr>
  </w:style>
  <w:style w:type="character" w:customStyle="1" w:styleId="44">
    <w:name w:val="电子邮件签名 字符"/>
    <w:link w:val="7"/>
    <w:semiHidden/>
    <w:qFormat/>
    <w:uiPriority w:val="99"/>
    <w:rPr>
      <w:rFonts w:ascii="仿宋_GB2312" w:hAnsi="Calibri" w:eastAsia="仿宋_GB2312" w:cs="Times New Roman"/>
      <w:kern w:val="2"/>
      <w:sz w:val="28"/>
      <w:szCs w:val="24"/>
    </w:rPr>
  </w:style>
  <w:style w:type="character" w:customStyle="1" w:styleId="45">
    <w:name w:val="正文缩进 字符"/>
    <w:link w:val="8"/>
    <w:qFormat/>
    <w:locked/>
    <w:uiPriority w:val="0"/>
    <w:rPr>
      <w:rFonts w:ascii="楷体_GB2312" w:eastAsia="楷体_GB2312"/>
      <w:w w:val="90"/>
      <w:sz w:val="28"/>
    </w:rPr>
  </w:style>
  <w:style w:type="character" w:customStyle="1" w:styleId="46">
    <w:name w:val="题注 字符"/>
    <w:link w:val="9"/>
    <w:semiHidden/>
    <w:qFormat/>
    <w:locked/>
    <w:uiPriority w:val="0"/>
    <w:rPr>
      <w:rFonts w:ascii="宋体" w:hAnsi="宋体" w:eastAsia="宋体"/>
      <w:b/>
      <w:kern w:val="2"/>
      <w:sz w:val="24"/>
      <w:szCs w:val="24"/>
      <w:lang w:val="zh-CN"/>
    </w:rPr>
  </w:style>
  <w:style w:type="character" w:customStyle="1" w:styleId="47">
    <w:name w:val="文档结构图 字符1"/>
    <w:link w:val="10"/>
    <w:semiHidden/>
    <w:qFormat/>
    <w:uiPriority w:val="99"/>
    <w:rPr>
      <w:rFonts w:ascii="宋体" w:hAnsi="Times New Roman" w:eastAsia="宋体" w:cs="Times New Roman"/>
      <w:kern w:val="2"/>
      <w:sz w:val="18"/>
      <w:szCs w:val="18"/>
    </w:rPr>
  </w:style>
  <w:style w:type="character" w:customStyle="1" w:styleId="48">
    <w:name w:val="批注文字 字符"/>
    <w:link w:val="12"/>
    <w:qFormat/>
    <w:uiPriority w:val="99"/>
    <w:rPr>
      <w:rFonts w:ascii="Times New Roman" w:hAnsi="Times New Roman" w:eastAsia="宋体" w:cs="Times New Roman"/>
      <w:kern w:val="2"/>
      <w:sz w:val="21"/>
      <w:szCs w:val="24"/>
    </w:rPr>
  </w:style>
  <w:style w:type="character" w:customStyle="1" w:styleId="49">
    <w:name w:val="正文文本 3 字符"/>
    <w:link w:val="13"/>
    <w:semiHidden/>
    <w:qFormat/>
    <w:uiPriority w:val="99"/>
    <w:rPr>
      <w:rFonts w:ascii="Times New Roman" w:hAnsi="Times New Roman" w:eastAsia="宋体" w:cs="Times New Roman"/>
      <w:kern w:val="2"/>
      <w:sz w:val="16"/>
      <w:szCs w:val="16"/>
    </w:rPr>
  </w:style>
  <w:style w:type="character" w:customStyle="1" w:styleId="50">
    <w:name w:val="正文文本 字符"/>
    <w:link w:val="14"/>
    <w:qFormat/>
    <w:uiPriority w:val="99"/>
    <w:rPr>
      <w:rFonts w:ascii="Times New Roman" w:hAnsi="Times New Roman" w:eastAsia="宋体" w:cs="Times New Roman"/>
      <w:kern w:val="2"/>
      <w:sz w:val="21"/>
      <w:szCs w:val="24"/>
    </w:rPr>
  </w:style>
  <w:style w:type="character" w:customStyle="1" w:styleId="51">
    <w:name w:val="正文文本缩进 字符"/>
    <w:link w:val="15"/>
    <w:qFormat/>
    <w:uiPriority w:val="99"/>
    <w:rPr>
      <w:rFonts w:ascii="Times New Roman" w:hAnsi="Times New Roman" w:eastAsia="宋体" w:cs="Times New Roman"/>
      <w:sz w:val="24"/>
      <w:szCs w:val="20"/>
    </w:rPr>
  </w:style>
  <w:style w:type="character" w:customStyle="1" w:styleId="52">
    <w:name w:val="纯文本 字符1"/>
    <w:link w:val="16"/>
    <w:qFormat/>
    <w:uiPriority w:val="0"/>
    <w:rPr>
      <w:rFonts w:ascii="宋体" w:hAnsi="Courier New"/>
      <w:kern w:val="2"/>
      <w:sz w:val="21"/>
    </w:rPr>
  </w:style>
  <w:style w:type="character" w:customStyle="1" w:styleId="53">
    <w:name w:val="日期 字符"/>
    <w:link w:val="18"/>
    <w:semiHidden/>
    <w:qFormat/>
    <w:uiPriority w:val="99"/>
    <w:rPr>
      <w:rFonts w:ascii="Times New Roman" w:hAnsi="Times New Roman" w:eastAsia="宋体" w:cs="Times New Roman"/>
      <w:kern w:val="2"/>
      <w:sz w:val="24"/>
      <w:szCs w:val="24"/>
    </w:rPr>
  </w:style>
  <w:style w:type="character" w:customStyle="1" w:styleId="54">
    <w:name w:val="正文文本缩进 2 字符"/>
    <w:link w:val="19"/>
    <w:semiHidden/>
    <w:qFormat/>
    <w:uiPriority w:val="99"/>
    <w:rPr>
      <w:rFonts w:ascii="Times New Roman" w:hAnsi="Times New Roman" w:eastAsia="宋体" w:cs="Times New Roman"/>
      <w:kern w:val="2"/>
      <w:sz w:val="21"/>
      <w:szCs w:val="24"/>
    </w:rPr>
  </w:style>
  <w:style w:type="character" w:customStyle="1" w:styleId="55">
    <w:name w:val="正文文本首行缩进 2 字符"/>
    <w:link w:val="20"/>
    <w:semiHidden/>
    <w:qFormat/>
    <w:uiPriority w:val="99"/>
    <w:rPr>
      <w:rFonts w:ascii="Times New Roman" w:hAnsi="Times New Roman" w:eastAsia="宋体" w:cs="Times New Roman"/>
      <w:kern w:val="2"/>
      <w:sz w:val="21"/>
      <w:szCs w:val="24"/>
    </w:rPr>
  </w:style>
  <w:style w:type="character" w:customStyle="1" w:styleId="56">
    <w:name w:val="正文文本首行缩进 字符"/>
    <w:link w:val="28"/>
    <w:semiHidden/>
    <w:qFormat/>
    <w:uiPriority w:val="99"/>
    <w:rPr>
      <w:rFonts w:ascii="Times New Roman" w:hAnsi="Times New Roman" w:eastAsia="宋体" w:cs="Times New Roman"/>
      <w:kern w:val="2"/>
      <w:sz w:val="21"/>
      <w:szCs w:val="24"/>
    </w:rPr>
  </w:style>
  <w:style w:type="character" w:customStyle="1" w:styleId="57">
    <w:name w:val="批注框文本 字符"/>
    <w:link w:val="21"/>
    <w:semiHidden/>
    <w:qFormat/>
    <w:uiPriority w:val="99"/>
    <w:rPr>
      <w:rFonts w:ascii="Times New Roman" w:hAnsi="Times New Roman" w:eastAsia="宋体" w:cs="Times New Roman"/>
      <w:sz w:val="18"/>
      <w:szCs w:val="18"/>
    </w:rPr>
  </w:style>
  <w:style w:type="character" w:customStyle="1" w:styleId="58">
    <w:name w:val="页脚 字符"/>
    <w:link w:val="22"/>
    <w:qFormat/>
    <w:uiPriority w:val="99"/>
    <w:rPr>
      <w:sz w:val="18"/>
      <w:szCs w:val="18"/>
    </w:rPr>
  </w:style>
  <w:style w:type="character" w:customStyle="1" w:styleId="59">
    <w:name w:val="页眉 字符"/>
    <w:link w:val="23"/>
    <w:qFormat/>
    <w:uiPriority w:val="99"/>
    <w:rPr>
      <w:sz w:val="18"/>
      <w:szCs w:val="18"/>
    </w:rPr>
  </w:style>
  <w:style w:type="character" w:customStyle="1" w:styleId="60">
    <w:name w:val="正文文本缩进 3 字符"/>
    <w:link w:val="24"/>
    <w:semiHidden/>
    <w:qFormat/>
    <w:uiPriority w:val="99"/>
    <w:rPr>
      <w:rFonts w:ascii="Times New Roman" w:hAnsi="Times New Roman" w:eastAsia="宋体" w:cs="Times New Roman"/>
      <w:kern w:val="2"/>
      <w:sz w:val="24"/>
    </w:rPr>
  </w:style>
  <w:style w:type="character" w:customStyle="1" w:styleId="61">
    <w:name w:val="正文文本 2 字符"/>
    <w:link w:val="25"/>
    <w:qFormat/>
    <w:uiPriority w:val="99"/>
    <w:rPr>
      <w:rFonts w:ascii="Times New Roman" w:hAnsi="Times New Roman" w:eastAsia="宋体" w:cs="Times New Roman"/>
      <w:szCs w:val="24"/>
    </w:rPr>
  </w:style>
  <w:style w:type="character" w:customStyle="1" w:styleId="62">
    <w:name w:val="普通(网站) 字符"/>
    <w:link w:val="26"/>
    <w:qFormat/>
    <w:locked/>
    <w:uiPriority w:val="99"/>
    <w:rPr>
      <w:rFonts w:ascii="宋体" w:hAnsi="宋体" w:eastAsia="宋体"/>
      <w:sz w:val="24"/>
    </w:rPr>
  </w:style>
  <w:style w:type="character" w:customStyle="1" w:styleId="63">
    <w:name w:val="批注主题 字符"/>
    <w:link w:val="27"/>
    <w:semiHidden/>
    <w:qFormat/>
    <w:uiPriority w:val="99"/>
    <w:rPr>
      <w:rFonts w:ascii="Times New Roman" w:hAnsi="Times New Roman" w:eastAsia="宋体" w:cs="Times New Roman"/>
      <w:b/>
      <w:bCs/>
      <w:kern w:val="2"/>
      <w:sz w:val="21"/>
      <w:szCs w:val="24"/>
    </w:rPr>
  </w:style>
  <w:style w:type="character" w:customStyle="1" w:styleId="64">
    <w:name w:val="表格 Char"/>
    <w:link w:val="65"/>
    <w:qFormat/>
    <w:locked/>
    <w:uiPriority w:val="0"/>
    <w:rPr>
      <w:rFonts w:ascii="宋体"/>
    </w:rPr>
  </w:style>
  <w:style w:type="paragraph" w:customStyle="1" w:styleId="65">
    <w:name w:val="表格"/>
    <w:basedOn w:val="1"/>
    <w:next w:val="1"/>
    <w:link w:val="64"/>
    <w:qFormat/>
    <w:uiPriority w:val="0"/>
    <w:pPr>
      <w:adjustRightInd w:val="0"/>
      <w:snapToGrid w:val="0"/>
      <w:spacing w:beforeLines="10" w:afterLines="10" w:line="259" w:lineRule="auto"/>
      <w:jc w:val="center"/>
    </w:pPr>
    <w:rPr>
      <w:rFonts w:ascii="宋体" w:hAnsi="Calibri" w:eastAsia="宋体" w:cs="Times New Roman"/>
      <w:szCs w:val="22"/>
    </w:rPr>
  </w:style>
  <w:style w:type="paragraph" w:styleId="66">
    <w:name w:val="List Paragraph"/>
    <w:basedOn w:val="1"/>
    <w:qFormat/>
    <w:uiPriority w:val="1"/>
    <w:pPr>
      <w:ind w:firstLine="420" w:firstLineChars="200"/>
    </w:pPr>
    <w:rPr>
      <w:rFonts w:ascii="Calibri" w:hAnsi="Calibri"/>
      <w:szCs w:val="22"/>
    </w:rPr>
  </w:style>
  <w:style w:type="paragraph" w:customStyle="1" w:styleId="67">
    <w:name w:val="小四表文左齐"/>
    <w:basedOn w:val="1"/>
    <w:qFormat/>
    <w:uiPriority w:val="0"/>
    <w:pPr>
      <w:widowControl/>
      <w:adjustRightInd w:val="0"/>
      <w:snapToGrid w:val="0"/>
      <w:spacing w:line="240" w:lineRule="atLeast"/>
      <w:jc w:val="center"/>
    </w:pPr>
    <w:rPr>
      <w:rFonts w:ascii="仿宋_GB2312" w:eastAsia="仿宋_GB2312"/>
    </w:rPr>
  </w:style>
  <w:style w:type="paragraph" w:customStyle="1" w:styleId="68">
    <w:name w:val="Table Paragraph"/>
    <w:basedOn w:val="1"/>
    <w:qFormat/>
    <w:uiPriority w:val="1"/>
    <w:rPr>
      <w:rFonts w:eastAsia="Times New Roman"/>
      <w:sz w:val="24"/>
      <w:lang w:val="zh-CN" w:bidi="zh-CN"/>
    </w:rPr>
  </w:style>
  <w:style w:type="character" w:customStyle="1" w:styleId="69">
    <w:name w:val="表格文字 Char"/>
    <w:link w:val="70"/>
    <w:qFormat/>
    <w:locked/>
    <w:uiPriority w:val="0"/>
    <w:rPr>
      <w:rFonts w:ascii="仿宋_GB2312" w:hAnsi="Arial Black" w:eastAsia="仿宋_GB2312"/>
      <w:kern w:val="44"/>
      <w:sz w:val="24"/>
    </w:rPr>
  </w:style>
  <w:style w:type="paragraph" w:customStyle="1" w:styleId="70">
    <w:name w:val="表格文字"/>
    <w:basedOn w:val="1"/>
    <w:link w:val="69"/>
    <w:qFormat/>
    <w:uiPriority w:val="99"/>
    <w:pPr>
      <w:widowControl/>
      <w:spacing w:line="240" w:lineRule="atLeast"/>
      <w:jc w:val="center"/>
    </w:pPr>
    <w:rPr>
      <w:rFonts w:ascii="仿宋_GB2312" w:hAnsi="Arial Black" w:eastAsia="仿宋_GB2312" w:cs="Times New Roman"/>
      <w:kern w:val="44"/>
      <w:sz w:val="24"/>
      <w:szCs w:val="22"/>
    </w:rPr>
  </w:style>
  <w:style w:type="paragraph" w:customStyle="1" w:styleId="71">
    <w:name w:val="Default"/>
    <w:basedOn w:val="72"/>
    <w:qFormat/>
    <w:uiPriority w:val="0"/>
    <w:pPr>
      <w:widowControl w:val="0"/>
      <w:autoSpaceDE w:val="0"/>
      <w:autoSpaceDN w:val="0"/>
      <w:adjustRightInd w:val="0"/>
      <w:spacing w:line="240" w:lineRule="atLeast"/>
    </w:pPr>
    <w:rPr>
      <w:rFonts w:ascii="宋体" w:hAnsi="Times New Roman" w:eastAsia="宋体" w:cs="宋体"/>
      <w:color w:val="000000"/>
      <w:sz w:val="24"/>
      <w:szCs w:val="24"/>
      <w:lang w:val="en-US" w:eastAsia="zh-CN" w:bidi="ar-SA"/>
    </w:rPr>
  </w:style>
  <w:style w:type="paragraph" w:customStyle="1" w:styleId="72">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73">
    <w:name w:val="我的样式（正文）"/>
    <w:basedOn w:val="1"/>
    <w:qFormat/>
    <w:uiPriority w:val="0"/>
    <w:pPr>
      <w:spacing w:line="440" w:lineRule="exact"/>
    </w:pPr>
    <w:rPr>
      <w:rFonts w:ascii="宋体" w:hAnsi="Calibri" w:eastAsia="楷体_GB2312" w:cs="Calibri"/>
      <w:spacing w:val="-6"/>
      <w:kern w:val="0"/>
      <w:sz w:val="28"/>
    </w:rPr>
  </w:style>
  <w:style w:type="character" w:customStyle="1" w:styleId="74">
    <w:name w:val="普通(网站) Char"/>
    <w:qFormat/>
    <w:locked/>
    <w:uiPriority w:val="0"/>
    <w:rPr>
      <w:rFonts w:ascii="宋体" w:hAnsi="宋体" w:eastAsia="宋体"/>
      <w:sz w:val="24"/>
    </w:rPr>
  </w:style>
  <w:style w:type="character" w:customStyle="1" w:styleId="75">
    <w:name w:val="图表文字 Char"/>
    <w:link w:val="76"/>
    <w:qFormat/>
    <w:locked/>
    <w:uiPriority w:val="0"/>
    <w:rPr>
      <w:rFonts w:ascii="仿宋_GB2312" w:hAnsi="仿宋_GB2312" w:eastAsia="仿宋_GB2312"/>
    </w:rPr>
  </w:style>
  <w:style w:type="paragraph" w:customStyle="1" w:styleId="76">
    <w:name w:val="图表文字"/>
    <w:basedOn w:val="1"/>
    <w:link w:val="75"/>
    <w:qFormat/>
    <w:uiPriority w:val="0"/>
    <w:pPr>
      <w:widowControl/>
      <w:jc w:val="center"/>
    </w:pPr>
    <w:rPr>
      <w:rFonts w:ascii="仿宋_GB2312" w:hAnsi="仿宋_GB2312" w:eastAsia="仿宋_GB2312" w:cs="Times New Roman"/>
      <w:kern w:val="0"/>
      <w:sz w:val="20"/>
      <w:szCs w:val="20"/>
    </w:rPr>
  </w:style>
  <w:style w:type="character" w:customStyle="1" w:styleId="77">
    <w:name w:val="纯文本 字符"/>
    <w:qFormat/>
    <w:uiPriority w:val="0"/>
    <w:rPr>
      <w:rFonts w:ascii="宋体" w:hAnsi="Courier New" w:cs="Courier New"/>
      <w:kern w:val="2"/>
      <w:sz w:val="21"/>
      <w:szCs w:val="24"/>
    </w:rPr>
  </w:style>
  <w:style w:type="paragraph" w:customStyle="1" w:styleId="78">
    <w:name w:val="列出段落21"/>
    <w:basedOn w:val="1"/>
    <w:unhideWhenUsed/>
    <w:qFormat/>
    <w:uiPriority w:val="34"/>
    <w:pPr>
      <w:ind w:firstLine="420" w:firstLineChars="200"/>
    </w:pPr>
  </w:style>
  <w:style w:type="character" w:customStyle="1" w:styleId="79">
    <w:name w:val="文档结构图 字符"/>
    <w:semiHidden/>
    <w:qFormat/>
    <w:uiPriority w:val="99"/>
    <w:rPr>
      <w:rFonts w:ascii="Microsoft YaHei UI" w:hAnsi="Times New Roman" w:eastAsia="Microsoft YaHei UI" w:cs="Times New Roman"/>
      <w:kern w:val="2"/>
      <w:sz w:val="18"/>
      <w:szCs w:val="18"/>
    </w:rPr>
  </w:style>
  <w:style w:type="character" w:customStyle="1" w:styleId="80">
    <w:name w:val="纯文本 Char"/>
    <w:qFormat/>
    <w:uiPriority w:val="0"/>
    <w:rPr>
      <w:rFonts w:ascii="宋体" w:hAnsi="Courier New" w:eastAsia="宋体" w:cs="Courier New"/>
      <w:kern w:val="2"/>
      <w:sz w:val="21"/>
      <w:szCs w:val="21"/>
    </w:rPr>
  </w:style>
  <w:style w:type="paragraph" w:customStyle="1" w:styleId="81">
    <w:name w:val="表1表2"/>
    <w:basedOn w:val="1"/>
    <w:qFormat/>
    <w:uiPriority w:val="0"/>
    <w:pPr>
      <w:widowControl/>
      <w:autoSpaceDE w:val="0"/>
      <w:autoSpaceDN w:val="0"/>
      <w:adjustRightInd w:val="0"/>
      <w:spacing w:line="360" w:lineRule="auto"/>
      <w:jc w:val="center"/>
    </w:pPr>
    <w:rPr>
      <w:rFonts w:ascii="宋体" w:hAnsi="宋体" w:eastAsia="仿宋体"/>
      <w:kern w:val="0"/>
      <w:sz w:val="24"/>
    </w:rPr>
  </w:style>
  <w:style w:type="character" w:customStyle="1" w:styleId="82">
    <w:name w:val="标题2 Char"/>
    <w:link w:val="83"/>
    <w:qFormat/>
    <w:locked/>
    <w:uiPriority w:val="0"/>
    <w:rPr>
      <w:rFonts w:ascii="宋体" w:hAnsi="宋体" w:eastAsia="宋体"/>
      <w:b/>
      <w:sz w:val="24"/>
      <w:szCs w:val="24"/>
    </w:rPr>
  </w:style>
  <w:style w:type="paragraph" w:customStyle="1" w:styleId="83">
    <w:name w:val="标题2"/>
    <w:basedOn w:val="1"/>
    <w:link w:val="82"/>
    <w:qFormat/>
    <w:uiPriority w:val="0"/>
    <w:pPr>
      <w:widowControl/>
      <w:jc w:val="left"/>
    </w:pPr>
    <w:rPr>
      <w:rFonts w:ascii="宋体" w:hAnsi="宋体" w:cs="Times New Roman"/>
      <w:b/>
      <w:kern w:val="0"/>
      <w:sz w:val="24"/>
    </w:rPr>
  </w:style>
  <w:style w:type="paragraph" w:customStyle="1" w:styleId="84">
    <w:name w:val="Char"/>
    <w:basedOn w:val="1"/>
    <w:next w:val="14"/>
    <w:qFormat/>
    <w:uiPriority w:val="99"/>
    <w:pPr>
      <w:widowControl/>
      <w:jc w:val="left"/>
    </w:pPr>
    <w:rPr>
      <w:sz w:val="24"/>
    </w:rPr>
  </w:style>
  <w:style w:type="paragraph" w:customStyle="1" w:styleId="85">
    <w:name w:val="表格标题"/>
    <w:basedOn w:val="1"/>
    <w:qFormat/>
    <w:uiPriority w:val="99"/>
    <w:pPr>
      <w:widowControl/>
      <w:spacing w:before="120"/>
      <w:jc w:val="center"/>
    </w:pPr>
    <w:rPr>
      <w:rFonts w:eastAsia="仿宋_GB2312"/>
      <w:sz w:val="24"/>
      <w:szCs w:val="20"/>
    </w:rPr>
  </w:style>
  <w:style w:type="paragraph" w:customStyle="1" w:styleId="86">
    <w:name w:val="xl22"/>
    <w:basedOn w:val="1"/>
    <w:qFormat/>
    <w:uiPriority w:val="99"/>
    <w:pPr>
      <w:widowControl/>
      <w:spacing w:before="100" w:after="100"/>
      <w:jc w:val="center"/>
    </w:pPr>
    <w:rPr>
      <w:sz w:val="24"/>
    </w:rPr>
  </w:style>
  <w:style w:type="paragraph" w:customStyle="1" w:styleId="87">
    <w:name w:val="Char Char Char Char Char Char Char Char Char Char Char Char"/>
    <w:basedOn w:val="1"/>
    <w:qFormat/>
    <w:uiPriority w:val="99"/>
    <w:pPr>
      <w:widowControl/>
      <w:jc w:val="left"/>
    </w:pPr>
    <w:rPr>
      <w:sz w:val="24"/>
    </w:rPr>
  </w:style>
  <w:style w:type="paragraph" w:customStyle="1" w:styleId="88">
    <w:name w:val="列出段落1"/>
    <w:basedOn w:val="1"/>
    <w:qFormat/>
    <w:uiPriority w:val="99"/>
    <w:pPr>
      <w:widowControl/>
      <w:ind w:firstLine="420" w:firstLineChars="200"/>
      <w:jc w:val="left"/>
    </w:pPr>
  </w:style>
  <w:style w:type="paragraph" w:customStyle="1" w:styleId="89">
    <w:name w:val="样式3"/>
    <w:basedOn w:val="1"/>
    <w:qFormat/>
    <w:uiPriority w:val="99"/>
    <w:pPr>
      <w:widowControl/>
      <w:autoSpaceDE w:val="0"/>
      <w:autoSpaceDN w:val="0"/>
      <w:snapToGrid w:val="0"/>
      <w:spacing w:before="120" w:line="460" w:lineRule="atLeast"/>
      <w:jc w:val="center"/>
    </w:pPr>
    <w:rPr>
      <w:rFonts w:eastAsia="黑体"/>
      <w:sz w:val="28"/>
    </w:rPr>
  </w:style>
  <w:style w:type="paragraph" w:customStyle="1" w:styleId="90">
    <w:name w:val="中文报告书样式"/>
    <w:basedOn w:val="1"/>
    <w:qFormat/>
    <w:uiPriority w:val="99"/>
    <w:pPr>
      <w:widowControl/>
      <w:adjustRightInd w:val="0"/>
      <w:spacing w:line="480" w:lineRule="atLeast"/>
      <w:ind w:firstLine="482"/>
      <w:jc w:val="left"/>
    </w:pPr>
    <w:rPr>
      <w:kern w:val="24"/>
      <w:sz w:val="24"/>
    </w:rPr>
  </w:style>
  <w:style w:type="paragraph" w:customStyle="1" w:styleId="91">
    <w:name w:val="简单回函地址"/>
    <w:basedOn w:val="1"/>
    <w:qFormat/>
    <w:uiPriority w:val="99"/>
    <w:pPr>
      <w:widowControl/>
      <w:jc w:val="left"/>
    </w:pPr>
    <w:rPr>
      <w:sz w:val="24"/>
    </w:rPr>
  </w:style>
  <w:style w:type="paragraph" w:customStyle="1" w:styleId="92">
    <w:name w:val="p0"/>
    <w:basedOn w:val="1"/>
    <w:qFormat/>
    <w:uiPriority w:val="99"/>
    <w:pPr>
      <w:widowControl/>
      <w:snapToGrid w:val="0"/>
      <w:jc w:val="left"/>
    </w:pPr>
    <w:rPr>
      <w:kern w:val="0"/>
      <w:sz w:val="24"/>
    </w:rPr>
  </w:style>
  <w:style w:type="paragraph" w:customStyle="1" w:styleId="93">
    <w:name w:val="正文-1"/>
    <w:basedOn w:val="15"/>
    <w:qFormat/>
    <w:uiPriority w:val="99"/>
    <w:pPr>
      <w:widowControl w:val="0"/>
      <w:snapToGrid w:val="0"/>
      <w:spacing w:before="100" w:beforeAutospacing="1"/>
      <w:ind w:firstLine="180" w:firstLineChars="180"/>
      <w:jc w:val="both"/>
    </w:pPr>
    <w:rPr>
      <w:spacing w:val="4"/>
      <w:kern w:val="18"/>
      <w:szCs w:val="24"/>
    </w:rPr>
  </w:style>
  <w:style w:type="character" w:customStyle="1" w:styleId="94">
    <w:name w:val="Body text|1_"/>
    <w:link w:val="95"/>
    <w:qFormat/>
    <w:locked/>
    <w:uiPriority w:val="0"/>
    <w:rPr>
      <w:rFonts w:ascii="宋体" w:hAnsi="宋体" w:eastAsia="宋体" w:cs="宋体"/>
      <w:sz w:val="26"/>
      <w:szCs w:val="26"/>
      <w:lang w:val="zh-TW" w:eastAsia="zh-TW" w:bidi="zh-TW"/>
    </w:rPr>
  </w:style>
  <w:style w:type="paragraph" w:customStyle="1" w:styleId="95">
    <w:name w:val="Body text|1"/>
    <w:basedOn w:val="1"/>
    <w:link w:val="94"/>
    <w:qFormat/>
    <w:uiPriority w:val="0"/>
    <w:pPr>
      <w:widowControl/>
      <w:spacing w:line="480" w:lineRule="auto"/>
      <w:jc w:val="left"/>
    </w:pPr>
    <w:rPr>
      <w:rFonts w:ascii="宋体" w:hAnsi="宋体" w:cs="宋体"/>
      <w:kern w:val="0"/>
      <w:sz w:val="26"/>
      <w:szCs w:val="26"/>
      <w:lang w:val="zh-TW" w:eastAsia="zh-TW" w:bidi="zh-TW"/>
    </w:rPr>
  </w:style>
  <w:style w:type="character" w:customStyle="1" w:styleId="96">
    <w:name w:val="表格/图表标题 Char"/>
    <w:link w:val="97"/>
    <w:qFormat/>
    <w:locked/>
    <w:uiPriority w:val="0"/>
    <w:rPr>
      <w:b/>
      <w:bCs/>
      <w:sz w:val="24"/>
      <w:szCs w:val="24"/>
    </w:rPr>
  </w:style>
  <w:style w:type="paragraph" w:customStyle="1" w:styleId="97">
    <w:name w:val="表格/图表标题"/>
    <w:basedOn w:val="1"/>
    <w:next w:val="1"/>
    <w:link w:val="96"/>
    <w:qFormat/>
    <w:uiPriority w:val="0"/>
    <w:pPr>
      <w:widowControl/>
      <w:spacing w:beforeLines="50"/>
      <w:jc w:val="center"/>
    </w:pPr>
    <w:rPr>
      <w:rFonts w:ascii="Calibri" w:hAnsi="Calibri" w:eastAsia="宋体" w:cs="Times New Roman"/>
      <w:b/>
      <w:bCs/>
      <w:kern w:val="0"/>
      <w:sz w:val="24"/>
    </w:rPr>
  </w:style>
  <w:style w:type="paragraph" w:customStyle="1" w:styleId="98">
    <w:name w:val="表格编号"/>
    <w:basedOn w:val="1"/>
    <w:next w:val="70"/>
    <w:qFormat/>
    <w:uiPriority w:val="0"/>
    <w:pPr>
      <w:widowControl/>
      <w:snapToGrid w:val="0"/>
      <w:spacing w:line="20" w:lineRule="atLeast"/>
      <w:jc w:val="left"/>
    </w:pPr>
    <w:rPr>
      <w:spacing w:val="10"/>
      <w:kern w:val="0"/>
    </w:rPr>
  </w:style>
  <w:style w:type="character" w:customStyle="1" w:styleId="99">
    <w:name w:val="表格 Char Char"/>
    <w:qFormat/>
    <w:locked/>
    <w:uiPriority w:val="0"/>
    <w:rPr>
      <w:rFonts w:ascii="仿宋_GB2312" w:eastAsia="仿宋_GB2312"/>
      <w:bCs/>
      <w:szCs w:val="21"/>
    </w:rPr>
  </w:style>
  <w:style w:type="paragraph" w:customStyle="1" w:styleId="100">
    <w:name w:val="正文-lcc"/>
    <w:basedOn w:val="1"/>
    <w:qFormat/>
    <w:uiPriority w:val="99"/>
    <w:pPr>
      <w:widowControl/>
      <w:snapToGrid w:val="0"/>
      <w:spacing w:line="360" w:lineRule="auto"/>
      <w:ind w:firstLine="200" w:firstLineChars="200"/>
      <w:jc w:val="left"/>
    </w:pPr>
    <w:rPr>
      <w:rFonts w:ascii="等线" w:hAnsi="等线" w:eastAsia="仿宋"/>
      <w:color w:val="000000"/>
      <w:sz w:val="24"/>
      <w:szCs w:val="20"/>
    </w:rPr>
  </w:style>
  <w:style w:type="character" w:customStyle="1" w:styleId="101">
    <w:name w:val="表格内容 Char"/>
    <w:link w:val="102"/>
    <w:qFormat/>
    <w:locked/>
    <w:uiPriority w:val="0"/>
    <w:rPr>
      <w:kern w:val="2"/>
      <w:sz w:val="21"/>
      <w:szCs w:val="22"/>
    </w:rPr>
  </w:style>
  <w:style w:type="paragraph" w:customStyle="1" w:styleId="102">
    <w:name w:val="表格内容"/>
    <w:basedOn w:val="1"/>
    <w:link w:val="101"/>
    <w:qFormat/>
    <w:uiPriority w:val="0"/>
    <w:pPr>
      <w:widowControl/>
      <w:overflowPunct w:val="0"/>
      <w:adjustRightInd w:val="0"/>
      <w:snapToGrid w:val="0"/>
      <w:jc w:val="center"/>
    </w:pPr>
    <w:rPr>
      <w:rFonts w:ascii="Calibri" w:hAnsi="Calibri" w:eastAsia="宋体" w:cs="Times New Roman"/>
      <w:szCs w:val="22"/>
    </w:rPr>
  </w:style>
  <w:style w:type="character" w:customStyle="1" w:styleId="103">
    <w:name w:val="表格中文字 Char"/>
    <w:link w:val="104"/>
    <w:qFormat/>
    <w:locked/>
    <w:uiPriority w:val="0"/>
    <w:rPr>
      <w:kern w:val="18"/>
      <w:szCs w:val="21"/>
    </w:rPr>
  </w:style>
  <w:style w:type="paragraph" w:customStyle="1" w:styleId="104">
    <w:name w:val="表格中文字"/>
    <w:basedOn w:val="1"/>
    <w:link w:val="103"/>
    <w:qFormat/>
    <w:uiPriority w:val="0"/>
    <w:pPr>
      <w:widowControl/>
      <w:adjustRightInd w:val="0"/>
      <w:snapToGrid w:val="0"/>
      <w:jc w:val="center"/>
    </w:pPr>
    <w:rPr>
      <w:rFonts w:ascii="Calibri" w:hAnsi="Calibri" w:eastAsia="宋体" w:cs="Times New Roman"/>
      <w:kern w:val="18"/>
      <w:sz w:val="20"/>
      <w:szCs w:val="21"/>
    </w:rPr>
  </w:style>
  <w:style w:type="paragraph" w:customStyle="1" w:styleId="105">
    <w:name w:val="5级标题"/>
    <w:basedOn w:val="1"/>
    <w:qFormat/>
    <w:uiPriority w:val="99"/>
    <w:pPr>
      <w:widowControl/>
      <w:spacing w:line="360" w:lineRule="auto"/>
      <w:jc w:val="left"/>
    </w:pPr>
    <w:rPr>
      <w:rFonts w:ascii="Calibri" w:hAnsi="Calibri" w:eastAsia="等线"/>
      <w:sz w:val="24"/>
      <w:szCs w:val="22"/>
    </w:rPr>
  </w:style>
  <w:style w:type="character" w:customStyle="1" w:styleId="106">
    <w:name w:val="图表 Char"/>
    <w:link w:val="107"/>
    <w:qFormat/>
    <w:locked/>
    <w:uiPriority w:val="0"/>
    <w:rPr>
      <w:color w:val="000000"/>
      <w:kern w:val="2"/>
      <w:sz w:val="21"/>
      <w:szCs w:val="21"/>
      <w:lang w:val="zh-CN"/>
    </w:rPr>
  </w:style>
  <w:style w:type="paragraph" w:customStyle="1" w:styleId="107">
    <w:name w:val="图表"/>
    <w:basedOn w:val="65"/>
    <w:link w:val="106"/>
    <w:qFormat/>
    <w:uiPriority w:val="0"/>
    <w:pPr>
      <w:widowControl/>
      <w:spacing w:beforeLines="0" w:afterLines="0" w:line="240" w:lineRule="auto"/>
    </w:pPr>
    <w:rPr>
      <w:rFonts w:ascii="Calibri"/>
      <w:color w:val="000000"/>
      <w:szCs w:val="21"/>
      <w:lang w:val="zh-CN"/>
    </w:rPr>
  </w:style>
  <w:style w:type="character" w:customStyle="1" w:styleId="108">
    <w:name w:val="YY表格正文 字符"/>
    <w:link w:val="109"/>
    <w:qFormat/>
    <w:locked/>
    <w:uiPriority w:val="0"/>
    <w:rPr>
      <w:color w:val="000000"/>
      <w:kern w:val="2"/>
      <w:sz w:val="21"/>
      <w:szCs w:val="24"/>
    </w:rPr>
  </w:style>
  <w:style w:type="paragraph" w:customStyle="1" w:styleId="109">
    <w:name w:val="YY表格正文"/>
    <w:basedOn w:val="1"/>
    <w:link w:val="108"/>
    <w:qFormat/>
    <w:uiPriority w:val="0"/>
    <w:pPr>
      <w:widowControl/>
      <w:tabs>
        <w:tab w:val="left" w:pos="0"/>
      </w:tabs>
      <w:adjustRightInd w:val="0"/>
      <w:snapToGrid w:val="0"/>
      <w:jc w:val="center"/>
    </w:pPr>
    <w:rPr>
      <w:rFonts w:ascii="Calibri" w:hAnsi="Calibri" w:eastAsia="宋体" w:cs="Times New Roman"/>
      <w:color w:val="000000"/>
    </w:rPr>
  </w:style>
  <w:style w:type="paragraph" w:customStyle="1" w:styleId="110">
    <w:name w:val="列出段落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111">
    <w:name w:val="正文4号"/>
    <w:basedOn w:val="1"/>
    <w:qFormat/>
    <w:uiPriority w:val="99"/>
    <w:pPr>
      <w:widowControl/>
      <w:adjustRightInd w:val="0"/>
      <w:snapToGrid w:val="0"/>
      <w:spacing w:line="360" w:lineRule="auto"/>
      <w:ind w:firstLine="200" w:firstLineChars="200"/>
      <w:jc w:val="left"/>
    </w:pPr>
    <w:rPr>
      <w:sz w:val="24"/>
    </w:rPr>
  </w:style>
  <w:style w:type="paragraph" w:customStyle="1" w:styleId="112">
    <w:name w:val="正文 首行缩进:  2 字符"/>
    <w:basedOn w:val="1"/>
    <w:qFormat/>
    <w:uiPriority w:val="99"/>
    <w:pPr>
      <w:widowControl/>
      <w:ind w:firstLine="579" w:firstLineChars="200"/>
      <w:jc w:val="left"/>
    </w:pPr>
    <w:rPr>
      <w:rFonts w:eastAsia="等线" w:cs="宋体"/>
      <w:szCs w:val="20"/>
    </w:rPr>
  </w:style>
  <w:style w:type="character" w:customStyle="1" w:styleId="113">
    <w:name w:val="表头 Char"/>
    <w:link w:val="114"/>
    <w:qFormat/>
    <w:locked/>
    <w:uiPriority w:val="0"/>
    <w:rPr>
      <w:rFonts w:ascii="黑体" w:hAnsi="黑体" w:eastAsia="黑体"/>
      <w:spacing w:val="-10"/>
      <w:sz w:val="21"/>
    </w:rPr>
  </w:style>
  <w:style w:type="paragraph" w:customStyle="1" w:styleId="114">
    <w:name w:val="表头"/>
    <w:basedOn w:val="1"/>
    <w:next w:val="1"/>
    <w:link w:val="113"/>
    <w:qFormat/>
    <w:uiPriority w:val="0"/>
    <w:pPr>
      <w:widowControl/>
      <w:adjustRightInd w:val="0"/>
      <w:snapToGrid w:val="0"/>
      <w:spacing w:line="320" w:lineRule="atLeast"/>
      <w:ind w:firstLine="200" w:firstLineChars="200"/>
      <w:jc w:val="center"/>
    </w:pPr>
    <w:rPr>
      <w:rFonts w:ascii="黑体" w:hAnsi="黑体" w:eastAsia="黑体" w:cs="Times New Roman"/>
      <w:spacing w:val="-10"/>
      <w:kern w:val="0"/>
      <w:szCs w:val="20"/>
    </w:rPr>
  </w:style>
  <w:style w:type="paragraph" w:customStyle="1" w:styleId="115">
    <w:name w:val="修订1"/>
    <w:qFormat/>
    <w:uiPriority w:val="99"/>
    <w:rPr>
      <w:rFonts w:ascii="Times New Roman" w:hAnsi="Times New Roman" w:eastAsia="宋体" w:cs="Times New Roman"/>
      <w:kern w:val="2"/>
      <w:sz w:val="21"/>
      <w:szCs w:val="24"/>
      <w:lang w:val="en-US" w:eastAsia="zh-CN" w:bidi="ar-SA"/>
    </w:rPr>
  </w:style>
  <w:style w:type="paragraph" w:customStyle="1" w:styleId="116">
    <w:name w:val="新表"/>
    <w:basedOn w:val="1"/>
    <w:qFormat/>
    <w:uiPriority w:val="99"/>
    <w:pPr>
      <w:widowControl/>
      <w:spacing w:line="320" w:lineRule="exact"/>
      <w:jc w:val="center"/>
    </w:pPr>
    <w:rPr>
      <w:bCs/>
      <w:szCs w:val="20"/>
    </w:rPr>
  </w:style>
  <w:style w:type="paragraph" w:customStyle="1" w:styleId="117">
    <w:name w:val="Char Char Char"/>
    <w:basedOn w:val="1"/>
    <w:qFormat/>
    <w:uiPriority w:val="0"/>
    <w:pPr>
      <w:widowControl/>
      <w:jc w:val="left"/>
    </w:pPr>
    <w:rPr>
      <w:rFonts w:ascii="Tahoma" w:hAnsi="Tahoma"/>
      <w:sz w:val="24"/>
      <w:szCs w:val="20"/>
    </w:rPr>
  </w:style>
  <w:style w:type="paragraph" w:customStyle="1" w:styleId="118">
    <w:name w:val="Char Char Char Char Char Char Char Char Char Char Char Char Char1 Char Char Char Char"/>
    <w:basedOn w:val="1"/>
    <w:qFormat/>
    <w:uiPriority w:val="99"/>
    <w:pPr>
      <w:widowControl/>
      <w:adjustRightInd w:val="0"/>
      <w:spacing w:line="360" w:lineRule="auto"/>
      <w:jc w:val="left"/>
    </w:pPr>
    <w:rPr>
      <w:kern w:val="0"/>
      <w:sz w:val="24"/>
      <w:szCs w:val="20"/>
    </w:rPr>
  </w:style>
  <w:style w:type="paragraph" w:customStyle="1" w:styleId="119">
    <w:name w:val="样式 ysl04 + 首行缩进:  2 字符"/>
    <w:basedOn w:val="1"/>
    <w:qFormat/>
    <w:uiPriority w:val="99"/>
    <w:pPr>
      <w:widowControl/>
      <w:spacing w:line="360" w:lineRule="auto"/>
      <w:ind w:left="210" w:leftChars="100" w:firstLine="562" w:firstLineChars="200"/>
      <w:jc w:val="left"/>
    </w:pPr>
    <w:rPr>
      <w:rFonts w:ascii="宋体" w:hAnsi="宋体" w:cs="宋体"/>
      <w:bCs/>
      <w:sz w:val="28"/>
    </w:rPr>
  </w:style>
  <w:style w:type="paragraph" w:customStyle="1" w:styleId="120">
    <w:name w:val="样式 首行缩进:  2 字符1"/>
    <w:basedOn w:val="1"/>
    <w:qFormat/>
    <w:uiPriority w:val="99"/>
    <w:pPr>
      <w:widowControl/>
      <w:spacing w:line="420" w:lineRule="exact"/>
      <w:ind w:firstLine="200" w:firstLineChars="200"/>
      <w:jc w:val="left"/>
    </w:pPr>
    <w:rPr>
      <w:rFonts w:cs="宋体"/>
      <w:sz w:val="24"/>
      <w:szCs w:val="20"/>
    </w:rPr>
  </w:style>
  <w:style w:type="paragraph" w:customStyle="1" w:styleId="121">
    <w:name w:val="创业正文"/>
    <w:basedOn w:val="1"/>
    <w:link w:val="122"/>
    <w:qFormat/>
    <w:uiPriority w:val="99"/>
    <w:pPr>
      <w:widowControl/>
      <w:autoSpaceDE w:val="0"/>
      <w:autoSpaceDN w:val="0"/>
      <w:adjustRightInd w:val="0"/>
      <w:snapToGrid w:val="0"/>
      <w:spacing w:line="480" w:lineRule="exact"/>
      <w:ind w:firstLine="480" w:firstLineChars="200"/>
      <w:jc w:val="left"/>
    </w:pPr>
    <w:rPr>
      <w:bCs/>
      <w:sz w:val="24"/>
      <w:szCs w:val="28"/>
      <w:lang w:val="zh-CN"/>
    </w:rPr>
  </w:style>
  <w:style w:type="character" w:customStyle="1" w:styleId="122">
    <w:name w:val="创业正文 Char"/>
    <w:link w:val="121"/>
    <w:qFormat/>
    <w:uiPriority w:val="99"/>
    <w:rPr>
      <w:bCs/>
      <w:sz w:val="24"/>
      <w:szCs w:val="28"/>
      <w:lang w:val="zh-CN"/>
    </w:rPr>
  </w:style>
  <w:style w:type="paragraph" w:customStyle="1" w:styleId="123">
    <w:name w:val="文本"/>
    <w:basedOn w:val="1"/>
    <w:qFormat/>
    <w:uiPriority w:val="99"/>
    <w:pPr>
      <w:widowControl/>
      <w:adjustRightInd w:val="0"/>
      <w:snapToGrid w:val="0"/>
      <w:spacing w:line="360" w:lineRule="auto"/>
      <w:ind w:firstLine="200" w:firstLineChars="200"/>
      <w:jc w:val="left"/>
    </w:pPr>
    <w:rPr>
      <w:sz w:val="24"/>
    </w:rPr>
  </w:style>
  <w:style w:type="paragraph" w:customStyle="1" w:styleId="124">
    <w:name w:val="样式 自动设置"/>
    <w:basedOn w:val="1"/>
    <w:qFormat/>
    <w:uiPriority w:val="99"/>
    <w:pPr>
      <w:widowControl/>
      <w:autoSpaceDE w:val="0"/>
      <w:autoSpaceDN w:val="0"/>
      <w:adjustRightInd w:val="0"/>
      <w:snapToGrid w:val="0"/>
      <w:spacing w:beforeLines="50" w:line="288" w:lineRule="auto"/>
      <w:ind w:firstLine="200" w:firstLineChars="200"/>
      <w:jc w:val="left"/>
    </w:pPr>
    <w:rPr>
      <w:rFonts w:cs="宋体"/>
      <w:sz w:val="24"/>
    </w:rPr>
  </w:style>
  <w:style w:type="paragraph" w:customStyle="1" w:styleId="125">
    <w:name w:val="表蕊"/>
    <w:basedOn w:val="1"/>
    <w:qFormat/>
    <w:uiPriority w:val="99"/>
    <w:pPr>
      <w:widowControl/>
      <w:adjustRightInd w:val="0"/>
      <w:spacing w:line="320" w:lineRule="atLeast"/>
      <w:jc w:val="left"/>
    </w:pPr>
    <w:rPr>
      <w:kern w:val="0"/>
      <w:sz w:val="24"/>
      <w:szCs w:val="20"/>
    </w:rPr>
  </w:style>
  <w:style w:type="paragraph" w:customStyle="1" w:styleId="126">
    <w:name w:val="样式 样式 样式 自动设置 + 五号 段前: 0.5 行 行距: 单倍行距 + 段前: 0.5 行"/>
    <w:basedOn w:val="1"/>
    <w:qFormat/>
    <w:uiPriority w:val="99"/>
    <w:pPr>
      <w:widowControl/>
      <w:autoSpaceDE w:val="0"/>
      <w:autoSpaceDN w:val="0"/>
      <w:adjustRightInd w:val="0"/>
      <w:snapToGrid w:val="0"/>
      <w:spacing w:line="480" w:lineRule="exact"/>
      <w:jc w:val="left"/>
    </w:pPr>
    <w:rPr>
      <w:rFonts w:cs="宋体"/>
      <w:sz w:val="24"/>
      <w:szCs w:val="20"/>
    </w:rPr>
  </w:style>
  <w:style w:type="paragraph" w:customStyle="1" w:styleId="127">
    <w:name w:val="正文缩进1"/>
    <w:basedOn w:val="1"/>
    <w:qFormat/>
    <w:uiPriority w:val="99"/>
    <w:pPr>
      <w:widowControl/>
      <w:spacing w:line="480" w:lineRule="exact"/>
      <w:ind w:firstLine="420" w:firstLineChars="200"/>
      <w:jc w:val="left"/>
    </w:pPr>
    <w:rPr>
      <w:sz w:val="24"/>
    </w:rPr>
  </w:style>
  <w:style w:type="paragraph" w:customStyle="1" w:styleId="128">
    <w:name w:val="正文文本缩进1"/>
    <w:basedOn w:val="1"/>
    <w:qFormat/>
    <w:uiPriority w:val="99"/>
    <w:pPr>
      <w:widowControl/>
      <w:spacing w:line="480" w:lineRule="exact"/>
      <w:ind w:left="-3" w:firstLine="423"/>
      <w:jc w:val="left"/>
    </w:pPr>
    <w:rPr>
      <w:rFonts w:ascii="楷体_GB2312" w:eastAsia="楷体_GB2312"/>
      <w:sz w:val="24"/>
    </w:rPr>
  </w:style>
  <w:style w:type="paragraph" w:customStyle="1" w:styleId="129">
    <w:name w:val="表1"/>
    <w:basedOn w:val="1"/>
    <w:qFormat/>
    <w:uiPriority w:val="99"/>
    <w:pPr>
      <w:widowControl/>
      <w:spacing w:line="480" w:lineRule="exact"/>
      <w:jc w:val="center"/>
    </w:pPr>
    <w:rPr>
      <w:rFonts w:ascii="宋体" w:hAnsi="宋体"/>
      <w:color w:val="000000"/>
      <w:sz w:val="24"/>
    </w:rPr>
  </w:style>
  <w:style w:type="paragraph" w:customStyle="1" w:styleId="130">
    <w:name w:val="样式1"/>
    <w:basedOn w:val="1"/>
    <w:qFormat/>
    <w:uiPriority w:val="99"/>
    <w:pPr>
      <w:widowControl/>
      <w:spacing w:beforeLines="50" w:line="480" w:lineRule="exact"/>
      <w:jc w:val="left"/>
    </w:pPr>
    <w:rPr>
      <w:b/>
      <w:sz w:val="28"/>
    </w:rPr>
  </w:style>
  <w:style w:type="paragraph" w:customStyle="1" w:styleId="131">
    <w:name w:val="正文缩进11"/>
    <w:basedOn w:val="1"/>
    <w:qFormat/>
    <w:uiPriority w:val="99"/>
    <w:pPr>
      <w:widowControl/>
      <w:adjustRightInd w:val="0"/>
      <w:spacing w:line="480" w:lineRule="exact"/>
      <w:ind w:firstLine="420" w:firstLineChars="200"/>
      <w:jc w:val="left"/>
    </w:pPr>
    <w:rPr>
      <w:rFonts w:hAnsi="宋体"/>
      <w:sz w:val="24"/>
      <w:szCs w:val="20"/>
    </w:rPr>
  </w:style>
  <w:style w:type="paragraph" w:customStyle="1" w:styleId="132">
    <w:name w:val="5"/>
    <w:basedOn w:val="1"/>
    <w:next w:val="128"/>
    <w:qFormat/>
    <w:uiPriority w:val="99"/>
    <w:pPr>
      <w:widowControl/>
      <w:spacing w:line="360" w:lineRule="auto"/>
      <w:ind w:firstLine="560" w:firstLineChars="200"/>
      <w:jc w:val="left"/>
    </w:pPr>
    <w:rPr>
      <w:rFonts w:ascii="宋体" w:hAnsi="宋体"/>
      <w:color w:val="000000"/>
      <w:sz w:val="28"/>
    </w:rPr>
  </w:style>
  <w:style w:type="paragraph" w:customStyle="1" w:styleId="133">
    <w:name w:val="xl42"/>
    <w:basedOn w:val="1"/>
    <w:qFormat/>
    <w:uiPriority w:val="99"/>
    <w:pPr>
      <w:widowControl/>
      <w:pBdr>
        <w:left w:val="single" w:color="auto" w:sz="4" w:space="0"/>
        <w:bottom w:val="single" w:color="auto" w:sz="4" w:space="0"/>
        <w:right w:val="single" w:color="auto" w:sz="4" w:space="0"/>
      </w:pBdr>
      <w:spacing w:before="100" w:beforeAutospacing="1" w:after="100" w:afterAutospacing="1" w:line="480" w:lineRule="exact"/>
      <w:jc w:val="center"/>
    </w:pPr>
    <w:rPr>
      <w:rFonts w:ascii="宋体" w:hAnsi="宋体"/>
      <w:color w:val="000000"/>
      <w:kern w:val="0"/>
      <w:sz w:val="24"/>
      <w:szCs w:val="21"/>
    </w:rPr>
  </w:style>
  <w:style w:type="paragraph" w:customStyle="1" w:styleId="134">
    <w:name w:val="附件"/>
    <w:basedOn w:val="1"/>
    <w:qFormat/>
    <w:uiPriority w:val="99"/>
    <w:pPr>
      <w:widowControl/>
      <w:spacing w:line="480" w:lineRule="exact"/>
      <w:jc w:val="left"/>
    </w:pPr>
    <w:rPr>
      <w:sz w:val="24"/>
    </w:rPr>
  </w:style>
  <w:style w:type="paragraph" w:customStyle="1" w:styleId="135">
    <w:name w:val="xl23"/>
    <w:basedOn w:val="1"/>
    <w:qFormat/>
    <w:uiPriority w:val="99"/>
    <w:pPr>
      <w:widowControl/>
      <w:spacing w:before="100" w:beforeAutospacing="1" w:after="100" w:afterAutospacing="1" w:line="480" w:lineRule="exact"/>
      <w:jc w:val="center"/>
    </w:pPr>
    <w:rPr>
      <w:rFonts w:ascii="宋体"/>
      <w:kern w:val="0"/>
      <w:sz w:val="24"/>
    </w:rPr>
  </w:style>
  <w:style w:type="paragraph" w:customStyle="1" w:styleId="136">
    <w:name w:val="报告正文"/>
    <w:basedOn w:val="1"/>
    <w:qFormat/>
    <w:uiPriority w:val="99"/>
    <w:pPr>
      <w:widowControl/>
      <w:spacing w:line="360" w:lineRule="auto"/>
      <w:ind w:firstLine="200" w:firstLineChars="200"/>
      <w:jc w:val="left"/>
    </w:pPr>
    <w:rPr>
      <w:sz w:val="24"/>
    </w:rPr>
  </w:style>
  <w:style w:type="paragraph" w:customStyle="1" w:styleId="137">
    <w:name w:val="xl27"/>
    <w:basedOn w:val="1"/>
    <w:qFormat/>
    <w:uiPriority w:val="99"/>
    <w:pPr>
      <w:widowControl/>
      <w:pBdr>
        <w:bottom w:val="single" w:color="auto" w:sz="12" w:space="0"/>
      </w:pBdr>
      <w:spacing w:before="100" w:after="100" w:line="480" w:lineRule="exact"/>
      <w:jc w:val="center"/>
    </w:pPr>
    <w:rPr>
      <w:rFonts w:ascii="宋体" w:hAnsi="宋体"/>
      <w:kern w:val="0"/>
      <w:sz w:val="24"/>
      <w:szCs w:val="20"/>
    </w:rPr>
  </w:style>
  <w:style w:type="paragraph" w:customStyle="1" w:styleId="138">
    <w:name w:val="正文首行缩进2"/>
    <w:basedOn w:val="14"/>
    <w:qFormat/>
    <w:uiPriority w:val="99"/>
    <w:pPr>
      <w:widowControl/>
      <w:spacing w:line="480" w:lineRule="exact"/>
      <w:ind w:firstLine="420" w:firstLineChars="100"/>
      <w:jc w:val="left"/>
    </w:pPr>
    <w:rPr>
      <w:sz w:val="24"/>
    </w:rPr>
  </w:style>
  <w:style w:type="paragraph" w:customStyle="1" w:styleId="139">
    <w:name w:val="普通(网站)1"/>
    <w:basedOn w:val="1"/>
    <w:qFormat/>
    <w:uiPriority w:val="99"/>
    <w:pPr>
      <w:widowControl/>
      <w:jc w:val="left"/>
    </w:pPr>
    <w:rPr>
      <w:rFonts w:ascii="宋体" w:hAnsi="宋体"/>
      <w:kern w:val="0"/>
      <w:sz w:val="24"/>
    </w:rPr>
  </w:style>
  <w:style w:type="paragraph" w:customStyle="1" w:styleId="140">
    <w:name w:val="_Style 17"/>
    <w:basedOn w:val="1"/>
    <w:qFormat/>
    <w:uiPriority w:val="99"/>
    <w:pPr>
      <w:widowControl/>
      <w:jc w:val="left"/>
    </w:pPr>
    <w:rPr>
      <w:rFonts w:ascii="Tahoma" w:hAnsi="Tahoma" w:eastAsia="Times New Roman"/>
      <w:kern w:val="0"/>
      <w:sz w:val="24"/>
      <w:szCs w:val="20"/>
    </w:rPr>
  </w:style>
  <w:style w:type="paragraph" w:customStyle="1" w:styleId="141">
    <w:name w:val="Other|1"/>
    <w:basedOn w:val="1"/>
    <w:qFormat/>
    <w:uiPriority w:val="99"/>
    <w:pPr>
      <w:widowControl/>
      <w:spacing w:line="444" w:lineRule="auto"/>
      <w:ind w:firstLine="400"/>
      <w:jc w:val="left"/>
    </w:pPr>
    <w:rPr>
      <w:rFonts w:ascii="宋体" w:hAnsi="宋体" w:cs="宋体"/>
      <w:kern w:val="0"/>
      <w:sz w:val="28"/>
      <w:szCs w:val="28"/>
      <w:lang w:val="zh-TW" w:eastAsia="zh-TW" w:bidi="zh-TW"/>
    </w:rPr>
  </w:style>
  <w:style w:type="paragraph" w:customStyle="1" w:styleId="142">
    <w:name w:val="默认段落字体 Para Char Char Char Char"/>
    <w:basedOn w:val="1"/>
    <w:qFormat/>
    <w:uiPriority w:val="99"/>
    <w:pPr>
      <w:widowControl/>
      <w:jc w:val="left"/>
    </w:pPr>
    <w:rPr>
      <w:sz w:val="24"/>
    </w:rPr>
  </w:style>
  <w:style w:type="paragraph" w:customStyle="1" w:styleId="143">
    <w:name w:val="Default1"/>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44">
    <w:name w:val="WPS Plain"/>
    <w:qFormat/>
    <w:uiPriority w:val="99"/>
    <w:rPr>
      <w:rFonts w:ascii="Times New Roman" w:hAnsi="Times New Roman" w:eastAsia="宋体" w:cs="Times New Roman"/>
      <w:lang w:val="en-US" w:eastAsia="zh-CN" w:bidi="ar-SA"/>
    </w:rPr>
  </w:style>
  <w:style w:type="character" w:customStyle="1" w:styleId="145">
    <w:name w:val="谏壁正文chen Char Char"/>
    <w:link w:val="146"/>
    <w:qFormat/>
    <w:locked/>
    <w:uiPriority w:val="0"/>
    <w:rPr>
      <w:sz w:val="24"/>
      <w:szCs w:val="24"/>
    </w:rPr>
  </w:style>
  <w:style w:type="paragraph" w:customStyle="1" w:styleId="146">
    <w:name w:val="谏壁正文chen"/>
    <w:basedOn w:val="1"/>
    <w:link w:val="145"/>
    <w:qFormat/>
    <w:uiPriority w:val="0"/>
    <w:pPr>
      <w:widowControl/>
      <w:spacing w:line="360" w:lineRule="auto"/>
      <w:ind w:firstLine="200" w:firstLineChars="200"/>
      <w:jc w:val="left"/>
    </w:pPr>
    <w:rPr>
      <w:rFonts w:ascii="Calibri" w:hAnsi="Calibri" w:eastAsia="宋体" w:cs="Times New Roman"/>
      <w:kern w:val="0"/>
      <w:sz w:val="24"/>
    </w:rPr>
  </w:style>
  <w:style w:type="character" w:customStyle="1" w:styleId="147">
    <w:name w:val="批注文字 字符1"/>
    <w:semiHidden/>
    <w:qFormat/>
    <w:uiPriority w:val="0"/>
    <w:rPr>
      <w:rFonts w:hint="eastAsia" w:ascii="宋体" w:hAnsi="宋体" w:eastAsia="宋体"/>
      <w:kern w:val="2"/>
      <w:sz w:val="21"/>
      <w:szCs w:val="24"/>
      <w:lang w:val="en-US" w:eastAsia="zh-CN" w:bidi="ar-SA"/>
    </w:rPr>
  </w:style>
  <w:style w:type="character" w:customStyle="1" w:styleId="148">
    <w:name w:val="正文文本 Char2"/>
    <w:qFormat/>
    <w:uiPriority w:val="0"/>
    <w:rPr>
      <w:rFonts w:hint="eastAsia" w:ascii="仿宋_GB2312" w:eastAsia="仿宋_GB2312"/>
      <w:kern w:val="2"/>
      <w:sz w:val="24"/>
      <w:szCs w:val="24"/>
      <w:lang w:val="en-US" w:eastAsia="zh-CN" w:bidi="ar-SA"/>
    </w:rPr>
  </w:style>
  <w:style w:type="character" w:customStyle="1" w:styleId="149">
    <w:name w:val="content"/>
    <w:qFormat/>
    <w:uiPriority w:val="0"/>
    <w:rPr>
      <w:rFonts w:hint="default" w:ascii="Times New Roman" w:hAnsi="Times New Roman" w:cs="Times New Roman"/>
      <w:kern w:val="0"/>
      <w:sz w:val="24"/>
      <w:szCs w:val="20"/>
    </w:rPr>
  </w:style>
  <w:style w:type="character" w:customStyle="1" w:styleId="150">
    <w:name w:val="apple-style-span"/>
    <w:qFormat/>
    <w:uiPriority w:val="0"/>
    <w:rPr>
      <w:rFonts w:hint="default" w:ascii="Times New Roman" w:hAnsi="Times New Roman" w:cs="Times New Roman"/>
      <w:kern w:val="0"/>
      <w:sz w:val="24"/>
      <w:szCs w:val="20"/>
    </w:rPr>
  </w:style>
  <w:style w:type="character" w:customStyle="1" w:styleId="151">
    <w:name w:val="font11"/>
    <w:qFormat/>
    <w:uiPriority w:val="0"/>
    <w:rPr>
      <w:rFonts w:hint="eastAsia" w:ascii="宋体" w:hAnsi="宋体" w:eastAsia="宋体" w:cs="宋体"/>
      <w:color w:val="000000"/>
      <w:kern w:val="0"/>
      <w:sz w:val="18"/>
      <w:szCs w:val="18"/>
      <w:u w:val="none"/>
      <w:vertAlign w:val="subscript"/>
    </w:rPr>
  </w:style>
  <w:style w:type="character" w:customStyle="1" w:styleId="152">
    <w:name w:val="font21"/>
    <w:qFormat/>
    <w:uiPriority w:val="0"/>
    <w:rPr>
      <w:rFonts w:hint="eastAsia" w:ascii="宋体" w:hAnsi="宋体" w:eastAsia="宋体" w:cs="宋体"/>
      <w:color w:val="000000"/>
      <w:kern w:val="0"/>
      <w:sz w:val="18"/>
      <w:szCs w:val="18"/>
      <w:u w:val="none"/>
    </w:rPr>
  </w:style>
  <w:style w:type="character" w:customStyle="1" w:styleId="153">
    <w:name w:val="font01"/>
    <w:qFormat/>
    <w:uiPriority w:val="0"/>
    <w:rPr>
      <w:rFonts w:hint="default" w:ascii="Times New Roman" w:hAnsi="Times New Roman" w:cs="Times New Roman"/>
      <w:b/>
      <w:color w:val="000000"/>
      <w:sz w:val="21"/>
      <w:szCs w:val="21"/>
      <w:u w:val="none"/>
    </w:rPr>
  </w:style>
  <w:style w:type="character" w:customStyle="1" w:styleId="154">
    <w:name w:val="font111"/>
    <w:qFormat/>
    <w:uiPriority w:val="0"/>
    <w:rPr>
      <w:rFonts w:hint="eastAsia" w:ascii="宋体" w:hAnsi="宋体" w:eastAsia="宋体" w:cs="宋体"/>
      <w:color w:val="000000"/>
      <w:sz w:val="22"/>
      <w:szCs w:val="22"/>
      <w:u w:val="none"/>
      <w:vertAlign w:val="subscript"/>
    </w:rPr>
  </w:style>
  <w:style w:type="character" w:customStyle="1" w:styleId="155">
    <w:name w:val="bds_nopic2"/>
    <w:qFormat/>
    <w:uiPriority w:val="0"/>
  </w:style>
  <w:style w:type="character" w:customStyle="1" w:styleId="156">
    <w:name w:val="tr1"/>
    <w:qFormat/>
    <w:uiPriority w:val="0"/>
    <w:rPr>
      <w:color w:val="666666"/>
      <w:sz w:val="18"/>
      <w:szCs w:val="18"/>
      <w:u w:val="none"/>
    </w:rPr>
  </w:style>
  <w:style w:type="character" w:customStyle="1" w:styleId="157">
    <w:name w:val="表格内容 Char Char"/>
    <w:qFormat/>
    <w:uiPriority w:val="0"/>
    <w:rPr>
      <w:rFonts w:hint="default" w:ascii="Arial" w:hAnsi="Arial" w:eastAsia="仿宋_GB2312" w:cs="Arial"/>
      <w:sz w:val="24"/>
    </w:rPr>
  </w:style>
  <w:style w:type="paragraph" w:customStyle="1" w:styleId="158">
    <w:name w:val="标2lcc"/>
    <w:basedOn w:val="83"/>
    <w:qFormat/>
    <w:uiPriority w:val="0"/>
    <w:pPr>
      <w:outlineLvl w:val="1"/>
    </w:pPr>
    <w:rPr>
      <w:rFonts w:ascii="Times New Roman" w:hAnsi="Times New Roman"/>
      <w:sz w:val="28"/>
    </w:rPr>
  </w:style>
  <w:style w:type="paragraph" w:customStyle="1" w:styleId="159">
    <w:name w:val="报告书表格"/>
    <w:basedOn w:val="1"/>
    <w:qFormat/>
    <w:uiPriority w:val="0"/>
    <w:pPr>
      <w:widowControl/>
      <w:adjustRightInd w:val="0"/>
      <w:spacing w:before="60" w:after="60" w:line="240" w:lineRule="atLeast"/>
      <w:jc w:val="center"/>
    </w:pPr>
    <w:rPr>
      <w:kern w:val="0"/>
      <w:szCs w:val="20"/>
    </w:rPr>
  </w:style>
  <w:style w:type="paragraph" w:customStyle="1" w:styleId="160">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61">
    <w:name w:val="段 Char"/>
    <w:link w:val="162"/>
    <w:qFormat/>
    <w:locked/>
    <w:uiPriority w:val="0"/>
    <w:rPr>
      <w:rFonts w:ascii="宋体" w:hAnsi="宋体" w:eastAsia="宋体"/>
      <w:sz w:val="21"/>
    </w:rPr>
  </w:style>
  <w:style w:type="paragraph" w:customStyle="1" w:styleId="162">
    <w:name w:val="段"/>
    <w:link w:val="161"/>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163">
    <w:name w:val="_Style 143"/>
    <w:basedOn w:val="1"/>
    <w:next w:val="66"/>
    <w:qFormat/>
    <w:uiPriority w:val="34"/>
    <w:pPr>
      <w:ind w:firstLine="420" w:firstLineChars="200"/>
    </w:pPr>
    <w:rPr>
      <w:rFonts w:ascii="Calibri" w:hAnsi="Calibri"/>
      <w:szCs w:val="22"/>
    </w:rPr>
  </w:style>
  <w:style w:type="paragraph" w:customStyle="1" w:styleId="164">
    <w:name w:val="表格的文字"/>
    <w:link w:val="165"/>
    <w:qFormat/>
    <w:uiPriority w:val="0"/>
    <w:pPr>
      <w:widowControl w:val="0"/>
      <w:spacing w:line="300" w:lineRule="exact"/>
      <w:jc w:val="center"/>
    </w:pPr>
    <w:rPr>
      <w:rFonts w:ascii="仿宋_GB2312" w:hAnsi="Times New Roman" w:eastAsia="仿宋_GB2312" w:cs="Times New Roman"/>
      <w:bCs/>
      <w:szCs w:val="24"/>
      <w:lang w:val="en-US" w:eastAsia="zh-CN" w:bidi="ar-SA"/>
    </w:rPr>
  </w:style>
  <w:style w:type="character" w:customStyle="1" w:styleId="165">
    <w:name w:val="表格的文字 Char"/>
    <w:link w:val="164"/>
    <w:qFormat/>
    <w:locked/>
    <w:uiPriority w:val="0"/>
    <w:rPr>
      <w:rFonts w:ascii="仿宋_GB2312" w:hAnsi="Times New Roman" w:eastAsia="仿宋_GB2312" w:cs="Times New Roman"/>
      <w:bCs/>
      <w:szCs w:val="24"/>
    </w:rPr>
  </w:style>
  <w:style w:type="character" w:customStyle="1" w:styleId="166">
    <w:name w:val="apple-converted-space"/>
    <w:qFormat/>
    <w:uiPriority w:val="0"/>
  </w:style>
  <w:style w:type="paragraph" w:customStyle="1" w:styleId="167">
    <w:name w:val="表标题"/>
    <w:basedOn w:val="15"/>
    <w:link w:val="168"/>
    <w:qFormat/>
    <w:uiPriority w:val="0"/>
    <w:pPr>
      <w:widowControl w:val="0"/>
      <w:spacing w:line="500" w:lineRule="exact"/>
      <w:ind w:firstLine="0"/>
      <w:jc w:val="center"/>
    </w:pPr>
    <w:rPr>
      <w:b/>
    </w:rPr>
  </w:style>
  <w:style w:type="character" w:customStyle="1" w:styleId="168">
    <w:name w:val="表标题 Char"/>
    <w:link w:val="167"/>
    <w:qFormat/>
    <w:locked/>
    <w:uiPriority w:val="0"/>
    <w:rPr>
      <w:rFonts w:ascii="Times New Roman" w:hAnsi="Times New Roman" w:eastAsia="宋体" w:cs="Times New Roman"/>
      <w:b/>
      <w:kern w:val="2"/>
      <w:sz w:val="24"/>
    </w:rPr>
  </w:style>
  <w:style w:type="paragraph" w:customStyle="1" w:styleId="169">
    <w:name w:val="正文首行缩进1"/>
    <w:basedOn w:val="14"/>
    <w:qFormat/>
    <w:uiPriority w:val="0"/>
    <w:pPr>
      <w:spacing w:after="0"/>
      <w:ind w:firstLine="420" w:firstLineChars="100"/>
    </w:pPr>
    <w:rPr>
      <w:rFonts w:ascii="Calibri" w:hAnsi="Calibri" w:eastAsia="仿宋_GB2312"/>
      <w:sz w:val="24"/>
      <w:szCs w:val="22"/>
    </w:rPr>
  </w:style>
  <w:style w:type="character" w:customStyle="1" w:styleId="170">
    <w:name w:val="fontstyle01"/>
    <w:qFormat/>
    <w:uiPriority w:val="0"/>
    <w:rPr>
      <w:rFonts w:hint="eastAsia" w:ascii="宋体" w:hAnsi="宋体" w:eastAsia="宋体"/>
      <w:color w:val="000000"/>
      <w:sz w:val="24"/>
      <w:szCs w:val="24"/>
    </w:rPr>
  </w:style>
  <w:style w:type="character" w:customStyle="1" w:styleId="171">
    <w:name w:val="content-right_8zs40"/>
    <w:qFormat/>
    <w:uiPriority w:val="0"/>
  </w:style>
  <w:style w:type="table" w:customStyle="1" w:styleId="172">
    <w:name w:val="Table Normal"/>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character" w:customStyle="1" w:styleId="173">
    <w:name w:val="批注文字 Char1"/>
    <w:qFormat/>
    <w:locked/>
    <w:uiPriority w:val="0"/>
    <w:rPr>
      <w:rFonts w:ascii="Times New Roman" w:hAnsi="Times New Roman" w:eastAsia="宋体"/>
      <w:sz w:val="24"/>
    </w:rPr>
  </w:style>
  <w:style w:type="character" w:customStyle="1" w:styleId="174">
    <w:name w:val="content-right_2s-h4"/>
    <w:qFormat/>
    <w:uiPriority w:val="0"/>
  </w:style>
  <w:style w:type="paragraph" w:customStyle="1" w:styleId="175">
    <w:name w:val="正文(1)"/>
    <w:basedOn w:val="66"/>
    <w:qFormat/>
    <w:uiPriority w:val="0"/>
    <w:pPr>
      <w:numPr>
        <w:ilvl w:val="0"/>
        <w:numId w:val="2"/>
      </w:numPr>
      <w:tabs>
        <w:tab w:val="left" w:pos="360"/>
      </w:tabs>
      <w:spacing w:line="360" w:lineRule="auto"/>
      <w:ind w:left="0" w:firstLine="420" w:firstLineChars="0"/>
    </w:pPr>
    <w:rPr>
      <w:rFonts w:cs="宋体"/>
    </w:rPr>
  </w:style>
  <w:style w:type="character" w:customStyle="1" w:styleId="176">
    <w:name w:val="hover24"/>
    <w:qFormat/>
    <w:uiPriority w:val="0"/>
  </w:style>
  <w:style w:type="character" w:customStyle="1" w:styleId="177">
    <w:name w:val="hover25"/>
    <w:qFormat/>
    <w:uiPriority w:val="0"/>
    <w:rPr>
      <w:color w:val="315EFB"/>
    </w:rPr>
  </w:style>
  <w:style w:type="character" w:customStyle="1" w:styleId="178">
    <w:name w:val="hover26"/>
    <w:qFormat/>
    <w:uiPriority w:val="0"/>
    <w:rPr>
      <w:color w:val="315EFB"/>
    </w:rPr>
  </w:style>
  <w:style w:type="character" w:customStyle="1" w:styleId="179">
    <w:name w:val="c-icon28"/>
    <w:qFormat/>
    <w:uiPriority w:val="0"/>
  </w:style>
  <w:style w:type="character" w:customStyle="1" w:styleId="180">
    <w:name w:val="c-icon26"/>
    <w:qFormat/>
    <w:uiPriority w:val="0"/>
  </w:style>
  <w:style w:type="paragraph" w:customStyle="1" w:styleId="181">
    <w:name w:val="+正文"/>
    <w:basedOn w:val="1"/>
    <w:qFormat/>
    <w:uiPriority w:val="0"/>
    <w:rPr>
      <w:sz w:val="24"/>
      <w:szCs w:val="28"/>
    </w:rPr>
  </w:style>
  <w:style w:type="paragraph" w:customStyle="1" w:styleId="182">
    <w:name w:val="报告表正文"/>
    <w:basedOn w:val="183"/>
    <w:qFormat/>
    <w:uiPriority w:val="0"/>
    <w:pPr>
      <w:ind w:firstLine="200" w:firstLineChars="200"/>
      <w:jc w:val="left"/>
    </w:pPr>
    <w:rPr>
      <w:rFonts w:ascii="Times New Roman" w:hAnsi="Times New Roman"/>
      <w:szCs w:val="24"/>
    </w:rPr>
  </w:style>
  <w:style w:type="paragraph" w:customStyle="1" w:styleId="183">
    <w:name w:val="列表1"/>
    <w:basedOn w:val="1"/>
    <w:qFormat/>
    <w:uiPriority w:val="0"/>
    <w:pPr>
      <w:spacing w:line="400" w:lineRule="exact"/>
      <w:jc w:val="center"/>
    </w:pPr>
    <w:rPr>
      <w:rFonts w:ascii="宋体" w:hAnsi="宋体" w:eastAsia="仿宋_GB2312"/>
      <w:sz w:val="24"/>
      <w:szCs w:val="20"/>
    </w:rPr>
  </w:style>
  <w:style w:type="paragraph" w:customStyle="1" w:styleId="184">
    <w:name w:val="Z嵌套表格内容"/>
    <w:basedOn w:val="1"/>
    <w:qFormat/>
    <w:uiPriority w:val="0"/>
    <w:pPr>
      <w:jc w:val="center"/>
    </w:pPr>
    <w:rPr>
      <w:rFonts w:ascii="Times New Roman" w:hAnsi="Times New Roman" w:eastAsia="宋体"/>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56.emf"/><Relationship Id="rId8" Type="http://schemas.openxmlformats.org/officeDocument/2006/relationships/footer" Target="footer4.xml"/><Relationship Id="rId79" Type="http://schemas.openxmlformats.org/officeDocument/2006/relationships/image" Target="media/image55.emf"/><Relationship Id="rId78" Type="http://schemas.openxmlformats.org/officeDocument/2006/relationships/image" Target="media/image54.emf"/><Relationship Id="rId77" Type="http://schemas.openxmlformats.org/officeDocument/2006/relationships/image" Target="media/image53.jpeg"/><Relationship Id="rId76" Type="http://schemas.openxmlformats.org/officeDocument/2006/relationships/image" Target="media/image52.jpeg"/><Relationship Id="rId75" Type="http://schemas.openxmlformats.org/officeDocument/2006/relationships/image" Target="media/image51.png"/><Relationship Id="rId74" Type="http://schemas.openxmlformats.org/officeDocument/2006/relationships/image" Target="media/image50.jpe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footer" Target="foot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wmf"/><Relationship Id="rId66" Type="http://schemas.openxmlformats.org/officeDocument/2006/relationships/image" Target="media/image42.wmf"/><Relationship Id="rId65" Type="http://schemas.openxmlformats.org/officeDocument/2006/relationships/image" Target="media/image41.wmf"/><Relationship Id="rId64" Type="http://schemas.openxmlformats.org/officeDocument/2006/relationships/image" Target="media/image40.wmf"/><Relationship Id="rId63" Type="http://schemas.openxmlformats.org/officeDocument/2006/relationships/image" Target="media/image39.wmf"/><Relationship Id="rId62" Type="http://schemas.openxmlformats.org/officeDocument/2006/relationships/image" Target="media/image38.wmf"/><Relationship Id="rId61" Type="http://schemas.openxmlformats.org/officeDocument/2006/relationships/image" Target="media/image37.wmf"/><Relationship Id="rId60" Type="http://schemas.openxmlformats.org/officeDocument/2006/relationships/image" Target="media/image36.wmf"/><Relationship Id="rId6" Type="http://schemas.openxmlformats.org/officeDocument/2006/relationships/header" Target="header2.xml"/><Relationship Id="rId59" Type="http://schemas.openxmlformats.org/officeDocument/2006/relationships/image" Target="media/image35.wmf"/><Relationship Id="rId58" Type="http://schemas.openxmlformats.org/officeDocument/2006/relationships/oleObject" Target="embeddings/oleObject14.bin"/><Relationship Id="rId57" Type="http://schemas.openxmlformats.org/officeDocument/2006/relationships/image" Target="media/image34.wmf"/><Relationship Id="rId56" Type="http://schemas.openxmlformats.org/officeDocument/2006/relationships/oleObject" Target="embeddings/oleObject13.bin"/><Relationship Id="rId55" Type="http://schemas.openxmlformats.org/officeDocument/2006/relationships/image" Target="media/image33.wmf"/><Relationship Id="rId54" Type="http://schemas.openxmlformats.org/officeDocument/2006/relationships/oleObject" Target="embeddings/oleObject12.bin"/><Relationship Id="rId53" Type="http://schemas.openxmlformats.org/officeDocument/2006/relationships/image" Target="media/image32.wmf"/><Relationship Id="rId52" Type="http://schemas.openxmlformats.org/officeDocument/2006/relationships/oleObject" Target="embeddings/oleObject11.bin"/><Relationship Id="rId51" Type="http://schemas.openxmlformats.org/officeDocument/2006/relationships/image" Target="media/image31.wmf"/><Relationship Id="rId50" Type="http://schemas.openxmlformats.org/officeDocument/2006/relationships/image" Target="media/image30.wmf"/><Relationship Id="rId5" Type="http://schemas.openxmlformats.org/officeDocument/2006/relationships/footer" Target="footer2.xml"/><Relationship Id="rId49" Type="http://schemas.openxmlformats.org/officeDocument/2006/relationships/image" Target="media/image29.jpeg"/><Relationship Id="rId48" Type="http://schemas.openxmlformats.org/officeDocument/2006/relationships/image" Target="media/image28.wmf"/><Relationship Id="rId47" Type="http://schemas.openxmlformats.org/officeDocument/2006/relationships/image" Target="media/image27.wmf"/><Relationship Id="rId46" Type="http://schemas.openxmlformats.org/officeDocument/2006/relationships/image" Target="media/image26.wmf"/><Relationship Id="rId45" Type="http://schemas.openxmlformats.org/officeDocument/2006/relationships/image" Target="media/image25.wmf"/><Relationship Id="rId44" Type="http://schemas.openxmlformats.org/officeDocument/2006/relationships/image" Target="media/image24.wmf"/><Relationship Id="rId43" Type="http://schemas.openxmlformats.org/officeDocument/2006/relationships/image" Target="media/image23.wmf"/><Relationship Id="rId42" Type="http://schemas.openxmlformats.org/officeDocument/2006/relationships/image" Target="media/image22.wmf"/><Relationship Id="rId41" Type="http://schemas.openxmlformats.org/officeDocument/2006/relationships/oleObject" Target="embeddings/oleObject10.bin"/><Relationship Id="rId40" Type="http://schemas.openxmlformats.org/officeDocument/2006/relationships/image" Target="media/image21.wmf"/><Relationship Id="rId4" Type="http://schemas.openxmlformats.org/officeDocument/2006/relationships/footer" Target="footer1.xml"/><Relationship Id="rId39" Type="http://schemas.openxmlformats.org/officeDocument/2006/relationships/oleObject" Target="embeddings/oleObject9.bin"/><Relationship Id="rId38" Type="http://schemas.openxmlformats.org/officeDocument/2006/relationships/image" Target="media/image20.wmf"/><Relationship Id="rId37" Type="http://schemas.openxmlformats.org/officeDocument/2006/relationships/oleObject" Target="embeddings/oleObject8.bin"/><Relationship Id="rId36" Type="http://schemas.openxmlformats.org/officeDocument/2006/relationships/image" Target="media/image19.wmf"/><Relationship Id="rId35" Type="http://schemas.openxmlformats.org/officeDocument/2006/relationships/oleObject" Target="embeddings/oleObject7.bin"/><Relationship Id="rId34" Type="http://schemas.openxmlformats.org/officeDocument/2006/relationships/image" Target="media/image18.wmf"/><Relationship Id="rId33" Type="http://schemas.openxmlformats.org/officeDocument/2006/relationships/oleObject" Target="embeddings/oleObject6.bin"/><Relationship Id="rId32" Type="http://schemas.openxmlformats.org/officeDocument/2006/relationships/oleObject" Target="embeddings/oleObject5.bin"/><Relationship Id="rId31" Type="http://schemas.openxmlformats.org/officeDocument/2006/relationships/image" Target="media/image17.wmf"/><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3.bin"/><Relationship Id="rId27" Type="http://schemas.openxmlformats.org/officeDocument/2006/relationships/image" Target="media/image15.wmf"/><Relationship Id="rId26" Type="http://schemas.openxmlformats.org/officeDocument/2006/relationships/oleObject" Target="embeddings/oleObject2.bin"/><Relationship Id="rId25" Type="http://schemas.openxmlformats.org/officeDocument/2006/relationships/image" Target="media/image14.wmf"/><Relationship Id="rId24" Type="http://schemas.openxmlformats.org/officeDocument/2006/relationships/image" Target="media/image13.png"/><Relationship Id="rId23" Type="http://schemas.openxmlformats.org/officeDocument/2006/relationships/image" Target="media/image12.wmf"/><Relationship Id="rId22" Type="http://schemas.openxmlformats.org/officeDocument/2006/relationships/oleObject" Target="embeddings/oleObject1.bin"/><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image" Target="media/image6.emf"/><Relationship Id="rId15" Type="http://schemas.openxmlformats.org/officeDocument/2006/relationships/image" Target="media/image5.emf"/><Relationship Id="rId14" Type="http://schemas.openxmlformats.org/officeDocument/2006/relationships/image" Target="media/image4.emf"/><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"/>
    </extobj>
    <extobj name="ECB019B1-382A-4266-B25C-5B523AA43C14-2">
      <extobjdata type="ECB019B1-382A-4266-B25C-5B523AA43C14" data="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"/>
    </extobj>
    <extobj name="ECB019B1-382A-4266-B25C-5B523AA43C14-3">
      <extobjdata type="ECB019B1-382A-4266-B25C-5B523AA43C14" data="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"/>
    </extobj>
    <extobj name="ECB019B1-382A-4266-B25C-5B523AA43C14-4">
      <extobjdata type="ECB019B1-382A-4266-B25C-5B523AA43C14" data="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"/>
    </extobj>
  </extobjs>
</s:customData>
</file>

<file path=customXml/item2.xml><?xml version="1.0" encoding="utf-8"?>
<contractReview xmlns="http://schemas.wps.cn/vas-ai-hub/contract-review">
  <reviewItems>
    <reviewItem>
      <errorID>c3a7db06-3215-4d71-88e7-f1ac14d048b0</errorID>
      <errorWord>只</errorWord>
      <group>L1_Knowledge</group>
      <groupName>知识性问题</groupName>
      <ability>L2_Knowledge</ability>
      <abilityName>其他知识</abilityName>
      <candidateList>
        <item>支</item>
      </candidateList>
      <explain>请检查“只”是否为量词使用错误，建议修改为“支”。</explain>
      <paraID> C49C30E</paraID>
      <start>37</start>
      <end>38</end>
      <status>unmodified</status>
      <modifiedWord/>
      <trackRevisions>false</trackRevisions>
    </reviewItem>
    <reviewItem>
      <errorID>38f4b717-a09e-4bf9-9e73-9b011894c696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5D36F42F</paraID>
      <start>26</start>
      <end>27</end>
      <status>unmodified</status>
      <modifiedWord/>
      <trackRevisions>false</trackRevisions>
    </reviewItem>
    <reviewItem>
      <errorID>a46138c3-6e84-41ec-b7e0-82e98949870c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E7F6033</paraID>
      <start>28</start>
      <end>29</end>
      <status>unmodified</status>
      <modifiedWord/>
      <trackRevisions>false</trackRevisions>
    </reviewItem>
    <reviewItem>
      <errorID>78fda2b3-8ed0-420e-89f6-545ca55c4fa5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655014DB</paraID>
      <start>39</start>
      <end>40</end>
      <status>unmodified</status>
      <modifiedWord/>
      <trackRevisions>false</trackRevisions>
    </reviewItem>
    <reviewItem>
      <errorID>ae6aa189-f220-48cc-83a6-d990e3666e88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3133C5A9</paraID>
      <start>0</start>
      <end>2</end>
      <status>unmodified</status>
      <modifiedWord/>
      <trackRevisions>false</trackRevisions>
    </reviewItem>
    <reviewItem>
      <errorID>1d624bbf-3d1c-4032-a00a-015621151a4c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701FF968</paraID>
      <start>23</start>
      <end>24</end>
      <status>unmodified</status>
      <modifiedWord/>
      <trackRevisions>false</trackRevisions>
    </reviewItem>
    <reviewItem>
      <errorID>05ef1bbd-ad27-4f64-b8d3-d64a1293bf7b</errorID>
      <errorWord>（</errorWord>
      <group>L1_Punc</group>
      <groupName>标点问题</groupName>
      <ability>L2_Punc</ability>
      <abilityName>标点符号检查</abilityName>
      <candidateList>
        <item/>
      </candidateList>
      <explain>同一形式括号套用。</explain>
      <paraID>245F7A56</paraID>
      <start>114</start>
      <end>115</end>
      <status>unmodified</status>
      <modifiedWord/>
      <trackRevisions>false</trackRevisions>
    </reviewItem>
    <reviewItem>
      <errorID>37c44bcf-ae1a-484a-a31f-efbf0359c7ff</errorID>
      <errorWord>(</errorWord>
      <group>L1_Punc</group>
      <groupName>标点问题</groupName>
      <ability>L2_Punc</ability>
      <abilityName>标点符号检查</abilityName>
      <candidateList/>
      <explain>同一形式括号套用。</explain>
      <paraID>245F7A56</paraID>
      <start>116</start>
      <end>117</end>
      <status>unmodified</status>
      <modifiedWord/>
      <trackRevisions>false</trackRevisions>
    </reviewItem>
    <reviewItem>
      <errorID>0ee0a564-bc7e-4fa3-9743-2b0656b45ed9</errorID>
      <errorWord>)</errorWord>
      <group>L1_Punc</group>
      <groupName>标点问题</groupName>
      <ability>L2_Punc</ability>
      <abilityName>标点符号检查</abilityName>
      <candidateList/>
      <explain>同一形式括号套用。</explain>
      <paraID>245F7A56</paraID>
      <start>121</start>
      <end>122</end>
      <status>unmodified</status>
      <modifiedWord/>
      <trackRevisions>false</trackRevisions>
    </reviewItem>
    <reviewItem>
      <errorID>425eaaa6-1477-4b1e-a3a4-b029f7e75474</errorID>
      <errorWord>）</errorWord>
      <group>L1_Punc</group>
      <groupName>标点问题</groupName>
      <ability>L2_Punc</ability>
      <abilityName>标点符号检查</abilityName>
      <candidateList/>
      <explain>同一形式括号套用。</explain>
      <paraID>245F7A56</paraID>
      <start>138</start>
      <end>139</end>
      <status>unmodified</status>
      <modifiedWord/>
      <trackRevisions>false</trackRevisions>
    </reviewItem>
    <reviewItem>
      <errorID>03bcd2af-e8fd-4b5a-b994-bca04c412c2e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7E491D13</paraID>
      <start>0</start>
      <end>2</end>
      <status>unmodified</status>
      <modifiedWord/>
      <trackRevisions>false</trackRevisions>
    </reviewItem>
    <reviewItem>
      <errorID>34bc218b-8058-49ed-86cd-ddccc4505680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6D68453B</paraID>
      <start>25</start>
      <end>26</end>
      <status>unmodified</status>
      <modifiedWord/>
      <trackRevisions>false</trackRevisions>
    </reviewItem>
    <reviewItem>
      <errorID>bc13a824-6763-4d9a-9956-2671716289e1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4BAF81BD</paraID>
      <start>0</start>
      <end>2</end>
      <status>unmodified</status>
      <modifiedWord/>
      <trackRevisions>false</trackRevisions>
    </reviewItem>
    <reviewItem>
      <errorID>c3b64340-815a-475a-9f0c-3857412c2e0b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F0D6D3C</paraID>
      <start>0</start>
      <end>2</end>
      <status>unmodified</status>
      <modifiedWord/>
      <trackRevisions>false</trackRevisions>
    </reviewItem>
    <reviewItem>
      <errorID>9fce24fe-d349-4aa3-b063-12a296fac882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1DEBA9F8</paraID>
      <start>0</start>
      <end>2</end>
      <status>unmodified</status>
      <modifiedWord/>
      <trackRevisions>false</trackRevisions>
    </reviewItem>
    <reviewItem>
      <errorID>a79f6a92-16b7-418a-a9bb-6b7542fe17e7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1DEBA9F8</paraID>
      <start>21</start>
      <end>24</end>
      <status>unmodified</status>
      <modifiedWord/>
      <trackRevisions>false</trackRevisions>
    </reviewItem>
    <reviewItem>
      <errorID>9db78d61-049c-4d90-8426-749e52fb987f</errorID>
      <errorWord>(</errorWord>
      <group>L1_Format</group>
      <groupName>格式问题</groupName>
      <ability>L2_HalfPunc</ability>
      <abilityName>全半角检查</abilityName>
      <candidateList>
        <item>（</item>
      </candidateList>
      <explain>文本全半角错误。</explain>
      <paraID>1DEBA9F8</paraID>
      <start>43</start>
      <end>44</end>
      <status>unmodified</status>
      <modifiedWord/>
      <trackRevisions>false</trackRevisions>
    </reviewItem>
    <reviewItem>
      <errorID>da94a065-8be4-4b6e-bc8b-4af804153df6</errorID>
      <errorWord>)</errorWord>
      <group>L1_Format</group>
      <groupName>格式问题</groupName>
      <ability>L2_HalfPunc</ability>
      <abilityName>全半角检查</abilityName>
      <candidateList>
        <item>）</item>
      </candidateList>
      <explain>文本全半角错误。</explain>
      <paraID>1DEBA9F8</paraID>
      <start>50</start>
      <end>51</end>
      <status>unmodified</status>
      <modifiedWord/>
      <trackRevisions>false</trackRevisions>
    </reviewItem>
    <reviewItem>
      <errorID>d7d16f71-8c6d-420a-8750-335a98106a95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1DEBA9F8</paraID>
      <start>51</start>
      <end>54</end>
      <status>unmodified</status>
      <modifiedWord/>
      <trackRevisions>false</trackRevisions>
    </reviewItem>
    <reviewItem>
      <errorID>36c31648-81cc-421f-9424-b2408d969f8f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5338FDC4</paraID>
      <start>0</start>
      <end>2</end>
      <status>unmodified</status>
      <modifiedWord/>
      <trackRevisions>false</trackRevisions>
    </reviewItem>
    <reviewItem>
      <errorID>fa61f2ea-30b6-4c38-9762-8427a98160e1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1EF0A151</paraID>
      <start>0</start>
      <end>2</end>
      <status>unmodified</status>
      <modifiedWord/>
      <trackRevisions>false</trackRevisions>
    </reviewItem>
    <reviewItem>
      <errorID>d6c48fc7-54f4-4b7e-ac82-a52e872119f7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34F3CD0C</paraID>
      <start>0</start>
      <end>2</end>
      <status>unmodified</status>
      <modifiedWord/>
      <trackRevisions>false</trackRevisions>
    </reviewItem>
    <reviewItem>
      <errorID>2258dfba-921a-42f9-a1e6-db0bf50377fb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34F3CD0C</paraID>
      <start>17</start>
      <end>20</end>
      <status>unmodified</status>
      <modifiedWord/>
      <trackRevisions>false</trackRevisions>
    </reviewItem>
    <reviewItem>
      <errorID>35abca18-cbfb-46eb-9caa-fb02c0c4e33c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7670C761</paraID>
      <start>0</start>
      <end>2</end>
      <status>unmodified</status>
      <modifiedWord/>
      <trackRevisions>false</trackRevisions>
    </reviewItem>
    <reviewItem>
      <errorID>45a398c9-ef14-4d30-a725-d348ee1471a1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7670C761</paraID>
      <start>22</start>
      <end>25</end>
      <status>unmodified</status>
      <modifiedWord/>
      <trackRevisions>false</trackRevisions>
    </reviewItem>
    <reviewItem>
      <errorID>0f2af520-daee-4224-aa35-b2f0d5338474</errorID>
      <errorWord>(</errorWord>
      <group>L1_Format</group>
      <groupName>格式问题</groupName>
      <ability>L2_HalfPunc</ability>
      <abilityName>全半角检查</abilityName>
      <candidateList>
        <item>（</item>
      </candidateList>
      <explain>文本全半角错误。</explain>
      <paraID>7670C761</paraID>
      <start>38</start>
      <end>39</end>
      <status>unmodified</status>
      <modifiedWord/>
      <trackRevisions>false</trackRevisions>
    </reviewItem>
    <reviewItem>
      <errorID>26bd24d2-b14e-4dc0-8087-d2616811fe25</errorID>
      <errorWord>)</errorWord>
      <group>L1_Format</group>
      <groupName>格式问题</groupName>
      <ability>L2_HalfPunc</ability>
      <abilityName>全半角检查</abilityName>
      <candidateList>
        <item>）</item>
      </candidateList>
      <explain>文本全半角错误。</explain>
      <paraID>7670C761</paraID>
      <start>41</start>
      <end>42</end>
      <status>unmodified</status>
      <modifiedWord/>
      <trackRevisions>false</trackRevisions>
    </reviewItem>
    <reviewItem>
      <errorID>762cdde9-6188-40cb-9983-d4ed02b04ea6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7670C761</paraID>
      <start>42</start>
      <end>45</end>
      <status>unmodified</status>
      <modifiedWord/>
      <trackRevisions>false</trackRevisions>
    </reviewItem>
    <reviewItem>
      <errorID>940d8585-b488-468c-a8e1-058e6072c761</errorID>
      <errorWord>(</errorWord>
      <group>L1_Format</group>
      <groupName>格式问题</groupName>
      <ability>L2_HalfPunc</ability>
      <abilityName>全半角检查</abilityName>
      <candidateList>
        <item>（</item>
      </candidateList>
      <explain>文本全半角错误。</explain>
      <paraID>7670C761</paraID>
      <start>58</start>
      <end>59</end>
      <status>unmodified</status>
      <modifiedWord/>
      <trackRevisions>false</trackRevisions>
    </reviewItem>
    <reviewItem>
      <errorID>81a6a2dc-6494-4bc0-9518-562a926e24f9</errorID>
      <errorWord>)</errorWord>
      <group>L1_Format</group>
      <groupName>格式问题</groupName>
      <ability>L2_HalfPunc</ability>
      <abilityName>全半角检查</abilityName>
      <candidateList>
        <item>）</item>
      </candidateList>
      <explain>文本全半角错误。</explain>
      <paraID>7670C761</paraID>
      <start>61</start>
      <end>62</end>
      <status>unmodified</status>
      <modifiedWord/>
      <trackRevisions>false</trackRevisions>
    </reviewItem>
    <reviewItem>
      <errorID>faf1f520-6e01-486e-b0a7-b4c5f3459d24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6AC8D98E</paraID>
      <start>0</start>
      <end>2</end>
      <status>unmodified</status>
      <modifiedWord/>
      <trackRevisions>false</trackRevisions>
    </reviewItem>
    <reviewItem>
      <errorID>867cad2f-c8cf-4da3-9bf6-46e5b1729f2d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682E420E</paraID>
      <start>0</start>
      <end>2</end>
      <status>unmodified</status>
      <modifiedWord/>
      <trackRevisions>false</trackRevisions>
    </reviewItem>
    <reviewItem>
      <errorID>a5d03e14-2f42-4ab9-9ed9-50804b2d224c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1E3C2ADD</paraID>
      <start>0</start>
      <end>2</end>
      <status>unmodified</status>
      <modifiedWord/>
      <trackRevisions>false</trackRevisions>
    </reviewItem>
    <reviewItem>
      <errorID>bc8804a4-f655-4f11-94df-5b574b555d09</errorID>
      <errorWord>(</errorWord>
      <group>L1_Format</group>
      <groupName>格式问题</groupName>
      <ability>L2_HalfPunc</ability>
      <abilityName>全半角检查</abilityName>
      <candidateList>
        <item>（</item>
      </candidateList>
      <explain>文本全半角错误。</explain>
      <paraID>1E3C2ADD</paraID>
      <start>11</start>
      <end>12</end>
      <status>unmodified</status>
      <modifiedWord/>
      <trackRevisions>false</trackRevisions>
    </reviewItem>
    <reviewItem>
      <errorID>e3274924-e26b-4e72-93ac-4691b9318888</errorID>
      <errorWord>)</errorWord>
      <group>L1_Format</group>
      <groupName>格式问题</groupName>
      <ability>L2_HalfPunc</ability>
      <abilityName>全半角检查</abilityName>
      <candidateList>
        <item>）</item>
      </candidateList>
      <explain>文本全半角错误。</explain>
      <paraID>1E3C2ADD</paraID>
      <start>37</start>
      <end>38</end>
      <status>unmodified</status>
      <modifiedWord/>
      <trackRevisions>false</trackRevisions>
    </reviewItem>
    <reviewItem>
      <errorID>a73584bf-4c98-4af3-bebc-4b4b025f7df6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5F91B440</paraID>
      <start>0</start>
      <end>2</end>
      <status>unmodified</status>
      <modifiedWord/>
      <trackRevisions>false</trackRevisions>
    </reviewItem>
    <reviewItem>
      <errorID>6cc26c81-cb05-4658-bc51-4580a3e37b7d</errorID>
      <errorWord>胶粘剂</errorWord>
      <group>L1_Word</group>
      <groupName>字词问题</groupName>
      <ability>L2_Typo</ability>
      <abilityName>字词错误</abilityName>
      <candidateList>
        <item>胶黏剂</item>
      </candidateList>
      <explain/>
      <paraID>5F91B440</paraID>
      <start>39</start>
      <end>42</end>
      <status>ignored</status>
      <modifiedWord/>
      <trackRevisions>false</trackRevisions>
    </reviewItem>
    <reviewItem>
      <errorID>70351cbe-2ad8-42cd-8149-a97ba88a8bef</errorID>
      <errorWord>(</errorWord>
      <group>L1_Format</group>
      <groupName>格式问题</groupName>
      <ability>L2_HalfPunc</ability>
      <abilityName>全半角检查</abilityName>
      <candidateList>
        <item>（</item>
      </candidateList>
      <explain>文本全半角错误。</explain>
      <paraID>5F91B440</paraID>
      <start>45</start>
      <end>46</end>
      <status>unmodified</status>
      <modifiedWord/>
      <trackRevisions>false</trackRevisions>
    </reviewItem>
    <reviewItem>
      <errorID>e69baeb3-f0da-4160-9b6c-e6bc0335f301</errorID>
      <errorWord>)</errorWord>
      <group>L1_Format</group>
      <groupName>格式问题</groupName>
      <ability>L2_HalfPunc</ability>
      <abilityName>全半角检查</abilityName>
      <candidateList>
        <item>）</item>
      </candidateList>
      <explain>文本全半角错误。</explain>
      <paraID>5F91B440</paraID>
      <start>55</start>
      <end>56</end>
      <status>unmodified</status>
      <modifiedWord/>
      <trackRevisions>false</trackRevisions>
    </reviewItem>
    <reviewItem>
      <errorID>67acfab2-3498-4459-9e0d-3f67fa0b0e69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2AE7AFC8</paraID>
      <start>0</start>
      <end>2</end>
      <status>unmodified</status>
      <modifiedWord/>
      <trackRevisions>false</trackRevisions>
    </reviewItem>
    <reviewItem>
      <errorID>e821e0ee-4f8d-4bb7-aa50-abe9c58541ce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51CE4E8E</paraID>
      <start>0</start>
      <end>2</end>
      <status>unmodified</status>
      <modifiedWord/>
      <trackRevisions>false</trackRevisions>
    </reviewItem>
    <reviewItem>
      <errorID>b1319a40-73b9-426a-aaca-1055626d6ae1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55307573</paraID>
      <start>0</start>
      <end>2</end>
      <status>unmodified</status>
      <modifiedWord/>
      <trackRevisions>false</trackRevisions>
    </reviewItem>
    <reviewItem>
      <errorID>36b82353-8c1b-4046-8aa4-cb12aa051ab5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781DA035</paraID>
      <start>0</start>
      <end>2</end>
      <status>unmodified</status>
      <modifiedWord/>
      <trackRevisions>false</trackRevisions>
    </reviewItem>
    <reviewItem>
      <errorID>2b217098-5b17-4079-b2d7-6055cfd62306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47EB7B0B</paraID>
      <start>0</start>
      <end>2</end>
      <status>unmodified</status>
      <modifiedWord/>
      <trackRevisions>false</trackRevisions>
    </reviewItem>
    <reviewItem>
      <errorID>f3eec0d1-07cd-4d68-b266-5a0699edfaa2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1E1F4CA9</paraID>
      <start>0</start>
      <end>2</end>
      <status>unmodified</status>
      <modifiedWord/>
      <trackRevisions>false</trackRevisions>
    </reviewItem>
    <reviewItem>
      <errorID>e3c88851-77b5-4879-87b0-12cfe25575af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79AB9DA</paraID>
      <start>0</start>
      <end>2</end>
      <status>unmodified</status>
      <modifiedWord/>
      <trackRevisions>false</trackRevisions>
    </reviewItem>
    <reviewItem>
      <errorID>9e36c12e-b1ac-4f84-8f90-b4a357b75ad6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54E447D0</paraID>
      <start>0</start>
      <end>2</end>
      <status>unmodified</status>
      <modifiedWord/>
      <trackRevisions>false</trackRevisions>
    </reviewItem>
    <reviewItem>
      <errorID>da46eae9-2496-41ac-ac0d-698d2c34f1a8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51C200DD</paraID>
      <start>0</start>
      <end>2</end>
      <status>unmodified</status>
      <modifiedWord/>
      <trackRevisions>false</trackRevisions>
    </reviewItem>
    <reviewItem>
      <errorID>a2b82473-1b5f-461f-8e04-cc0ecafedf91</errorID>
      <errorWord>(</errorWord>
      <group>L1_Format</group>
      <groupName>格式问题</groupName>
      <ability>L2_HalfPunc</ability>
      <abilityName>全半角检查</abilityName>
      <candidateList>
        <item>（</item>
      </candidateList>
      <explain>文本全半角错误。</explain>
      <paraID>51C200DD</paraID>
      <start>25</start>
      <end>26</end>
      <status>unmodified</status>
      <modifiedWord/>
      <trackRevisions>false</trackRevisions>
    </reviewItem>
    <reviewItem>
      <errorID>921d8974-73cc-4589-a15e-cb1ace0c4631</errorID>
      <errorWord>)</errorWord>
      <group>L1_Format</group>
      <groupName>格式问题</groupName>
      <ability>L2_HalfPunc</ability>
      <abilityName>全半角检查</abilityName>
      <candidateList>
        <item>）</item>
      </candidateList>
      <explain>文本全半角错误。</explain>
      <paraID>51C200DD</paraID>
      <start>38</start>
      <end>39</end>
      <status>unmodified</status>
      <modifiedWord/>
      <trackRevisions>false</trackRevisions>
    </reviewItem>
    <reviewItem>
      <errorID>e840a627-4a27-473b-b6ca-a1bed771ce6e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7DD3FED6</paraID>
      <start>0</start>
      <end>2</end>
      <status>unmodified</status>
      <modifiedWord/>
      <trackRevisions>false</trackRevisions>
    </reviewItem>
    <reviewItem>
      <errorID>5a354862-a810-4463-b65e-f90ec2511411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3AC36C5B</paraID>
      <start>0</start>
      <end>2</end>
      <status>unmodified</status>
      <modifiedWord/>
      <trackRevisions>false</trackRevisions>
    </reviewItem>
    <reviewItem>
      <errorID>88527714-039b-459a-b562-d0aa192cde0c</errorID>
      <errorWord>(</errorWord>
      <group>L1_Format</group>
      <groupName>格式问题</groupName>
      <ability>L2_HalfPunc</ability>
      <abilityName>全半角检查</abilityName>
      <candidateList>
        <item>（</item>
      </candidateList>
      <explain>文本全半角错误。</explain>
      <paraID>3AC36C5B</paraID>
      <start>11</start>
      <end>12</end>
      <status>unmodified</status>
      <modifiedWord/>
      <trackRevisions>false</trackRevisions>
    </reviewItem>
    <reviewItem>
      <errorID>6a5f87b0-0616-469c-9278-e048a7eb1d55</errorID>
      <errorWord>)</errorWord>
      <group>L1_Format</group>
      <groupName>格式问题</groupName>
      <ability>L2_HalfPunc</ability>
      <abilityName>全半角检查</abilityName>
      <candidateList>
        <item>）</item>
      </candidateList>
      <explain>文本全半角错误。</explain>
      <paraID>3AC36C5B</paraID>
      <start>15</start>
      <end>16</end>
      <status>unmodified</status>
      <modifiedWord/>
      <trackRevisions>false</trackRevisions>
    </reviewItem>
    <reviewItem>
      <errorID>aa014ec4-5e52-4160-bf80-bbc43e36a906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207B5873</paraID>
      <start>0</start>
      <end>2</end>
      <status>unmodified</status>
      <modifiedWord/>
      <trackRevisions>false</trackRevisions>
    </reviewItem>
    <reviewItem>
      <errorID>2a556efb-cff4-4e30-9a69-a70e4ce115b6</errorID>
      <errorWord>(</errorWord>
      <group>L1_Format</group>
      <groupName>格式问题</groupName>
      <ability>L2_HalfPunc</ability>
      <abilityName>全半角检查</abilityName>
      <candidateList>
        <item>（</item>
      </candidateList>
      <explain>文本全半角错误。</explain>
      <paraID>207B5873</paraID>
      <start>31</start>
      <end>32</end>
      <status>unmodified</status>
      <modifiedWord/>
      <trackRevisions>false</trackRevisions>
    </reviewItem>
    <reviewItem>
      <errorID>70a21794-ee6b-4791-94fe-bea4d650b666</errorID>
      <errorWord>)</errorWord>
      <group>L1_Format</group>
      <groupName>格式问题</groupName>
      <ability>L2_HalfPunc</ability>
      <abilityName>全半角检查</abilityName>
      <candidateList>
        <item>）</item>
      </candidateList>
      <explain>文本全半角错误。</explain>
      <paraID>207B5873</paraID>
      <start>34</start>
      <end>35</end>
      <status>unmodified</status>
      <modifiedWord/>
      <trackRevisions>false</trackRevisions>
    </reviewItem>
    <reviewItem>
      <errorID>0f112e86-dfe9-4866-bea0-f88b420549f3</errorID>
      <errorWord>(</errorWord>
      <group>L1_Format</group>
      <groupName>格式问题</groupName>
      <ability>L2_HalfPunc</ability>
      <abilityName>全半角检查</abilityName>
      <candidateList>
        <item>（</item>
      </candidateList>
      <explain>文本全半角错误。</explain>
      <paraID>207B5873</paraID>
      <start>36</start>
      <end>37</end>
      <status>unmodified</status>
      <modifiedWord/>
      <trackRevisions>false</trackRevisions>
    </reviewItem>
    <reviewItem>
      <errorID>cdd61684-5ca2-4cdc-93aa-ffa2e4b0f95f</errorID>
      <errorWord>)</errorWord>
      <group>L1_Format</group>
      <groupName>格式问题</groupName>
      <ability>L2_HalfPunc</ability>
      <abilityName>全半角检查</abilityName>
      <candidateList>
        <item>）</item>
      </candidateList>
      <explain>文本全半角错误。</explain>
      <paraID>207B5873</paraID>
      <start>49</start>
      <end>50</end>
      <status>unmodified</status>
      <modifiedWord/>
      <trackRevisions>false</trackRevisions>
    </reviewItem>
    <reviewItem>
      <errorID>894d1348-8559-4098-b15f-d90940840912</errorID>
      <errorWord>(</errorWord>
      <group>L1_Format</group>
      <groupName>格式问题</groupName>
      <ability>L2_HalfPunc</ability>
      <abilityName>全半角检查</abilityName>
      <candidateList>
        <item>（</item>
      </candidateList>
      <explain>文本全半角错误。</explain>
      <paraID>6C525F9A</paraID>
      <start>18</start>
      <end>19</end>
      <status>unmodified</status>
      <modifiedWord/>
      <trackRevisions>false</trackRevisions>
    </reviewItem>
    <reviewItem>
      <errorID>3816d261-4d54-40cf-98ad-70cdfb253867</errorID>
      <errorWord>)</errorWord>
      <group>L1_Format</group>
      <groupName>格式问题</groupName>
      <ability>L2_HalfPunc</ability>
      <abilityName>全半角检查</abilityName>
      <candidateList>
        <item>）</item>
      </candidateList>
      <explain>文本全半角错误。</explain>
      <paraID>6C525F9A</paraID>
      <start>30</start>
      <end>31</end>
      <status>unmodified</status>
      <modifiedWord/>
      <trackRevisions>false</trackRevisions>
    </reviewItem>
    <reviewItem>
      <errorID>a5f89684-ffa7-4963-b37e-e24d0c5e501b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ED03367</paraID>
      <start>0</start>
      <end>2</end>
      <status>unmodified</status>
      <modifiedWord/>
      <trackRevisions>false</trackRevisions>
    </reviewItem>
    <reviewItem>
      <errorID>57a5d171-d2ca-4da4-a5c6-0574c06571cc</errorID>
      <errorWord>(</errorWord>
      <group>L1_Format</group>
      <groupName>格式问题</groupName>
      <ability>L2_HalfPunc</ability>
      <abilityName>全半角检查</abilityName>
      <candidateList>
        <item>（</item>
      </candidateList>
      <explain>文本全半角错误。</explain>
      <paraID>1FFFFDE0</paraID>
      <start>13</start>
      <end>14</end>
      <status>unmodified</status>
      <modifiedWord/>
      <trackRevisions>false</trackRevisions>
    </reviewItem>
    <reviewItem>
      <errorID>08e202d8-e3af-47de-9bfa-2e2b8d915590</errorID>
      <errorWord>)</errorWord>
      <group>L1_Format</group>
      <groupName>格式问题</groupName>
      <ability>L2_HalfPunc</ability>
      <abilityName>全半角检查</abilityName>
      <candidateList>
        <item>）</item>
      </candidateList>
      <explain>文本全半角错误。</explain>
      <paraID>1FFFFDE0</paraID>
      <start>19</start>
      <end>20</end>
      <status>unmodified</status>
      <modifiedWord/>
      <trackRevisions>false</trackRevisions>
    </reviewItem>
    <reviewItem>
      <errorID>ecd08568-0837-478b-acd0-e82d0fc9cd95</errorID>
      <errorWord>(</errorWord>
      <group>L1_Format</group>
      <groupName>格式问题</groupName>
      <ability>L2_HalfPunc</ability>
      <abilityName>全半角检查</abilityName>
      <candidateList>
        <item>（</item>
      </candidateList>
      <explain>文本全半角错误。</explain>
      <paraID>7D218E5C</paraID>
      <start>13</start>
      <end>14</end>
      <status>unmodified</status>
      <modifiedWord/>
      <trackRevisions>false</trackRevisions>
    </reviewItem>
    <reviewItem>
      <errorID>be91b085-5ffc-4c3f-8d07-6e766684d95b</errorID>
      <errorWord>)</errorWord>
      <group>L1_Format</group>
      <groupName>格式问题</groupName>
      <ability>L2_HalfPunc</ability>
      <abilityName>全半角检查</abilityName>
      <candidateList>
        <item>）</item>
      </candidateList>
      <explain>文本全半角错误。</explain>
      <paraID>7D218E5C</paraID>
      <start>19</start>
      <end>20</end>
      <status>unmodified</status>
      <modifiedWord/>
      <trackRevisions>false</trackRevisions>
    </reviewItem>
    <reviewItem>
      <errorID>beefdc2d-21f6-4109-9adb-51d744723ff4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181F7536</paraID>
      <start>0</start>
      <end>2</end>
      <status>unmodified</status>
      <modifiedWord/>
      <trackRevisions>false</trackRevisions>
    </reviewItem>
    <reviewItem>
      <errorID>ef0cb697-e931-40b2-b419-2e7ee1aa9693</errorID>
      <errorWord>(</errorWord>
      <group>L1_Format</group>
      <groupName>格式问题</groupName>
      <ability>L2_HalfPunc</ability>
      <abilityName>全半角检查</abilityName>
      <candidateList>
        <item>（</item>
      </candidateList>
      <explain>文本全半角错误。</explain>
      <paraID> 18C291A</paraID>
      <start>13</start>
      <end>14</end>
      <status>unmodified</status>
      <modifiedWord/>
      <trackRevisions>false</trackRevisions>
    </reviewItem>
    <reviewItem>
      <errorID>335e3325-5402-434f-9a75-cffc52e8102a</errorID>
      <errorWord>)</errorWord>
      <group>L1_Format</group>
      <groupName>格式问题</groupName>
      <ability>L2_HalfPunc</ability>
      <abilityName>全半角检查</abilityName>
      <candidateList>
        <item>）</item>
      </candidateList>
      <explain>文本全半角错误。</explain>
      <paraID> 18C291A</paraID>
      <start>19</start>
      <end>20</end>
      <status>unmodified</status>
      <modifiedWord/>
      <trackRevisions>false</trackRevisions>
    </reviewItem>
    <reviewItem>
      <errorID>ae937ee8-250c-4abe-a88e-184977ceb190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368668D</paraID>
      <start>0</start>
      <end>2</end>
      <status>unmodified</status>
      <modifiedWord/>
      <trackRevisions>false</trackRevisions>
    </reviewItem>
    <reviewItem>
      <errorID>e0486c44-506c-430f-b69f-088849b8bf0f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27B59204</paraID>
      <start>0</start>
      <end>2</end>
      <status>unmodified</status>
      <modifiedWord/>
      <trackRevisions>false</trackRevisions>
    </reviewItem>
    <reviewItem>
      <errorID>3c193fa7-f9f7-432a-8bf0-d04085b19e98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778C488F</paraID>
      <start>0</start>
      <end>2</end>
      <status>unmodified</status>
      <modifiedWord/>
      <trackRevisions>false</trackRevisions>
    </reviewItem>
    <reviewItem>
      <errorID>dd2350dc-c75e-4f04-bb7a-bb0dac58f79c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2EFC32A6</paraID>
      <start>0</start>
      <end>2</end>
      <status>unmodified</status>
      <modifiedWord/>
      <trackRevisions>false</trackRevisions>
    </reviewItem>
    <reviewItem>
      <errorID>bab14713-f984-4556-8dd7-8a41ad510f8c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3F309E37</paraID>
      <start>0</start>
      <end>2</end>
      <status>unmodified</status>
      <modifiedWord/>
      <trackRevisions>false</trackRevisions>
    </reviewItem>
    <reviewItem>
      <errorID>825596e4-0ff3-4268-899c-65e7c1140d41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68F3F407</paraID>
      <start>0</start>
      <end>2</end>
      <status>unmodified</status>
      <modifiedWord/>
      <trackRevisions>false</trackRevisions>
    </reviewItem>
    <reviewItem>
      <errorID>1d26556c-b5d9-453f-9e6b-cbb6bb8df999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35108A3D</paraID>
      <start>0</start>
      <end>2</end>
      <status>unmodified</status>
      <modifiedWord/>
      <trackRevisions>false</trackRevisions>
    </reviewItem>
    <reviewItem>
      <errorID>fe5dafc7-a313-47ac-befb-f8bb5f80134f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B3F694F</paraID>
      <start>0</start>
      <end>2</end>
      <status>unmodified</status>
      <modifiedWord/>
      <trackRevisions>false</trackRevisions>
    </reviewItem>
    <reviewItem>
      <errorID>4afa9911-d953-43b0-ac36-132a8f73bbe0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3EBD305</paraID>
      <start>0</start>
      <end>2</end>
      <status>unmodified</status>
      <modifiedWord/>
      <trackRevisions>false</trackRevisions>
    </reviewItem>
    <reviewItem>
      <errorID>c3b7ae27-2d5c-437d-af28-497dcd3b453b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14A3AFF2</paraID>
      <start>0</start>
      <end>2</end>
      <status>unmodified</status>
      <modifiedWord/>
      <trackRevisions>false</trackRevisions>
    </reviewItem>
    <reviewItem>
      <errorID>3b254bb6-78df-45e7-9189-de1d1bbd02c8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61C701E1</paraID>
      <start>59</start>
      <end>60</end>
      <status>unmodified</status>
      <modifiedWord/>
      <trackRevisions>false</trackRevisions>
    </reviewItem>
    <reviewItem>
      <errorID>e9279e1d-98d2-42bf-afcc-e75b596aac95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61C701E1</paraID>
      <start>99</start>
      <end>100</end>
      <status>unmodified</status>
      <modifiedWord/>
      <trackRevisions>false</trackRevisions>
    </reviewItem>
    <reviewItem>
      <errorID>60bc152a-64b9-4774-8c21-d5e291a07eec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43BAF68</paraID>
      <start>87</start>
      <end>88</end>
      <status>unmodified</status>
      <modifiedWord/>
      <trackRevisions>false</trackRevisions>
    </reviewItem>
    <reviewItem>
      <errorID>c6ad65ce-ec29-4fdd-92c3-a06833f1c2e4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34E2E4DF</paraID>
      <start>0</start>
      <end>2</end>
      <status>unmodified</status>
      <modifiedWord/>
      <trackRevisions>false</trackRevisions>
    </reviewItem>
    <reviewItem>
      <errorID>f7bc569e-94d8-4a63-b054-a9ebd5f02836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1B67AB11</paraID>
      <start>52</start>
      <end>55</end>
      <status>unmodified</status>
      <modifiedWord/>
      <trackRevisions>false</trackRevisions>
    </reviewItem>
    <reviewItem>
      <errorID>796ae872-97c0-4195-a9d8-1bda6a8aba77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2651FE72</paraID>
      <start>39</start>
      <end>42</end>
      <status>unmodified</status>
      <modifiedWord/>
      <trackRevisions>false</trackRevisions>
    </reviewItem>
    <reviewItem>
      <errorID>420c83f8-decd-47d2-8dc4-ac68f0e1556d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6E82BB03</paraID>
      <start>0</start>
      <end>2</end>
      <status>unmodified</status>
      <modifiedWord/>
      <trackRevisions>false</trackRevisions>
    </reviewItem>
    <reviewItem>
      <errorID>42949b03-53ac-4362-a0e2-5403121cae3b</errorID>
      <errorWord>，</errorWord>
      <group>L1_Format</group>
      <groupName>格式问题</groupName>
      <ability>L2_HalfPunc</ability>
      <abilityName>全半角检查</abilityName>
      <candidateList>
        <item>,</item>
      </candidateList>
      <explain>文本全半角错误。</explain>
      <paraID>4468F983</paraID>
      <start>2</start>
      <end>3</end>
      <status>unmodified</status>
      <modifiedWord/>
      <trackRevisions>false</trackRevisions>
    </reviewItem>
    <reviewItem>
      <errorID>e478b152-f1ec-490e-8b23-fedb07e9526d</errorID>
      <errorWord>&lt;</errorWord>
      <group>L1_Format</group>
      <groupName>格式问题</groupName>
      <ability>L2_HalfPunc</ability>
      <abilityName>全半角检查</abilityName>
      <candidateList>
        <item>〈</item>
      </candidateList>
      <explain>文本全半角错误。</explain>
      <paraID>7222EE17</paraID>
      <start>7</start>
      <end>8</end>
      <status>unmodified</status>
      <modifiedWord/>
      <trackRevisions>false</trackRevisions>
    </reviewItem>
    <reviewItem>
      <errorID>f8f5a564-8371-42a9-9708-c3e58814229f</errorID>
      <errorWord>&gt;</errorWord>
      <group>L1_Format</group>
      <groupName>格式问题</groupName>
      <ability>L2_HalfPunc</ability>
      <abilityName>全半角检查</abilityName>
      <candidateList>
        <item>〉</item>
      </candidateList>
      <explain>文本全半角错误。</explain>
      <paraID>7222EE17</paraID>
      <start>33</start>
      <end>34</end>
      <status>unmodified</status>
      <modifiedWord/>
      <trackRevisions>false</trackRevisions>
    </reviewItem>
    <reviewItem>
      <errorID>32b0cf4e-9449-478a-96b0-a1801ac8fefc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7222EE17</paraID>
      <start>41</start>
      <end>42</end>
      <status>unmodified</status>
      <modifiedWord/>
      <trackRevisions>false</trackRevisions>
    </reviewItem>
    <reviewItem>
      <errorID>405c9ea0-cf85-48f1-a4c6-5c41a95c30f2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7F78955F</paraID>
      <start>0</start>
      <end>1</end>
      <status>unmodified</status>
      <modifiedWord/>
      <trackRevisions>false</trackRevisions>
    </reviewItem>
    <reviewItem>
      <errorID>75545a52-cb9a-403d-b9b6-3d106d3ded2d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11A38F26</paraID>
      <start>0</start>
      <end>2</end>
      <status>unmodified</status>
      <modifiedWord/>
      <trackRevisions>false</trackRevisions>
    </reviewItem>
    <reviewItem>
      <errorID>5c024c49-78f2-42ba-96d7-6e2e7c7b8e0b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11A38F26</paraID>
      <start>38</start>
      <end>39</end>
      <status>unmodified</status>
      <modifiedWord/>
      <trackRevisions>false</trackRevisions>
    </reviewItem>
    <reviewItem>
      <errorID>95f3137c-1fbf-4ef1-befc-1fd77a1a3553</errorID>
      <errorWord>(</errorWord>
      <group>L1_Format</group>
      <groupName>格式问题</groupName>
      <ability>L2_HalfPunc</ability>
      <abilityName>全半角检查</abilityName>
      <candidateList>
        <item>（</item>
      </candidateList>
      <explain>文本全半角错误。</explain>
      <paraID>11A38F26</paraID>
      <start>58</start>
      <end>59</end>
      <status>unmodified</status>
      <modifiedWord/>
      <trackRevisions>false</trackRevisions>
    </reviewItem>
    <reviewItem>
      <errorID>bfbfec11-98d3-42df-9103-45f89a53fdb4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11A38F26</paraID>
      <start>63</start>
      <end>64</end>
      <status>unmodified</status>
      <modifiedWord/>
      <trackRevisions>false</trackRevisions>
    </reviewItem>
    <reviewItem>
      <errorID>43b25166-cee5-4f32-bda3-e8d2378132c0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D91DB31</paraID>
      <start>0</start>
      <end>2</end>
      <status>unmodified</status>
      <modifiedWord/>
      <trackRevisions>false</trackRevisions>
    </reviewItem>
    <reviewItem>
      <errorID>0b24f43e-e587-46c2-93f3-139f5c464160</errorID>
      <errorWord>》</errorWord>
      <group>L1_Word</group>
      <groupName>字词问题</groupName>
      <ability>L2_Typo</ability>
      <abilityName>字词错误</abilityName>
      <candidateList>
        <item>》和</item>
      </candidateList>
      <explain/>
      <paraID> D91DB31</paraID>
      <start>73</start>
      <end>74</end>
      <status>unmodified</status>
      <modifiedWord/>
      <trackRevisions>false</trackRevisions>
    </reviewItem>
    <reviewItem>
      <errorID>9e5afc30-3f42-4835-be8d-0f01425ff866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3D9E5B19</paraID>
      <start>0</start>
      <end>2</end>
      <status>unmodified</status>
      <modifiedWord/>
      <trackRevisions>false</trackRevisions>
    </reviewItem>
    <reviewItem>
      <errorID>890dc83a-ffc4-44c7-8043-6e8b998e5690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8F5AC0B</paraID>
      <start>0</start>
      <end>2</end>
      <status>unmodified</status>
      <modifiedWord/>
      <trackRevisions>false</trackRevisions>
    </reviewItem>
    <reviewItem>
      <errorID>c24fe330-8f10-4e58-88e6-5113e8b4c436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698ED1AE</paraID>
      <start>0</start>
      <end>2</end>
      <status>unmodified</status>
      <modifiedWord/>
      <trackRevisions>false</trackRevisions>
    </reviewItem>
    <reviewItem>
      <errorID>5fba5b42-b22b-4091-9bf0-e33640b2eff1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29CC2980</paraID>
      <start>0</start>
      <end>2</end>
      <status>unmodified</status>
      <modifiedWord/>
      <trackRevisions>false</trackRevisions>
    </reviewItem>
    <reviewItem>
      <errorID>5653bb1e-d7ed-4ad2-9d18-37cc5a442f8f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18DA18C0</paraID>
      <start>0</start>
      <end>2</end>
      <status>unmodified</status>
      <modifiedWord/>
      <trackRevisions>false</trackRevisions>
    </reviewItem>
    <reviewItem>
      <errorID>8b49fec3-9a6d-417a-abc1-0cac10169d81</errorID>
      <errorWord>其它</errorWord>
      <group>L1_Word</group>
      <groupName>字词问题</groupName>
      <ability>L2_Alias</ability>
      <abilityName>也作/曾用词</abilityName>
      <candidateList>
        <item>其他</item>
      </candidateList>
      <explain>词汇[其它]为不规范表述或旧称，其规范书面表述为[其他]。</explain>
      <paraID>18DA18C0</paraID>
      <start>54</start>
      <end>56</end>
      <status>ignored</status>
      <modifiedWord/>
      <trackRevisions>false</trackRevisions>
    </reviewItem>
    <reviewItem>
      <errorID>f067a63c-3962-4af8-b0bb-da7eb0a9d3f8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5C29343B</paraID>
      <start>0</start>
      <end>2</end>
      <status>unmodified</status>
      <modifiedWord/>
      <trackRevisions>false</trackRevisions>
    </reviewItem>
    <reviewItem>
      <errorID>d883b8a1-6b35-4d2b-8feb-56ce22029bd6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69BAB04A</paraID>
      <start>0</start>
      <end>2</end>
      <status>unmodified</status>
      <modifiedWord/>
      <trackRevisions>false</trackRevisions>
    </reviewItem>
    <reviewItem>
      <errorID>1a620e08-08ad-4fdf-9fac-f240c11f9866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1727672</paraID>
      <start>0</start>
      <end>3</end>
      <status>unmodified</status>
      <modifiedWord/>
      <trackRevisions>false</trackRevisions>
    </reviewItem>
    <reviewItem>
      <errorID>ef8066f8-f032-4839-99bc-259762d1ce67</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1EF3A828</paraID>
      <start>0</start>
      <end>3</end>
      <status>unmodified</status>
      <modifiedWord/>
      <trackRevisions>false</trackRevisions>
    </reviewItem>
    <reviewItem>
      <errorID>07a5931e-d046-4c05-bff2-33b07fbdb6fb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7FC5C289</paraID>
      <start>0</start>
      <end>3</end>
      <status>unmodified</status>
      <modifiedWord/>
      <trackRevisions>false</trackRevisions>
    </reviewItem>
    <reviewItem>
      <errorID>d344d8c1-445f-41fa-8d04-495da335344b</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57FB767F</paraID>
      <start>0</start>
      <end>3</end>
      <status>unmodified</status>
      <modifiedWord/>
      <trackRevisions>false</trackRevisions>
    </reviewItem>
    <reviewItem>
      <errorID>b7363c27-63ab-455b-8823-0bb0bf2b1e0a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D34C91E</paraID>
      <start>0</start>
      <end>3</end>
      <status>unmodified</status>
      <modifiedWord/>
      <trackRevisions>false</trackRevisions>
    </reviewItem>
    <reviewItem>
      <errorID>476a1e61-225f-493f-9d6d-fddfccb6a127</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1F0F1EBD</paraID>
      <start>0</start>
      <end>3</end>
      <status>unmodified</status>
      <modifiedWord/>
      <trackRevisions>false</trackRevisions>
    </reviewItem>
    <reviewItem>
      <errorID>f44a550a-1d61-4e26-b523-7d241b1f6203</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4F11437F</paraID>
      <start>0</start>
      <end>3</end>
      <status>unmodified</status>
      <modifiedWord/>
      <trackRevisions>false</trackRevisions>
    </reviewItem>
    <reviewItem>
      <errorID>a2ee554d-d9fd-4c8f-94d6-d0341810e193</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3653A854</paraID>
      <start>0</start>
      <end>3</end>
      <status>unmodified</status>
      <modifiedWord/>
      <trackRevisions>false</trackRevisions>
    </reviewItem>
    <reviewItem>
      <errorID>9a1adb86-98c3-491d-af46-4fae65a78228</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71B3CDE8</paraID>
      <start>0</start>
      <end>3</end>
      <status>unmodified</status>
      <modifiedWord/>
      <trackRevisions>false</trackRevisions>
    </reviewItem>
    <reviewItem>
      <errorID>7e8eae51-ae58-4304-b567-4176d3fd355e</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13BC43F4</paraID>
      <start>0</start>
      <end>3</end>
      <status>unmodified</status>
      <modifiedWord/>
      <trackRevisions>false</trackRevisions>
    </reviewItem>
    <reviewItem>
      <errorID>a2a03aec-7d6e-4393-bd68-0347686cb462</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6F65286C</paraID>
      <start>0</start>
      <end>3</end>
      <status>unmodified</status>
      <modifiedWord/>
      <trackRevisions>false</trackRevisions>
    </reviewItem>
    <reviewItem>
      <errorID>b603bdf5-c75a-4447-a831-213fcee2a3e6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6F65286C</paraID>
      <start>27</start>
      <end>28</end>
      <status>unmodified</status>
      <modifiedWord/>
      <trackRevisions>false</trackRevisions>
    </reviewItem>
    <reviewItem>
      <errorID>f5a34b19-a7c6-4f74-8a85-75c7972fb7ea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539E674C</paraID>
      <start>21</start>
      <end>24</end>
      <status>unmodified</status>
      <modifiedWord/>
      <trackRevisions>false</trackRevisions>
    </reviewItem>
    <reviewItem>
      <errorID>de4f4681-8430-4bff-ad28-306b0532be6f</errorID>
      <errorWord>(</errorWord>
      <group>L1_Format</group>
      <groupName>格式问题</groupName>
      <ability>L2_HalfPunc</ability>
      <abilityName>全半角检查</abilityName>
      <candidateList>
        <item>（</item>
      </candidateList>
      <explain>文本全半角错误。</explain>
      <paraID>691EE87F</paraID>
      <start>14</start>
      <end>15</end>
      <status>unmodified</status>
      <modifiedWord/>
      <trackRevisions>false</trackRevisions>
    </reviewItem>
    <reviewItem>
      <errorID>f4c2cc3d-5d7d-4e9e-ac02-798c515f8898</errorID>
      <errorWord>)</errorWord>
      <group>L1_Format</group>
      <groupName>格式问题</groupName>
      <ability>L2_HalfPunc</ability>
      <abilityName>全半角检查</abilityName>
      <candidateList>
        <item>）</item>
      </candidateList>
      <explain>文本全半角错误。</explain>
      <paraID>691EE87F</paraID>
      <start>17</start>
      <end>18</end>
      <status>unmodified</status>
      <modifiedWord/>
      <trackRevisions>false</trackRevisions>
    </reviewItem>
    <reviewItem>
      <errorID>28ae5565-243c-47fe-8f82-0f330e3e1b6f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A0B10E0</paraID>
      <start>0</start>
      <end>2</end>
      <status>unmodified</status>
      <modifiedWord/>
      <trackRevisions>false</trackRevisions>
    </reviewItem>
    <reviewItem>
      <errorID>c9b8f999-ee66-4ecf-b33c-725bf37f4a8e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2E665339</paraID>
      <start>0</start>
      <end>2</end>
      <status>unmodified</status>
      <modifiedWord/>
      <trackRevisions>false</trackRevisions>
    </reviewItem>
    <reviewItem>
      <errorID>6b51d5a1-9afa-453f-a61c-b7fef4b5667c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5CB90B1C</paraID>
      <start>0</start>
      <end>2</end>
      <status>unmodified</status>
      <modifiedWord/>
      <trackRevisions>false</trackRevisions>
    </reviewItem>
    <reviewItem>
      <errorID>2a7dfb4b-2f91-475b-9091-60ab22c31e5b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B919859</paraID>
      <start>0</start>
      <end>2</end>
      <status>unmodified</status>
      <modifiedWord/>
      <trackRevisions>false</trackRevisions>
    </reviewItem>
    <reviewItem>
      <errorID>07c7ecc5-28ed-4e60-8bc3-c5bccd5b6e5e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61182394</paraID>
      <start>44</start>
      <end>45</end>
      <status>unmodified</status>
      <modifiedWord/>
      <trackRevisions>false</trackRevisions>
    </reviewItem>
    <reviewItem>
      <errorID>c2cf8ffc-aca4-40f1-90c1-d8c61647a506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61182394</paraID>
      <start>69</start>
      <end>70</end>
      <status>unmodified</status>
      <modifiedWord/>
      <trackRevisions>false</trackRevisions>
    </reviewItem>
    <reviewItem>
      <errorID>86dfb191-d989-4e43-801d-20baeefbfbc3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62DF3583</paraID>
      <start>0</start>
      <end>2</end>
      <status>unmodified</status>
      <modifiedWord/>
      <trackRevisions>false</trackRevisions>
    </reviewItem>
    <reviewItem>
      <errorID>5b21cf4e-7635-4a6a-930e-f0f25b5ecc8d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4891217</paraID>
      <start>0</start>
      <end>2</end>
      <status>unmodified</status>
      <modifiedWord/>
      <trackRevisions>false</trackRevisions>
    </reviewItem>
    <reviewItem>
      <errorID>929177ea-2900-432a-8994-2029da29d774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3AD3A8F0</paraID>
      <start>0</start>
      <end>2</end>
      <status>unmodified</status>
      <modifiedWord/>
      <trackRevisions>false</trackRevisions>
    </reviewItem>
    <reviewItem>
      <errorID>c2dec730-6778-4b40-8cf6-4ebc71a80b1d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3490A932</paraID>
      <start>23</start>
      <end>26</end>
      <status>unmodified</status>
      <modifiedWord/>
      <trackRevisions>false</trackRevisions>
    </reviewItem>
    <reviewItem>
      <errorID>231bc3d5-335c-4c59-be3e-46b8bda0eea3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28239C18</paraID>
      <start>24</start>
      <end>27</end>
      <status>unmodified</status>
      <modifiedWord/>
      <trackRevisions>false</trackRevisions>
    </reviewItem>
    <reviewItem>
      <errorID>33b4a9d9-654a-412e-b78c-17d1ec35d597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E3B0818</paraID>
      <start>30</start>
      <end>31</end>
      <status>unmodified</status>
      <modifiedWord/>
      <trackRevisions>false</trackRevisions>
    </reviewItem>
    <reviewItem>
      <errorID>695a19e6-cbe0-46be-9253-faa6f1669aee</errorID>
      <errorWord>农田灌溉水利用系数</errorWord>
      <group>L1_Political</group>
      <groupName>政治性问题</groupName>
      <ability>L2_Keyword</ability>
      <abilityName>固定表述</abilityName>
      <candidateList>
        <item>农田灌溉水有效利用系数</item>
      </candidateList>
      <explain>词汇“农田灌溉水有效利用系数”在特定场景下为固定表述形式，请确认此处的“农田灌溉水利用系数”是否存在不当。</explain>
      <paraID>3A99AA0D</paraID>
      <start>160</start>
      <end>169</end>
      <status>unmodified</status>
      <modifiedWord/>
      <trackRevisions>false</trackRevisions>
    </reviewItem>
    <reviewItem>
      <errorID>b8ac7af9-bd0c-4c5d-8133-59606443c472</errorID>
      <errorWord>II</errorWord>
      <group>L1_Knowledge</group>
      <groupName>知识性问题</groupName>
      <ability>L2_Knowledge</ability>
      <abilityName>其他知识</abilityName>
      <candidateList>
        <item>Ⅱ</item>
      </candidateList>
      <explain/>
      <paraID>3C95B89F</paraID>
      <start>2</start>
      <end>4</end>
      <status>unmodified</status>
      <modifiedWord/>
      <trackRevisions>false</trackRevisions>
    </reviewItem>
    <reviewItem>
      <errorID>5d49d3a1-b9e7-413a-b08b-f4bb9bd508fb</errorID>
      <errorWord>III</errorWord>
      <group>L1_Knowledge</group>
      <groupName>知识性问题</groupName>
      <ability>L2_Knowledge</ability>
      <abilityName>其他知识</abilityName>
      <candidateList>
        <item>Ⅲ</item>
      </candidateList>
      <explain/>
      <paraID>330C11F5</paraID>
      <start>8</start>
      <end>11</end>
      <status>unmodified</status>
      <modifiedWord/>
      <trackRevisions>false</trackRevisions>
    </reviewItem>
    <reviewItem>
      <errorID>c7b6d7e2-4ebd-4ab8-828b-d1032f3a6b2b</errorID>
      <errorWord>其它</errorWord>
      <group>L1_Word</group>
      <groupName>字词问题</groupName>
      <ability>L2_Alias</ability>
      <abilityName>也作/曾用词</abilityName>
      <candidateList>
        <item>其他</item>
      </candidateList>
      <explain>词汇[其它]为不规范表述或旧称，其规范书面表述为[其他]。</explain>
      <paraID>330C11F5</paraID>
      <start>121</start>
      <end>123</end>
      <status>ignored</status>
      <modifiedWord/>
      <trackRevisions>false</trackRevisions>
    </reviewItem>
    <reviewItem>
      <errorID>43188aed-c057-4c6c-b0ff-023eb7497548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5FADF968</paraID>
      <start>78</start>
      <end>81</end>
      <status>unmodified</status>
      <modifiedWord/>
      <trackRevisions>false</trackRevisions>
    </reviewItem>
    <reviewItem>
      <errorID>3d551891-b8d6-4334-9a23-ef8d7dd06c0f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701BDB8E</paraID>
      <start>0</start>
      <end>2</end>
      <status>unmodified</status>
      <modifiedWord/>
      <trackRevisions>false</trackRevisions>
    </reviewItem>
    <reviewItem>
      <errorID>67b932a1-817f-4edc-8db7-c86b6ccd4358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2987F973</paraID>
      <start>89</start>
      <end>90</end>
      <status>unmodified</status>
      <modifiedWord/>
      <trackRevisions>false</trackRevisions>
    </reviewItem>
    <reviewItem>
      <errorID>5d2a8186-5686-4916-a5ab-13b0a4119c23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52FA3612</paraID>
      <start>0</start>
      <end>1</end>
      <status>unmodified</status>
      <modifiedWord/>
      <trackRevisions>false</trackRevisions>
    </reviewItem>
    <reviewItem>
      <errorID>4caa11ca-c774-41ab-81d4-30c71de108a3</errorID>
      <errorWord>法律、法规</errorWord>
      <group>L1_Word</group>
      <groupName>字词问题</groupName>
      <ability>L2_Typo</ability>
      <abilityName>字词错误</abilityName>
      <candidateList>
        <item>法律法规</item>
      </candidateList>
      <explain/>
      <paraID>5191F423</paraID>
      <start>1</start>
      <end>6</end>
      <status>unmodified</status>
      <modifiedWord/>
      <trackRevisions>false</trackRevisions>
    </reviewItem>
    <reviewItem>
      <errorID>3db4315f-10b0-43e1-b305-fdcacb0fa952</errorID>
      <errorWord>(</errorWord>
      <group>L1_Format</group>
      <groupName>格式问题</groupName>
      <ability>L2_HalfPunc</ability>
      <abilityName>全半角检查</abilityName>
      <candidateList>
        <item>（</item>
      </candidateList>
      <explain>文本全半角错误。</explain>
      <paraID>3859F768</paraID>
      <start>13</start>
      <end>14</end>
      <status>unmodified</status>
      <modifiedWord/>
      <trackRevisions>false</trackRevisions>
    </reviewItem>
    <reviewItem>
      <errorID>8a09db89-befa-40ae-97f9-34a2eb8a5252</errorID>
      <errorWord>)</errorWord>
      <group>L1_Format</group>
      <groupName>格式问题</groupName>
      <ability>L2_HalfPunc</ability>
      <abilityName>全半角检查</abilityName>
      <candidateList>
        <item>）</item>
      </candidateList>
      <explain>文本全半角错误。</explain>
      <paraID>3859F768</paraID>
      <start>21</start>
      <end>22</end>
      <status>unmodified</status>
      <modifiedWord/>
      <trackRevisions>false</trackRevisions>
    </reviewItem>
    <reviewItem>
      <errorID>1a97b590-28ff-4157-8359-f0a49d9f03c6</errorID>
      <errorWord>(</errorWord>
      <group>L1_Format</group>
      <groupName>格式问题</groupName>
      <ability>L2_HalfPunc</ability>
      <abilityName>全半角检查</abilityName>
      <candidateList>
        <item>（</item>
      </candidateList>
      <explain>文本全半角错误。</explain>
      <paraID> 171AB3C</paraID>
      <start>19</start>
      <end>20</end>
      <status>unmodified</status>
      <modifiedWord/>
      <trackRevisions>false</trackRevisions>
    </reviewItem>
    <reviewItem>
      <errorID>40cf4335-a4a8-40de-9b2e-16ab37278500</errorID>
      <errorWord>)</errorWord>
      <group>L1_Format</group>
      <groupName>格式问题</groupName>
      <ability>L2_HalfPunc</ability>
      <abilityName>全半角检查</abilityName>
      <candidateList>
        <item>）</item>
      </candidateList>
      <explain>文本全半角错误。</explain>
      <paraID> 171AB3C</paraID>
      <start>29</start>
      <end>30</end>
      <status>unmodified</status>
      <modifiedWord/>
      <trackRevisions>false</trackRevisions>
    </reviewItem>
    <reviewItem>
      <errorID>e761e52a-05c0-4d51-aa92-c22f5e772815</errorID>
      <errorWord>胶粘</errorWord>
      <group>L1_Word</group>
      <groupName>字词问题</groupName>
      <ability>L2_Typo</ability>
      <abilityName>字词错误</abilityName>
      <candidateList>
        <item>胶黏</item>
      </candidateList>
      <explain/>
      <paraID>1D91F523</paraID>
      <start>179</start>
      <end>181</end>
      <status>ignored</status>
      <modifiedWord/>
      <trackRevisions>false</trackRevisions>
    </reviewItem>
    <reviewItem>
      <errorID>a2c75180-02fe-4309-98ad-5e409cb94063</errorID>
      <errorWord>胶粘剂</errorWord>
      <group>L1_Word</group>
      <groupName>字词问题</groupName>
      <ability>L2_Typo</ability>
      <abilityName>字词错误</abilityName>
      <candidateList>
        <item>胶黏剂</item>
      </candidateList>
      <explain/>
      <paraID>1D91F523</paraID>
      <start>218</start>
      <end>221</end>
      <status>ignored</status>
      <modifiedWord/>
      <trackRevisions>false</trackRevisions>
    </reviewItem>
    <reviewItem>
      <errorID>90b1e223-ba94-4552-8089-88df0034f1a4</errorID>
      <errorWord>胶粘剂</errorWord>
      <group>L1_Word</group>
      <groupName>字词问题</groupName>
      <ability>L2_Typo</ability>
      <abilityName>字词错误</abilityName>
      <candidateList>
        <item>胶黏剂</item>
      </candidateList>
      <explain/>
      <paraID>1D91F523</paraID>
      <start>257</start>
      <end>260</end>
      <status>ignored</status>
      <modifiedWord/>
      <trackRevisions>false</trackRevisions>
    </reviewItem>
    <reviewItem>
      <errorID>9a610887-719f-4754-9e96-0cae75dd2622</errorID>
      <errorWord>(</errorWord>
      <group>L1_Format</group>
      <groupName>格式问题</groupName>
      <ability>L2_HalfPunc</ability>
      <abilityName>全半角检查</abilityName>
      <candidateList>
        <item>（</item>
      </candidateList>
      <explain>文本全半角错误。</explain>
      <paraID>1D91F523</paraID>
      <start>289</start>
      <end>290</end>
      <status>unmodified</status>
      <modifiedWord/>
      <trackRevisions>false</trackRevisions>
    </reviewItem>
    <reviewItem>
      <errorID>b676810a-10a6-4d27-ae70-042297b75d0b</errorID>
      <errorWord>)</errorWord>
      <group>L1_Format</group>
      <groupName>格式问题</groupName>
      <ability>L2_HalfPunc</ability>
      <abilityName>全半角检查</abilityName>
      <candidateList>
        <item>）</item>
      </candidateList>
      <explain>文本全半角错误。</explain>
      <paraID>1D91F523</paraID>
      <start>303</start>
      <end>304</end>
      <status>unmodified</status>
      <modifiedWord/>
      <trackRevisions>false</trackRevisions>
    </reviewItem>
    <reviewItem>
      <errorID>5a80408e-c3a0-448d-81cb-1b44b4dc92fc</errorID>
      <errorWord>(</errorWord>
      <group>L1_Format</group>
      <groupName>格式问题</groupName>
      <ability>L2_HalfPunc</ability>
      <abilityName>全半角检查</abilityName>
      <candidateList>
        <item>（</item>
      </candidateList>
      <explain>文本全半角错误。</explain>
      <paraID>1D91F523</paraID>
      <start>318</start>
      <end>319</end>
      <status>unmodified</status>
      <modifiedWord/>
      <trackRevisions>false</trackRevisions>
    </reviewItem>
    <reviewItem>
      <errorID>31f89754-b7d9-4f1f-9243-7a0aad9d5f6a</errorID>
      <errorWord>)</errorWord>
      <group>L1_Format</group>
      <groupName>格式问题</groupName>
      <ability>L2_HalfPunc</ability>
      <abilityName>全半角检查</abilityName>
      <candidateList>
        <item>）</item>
      </candidateList>
      <explain>文本全半角错误。</explain>
      <paraID>1D91F523</paraID>
      <start>332</start>
      <end>333</end>
      <status>unmodified</status>
      <modifiedWord/>
      <trackRevisions>false</trackRevisions>
    </reviewItem>
    <reviewItem>
      <errorID>b061187b-f772-4a46-96a4-cdf8c450a4f6</errorID>
      <errorWord>(</errorWord>
      <group>L1_Format</group>
      <groupName>格式问题</groupName>
      <ability>L2_HalfPunc</ability>
      <abilityName>全半角检查</abilityName>
      <candidateList>
        <item>（</item>
      </candidateList>
      <explain>文本全半角错误。</explain>
      <paraID>1D91F523</paraID>
      <start>347</start>
      <end>348</end>
      <status>unmodified</status>
      <modifiedWord/>
      <trackRevisions>false</trackRevisions>
    </reviewItem>
    <reviewItem>
      <errorID>28e87ab9-17cc-42b6-856d-e03d39630fed</errorID>
      <errorWord>)</errorWord>
      <group>L1_Format</group>
      <groupName>格式问题</groupName>
      <ability>L2_HalfPunc</ability>
      <abilityName>全半角检查</abilityName>
      <candidateList>
        <item>）</item>
      </candidateList>
      <explain>文本全半角错误。</explain>
      <paraID>1D91F523</paraID>
      <start>361</start>
      <end>362</end>
      <status>unmodified</status>
      <modifiedWord/>
      <trackRevisions>false</trackRevisions>
    </reviewItem>
    <reviewItem>
      <errorID>e9820eda-50b7-4d55-bfc4-c34e4b1c8230</errorID>
      <errorWord>(</errorWord>
      <group>L1_Format</group>
      <groupName>格式问题</groupName>
      <ability>L2_HalfPunc</ability>
      <abilityName>全半角检查</abilityName>
      <candidateList>
        <item>（</item>
      </candidateList>
      <explain>文本全半角错误。</explain>
      <paraID>1D91F523</paraID>
      <start>377</start>
      <end>378</end>
      <status>unmodified</status>
      <modifiedWord/>
      <trackRevisions>false</trackRevisions>
    </reviewItem>
    <reviewItem>
      <errorID>5110a218-8521-4cde-9407-09b3f4370b56</errorID>
      <errorWord>)</errorWord>
      <group>L1_Format</group>
      <groupName>格式问题</groupName>
      <ability>L2_HalfPunc</ability>
      <abilityName>全半角检查</abilityName>
      <candidateList>
        <item>）</item>
      </candidateList>
      <explain>文本全半角错误。</explain>
      <paraID>1D91F523</paraID>
      <start>391</start>
      <end>392</end>
      <status>unmodified</status>
      <modifiedWord/>
      <trackRevisions>false</trackRevisions>
    </reviewItem>
    <reviewItem>
      <errorID>a382728b-faf8-49d2-9194-0486275ccb65</errorID>
      <errorWord>(</errorWord>
      <group>L1_Format</group>
      <groupName>格式问题</groupName>
      <ability>L2_HalfPunc</ability>
      <abilityName>全半角检查</abilityName>
      <candidateList>
        <item>（</item>
      </candidateList>
      <explain>文本全半角错误。</explain>
      <paraID>1D91F523</paraID>
      <start>410</start>
      <end>411</end>
      <status>unmodified</status>
      <modifiedWord/>
      <trackRevisions>false</trackRevisions>
    </reviewItem>
    <reviewItem>
      <errorID>5c6906fd-d3e1-4ef7-a024-15016a968b5c</errorID>
      <errorWord>)</errorWord>
      <group>L1_Format</group>
      <groupName>格式问题</groupName>
      <ability>L2_HalfPunc</ability>
      <abilityName>全半角检查</abilityName>
      <candidateList>
        <item>）</item>
      </candidateList>
      <explain>文本全半角错误。</explain>
      <paraID>1D91F523</paraID>
      <start>425</start>
      <end>426</end>
      <status>unmodified</status>
      <modifiedWord/>
      <trackRevisions>false</trackRevisions>
    </reviewItem>
    <reviewItem>
      <errorID>0e660090-9c00-4d24-bf45-9b71346427ea</errorID>
      <errorWord>胶粘</errorWord>
      <group>L1_Word</group>
      <groupName>字词问题</groupName>
      <ability>L2_Typo</ability>
      <abilityName>字词错误</abilityName>
      <candidateList>
        <item>胶黏</item>
      </candidateList>
      <explain/>
      <paraID>1D91F523</paraID>
      <start>428</start>
      <end>430</end>
      <status>ignored</status>
      <modifiedWord/>
      <trackRevisions>false</trackRevisions>
    </reviewItem>
    <reviewItem>
      <errorID>b1f8f9b4-65cf-4e69-8d24-ef3f79dc4cd6</errorID>
      <errorWord>(</errorWord>
      <group>L1_Format</group>
      <groupName>格式问题</groupName>
      <ability>L2_HalfPunc</ability>
      <abilityName>全半角检查</abilityName>
      <candidateList>
        <item>（</item>
      </candidateList>
      <explain>文本全半角错误。</explain>
      <paraID>1D91F523</paraID>
      <start>442</start>
      <end>443</end>
      <status>unmodified</status>
      <modifiedWord/>
      <trackRevisions>false</trackRevisions>
    </reviewItem>
    <reviewItem>
      <errorID>7bf87c5e-36a3-40f2-b80a-9596de0f6adf</errorID>
      <errorWord>)</errorWord>
      <group>L1_Format</group>
      <groupName>格式问题</groupName>
      <ability>L2_HalfPunc</ability>
      <abilityName>全半角检查</abilityName>
      <candidateList>
        <item>）</item>
      </candidateList>
      <explain>文本全半角错误。</explain>
      <paraID>1D91F523</paraID>
      <start>456</start>
      <end>457</end>
      <status>unmodified</status>
      <modifiedWord/>
      <trackRevisions>false</trackRevisions>
    </reviewItem>
    <reviewItem>
      <errorID>1abd19e3-f6c2-42a0-bf80-3d4568760806</errorID>
      <errorWord>(</errorWord>
      <group>L1_Format</group>
      <groupName>格式问题</groupName>
      <ability>L2_HalfPunc</ability>
      <abilityName>全半角检查</abilityName>
      <candidateList>
        <item>（</item>
      </candidateList>
      <explain>文本全半角错误。</explain>
      <paraID>1D91F523</paraID>
      <start>484</start>
      <end>485</end>
      <status>unmodified</status>
      <modifiedWord/>
      <trackRevisions>false</trackRevisions>
    </reviewItem>
    <reviewItem>
      <errorID>37bb3252-45cc-4f4f-b232-a359788629f2</errorID>
      <errorWord>胶粘剂</errorWord>
      <group>L1_Word</group>
      <groupName>字词问题</groupName>
      <ability>L2_Typo</ability>
      <abilityName>字词错误</abilityName>
      <candidateList>
        <item>胶黏剂</item>
      </candidateList>
      <explain/>
      <paraID>525500EA</paraID>
      <start>19</start>
      <end>22</end>
      <status>ignored</status>
      <modifiedWord/>
      <trackRevisions>false</trackRevisions>
    </reviewItem>
    <reviewItem>
      <errorID>52c5489a-c8a7-461e-bc37-1783256bf440</errorID>
      <errorWord>胶粘剂</errorWord>
      <group>L1_Word</group>
      <groupName>字词问题</groupName>
      <ability>L2_Typo</ability>
      <abilityName>字词错误</abilityName>
      <candidateList>
        <item>胶黏剂</item>
      </candidateList>
      <explain/>
      <paraID>525500EA</paraID>
      <start>26</start>
      <end>29</end>
      <status>ignored</status>
      <modifiedWord/>
      <trackRevisions>false</trackRevisions>
    </reviewItem>
    <reviewItem>
      <errorID>67d600d5-60cd-48e6-bdbd-fa2be17676da</errorID>
      <errorWord>胶粘</errorWord>
      <group>L1_Word</group>
      <groupName>字词问题</groupName>
      <ability>L2_Typo</ability>
      <abilityName>字词错误</abilityName>
      <candidateList>
        <item>胶黏</item>
      </candidateList>
      <explain/>
      <paraID>525500EA</paraID>
      <start>47</start>
      <end>49</end>
      <status>ignored</status>
      <modifiedWord/>
      <trackRevisions>false</trackRevisions>
    </reviewItem>
    <reviewItem>
      <errorID>c574c031-054f-4c02-8220-118a2a6710bf</errorID>
      <errorWord>胶粘剂</errorWord>
      <group>L1_Word</group>
      <groupName>字词问题</groupName>
      <ability>L2_Typo</ability>
      <abilityName>字词错误</abilityName>
      <candidateList>
        <item>胶黏剂</item>
      </candidateList>
      <explain/>
      <paraID>525500EA</paraID>
      <start>81</start>
      <end>84</end>
      <status>ignored</status>
      <modifiedWord/>
      <trackRevisions>false</trackRevisions>
    </reviewItem>
    <reviewItem>
      <errorID>8836025f-b173-4d13-9fe3-4114edec0349</errorID>
      <errorWord>胶粘剂</errorWord>
      <group>L1_Word</group>
      <groupName>字词问题</groupName>
      <ability>L2_Typo</ability>
      <abilityName>字词错误</abilityName>
      <candidateList>
        <item>胶黏剂</item>
      </candidateList>
      <explain/>
      <paraID>525500EA</paraID>
      <start>92</start>
      <end>95</end>
      <status>ignored</status>
      <modifiedWord/>
      <trackRevisions>false</trackRevisions>
    </reviewItem>
    <reviewItem>
      <errorID>0adc938e-a6ca-499a-bb59-c0b71b194fc6</errorID>
      <errorWord>(</errorWord>
      <group>L1_Format</group>
      <groupName>格式问题</groupName>
      <ability>L2_HalfPunc</ability>
      <abilityName>全半角检查</abilityName>
      <candidateList>
        <item>（</item>
      </candidateList>
      <explain>文本全半角错误。</explain>
      <paraID>542A4BEF</paraID>
      <start>28</start>
      <end>29</end>
      <status>unmodified</status>
      <modifiedWord/>
      <trackRevisions>false</trackRevisions>
    </reviewItem>
    <reviewItem>
      <errorID>169855ff-2c47-42fa-81e4-6ab26521b551</errorID>
      <errorWord>)</errorWord>
      <group>L1_Format</group>
      <groupName>格式问题</groupName>
      <ability>L2_HalfPunc</ability>
      <abilityName>全半角检查</abilityName>
      <candidateList>
        <item>）</item>
      </candidateList>
      <explain>文本全半角错误。</explain>
      <paraID>542A4BEF</paraID>
      <start>45</start>
      <end>46</end>
      <status>unmodified</status>
      <modifiedWord/>
      <trackRevisions>false</trackRevisions>
    </reviewItem>
    <reviewItem>
      <errorID>54890983-ceba-48fa-a122-00e5742643b2</errorID>
      <errorWord>胶粘</errorWord>
      <group>L1_Word</group>
      <groupName>字词问题</groupName>
      <ability>L2_Typo</ability>
      <abilityName>字词错误</abilityName>
      <candidateList>
        <item>胶黏</item>
      </candidateList>
      <explain/>
      <paraID>3E6621DB</paraID>
      <start>82</start>
      <end>84</end>
      <status>ignored</status>
      <modifiedWord/>
      <trackRevisions>false</trackRevisions>
    </reviewItem>
    <reviewItem>
      <errorID>8434dcc8-f0cc-407d-bb88-d2420f2f9bd0</errorID>
      <errorWord>胶粘剂</errorWord>
      <group>L1_Word</group>
      <groupName>字词问题</groupName>
      <ability>L2_Typo</ability>
      <abilityName>字词错误</abilityName>
      <candidateList>
        <item>胶黏剂</item>
      </candidateList>
      <explain/>
      <paraID>3E6621DB</paraID>
      <start>121</start>
      <end>124</end>
      <status>ignored</status>
      <modifiedWord/>
      <trackRevisions>false</trackRevisions>
    </reviewItem>
    <reviewItem>
      <errorID>a9dcc255-1745-4586-9457-89db27fece00</errorID>
      <errorWord>胶粘剂</errorWord>
      <group>L1_Word</group>
      <groupName>字词问题</groupName>
      <ability>L2_Typo</ability>
      <abilityName>字词错误</abilityName>
      <candidateList>
        <item>胶黏剂</item>
      </candidateList>
      <explain/>
      <paraID>3E6621DB</paraID>
      <start>162</start>
      <end>165</end>
      <status>ignored</status>
      <modifiedWord/>
      <trackRevisions>false</trackRevisions>
    </reviewItem>
    <reviewItem>
      <errorID>ff065127-07ad-476d-888a-deefebb997c0</errorID>
      <errorWord>&lt;</errorWord>
      <group>L1_Format</group>
      <groupName>格式问题</groupName>
      <ability>L2_HalfPunc</ability>
      <abilityName>全半角检查</abilityName>
      <candidateList>
        <item>〈</item>
      </candidateList>
      <explain>文本全半角错误。</explain>
      <paraID> DD2E9CB</paraID>
      <start>5</start>
      <end>6</end>
      <status>unmodified</status>
      <modifiedWord/>
      <trackRevisions>false</trackRevisions>
    </reviewItem>
    <reviewItem>
      <errorID>620dbeeb-4284-4365-926b-ad15d8d1c834</errorID>
      <errorWord>&gt;的通知》</errorWord>
      <group>L1_Punc</group>
      <groupName>标点问题</groupName>
      <ability>L2_Punc</ability>
      <abilityName>标点符号检查</abilityName>
      <candidateList>
        <item>〉的通知》</item>
      </candidateList>
      <explain/>
      <paraID> DD2E9CB</paraID>
      <start>22</start>
      <end>27</end>
      <status>unmodified</status>
      <modifiedWord/>
      <trackRevisions>false</trackRevisions>
    </reviewItem>
    <reviewItem>
      <errorID>b4d2771a-af7f-4fb1-be6f-08057488ae00</errorID>
      <errorWord>(</errorWord>
      <group>L1_Format</group>
      <groupName>格式问题</groupName>
      <ability>L2_HalfPunc</ability>
      <abilityName>全半角检查</abilityName>
      <candidateList>
        <item>（</item>
      </candidateList>
      <explain>文本全半角错误。</explain>
      <paraID> DD2E9CB</paraID>
      <start>27</start>
      <end>28</end>
      <status>unmodified</status>
      <modifiedWord/>
      <trackRevisions>false</trackRevisions>
    </reviewItem>
    <reviewItem>
      <errorID>24167004-1c6b-4016-8317-59bbbf41d3c9</errorID>
      <errorWord>)</errorWord>
      <group>L1_Format</group>
      <groupName>格式问题</groupName>
      <ability>L2_HalfPunc</ability>
      <abilityName>全半角检查</abilityName>
      <candidateList>
        <item>）</item>
      </candidateList>
      <explain>文本全半角错误。</explain>
      <paraID> DD2E9CB</paraID>
      <start>40</start>
      <end>41</end>
      <status>unmodified</status>
      <modifiedWord/>
      <trackRevisions>false</trackRevisions>
    </reviewItem>
    <reviewItem>
      <errorID>927accd7-7a54-4860-b4c8-b08f7eb5951d</errorID>
      <errorWord>(</errorWord>
      <group>L1_Format</group>
      <groupName>格式问题</groupName>
      <ability>L2_HalfPunc</ability>
      <abilityName>全半角检查</abilityName>
      <candidateList>
        <item>（</item>
      </candidateList>
      <explain>文本全半角错误。</explain>
      <paraID>3117B2A5</paraID>
      <start>21</start>
      <end>22</end>
      <status>unmodified</status>
      <modifiedWord/>
      <trackRevisions>false</trackRevisions>
    </reviewItem>
    <reviewItem>
      <errorID>65d9e0fb-3401-4077-b972-13cc6a469b10</errorID>
      <errorWord>)</errorWord>
      <group>L1_Format</group>
      <groupName>格式问题</groupName>
      <ability>L2_HalfPunc</ability>
      <abilityName>全半角检查</abilityName>
      <candidateList>
        <item>）</item>
      </candidateList>
      <explain>文本全半角错误。</explain>
      <paraID>3117B2A5</paraID>
      <start>35</start>
      <end>36</end>
      <status>unmodified</status>
      <modifiedWord/>
      <trackRevisions>false</trackRevisions>
    </reviewItem>
    <reviewItem>
      <errorID>751f1c6c-40e9-4b44-aa80-db61fea4f331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4BB986BB</paraID>
      <start>0</start>
      <end>1</end>
      <status>unmodified</status>
      <modifiedWord/>
      <trackRevisions>false</trackRevisions>
    </reviewItem>
    <reviewItem>
      <errorID>68462746-4202-457c-87d5-8bb7e8ab73a9</errorID>
      <errorWord>(</errorWord>
      <group>L1_Format</group>
      <groupName>格式问题</groupName>
      <ability>L2_HalfPunc</ability>
      <abilityName>全半角检查</abilityName>
      <candidateList>
        <item>（</item>
      </candidateList>
      <explain>文本全半角错误。</explain>
      <paraID>26CA4797</paraID>
      <start>26</start>
      <end>27</end>
      <status>unmodified</status>
      <modifiedWord/>
      <trackRevisions>false</trackRevisions>
    </reviewItem>
    <reviewItem>
      <errorID>2f7ba997-4d2b-455f-bd21-6be108e3d7f9</errorID>
      <errorWord>)</errorWord>
      <group>L1_Format</group>
      <groupName>格式问题</groupName>
      <ability>L2_HalfPunc</ability>
      <abilityName>全半角检查</abilityName>
      <candidateList>
        <item>）</item>
      </candidateList>
      <explain>文本全半角错误。</explain>
      <paraID>26CA4797</paraID>
      <start>41</start>
      <end>42</end>
      <status>unmodified</status>
      <modifiedWord/>
      <trackRevisions>false</trackRevisions>
    </reviewItem>
    <reviewItem>
      <errorID>66529006-72e4-49ce-bb55-49da5961214c</errorID>
      <errorWord>(</errorWord>
      <group>L1_Format</group>
      <groupName>格式问题</groupName>
      <ability>L2_HalfPunc</ability>
      <abilityName>全半角检查</abilityName>
      <candidateList>
        <item>（</item>
      </candidateList>
      <explain>文本全半角错误。</explain>
      <paraID>311C3B3C</paraID>
      <start>30</start>
      <end>31</end>
      <status>unmodified</status>
      <modifiedWord/>
      <trackRevisions>false</trackRevisions>
    </reviewItem>
    <reviewItem>
      <errorID>5bbbc620-03b5-41f0-8b76-9ccff9648c29</errorID>
      <errorWord>)</errorWord>
      <group>L1_Format</group>
      <groupName>格式问题</groupName>
      <ability>L2_HalfPunc</ability>
      <abilityName>全半角检查</abilityName>
      <candidateList>
        <item>）</item>
      </candidateList>
      <explain>文本全半角错误。</explain>
      <paraID>311C3B3C</paraID>
      <start>43</start>
      <end>44</end>
      <status>unmodified</status>
      <modifiedWord/>
      <trackRevisions>false</trackRevisions>
    </reviewItem>
    <reviewItem>
      <errorID>5945d1b7-efc1-4b87-969f-ecabf4f82566</errorID>
      <errorWord>(</errorWord>
      <group>L1_Format</group>
      <groupName>格式问题</groupName>
      <ability>L2_HalfPunc</ability>
      <abilityName>全半角检查</abilityName>
      <candidateList>
        <item>（</item>
      </candidateList>
      <explain>文本全半角错误。</explain>
      <paraID>72598176</paraID>
      <start>13</start>
      <end>14</end>
      <status>unmodified</status>
      <modifiedWord/>
      <trackRevisions>false</trackRevisions>
    </reviewItem>
    <reviewItem>
      <errorID>5bda113d-a6b6-4a15-900b-f88667b72e99</errorID>
      <errorWord>)</errorWord>
      <group>L1_Format</group>
      <groupName>格式问题</groupName>
      <ability>L2_HalfPunc</ability>
      <abilityName>全半角检查</abilityName>
      <candidateList>
        <item>）</item>
      </candidateList>
      <explain>文本全半角错误。</explain>
      <paraID>72598176</paraID>
      <start>16</start>
      <end>17</end>
      <status>unmodified</status>
      <modifiedWord/>
      <trackRevisions>false</trackRevisions>
    </reviewItem>
    <reviewItem>
      <errorID>e005ea88-5bea-4b32-ad95-e621e24de41c</errorID>
      <errorWord>(</errorWord>
      <group>L1_Format</group>
      <groupName>格式问题</groupName>
      <ability>L2_HalfPunc</ability>
      <abilityName>全半角检查</abilityName>
      <candidateList>
        <item>（</item>
      </candidateList>
      <explain>文本全半角错误。</explain>
      <paraID>72598176</paraID>
      <start>30</start>
      <end>31</end>
      <status>unmodified</status>
      <modifiedWord/>
      <trackRevisions>false</trackRevisions>
    </reviewItem>
    <reviewItem>
      <errorID>c0894aa6-a261-49a0-9639-b7c058708df3</errorID>
      <errorWord>)</errorWord>
      <group>L1_Format</group>
      <groupName>格式问题</groupName>
      <ability>L2_HalfPunc</ability>
      <abilityName>全半角检查</abilityName>
      <candidateList>
        <item>）</item>
      </candidateList>
      <explain>文本全半角错误。</explain>
      <paraID>72598176</paraID>
      <start>33</start>
      <end>34</end>
      <status>unmodified</status>
      <modifiedWord/>
      <trackRevisions>false</trackRevisions>
    </reviewItem>
    <reviewItem>
      <errorID>b9784eb2-c9a4-4b67-833c-3ef0d59933e0</errorID>
      <errorWord>(</errorWord>
      <group>L1_Format</group>
      <groupName>格式问题</groupName>
      <ability>L2_HalfPunc</ability>
      <abilityName>全半角检查</abilityName>
      <candidateList>
        <item>（</item>
      </candidateList>
      <explain>文本全半角错误。</explain>
      <paraID>72598176</paraID>
      <start>42</start>
      <end>43</end>
      <status>unmodified</status>
      <modifiedWord/>
      <trackRevisions>false</trackRevisions>
    </reviewItem>
    <reviewItem>
      <errorID>5a1d2d42-ab36-4411-85ae-208de7b66524</errorID>
      <errorWord>)</errorWord>
      <group>L1_Format</group>
      <groupName>格式问题</groupName>
      <ability>L2_HalfPunc</ability>
      <abilityName>全半角检查</abilityName>
      <candidateList>
        <item>）</item>
      </candidateList>
      <explain>文本全半角错误。</explain>
      <paraID>72598176</paraID>
      <start>45</start>
      <end>46</end>
      <status>unmodified</status>
      <modifiedWord/>
      <trackRevisions>false</trackRevisions>
    </reviewItem>
    <reviewItem>
      <errorID>18d2f493-5185-4e8a-a053-2f97adf2bea0</errorID>
      <errorWord>(</errorWord>
      <group>L1_Format</group>
      <groupName>格式问题</groupName>
      <ability>L2_HalfPunc</ability>
      <abilityName>全半角检查</abilityName>
      <candidateList>
        <item>（</item>
      </candidateList>
      <explain>文本全半角错误。</explain>
      <paraID>72598176</paraID>
      <start>59</start>
      <end>60</end>
      <status>unmodified</status>
      <modifiedWord/>
      <trackRevisions>false</trackRevisions>
    </reviewItem>
    <reviewItem>
      <errorID>87a980e5-f6f8-43e5-aed2-0c97c18cfedc</errorID>
      <errorWord>)</errorWord>
      <group>L1_Format</group>
      <groupName>格式问题</groupName>
      <ability>L2_HalfPunc</ability>
      <abilityName>全半角检查</abilityName>
      <candidateList>
        <item>）</item>
      </candidateList>
      <explain>文本全半角错误。</explain>
      <paraID>72598176</paraID>
      <start>62</start>
      <end>63</end>
      <status>unmodified</status>
      <modifiedWord/>
      <trackRevisions>false</trackRevisions>
    </reviewItem>
    <reviewItem>
      <errorID>f67200c4-2640-4469-92cb-33654dc68a1d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2C28542E</paraID>
      <start>0</start>
      <end>2</end>
      <status>unmodified</status>
      <modifiedWord/>
      <trackRevisions>false</trackRevisions>
    </reviewItem>
    <reviewItem>
      <errorID>86e20de9-42f3-44c6-8313-c8c05c2ee02f</errorID>
      <errorWord>防止</errorWord>
      <group>L1_Word</group>
      <groupName>字词问题</groupName>
      <ability>L2_Typo</ability>
      <abilityName>字词错误</abilityName>
      <candidateList>
        <item>防治</item>
      </candidateList>
      <explain>〈动〉预防和治疗、治理（疾病、灾害等）：～结核病｜～病虫害｜～风沙。</explain>
      <paraID>42145FEF</paraID>
      <start>201</start>
      <end>203</end>
      <status>unmodified</status>
      <modifiedWord/>
      <trackRevisions>false</trackRevisions>
    </reviewItem>
    <reviewItem>
      <errorID>81ee494b-40ce-4ee7-9c02-5bb795b15b17</errorID>
      <errorWord>&lt;</errorWord>
      <group>L1_Format</group>
      <groupName>格式问题</groupName>
      <ability>L2_HalfPunc</ability>
      <abilityName>全半角检查</abilityName>
      <candidateList>
        <item>〈</item>
      </candidateList>
      <explain>文本全半角错误。</explain>
      <paraID>12C1651B</paraID>
      <start>5</start>
      <end>6</end>
      <status>unmodified</status>
      <modifiedWord/>
      <trackRevisions>false</trackRevisions>
    </reviewItem>
    <reviewItem>
      <errorID>4a3c5cad-7826-4fa0-a0a8-5c1e4f1d1a84</errorID>
      <errorWord>&gt;的通知》</errorWord>
      <group>L1_Punc</group>
      <groupName>标点问题</groupName>
      <ability>L2_Punc</ability>
      <abilityName>标点符号检查</abilityName>
      <candidateList>
        <item>〉的通知》</item>
      </candidateList>
      <explain/>
      <paraID>12C1651B</paraID>
      <start>30</start>
      <end>35</end>
      <status>unmodified</status>
      <modifiedWord/>
      <trackRevisions>false</trackRevisions>
    </reviewItem>
    <reviewItem>
      <errorID>447b1b24-4bf3-4ac8-b84f-eb23f247a443</errorID>
      <errorWord>(</errorWord>
      <group>L1_Format</group>
      <groupName>格式问题</groupName>
      <ability>L2_HalfPunc</ability>
      <abilityName>全半角检查</abilityName>
      <candidateList>
        <item>（</item>
      </candidateList>
      <explain>文本全半角错误。</explain>
      <paraID>12C1651B</paraID>
      <start>35</start>
      <end>36</end>
      <status>unmodified</status>
      <modifiedWord/>
      <trackRevisions>false</trackRevisions>
    </reviewItem>
    <reviewItem>
      <errorID>33962339-ae99-48ac-a659-f71e0bd25452</errorID>
      <errorWord>)</errorWord>
      <group>L1_Format</group>
      <groupName>格式问题</groupName>
      <ability>L2_HalfPunc</ability>
      <abilityName>全半角检查</abilityName>
      <candidateList>
        <item>）</item>
      </candidateList>
      <explain>文本全半角错误。</explain>
      <paraID>12C1651B</paraID>
      <start>48</start>
      <end>49</end>
      <status>unmodified</status>
      <modifiedWord/>
      <trackRevisions>false</trackRevisions>
    </reviewItem>
    <reviewItem>
      <errorID>04d271ef-2945-4745-8edd-8f6059878d0a</errorID>
      <errorWord>(</errorWord>
      <group>L1_Format</group>
      <groupName>格式问题</groupName>
      <ability>L2_HalfPunc</ability>
      <abilityName>全半角检查</abilityName>
      <candidateList>
        <item>（</item>
      </candidateList>
      <explain>文本全半角错误。</explain>
      <paraID>718B7191</paraID>
      <start>26</start>
      <end>27</end>
      <status>unmodified</status>
      <modifiedWord/>
      <trackRevisions>false</trackRevisions>
    </reviewItem>
    <reviewItem>
      <errorID>7491fa82-ac5f-4122-995b-733bd4cba554</errorID>
      <errorWord>)</errorWord>
      <group>L1_Format</group>
      <groupName>格式问题</groupName>
      <ability>L2_HalfPunc</ability>
      <abilityName>全半角检查</abilityName>
      <candidateList>
        <item>）</item>
      </candidateList>
      <explain>文本全半角错误。</explain>
      <paraID>718B7191</paraID>
      <start>39</start>
      <end>40</end>
      <status>unmodified</status>
      <modifiedWord/>
      <trackRevisions>false</trackRevisions>
    </reviewItem>
    <reviewItem>
      <errorID>20e939f2-b33e-407c-ab94-33c32e4fa6f2</errorID>
      <errorWord>(</errorWord>
      <group>L1_Format</group>
      <groupName>格式问题</groupName>
      <ability>L2_HalfPunc</ability>
      <abilityName>全半角检查</abilityName>
      <candidateList>
        <item>（</item>
      </candidateList>
      <explain>文本全半角错误。</explain>
      <paraID>2148437F</paraID>
      <start>25</start>
      <end>26</end>
      <status>unmodified</status>
      <modifiedWord/>
      <trackRevisions>false</trackRevisions>
    </reviewItem>
    <reviewItem>
      <errorID>88f0b938-e449-4b61-bc15-97665cbddb99</errorID>
      <errorWord>)</errorWord>
      <group>L1_Format</group>
      <groupName>格式问题</groupName>
      <ability>L2_HalfPunc</ability>
      <abilityName>全半角检查</abilityName>
      <candidateList>
        <item>）</item>
      </candidateList>
      <explain>文本全半角错误。</explain>
      <paraID>2148437F</paraID>
      <start>39</start>
      <end>40</end>
      <status>unmodified</status>
      <modifiedWord/>
      <trackRevisions>false</trackRevisions>
    </reviewItem>
    <reviewItem>
      <errorID>8fc1f955-02db-4047-b1ae-2afe599b36b9</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1FB49391</paraID>
      <start>47</start>
      <end>49</end>
      <status>unmodified</status>
      <modifiedWord/>
      <trackRevisions>false</trackRevisions>
    </reviewItem>
    <reviewItem>
      <errorID>369ea5f1-90f6-451b-9418-f95521cd1f34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36D04533</paraID>
      <start>0</start>
      <end>2</end>
      <status>unmodified</status>
      <modifiedWord/>
      <trackRevisions>false</trackRevisions>
    </reviewItem>
    <reviewItem>
      <errorID>0b88d444-0ceb-4154-8b70-603074b2a35a</errorID>
      <errorWord>"</errorWord>
      <group>L1_Format</group>
      <groupName>格式问题</groupName>
      <ability>L2_HalfPunc</ability>
      <abilityName>全半角检查</abilityName>
      <candidateList>
        <item>“</item>
      </candidateList>
      <explain>文本全半角错误。</explain>
      <paraID>4BCD398A</paraID>
      <start>7</start>
      <end>8</end>
      <status>unmodified</status>
      <modifiedWord/>
      <trackRevisions>false</trackRevisions>
    </reviewItem>
    <reviewItem>
      <errorID>3d0b43b4-dcbe-4a01-a2c2-51cfdf462b0c</errorID>
      <errorWord>(</errorWord>
      <group>L1_Format</group>
      <groupName>格式问题</groupName>
      <ability>L2_HalfPunc</ability>
      <abilityName>全半角检查</abilityName>
      <candidateList>
        <item>（</item>
      </candidateList>
      <explain>文本全半角错误。</explain>
      <paraID>4BCD398A</paraID>
      <start>29</start>
      <end>30</end>
      <status>unmodified</status>
      <modifiedWord/>
      <trackRevisions>false</trackRevisions>
    </reviewItem>
    <reviewItem>
      <errorID>aa238830-a1e6-4785-bccc-76a640c21308</errorID>
      <errorWord>)</errorWord>
      <group>L1_Format</group>
      <groupName>格式问题</groupName>
      <ability>L2_HalfPunc</ability>
      <abilityName>全半角检查</abilityName>
      <candidateList>
        <item>）</item>
      </candidateList>
      <explain>文本全半角错误。</explain>
      <paraID>4BCD398A</paraID>
      <start>32</start>
      <end>33</end>
      <status>unmodified</status>
      <modifiedWord/>
      <trackRevisions>false</trackRevisions>
    </reviewItem>
    <reviewItem>
      <errorID>093576ea-88e4-477f-bc38-2e8c2ad5e0ba</errorID>
      <errorWord>"</errorWord>
      <group>L1_Format</group>
      <groupName>格式问题</groupName>
      <ability>L2_HalfPunc</ability>
      <abilityName>全半角检查</abilityName>
      <candidateList>
        <item>”</item>
      </candidateList>
      <explain>文本全半角错误。</explain>
      <paraID>4BCD398A</paraID>
      <start>33</start>
      <end>34</end>
      <status>unmodified</status>
      <modifiedWord/>
      <trackRevisions>false</trackRevisions>
    </reviewItem>
    <reviewItem>
      <errorID>c975c58b-bb4d-41b1-af26-1fddb5adbff4</errorID>
      <errorWord>"</errorWord>
      <group>L1_Format</group>
      <groupName>格式问题</groupName>
      <ability>L2_HalfPunc</ability>
      <abilityName>全半角检查</abilityName>
      <candidateList>
        <item>“</item>
      </candidateList>
      <explain>文本全半角错误。</explain>
      <paraID>4BCD398A</paraID>
      <start>35</start>
      <end>36</end>
      <status>unmodified</status>
      <modifiedWord/>
      <trackRevisions>false</trackRevisions>
    </reviewItem>
    <reviewItem>
      <errorID>6ccc4f7d-1c53-4093-a429-3665a67b5552</errorID>
      <errorWord>"</errorWord>
      <group>L1_Format</group>
      <groupName>格式问题</groupName>
      <ability>L2_HalfPunc</ability>
      <abilityName>全半角检查</abilityName>
      <candidateList>
        <item>”</item>
      </candidateList>
      <explain>文本全半角错误。</explain>
      <paraID>4BCD398A</paraID>
      <start>59</start>
      <end>60</end>
      <status>unmodified</status>
      <modifiedWord/>
      <trackRevisions>false</trackRevisions>
    </reviewItem>
    <reviewItem>
      <errorID>1f07e79a-1576-481d-874c-37585bb67886</errorID>
      <errorWord>"</errorWord>
      <group>L1_Format</group>
      <groupName>格式问题</groupName>
      <ability>L2_HalfPunc</ability>
      <abilityName>全半角检查</abilityName>
      <candidateList>
        <item>“</item>
      </candidateList>
      <explain>文本全半角错误。</explain>
      <paraID>3A97A2BC</paraID>
      <start>157</start>
      <end>158</end>
      <status>unmodified</status>
      <modifiedWord/>
      <trackRevisions>false</trackRevisions>
    </reviewItem>
    <reviewItem>
      <errorID>47e595d8-bbe0-40f9-8521-dd122e9e190a</errorID>
      <errorWord>"</errorWord>
      <group>L1_Format</group>
      <groupName>格式问题</groupName>
      <ability>L2_HalfPunc</ability>
      <abilityName>全半角检查</abilityName>
      <candidateList>
        <item>”</item>
      </candidateList>
      <explain>文本全半角错误。</explain>
      <paraID>3A97A2BC</paraID>
      <start>167</start>
      <end>168</end>
      <status>unmodified</status>
      <modifiedWord/>
      <trackRevisions>false</trackRevisions>
    </reviewItem>
    <reviewItem>
      <errorID>c43a31cf-42de-4a8a-94f8-f6c1e6c2a81b</errorID>
      <errorWord>环保保护</errorWord>
      <group>L1_Word</group>
      <groupName>字词问题</groupName>
      <ability>L2_Typo</ability>
      <abilityName>字词错误</abilityName>
      <candidateList>
        <item>环境保护</item>
      </candidateList>
      <explain/>
      <paraID>525BDF7E</paraID>
      <start>90</start>
      <end>94</end>
      <status>unmodified</status>
      <modifiedWord/>
      <trackRevisions>false</trackRevisions>
    </reviewItem>
    <reviewItem>
      <errorID>98028c2b-e11d-463e-a05d-f5aa52368b6a</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525BDF7E</paraID>
      <start>108</start>
      <end>109</end>
      <status>unmodified</status>
      <modifiedWord/>
      <trackRevisions>false</trackRevisions>
    </reviewItem>
    <reviewItem>
      <errorID>4c5e4bf6-acb2-4d61-b823-34aa27edfc5f</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525BDF7E</paraID>
      <start>112</start>
      <end>113</end>
      <status>unmodified</status>
      <modifiedWord/>
      <trackRevisions>false</trackRevisions>
    </reviewItem>
    <reviewItem>
      <errorID>74450f7c-b27a-460a-aaca-1fdc8b14b269</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525BDF7E</paraID>
      <start>114</start>
      <end>115</end>
      <status>unmodified</status>
      <modifiedWord/>
      <trackRevisions>false</trackRevisions>
    </reviewItem>
    <reviewItem>
      <errorID>79b9d392-5dad-4c48-9415-eab4afecfb59</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525BDF7E</paraID>
      <start>124</start>
      <end>125</end>
      <status>unmodified</status>
      <modifiedWord/>
      <trackRevisions>false</trackRevisions>
    </reviewItem>
    <reviewItem>
      <errorID>7cd4c68b-b038-430d-901e-e8e1fffda38b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333E0ED0</paraID>
      <start>0</start>
      <end>2</end>
      <status>unmodified</status>
      <modifiedWord/>
      <trackRevisions>false</trackRevisions>
    </reviewItem>
    <reviewItem>
      <errorID>bd47cd9f-1314-437e-99a0-edd555083dbd</errorID>
      <errorWord>只</errorWord>
      <group>L1_Knowledge</group>
      <groupName>知识性问题</groupName>
      <ability>L2_Knowledge</ability>
      <abilityName>其他知识</abilityName>
      <candidateList>
        <item>支</item>
      </candidateList>
      <explain>请检查“只”是否为量词使用错误，建议修改为“支”。</explain>
      <paraID>5FA7563F</paraID>
      <start>94</start>
      <end>95</end>
      <status>unmodified</status>
      <modifiedWord/>
      <trackRevisions>false</trackRevisions>
    </reviewItem>
    <reviewItem>
      <errorID>c925b03c-0dbf-4ea5-8276-e1f7fc6236e2</errorID>
      <errorWord>只</errorWord>
      <group>L1_Knowledge</group>
      <groupName>知识性问题</groupName>
      <ability>L2_Knowledge</ability>
      <abilityName>其他知识</abilityName>
      <candidateList>
        <item>支</item>
      </candidateList>
      <explain>请检查“只”是否为量词使用错误，建议修改为“支”。</explain>
      <paraID>5FA7563F</paraID>
      <start>181</start>
      <end>182</end>
      <status>unmodified</status>
      <modifiedWord/>
      <trackRevisions>false</trackRevisions>
    </reviewItem>
    <reviewItem>
      <errorID>b6015183-6e2f-4d82-a863-01f055b8023f</errorID>
      <errorWord>只</errorWord>
      <group>L1_Knowledge</group>
      <groupName>知识性问题</groupName>
      <ability>L2_Knowledge</ability>
      <abilityName>其他知识</abilityName>
      <candidateList>
        <item>支</item>
      </candidateList>
      <explain>请检查“只”是否为量词使用错误，建议修改为“支”。</explain>
      <paraID>3D18A73B</paraID>
      <start>152</start>
      <end>153</end>
      <status>unmodified</status>
      <modifiedWord/>
      <trackRevisions>false</trackRevisions>
    </reviewItem>
    <reviewItem>
      <errorID>7e120726-4749-43c5-9d8e-309cd988f78a</errorID>
      <errorWord>只</errorWord>
      <group>L1_Knowledge</group>
      <groupName>知识性问题</groupName>
      <ability>L2_Knowledge</ability>
      <abilityName>其他知识</abilityName>
      <candidateList>
        <item>支</item>
      </candidateList>
      <explain>请检查“只”是否为量词使用错误，建议修改为“支”。</explain>
      <paraID>3D18A73B</paraID>
      <start>159</start>
      <end>160</end>
      <status>unmodified</status>
      <modifiedWord/>
      <trackRevisions>false</trackRevisions>
    </reviewItem>
    <reviewItem>
      <errorID>8b124e08-93c0-4a12-b46d-ab34980c8875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6E4117</paraID>
      <start>232</start>
      <end>235</end>
      <status>unmodified</status>
      <modifiedWord/>
      <trackRevisions>false</trackRevisions>
    </reviewItem>
    <reviewItem>
      <errorID>f840022d-fe51-4ade-94c8-165e3638d6d4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6E4117</paraID>
      <start>251</start>
      <end>252</end>
      <status>unmodified</status>
      <modifiedWord/>
      <trackRevisions>false</trackRevisions>
    </reviewItem>
    <reviewItem>
      <errorID>bc4145a6-6e37-46a1-9b2d-022be8ba1cf0</errorID>
      <errorWord>只</errorWord>
      <group>L1_Knowledge</group>
      <groupName>知识性问题</groupName>
      <ability>L2_Knowledge</ability>
      <abilityName>其他知识</abilityName>
      <candidateList>
        <item>支</item>
      </candidateList>
      <explain>请检查“只”是否为量词使用错误，建议修改为“支”。</explain>
      <paraID>  6E4117</paraID>
      <start>342</start>
      <end>343</end>
      <status>unmodified</status>
      <modifiedWord/>
      <trackRevisions>false</trackRevisions>
    </reviewItem>
    <reviewItem>
      <errorID>33b5833a-a25a-4b84-ab7e-606f2956fab6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3D4AB664</paraID>
      <start>0</start>
      <end>2</end>
      <status>unmodified</status>
      <modifiedWord/>
      <trackRevisions>false</trackRevisions>
    </reviewItem>
    <reviewItem>
      <errorID>2f5f5951-5681-459e-8fd1-f763b89d23a1</errorID>
      <errorWord>胶粘剂</errorWord>
      <group>L1_Word</group>
      <groupName>字词问题</groupName>
      <ability>L2_Typo</ability>
      <abilityName>字词错误</abilityName>
      <candidateList>
        <item>胶黏剂</item>
      </candidateList>
      <explain/>
      <paraID>71422DC3</paraID>
      <start>0</start>
      <end>3</end>
      <status>ignored</status>
      <modifiedWord/>
      <trackRevisions>false</trackRevisions>
    </reviewItem>
    <reviewItem>
      <errorID>6a32e118-9e29-4aed-a776-cd87326d31b6</errorID>
      <errorWord>50-55%</errorWord>
      <group>L1_Knowledge</group>
      <groupName>知识性问题</groupName>
      <ability>L2_Knowledge</ability>
      <abilityName>其他知识</abilityName>
      <candidateList>
        <item>50%—55%</item>
      </candidateList>
      <explain>1. “50-55%”中的单位“%”仅出现在后一个数字上，容易引起歧义；根据《现代汉语标点符号数字用法规范手册》，数字表示范围两边需要使用统一的格式。2. 根据标点国标 4.13 中的规则，数字、时间或地域连接符应使用（视觉上更长的）“—”或“～”。</explain>
      <paraID>3624BD6B</paraID>
      <start>17</start>
      <end>23</end>
      <status>unmodified</status>
      <modifiedWord/>
      <trackRevisions>false</trackRevisions>
    </reviewItem>
    <reviewItem>
      <errorID>5e807bf4-f59b-42f6-9a2b-7a7d4a015d80</errorID>
      <errorWord>25-30%</errorWord>
      <group>L1_Knowledge</group>
      <groupName>知识性问题</groupName>
      <ability>L2_Knowledge</ability>
      <abilityName>其他知识</abilityName>
      <candidateList>
        <item>25%—30%</item>
      </candidateList>
      <explain>1. “25-30%”中的单位“%”仅出现在后一个数字上，容易引起歧义；根据《现代汉语标点符号数字用法规范手册》，数字表示范围两边需要使用统一的格式。2. 根据标点国标 4.13 中的规则，数字、时间或地域连接符应使用（视觉上更长的）“—”或“～”。</explain>
      <paraID>3624BD6B</paraID>
      <start>29</start>
      <end>35</end>
      <status>unmodified</status>
      <modifiedWord/>
      <trackRevisions>false</trackRevisions>
    </reviewItem>
    <reviewItem>
      <errorID>a6ac7627-bda6-45ec-aeff-418baa6f9e41</errorID>
      <errorWord>12-14%</errorWord>
      <group>L1_Knowledge</group>
      <groupName>知识性问题</groupName>
      <ability>L2_Knowledge</ability>
      <abilityName>其他知识</abilityName>
      <candidateList>
        <item>12%—14%</item>
      </candidateList>
      <explain>1. “12-14%”中的单位“%”仅出现在后一个数字上，容易引起歧义；根据《现代汉语标点符号数字用法规范手册》，数字表示范围两边需要使用统一的格式。2. 根据标点国标 4.13 中的规则，数字、时间或地域连接符应使用（视觉上更长的）“—”或“～”。</explain>
      <paraID>3624BD6B</paraID>
      <start>43</start>
      <end>49</end>
      <status>unmodified</status>
      <modifiedWord/>
      <trackRevisions>false</trackRevisions>
    </reviewItem>
    <reviewItem>
      <errorID>2822ae1c-a4ea-47a2-98e1-a62179ad4d59</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3624BD6B</paraID>
      <start>53</start>
      <end>61</end>
      <status>unmodified</status>
      <modifiedWord/>
      <trackRevisions>false</trackRevisions>
    </reviewItem>
    <reviewItem>
      <errorID>39534326-c7c8-4f3e-a424-760079944829</errorID>
      <errorWord>-</errorWord>
      <group>L1_Format</group>
      <groupName>格式问题</groupName>
      <ability>L2_HalfPunc</ability>
      <abilityName>全半角检查</abilityName>
      <candidateList>
        <item>－</item>
      </candidateList>
      <explain>文本全半角错误。</explain>
      <paraID>3624BD6B</paraID>
      <start>65</start>
      <end>66</end>
      <status>unmodified</status>
      <modifiedWord/>
      <trackRevisions>false</trackRevisions>
    </reviewItem>
    <reviewItem>
      <errorID>c51a33a7-3846-4b5b-9e46-d10d6f690a5d</errorID>
      <errorWord>3-5%</errorWord>
      <group>L1_Knowledge</group>
      <groupName>知识性问题</groupName>
      <ability>L2_Knowledge</ability>
      <abilityName>其他知识</abilityName>
      <candidateList>
        <item>3%—5%</item>
      </candidateList>
      <explain>1. “3-5%”中的单位“%”仅出现在后一个数字上，容易引起歧义；根据《现代汉语标点符号数字用法规范手册》，数字表示范围两边需要使用统一的格式。2. 根据标点国标 4.13 中的规则，数字、时间或地域连接符应使用（视觉上更长的）“—”或“～”。</explain>
      <paraID>3624BD6B</paraID>
      <start>75</start>
      <end>79</end>
      <status>unmodified</status>
      <modifiedWord/>
      <trackRevisions>false</trackRevisions>
    </reviewItem>
    <reviewItem>
      <errorID>2619592c-80c2-41ab-b22c-90933100ac14</errorID>
      <errorWord>0.5-2%</errorWord>
      <group>L1_Knowledge</group>
      <groupName>知识性问题</groupName>
      <ability>L2_Knowledge</ability>
      <abilityName>其他知识</abilityName>
      <candidateList>
        <item>0.5%—2%</item>
      </candidateList>
      <explain>1. “0.5-2%”中的单位“%”仅出现在后一个数字上，容易引起歧义；根据《现代汉语标点符号数字用法规范手册》，数字表示范围两边需要使用统一的格式。2. 根据标点国标 4.13 中的规则，数字、时间或地域连接符应使用（视觉上更长的）“—”或“～”。</explain>
      <paraID>3624BD6B</paraID>
      <start>96</start>
      <end>102</end>
      <status>unmodified</status>
      <modifiedWord/>
      <trackRevisions>false</trackRevisions>
    </reviewItem>
    <reviewItem>
      <errorID>02617be6-7223-47a8-8af7-76128ee54555</errorID>
      <errorWord>嗅</errorWord>
      <group>L1_Word</group>
      <groupName>字词问题</groupName>
      <ability>L2_Typo</ability>
      <abilityName>字词错误</abilityName>
      <candidateList>
        <item>臭</item>
      </candidateList>
      <explain>存在字形相近字词的误用。</explain>
      <paraID>5F7D3CFA</paraID>
      <start>1</start>
      <end>2</end>
      <status>unmodified</status>
      <modifiedWord/>
      <trackRevisions>false</trackRevisions>
    </reviewItem>
    <reviewItem>
      <errorID>d11ccc3b-f13e-4a5c-8059-d3725dbdbbdc</errorID>
      <errorWord>粘稠</errorWord>
      <group>L1_Word</group>
      <groupName>字词问题</groupName>
      <ability>L2_Typo</ability>
      <abilityName>字词错误</abilityName>
      <candidateList>
        <item>黏稠</item>
      </candidateList>
      <explain>存在发音相同字词的误用。</explain>
      <paraID>338AC9D6</paraID>
      <start>5</start>
      <end>7</end>
      <status>unmodified</status>
      <modifiedWord/>
      <trackRevisions>false</trackRevisions>
    </reviewItem>
    <reviewItem>
      <errorID>d5cc4b9c-4ebf-4631-b506-6e60e74f58d3</errorID>
      <errorWord>粘稠</errorWord>
      <group>L1_Word</group>
      <groupName>字词问题</groupName>
      <ability>L2_Typo</ability>
      <abilityName>字词错误</abilityName>
      <candidateList>
        <item>黏稠</item>
      </candidateList>
      <explain>存在发音相同字词的误用。</explain>
      <paraID>6ED9AEFB</paraID>
      <start>10</start>
      <end>12</end>
      <status>unmodified</status>
      <modifiedWord/>
      <trackRevisions>false</trackRevisions>
    </reviewItem>
    <reviewItem>
      <errorID>e3d2f24f-e45f-4a5b-928f-baaa9174c6b4</errorID>
      <errorWord>：</errorWord>
      <group>L1_Format</group>
      <groupName>格式问题</groupName>
      <ability>L2_HalfPunc</ability>
      <abilityName>全半角检查</abilityName>
      <candidateList>
        <item>:</item>
      </candidateList>
      <explain>文本全半角错误。</explain>
      <paraID>48ED13D5</paraID>
      <start>154</start>
      <end>155</end>
      <status>unmodified</status>
      <modifiedWord/>
      <trackRevisions>false</trackRevisions>
    </reviewItem>
    <reviewItem>
      <errorID>2c13f973-81f5-4c04-a97f-674adbe71bdf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71746A91</paraID>
      <start>0</start>
      <end>2</end>
      <status>unmodified</status>
      <modifiedWord/>
      <trackRevisions>false</trackRevisions>
    </reviewItem>
    <reviewItem>
      <errorID>8b0e3bdf-952a-49b0-9632-3bba4db52d38</errorID>
      <errorWord>-</errorWord>
      <group>L1_Format</group>
      <groupName>格式问题</groupName>
      <ability>L2_HalfPunc</ability>
      <abilityName>全半角检查</abilityName>
      <candidateList>
        <item>－</item>
      </candidateList>
      <explain>文本全半角错误。</explain>
      <paraID>71746A91</paraID>
      <start>3</start>
      <end>4</end>
      <status>unmodified</status>
      <modifiedWord/>
      <trackRevisions>false</trackRevisions>
    </reviewItem>
    <reviewItem>
      <errorID>70f97552-22eb-4935-85ef-d27d658f285d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66468FFB</paraID>
      <start>0</start>
      <end>2</end>
      <status>unmodified</status>
      <modifiedWord/>
      <trackRevisions>false</trackRevisions>
    </reviewItem>
    <reviewItem>
      <errorID>2df15899-2e38-4d43-b4a0-0d2f91344009</errorID>
      <errorWord>胶粘剂</errorWord>
      <group>L1_Word</group>
      <groupName>字词问题</groupName>
      <ability>L2_Typo</ability>
      <abilityName>字词错误</abilityName>
      <candidateList>
        <item>胶黏剂</item>
      </candidateList>
      <explain/>
      <paraID>6988BB82</paraID>
      <start>0</start>
      <end>3</end>
      <status>ignored</status>
      <modifiedWord/>
      <trackRevisions>false</trackRevisions>
    </reviewItem>
    <reviewItem>
      <errorID>6f0337fb-433e-47ed-9a1d-dc52c50a4589</errorID>
      <errorWord>胶粘剂</errorWord>
      <group>L1_Word</group>
      <groupName>字词问题</groupName>
      <ability>L2_Typo</ability>
      <abilityName>字词错误</abilityName>
      <candidateList>
        <item>胶黏剂</item>
      </candidateList>
      <explain/>
      <paraID>14306B27</paraID>
      <start>5</start>
      <end>8</end>
      <status>ignored</status>
      <modifiedWord/>
      <trackRevisions>false</trackRevisions>
    </reviewItem>
    <reviewItem>
      <errorID>37118964-bc67-46d5-8e07-667541bbbb3f</errorID>
      <errorWord>50-55%</errorWord>
      <group>L1_Knowledge</group>
      <groupName>知识性问题</groupName>
      <ability>L2_Knowledge</ability>
      <abilityName>其他知识</abilityName>
      <candidateList>
        <item>50%—55%</item>
      </candidateList>
      <explain>1. “50-55%”中的单位“%”仅出现在后一个数字上，容易引起歧义；根据《现代汉语标点符号数字用法规范手册》，数字表示范围两边需要使用统一的格式。2. 根据标点国标 4.13 中的规则，数字、时间或地域连接符应使用（视觉上更长的）“—”或“～”。</explain>
      <paraID>14306B27</paraID>
      <start>23</start>
      <end>29</end>
      <status>unmodified</status>
      <modifiedWord/>
      <trackRevisions>false</trackRevisions>
    </reviewItem>
    <reviewItem>
      <errorID>dd9a4c92-4d27-4639-a3c1-68b1083e2107</errorID>
      <errorWord>25-30%</errorWord>
      <group>L1_Knowledge</group>
      <groupName>知识性问题</groupName>
      <ability>L2_Knowledge</ability>
      <abilityName>其他知识</abilityName>
      <candidateList>
        <item>25%—30%</item>
      </candidateList>
      <explain>1. “25-30%”中的单位“%”仅出现在后一个数字上，容易引起歧义；根据《现代汉语标点符号数字用法规范手册》，数字表示范围两边需要使用统一的格式。2. 根据标点国标 4.13 中的规则，数字、时间或地域连接符应使用（视觉上更长的）“—”或“～”。</explain>
      <paraID>14306B27</paraID>
      <start>35</start>
      <end>41</end>
      <status>unmodified</status>
      <modifiedWord/>
      <trackRevisions>false</trackRevisions>
    </reviewItem>
    <reviewItem>
      <errorID>19e12adb-f576-4b67-be7c-ac7a407a2db4</errorID>
      <errorWord>12-14%</errorWord>
      <group>L1_Knowledge</group>
      <groupName>知识性问题</groupName>
      <ability>L2_Knowledge</ability>
      <abilityName>其他知识</abilityName>
      <candidateList>
        <item>12%—14%</item>
      </candidateList>
      <explain>1. “12-14%”中的单位“%”仅出现在后一个数字上，容易引起歧义；根据《现代汉语标点符号数字用法规范手册》，数字表示范围两边需要使用统一的格式。2. 根据标点国标 4.13 中的规则，数字、时间或地域连接符应使用（视觉上更长的）“—”或“～”。</explain>
      <paraID>14306B27</paraID>
      <start>49</start>
      <end>55</end>
      <status>unmodified</status>
      <modifiedWord/>
      <trackRevisions>false</trackRevisions>
    </reviewItem>
    <reviewItem>
      <errorID>248db2e6-afb3-4aeb-a8b5-6f65f6de9c09</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14306B27</paraID>
      <start>59</start>
      <end>67</end>
      <status>unmodified</status>
      <modifiedWord/>
      <trackRevisions>false</trackRevisions>
    </reviewItem>
    <reviewItem>
      <errorID>6054cf91-949b-48cc-a958-3715555f6765</errorID>
      <errorWord>-</errorWord>
      <group>L1_Format</group>
      <groupName>格式问题</groupName>
      <ability>L2_HalfPunc</ability>
      <abilityName>全半角检查</abilityName>
      <candidateList>
        <item>－</item>
      </candidateList>
      <explain>文本全半角错误。</explain>
      <paraID>14306B27</paraID>
      <start>71</start>
      <end>72</end>
      <status>unmodified</status>
      <modifiedWord/>
      <trackRevisions>false</trackRevisions>
    </reviewItem>
    <reviewItem>
      <errorID>20cf2fb9-a58d-45d0-b486-e992dcc540af</errorID>
      <errorWord>3-5%</errorWord>
      <group>L1_Knowledge</group>
      <groupName>知识性问题</groupName>
      <ability>L2_Knowledge</ability>
      <abilityName>其他知识</abilityName>
      <candidateList>
        <item>3%—5%</item>
      </candidateList>
      <explain>1. “3-5%”中的单位“%”仅出现在后一个数字上，容易引起歧义；根据《现代汉语标点符号数字用法规范手册》，数字表示范围两边需要使用统一的格式。2. 根据标点国标 4.13 中的规则，数字、时间或地域连接符应使用（视觉上更长的）“—”或“～”。</explain>
      <paraID>14306B27</paraID>
      <start>81</start>
      <end>85</end>
      <status>unmodified</status>
      <modifiedWord/>
      <trackRevisions>false</trackRevisions>
    </reviewItem>
    <reviewItem>
      <errorID>eed431ab-a5de-484c-b37c-e4bacdb5ed40</errorID>
      <errorWord>0.5-2%</errorWord>
      <group>L1_Knowledge</group>
      <groupName>知识性问题</groupName>
      <ability>L2_Knowledge</ability>
      <abilityName>其他知识</abilityName>
      <candidateList>
        <item>0.5%—2%</item>
      </candidateList>
      <explain>1. “0.5-2%”中的单位“%”仅出现在后一个数字上，容易引起歧义；根据《现代汉语标点符号数字用法规范手册》，数字表示范围两边需要使用统一的格式。2. 根据标点国标 4.13 中的规则，数字、时间或地域连接符应使用（视觉上更长的）“—”或“～”。</explain>
      <paraID>14306B27</paraID>
      <start>102</start>
      <end>108</end>
      <status>unmodified</status>
      <modifiedWord/>
      <trackRevisions>false</trackRevisions>
    </reviewItem>
    <reviewItem>
      <errorID>006760c3-d602-441c-9168-001d2e52f168</errorID>
      <errorWord>胶粘剂</errorWord>
      <group>L1_Word</group>
      <groupName>字词问题</groupName>
      <ability>L2_Typo</ability>
      <abilityName>字词错误</abilityName>
      <candidateList>
        <item>胶黏剂</item>
      </candidateList>
      <explain/>
      <paraID>14306B27</paraID>
      <start>114</start>
      <end>117</end>
      <status>ignored</status>
      <modifiedWord/>
      <trackRevisions>false</trackRevisions>
    </reviewItem>
    <reviewItem>
      <errorID>92ec953d-7e3c-4e55-b256-4c0c3ced6465</errorID>
      <errorWord>胶粘</errorWord>
      <group>L1_Word</group>
      <groupName>字词问题</groupName>
      <ability>L2_Typo</ability>
      <abilityName>字词错误</abilityName>
      <candidateList>
        <item>胶黏</item>
      </candidateList>
      <explain/>
      <paraID>14306B27</paraID>
      <start>128</start>
      <end>130</end>
      <status>ignored</status>
      <modifiedWord/>
      <trackRevisions>false</trackRevisions>
    </reviewItem>
    <reviewItem>
      <errorID>be09e82f-8f58-450f-b959-a6a3624b4cb8</errorID>
      <errorWord>胶粘剂</errorWord>
      <group>L1_Word</group>
      <groupName>字词问题</groupName>
      <ability>L2_Typo</ability>
      <abilityName>字词错误</abilityName>
      <candidateList>
        <item>胶黏剂</item>
      </candidateList>
      <explain/>
      <paraID>14306B27</paraID>
      <start>163</start>
      <end>166</end>
      <status>ignored</status>
      <modifiedWord/>
      <trackRevisions>false</trackRevisions>
    </reviewItem>
    <reviewItem>
      <errorID>c7c391ff-8cb4-4e14-ada1-7e6e375da7bf</errorID>
      <errorWord>胶粘剂</errorWord>
      <group>L1_Word</group>
      <groupName>字词问题</groupName>
      <ability>L2_Typo</ability>
      <abilityName>字词错误</abilityName>
      <candidateList>
        <item>胶黏剂</item>
      </candidateList>
      <explain/>
      <paraID>30371941</paraID>
      <start>9</start>
      <end>12</end>
      <status>ignored</status>
      <modifiedWord/>
      <trackRevisions>false</trackRevisions>
    </reviewItem>
    <reviewItem>
      <errorID>e0338459-771a-4927-be68-068b2244278c</errorID>
      <errorWord>胶粘剂</errorWord>
      <group>L1_Word</group>
      <groupName>字词问题</groupName>
      <ability>L2_Typo</ability>
      <abilityName>字词错误</abilityName>
      <candidateList>
        <item>胶黏剂</item>
      </candidateList>
      <explain/>
      <paraID> 6CE48EC</paraID>
      <start>2</start>
      <end>5</end>
      <status>ignored</status>
      <modifiedWord/>
      <trackRevisions>false</trackRevisions>
    </reviewItem>
    <reviewItem>
      <errorID>bf2cfb33-ce83-4cb6-ab63-a947d71bd42d</errorID>
      <errorWord>胶粘剂</errorWord>
      <group>L1_Word</group>
      <groupName>字词问题</groupName>
      <ability>L2_Typo</ability>
      <abilityName>字词错误</abilityName>
      <candidateList>
        <item>胶黏剂</item>
      </candidateList>
      <explain/>
      <paraID> 6CE48EC</paraID>
      <start>19</start>
      <end>22</end>
      <status>ignored</status>
      <modifiedWord/>
      <trackRevisions>false</trackRevisions>
    </reviewItem>
    <reviewItem>
      <errorID>a597ebe4-3837-4b52-9797-8e5fd73f7617</errorID>
      <errorWord>胶粘剂</errorWord>
      <group>L1_Word</group>
      <groupName>字词问题</groupName>
      <ability>L2_Typo</ability>
      <abilityName>字词错误</abilityName>
      <candidateList>
        <item>胶黏剂</item>
      </candidateList>
      <explain/>
      <paraID> 6CE48EC</paraID>
      <start>67</start>
      <end>70</end>
      <status>ignored</status>
      <modifiedWord/>
      <trackRevisions>false</trackRevisions>
    </reviewItem>
    <reviewItem>
      <errorID>150725e9-4d1a-4843-977f-df10afa7d821</errorID>
      <errorWord>胶粘剂</errorWord>
      <group>L1_Word</group>
      <groupName>字词问题</groupName>
      <ability>L2_Typo</ability>
      <abilityName>字词错误</abilityName>
      <candidateList>
        <item>胶黏剂</item>
      </candidateList>
      <explain/>
      <paraID>71426A4D</paraID>
      <start>84</start>
      <end>87</end>
      <status>ignored</status>
      <modifiedWord/>
      <trackRevisions>false</trackRevisions>
    </reviewItem>
    <reviewItem>
      <errorID>b2b28fbf-f24f-4aa8-b4c2-d5c713455ae7</errorID>
      <errorWord>胶粘剂</errorWord>
      <group>L1_Word</group>
      <groupName>字词问题</groupName>
      <ability>L2_Typo</ability>
      <abilityName>字词错误</abilityName>
      <candidateList>
        <item>胶黏剂</item>
      </candidateList>
      <explain/>
      <paraID>71426A4D</paraID>
      <start>125</start>
      <end>128</end>
      <status>ignored</status>
      <modifiedWord/>
      <trackRevisions>false</trackRevisions>
    </reviewItem>
    <reviewItem>
      <errorID>26315064-b6bc-4c72-8040-1a7ac6bbfd7c</errorID>
      <errorWord>胶粘剂</errorWord>
      <group>L1_Word</group>
      <groupName>字词问题</groupName>
      <ability>L2_Typo</ability>
      <abilityName>字词错误</abilityName>
      <candidateList>
        <item>胶黏剂</item>
      </candidateList>
      <explain/>
      <paraID>71426A4D</paraID>
      <start>160</start>
      <end>163</end>
      <status>ignored</status>
      <modifiedWord/>
      <trackRevisions>false</trackRevisions>
    </reviewItem>
    <reviewItem>
      <errorID>9ee40f02-ea0f-42b6-b00b-98f4c0ca8795</errorID>
      <errorWord>胶粘</errorWord>
      <group>L1_Word</group>
      <groupName>字词问题</groupName>
      <ability>L2_Typo</ability>
      <abilityName>字词错误</abilityName>
      <candidateList>
        <item>胶黏</item>
      </candidateList>
      <explain/>
      <paraID>71426A4D</paraID>
      <start>166</start>
      <end>168</end>
      <status>ignored</status>
      <modifiedWord/>
      <trackRevisions>false</trackRevisions>
    </reviewItem>
    <reviewItem>
      <errorID>bf1feb0d-d0c1-4468-b12a-bbe20b1250dd</errorID>
      <errorWord>胶粘剂</errorWord>
      <group>L1_Word</group>
      <groupName>字词问题</groupName>
      <ability>L2_Typo</ability>
      <abilityName>字词错误</abilityName>
      <candidateList>
        <item>胶黏剂</item>
      </candidateList>
      <explain/>
      <paraID>71426A4D</paraID>
      <start>206</start>
      <end>209</end>
      <status>ignored</status>
      <modifiedWord/>
      <trackRevisions>false</trackRevisions>
    </reviewItem>
    <reviewItem>
      <errorID>adef51b1-24f8-4288-ab3f-396fa3e4d750</errorID>
      <errorWord>胶粘</errorWord>
      <group>L1_Word</group>
      <groupName>字词问题</groupName>
      <ability>L2_Typo</ability>
      <abilityName>字词错误</abilityName>
      <candidateList>
        <item>胶黏</item>
      </candidateList>
      <explain/>
      <paraID>71426A4D</paraID>
      <start>236</start>
      <end>238</end>
      <status>ignored</status>
      <modifiedWord/>
      <trackRevisions>false</trackRevisions>
    </reviewItem>
    <reviewItem>
      <errorID>68beacdc-a476-48d9-9747-889eb83ef617</errorID>
      <errorWord>(</errorWord>
      <group>L1_Format</group>
      <groupName>格式问题</groupName>
      <ability>L2_HalfPunc</ability>
      <abilityName>全半角检查</abilityName>
      <candidateList>
        <item>（</item>
      </candidateList>
      <explain>文本全半角错误。</explain>
      <paraID>71426A4D</paraID>
      <start>250</start>
      <end>251</end>
      <status>unmodified</status>
      <modifiedWord/>
      <trackRevisions>false</trackRevisions>
    </reviewItem>
    <reviewItem>
      <errorID>2ec9e374-ce18-4afe-a770-da9f93dfc647</errorID>
      <errorWord>)</errorWord>
      <group>L1_Format</group>
      <groupName>格式问题</groupName>
      <ability>L2_HalfPunc</ability>
      <abilityName>全半角检查</abilityName>
      <candidateList>
        <item>）</item>
      </candidateList>
      <explain>文本全半角错误。</explain>
      <paraID>71426A4D</paraID>
      <start>263</start>
      <end>264</end>
      <status>unmodified</status>
      <modifiedWord/>
      <trackRevisions>false</trackRevisions>
    </reviewItem>
    <reviewItem>
      <errorID>528e82fa-5d23-408c-8b83-a1ea73b76753</errorID>
      <errorWord>胶粘剂</errorWord>
      <group>L1_Word</group>
      <groupName>字词问题</groupName>
      <ability>L2_Typo</ability>
      <abilityName>字词错误</abilityName>
      <candidateList>
        <item>胶黏剂</item>
      </candidateList>
      <explain/>
      <paraID>71426A4D</paraID>
      <start>316</start>
      <end>319</end>
      <status>ignored</status>
      <modifiedWord/>
      <trackRevisions>false</trackRevisions>
    </reviewItem>
    <reviewItem>
      <errorID>1cc91812-d0b1-45d7-a535-24c96a5de347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46AFB14B</paraID>
      <start>0</start>
      <end>2</end>
      <status>unmodified</status>
      <modifiedWord/>
      <trackRevisions>false</trackRevisions>
    </reviewItem>
    <reviewItem>
      <errorID>704c18a3-c1a1-49f9-bc99-e8870ac12ede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13E15A00</paraID>
      <start>0</start>
      <end>2</end>
      <status>unmodified</status>
      <modifiedWord/>
      <trackRevisions>false</trackRevisions>
    </reviewItem>
    <reviewItem>
      <errorID>92d01b00-b1be-4cd1-96b1-777d40708fab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643A0D5A</paraID>
      <start>0</start>
      <end>2</end>
      <status>unmodified</status>
      <modifiedWord/>
      <trackRevisions>false</trackRevisions>
    </reviewItem>
    <reviewItem>
      <errorID>825430fa-b50d-442b-9359-8c8c2a1ce239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4EA3BF2D</paraID>
      <start>0</start>
      <end>2</end>
      <status>unmodified</status>
      <modifiedWord/>
      <trackRevisions>false</trackRevisions>
    </reviewItem>
    <reviewItem>
      <errorID>3d064922-8c76-4947-98b3-c96dcc8723a6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11667C5B</paraID>
      <start>0</start>
      <end>2</end>
      <status>unmodified</status>
      <modifiedWord/>
      <trackRevisions>false</trackRevisions>
    </reviewItem>
    <reviewItem>
      <errorID>caefaaf1-9e1f-413c-803b-0bbaa603f63b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1AB79707</paraID>
      <start>0</start>
      <end>2</end>
      <status>unmodified</status>
      <modifiedWord/>
      <trackRevisions>false</trackRevisions>
    </reviewItem>
    <reviewItem>
      <errorID>b8d26c3e-7ebe-4591-aa5b-d26aec57e21c</errorID>
      <errorWord>胶粘剂</errorWord>
      <group>L1_Word</group>
      <groupName>字词问题</groupName>
      <ability>L2_Typo</ability>
      <abilityName>字词错误</abilityName>
      <candidateList>
        <item>胶黏剂</item>
      </candidateList>
      <explain/>
      <paraID> 2A44A01</paraID>
      <start>51</start>
      <end>54</end>
      <status>ignored</status>
      <modifiedWord/>
      <trackRevisions>false</trackRevisions>
    </reviewItem>
    <reviewItem>
      <errorID>a837a470-db27-4b91-a31e-cae048f0c01f</errorID>
      <errorWord>胶粘剂</errorWord>
      <group>L1_Word</group>
      <groupName>字词问题</groupName>
      <ability>L2_Typo</ability>
      <abilityName>字词错误</abilityName>
      <candidateList>
        <item>胶黏剂</item>
      </candidateList>
      <explain/>
      <paraID> 2A44A01</paraID>
      <start>80</start>
      <end>83</end>
      <status>ignored</status>
      <modifiedWord/>
      <trackRevisions>false</trackRevisions>
    </reviewItem>
    <reviewItem>
      <errorID>acaa3eba-8cda-4ee4-8bc4-ab35bc207bce</errorID>
      <errorWord>胶粘剂</errorWord>
      <group>L1_Word</group>
      <groupName>字词问题</groupName>
      <ability>L2_Typo</ability>
      <abilityName>字词错误</abilityName>
      <candidateList>
        <item>胶黏剂</item>
      </candidateList>
      <explain/>
      <paraID>69EEF89A</paraID>
      <start>99</start>
      <end>102</end>
      <status>ignored</status>
      <modifiedWord/>
      <trackRevisions>false</trackRevisions>
    </reviewItem>
    <reviewItem>
      <errorID>760eba39-422c-40d0-8523-69975b0661f3</errorID>
      <errorWord>胶粘剂</errorWord>
      <group>L1_Word</group>
      <groupName>字词问题</groupName>
      <ability>L2_Typo</ability>
      <abilityName>字词错误</abilityName>
      <candidateList>
        <item>胶黏剂</item>
      </candidateList>
      <explain/>
      <paraID>334486A2</paraID>
      <start>14</start>
      <end>17</end>
      <status>ignored</status>
      <modifiedWord/>
      <trackRevisions>false</trackRevisions>
    </reviewItem>
    <reviewItem>
      <errorID>2e647ce0-4c00-42f8-83b6-eb926beae059</errorID>
      <errorWord>只</errorWord>
      <group>L1_Knowledge</group>
      <groupName>知识性问题</groupName>
      <ability>L2_Knowledge</ability>
      <abilityName>其他知识</abilityName>
      <candidateList>
        <item>支</item>
      </candidateList>
      <explain>请检查“只”是否为量词使用错误，建议修改为“支”。</explain>
      <paraID>4E9AF4AA</paraID>
      <start>36</start>
      <end>37</end>
      <status>unmodified</status>
      <modifiedWord/>
      <trackRevisions>false</trackRevisions>
    </reviewItem>
    <reviewItem>
      <errorID>bca68fe9-b4c2-4942-82f0-ffce0bdcd66f</errorID>
      <errorWord>只</errorWord>
      <group>L1_Knowledge</group>
      <groupName>知识性问题</groupName>
      <ability>L2_Knowledge</ability>
      <abilityName>其他知识</abilityName>
      <candidateList>
        <item>支</item>
      </candidateList>
      <explain>请检查“只”是否为量词使用错误，建议修改为“支”。</explain>
      <paraID> 104E996</paraID>
      <start>40</start>
      <end>41</end>
      <status>unmodified</status>
      <modifiedWord/>
      <trackRevisions>false</trackRevisions>
    </reviewItem>
    <reviewItem>
      <errorID>902e16d3-4b4e-43d3-959e-2ea697246359</errorID>
      <errorWord>～</errorWord>
      <group>L1_Format</group>
      <groupName>格式问题</groupName>
      <ability>L2_HalfPunc</ability>
      <abilityName>全半角检查</abilityName>
      <candidateList>
        <item>~</item>
      </candidateList>
      <explain>文本全半角错误。</explain>
      <paraID>1696E205</paraID>
      <start>1</start>
      <end>2</end>
      <status>unmodified</status>
      <modifiedWord/>
      <trackRevisions>false</trackRevisions>
    </reviewItem>
    <reviewItem>
      <errorID>6e9bdadb-e5ac-45b4-b1ab-3db0ffe549bf</errorID>
      <errorWord>州</errorWord>
      <group>L1_Word</group>
      <groupName>字词问题</groupName>
      <ability>L2_Typo</ability>
      <abilityName>字词错误</abilityName>
      <candidateList>
        <item>州市</item>
      </candidateList>
      <explain/>
      <paraID>479D4AD4</paraID>
      <start>44</start>
      <end>45</end>
      <status>unmodified</status>
      <modifiedWord/>
      <trackRevisions>false</trackRevisions>
    </reviewItem>
    <reviewItem>
      <errorID>49267bab-b9c9-444b-91d5-7ebf64c83a40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1CCD1673</paraID>
      <start>14</start>
      <end>15</end>
      <status>unmodified</status>
      <modifiedWord/>
      <trackRevisions>false</trackRevisions>
    </reviewItem>
    <reviewItem>
      <errorID>7d03236a-2ed7-40d8-b0cd-2f8645c5823b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1DA80C34</paraID>
      <start>0</start>
      <end>2</end>
      <status>unmodified</status>
      <modifiedWord/>
      <trackRevisions>false</trackRevisions>
    </reviewItem>
    <reviewItem>
      <errorID>9c118b6a-88f7-4d0c-ab2e-6fc743a3a5c5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48DE0258</paraID>
      <start>0</start>
      <end>2</end>
      <status>unmodified</status>
      <modifiedWord/>
      <trackRevisions>false</trackRevisions>
    </reviewItem>
    <reviewItem>
      <errorID>8aed9b2b-57a9-4486-bbf3-dff9bf139b98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2A35A92B</paraID>
      <start>0</start>
      <end>2</end>
      <status>unmodified</status>
      <modifiedWord/>
      <trackRevisions>false</trackRevisions>
    </reviewItem>
    <reviewItem>
      <errorID>7724885e-7828-4823-9404-0600a153476c</errorID>
      <errorWord>（</errorWord>
      <group>L1_Format</group>
      <groupName>格式问题</groupName>
      <ability>L2_HalfPunc</ability>
      <abilityName>全半角检查</abilityName>
      <candidateList>
        <item>(</item>
      </candidateList>
      <explain>文本全半角错误。</explain>
      <paraID> 9D0D4ED</paraID>
      <start>0</start>
      <end>1</end>
      <status>unmodified</status>
      <modifiedWord/>
      <trackRevisions>false</trackRevisions>
    </reviewItem>
    <reviewItem>
      <errorID>4f96789f-edd1-419b-aa1b-adac69ae394d</errorID>
      <errorWord>）</errorWord>
      <group>L1_Format</group>
      <groupName>格式问题</groupName>
      <ability>L2_HalfPunc</ability>
      <abilityName>全半角检查</abilityName>
      <candidateList>
        <item>)</item>
      </candidateList>
      <explain>文本全半角错误。</explain>
      <paraID> 9D0D4ED</paraID>
      <start>6</start>
      <end>7</end>
      <status>unmodified</status>
      <modifiedWord/>
      <trackRevisions>false</trackRevisions>
    </reviewItem>
    <reviewItem>
      <errorID>a915e12b-8e70-4a59-ae15-43d263a66d2c</errorID>
      <errorWord>（</errorWord>
      <group>L1_Format</group>
      <groupName>格式问题</groupName>
      <ability>L2_HalfPunc</ability>
      <abilityName>全半角检查</abilityName>
      <candidateList>
        <item>(</item>
      </candidateList>
      <explain>文本全半角错误。</explain>
      <paraID>5C573D85</paraID>
      <start>0</start>
      <end>1</end>
      <status>unmodified</status>
      <modifiedWord/>
      <trackRevisions>false</trackRevisions>
    </reviewItem>
    <reviewItem>
      <errorID>904bef6a-1981-41b5-96e4-ca4119702424</errorID>
      <errorWord>）</errorWord>
      <group>L1_Format</group>
      <groupName>格式问题</groupName>
      <ability>L2_HalfPunc</ability>
      <abilityName>全半角检查</abilityName>
      <candidateList>
        <item>)</item>
      </candidateList>
      <explain>文本全半角错误。</explain>
      <paraID>5C573D85</paraID>
      <start>6</start>
      <end>7</end>
      <status>unmodified</status>
      <modifiedWord/>
      <trackRevisions>false</trackRevisions>
    </reviewItem>
    <reviewItem>
      <errorID>46c8df6c-f379-4985-8cfb-d9f21158ef41</errorID>
      <errorWord>(</errorWord>
      <group>L1_Format</group>
      <groupName>格式问题</groupName>
      <ability>L2_HalfPunc</ability>
      <abilityName>全半角检查</abilityName>
      <candidateList>
        <item>（</item>
      </candidateList>
      <explain>文本全半角错误。</explain>
      <paraID>654728FA</paraID>
      <start>23</start>
      <end>24</end>
      <status>unmodified</status>
      <modifiedWord/>
      <trackRevisions>false</trackRevisions>
    </reviewItem>
    <reviewItem>
      <errorID>11dd3266-b708-4a5c-81be-f0c9e57b3cdf</errorID>
      <errorWord>)</errorWord>
      <group>L1_Format</group>
      <groupName>格式问题</groupName>
      <ability>L2_HalfPunc</ability>
      <abilityName>全半角检查</abilityName>
      <candidateList>
        <item>）</item>
      </candidateList>
      <explain>文本全半角错误。</explain>
      <paraID>654728FA</paraID>
      <start>27</start>
      <end>28</end>
      <status>unmodified</status>
      <modifiedWord/>
      <trackRevisions>false</trackRevisions>
    </reviewItem>
    <reviewItem>
      <errorID>2e7d23d8-79f1-402a-b8ce-ffd621fefd6d</errorID>
      <errorWord>)</errorWord>
      <group>L1_Format</group>
      <groupName>格式问题</groupName>
      <ability>L2_HalfPunc</ability>
      <abilityName>全半角检查</abilityName>
      <candidateList>
        <item>）</item>
      </candidateList>
      <explain>文本全半角错误。</explain>
      <paraID>654728FA</paraID>
      <start>46</start>
      <end>47</end>
      <status>unmodified</status>
      <modifiedWord/>
      <trackRevisions>false</trackRevisions>
    </reviewItem>
    <reviewItem>
      <errorID>cfd22db0-08aa-4bd8-b598-8c4b28a16de4</errorID>
      <errorWord>&lt;</errorWord>
      <group>L1_Format</group>
      <groupName>格式问题</groupName>
      <ability>L2_HalfPunc</ability>
      <abilityName>全半角检查</abilityName>
      <candidateList>
        <item>〈</item>
      </candidateList>
      <explain>文本全半角错误。</explain>
      <paraID>6783BEEB</paraID>
      <start>28</start>
      <end>29</end>
      <status>unmodified</status>
      <modifiedWord/>
      <trackRevisions>false</trackRevisions>
    </reviewItem>
    <reviewItem>
      <errorID>05ea713f-6967-4dfe-89dc-a47a9de48d7d</errorID>
      <errorWord>&gt;的通知》</errorWord>
      <group>L1_Punc</group>
      <groupName>标点问题</groupName>
      <ability>L2_Punc</ability>
      <abilityName>标点符号检查</abilityName>
      <candidateList>
        <item>〉的通知》</item>
      </candidateList>
      <explain/>
      <paraID>6783BEEB</paraID>
      <start>48</start>
      <end>53</end>
      <status>unmodified</status>
      <modifiedWord/>
      <trackRevisions>false</trackRevisions>
    </reviewItem>
    <reviewItem>
      <errorID>3d4f8f74-b6de-4e4b-a3bb-7e38b21574ab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A76DB6A</paraID>
      <start>81</start>
      <end>82</end>
      <status>unmodified</status>
      <modifiedWord/>
      <trackRevisions>false</trackRevisions>
    </reviewItem>
    <reviewItem>
      <errorID>3b4f9302-d705-4870-bc2d-76c49b884dcd</errorID>
      <errorWord>(</errorWord>
      <group>L1_Format</group>
      <groupName>格式问题</groupName>
      <ability>L2_HalfPunc</ability>
      <abilityName>全半角检查</abilityName>
      <candidateList>
        <item>（</item>
      </candidateList>
      <explain>文本全半角错误。</explain>
      <paraID>41BAD9EE</paraID>
      <start>4</start>
      <end>5</end>
      <status>unmodified</status>
      <modifiedWord/>
      <trackRevisions>false</trackRevisions>
    </reviewItem>
    <reviewItem>
      <errorID>f03fc897-ce2c-428d-b5c0-a93c35b720d5</errorID>
      <errorWord>)</errorWord>
      <group>L1_Format</group>
      <groupName>格式问题</groupName>
      <ability>L2_HalfPunc</ability>
      <abilityName>全半角检查</abilityName>
      <candidateList>
        <item>）</item>
      </candidateList>
      <explain>文本全半角错误。</explain>
      <paraID>41BAD9EE</paraID>
      <start>10</start>
      <end>11</end>
      <status>unmodified</status>
      <modifiedWord/>
      <trackRevisions>false</trackRevisions>
    </reviewItem>
    <reviewItem>
      <errorID>31ab9bed-6740-484c-8393-28f93fc73b66</errorID>
      <errorWord>(</errorWord>
      <group>L1_Format</group>
      <groupName>格式问题</groupName>
      <ability>L2_HalfPunc</ability>
      <abilityName>全半角检查</abilityName>
      <candidateList>
        <item>（</item>
      </candidateList>
      <explain>文本全半角错误。</explain>
      <paraID>79113593</paraID>
      <start>6</start>
      <end>7</end>
      <status>unmodified</status>
      <modifiedWord/>
      <trackRevisions>false</trackRevisions>
    </reviewItem>
    <reviewItem>
      <errorID>6bbbadd0-7d74-4503-a9e0-239203cff917</errorID>
      <errorWord>)</errorWord>
      <group>L1_Format</group>
      <groupName>格式问题</groupName>
      <ability>L2_HalfPunc</ability>
      <abilityName>全半角检查</abilityName>
      <candidateList>
        <item>）</item>
      </candidateList>
      <explain>文本全半角错误。</explain>
      <paraID>79113593</paraID>
      <start>12</start>
      <end>13</end>
      <status>unmodified</status>
      <modifiedWord/>
      <trackRevisions>false</trackRevisions>
    </reviewItem>
    <reviewItem>
      <errorID>90cfa747-320a-4488-8596-10ea37c712d3</errorID>
      <errorWord>(</errorWord>
      <group>L1_Format</group>
      <groupName>格式问题</groupName>
      <ability>L2_HalfPunc</ability>
      <abilityName>全半角检查</abilityName>
      <candidateList>
        <item>（</item>
      </candidateList>
      <explain>文本全半角错误。</explain>
      <paraID>69D5E8A6</paraID>
      <start>7</start>
      <end>8</end>
      <status>unmodified</status>
      <modifiedWord/>
      <trackRevisions>false</trackRevisions>
    </reviewItem>
    <reviewItem>
      <errorID>2c9fa10a-c111-4e35-b56c-cb44d5e767dc</errorID>
      <errorWord>)</errorWord>
      <group>L1_Format</group>
      <groupName>格式问题</groupName>
      <ability>L2_HalfPunc</ability>
      <abilityName>全半角检查</abilityName>
      <candidateList>
        <item>）</item>
      </candidateList>
      <explain>文本全半角错误。</explain>
      <paraID>69D5E8A6</paraID>
      <start>9</start>
      <end>10</end>
      <status>unmodified</status>
      <modifiedWord/>
      <trackRevisions>false</trackRevisions>
    </reviewItem>
    <reviewItem>
      <errorID>d433aefb-e551-49ee-8b2b-4f5c4ee20756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50B20E82</paraID>
      <start>0</start>
      <end>2</end>
      <status>unmodified</status>
      <modifiedWord/>
      <trackRevisions>false</trackRevisions>
    </reviewItem>
    <reviewItem>
      <errorID>73d817aa-af00-4df9-bd97-d5dc8e970232</errorID>
      <errorWord>(</errorWord>
      <group>L1_Format</group>
      <groupName>格式问题</groupName>
      <ability>L2_HalfPunc</ability>
      <abilityName>全半角检查</abilityName>
      <candidateList>
        <item>（</item>
      </candidateList>
      <explain>文本全半角错误。</explain>
      <paraID>57E32F43</paraID>
      <start>41</start>
      <end>42</end>
      <status>unmodified</status>
      <modifiedWord/>
      <trackRevisions>false</trackRevisions>
    </reviewItem>
    <reviewItem>
      <errorID>d1727161-ae35-4650-80a8-298785531f62</errorID>
      <errorWord>)</errorWord>
      <group>L1_Format</group>
      <groupName>格式问题</groupName>
      <ability>L2_HalfPunc</ability>
      <abilityName>全半角检查</abilityName>
      <candidateList>
        <item>）</item>
      </candidateList>
      <explain>文本全半角错误。</explain>
      <paraID>57E32F43</paraID>
      <start>45</start>
      <end>46</end>
      <status>unmodified</status>
      <modifiedWord/>
      <trackRevisions>false</trackRevisions>
    </reviewItem>
    <reviewItem>
      <errorID>ea365b63-8b34-4848-875d-f164e3c26cad</errorID>
      <errorWord>(</errorWord>
      <group>L1_Format</group>
      <groupName>格式问题</groupName>
      <ability>L2_HalfPunc</ability>
      <abilityName>全半角检查</abilityName>
      <candidateList>
        <item>（</item>
      </candidateList>
      <explain>文本全半角错误。</explain>
      <paraID> 3ED14A5</paraID>
      <start>54</start>
      <end>55</end>
      <status>unmodified</status>
      <modifiedWord/>
      <trackRevisions>false</trackRevisions>
    </reviewItem>
    <reviewItem>
      <errorID>27485b35-7aec-40a2-be27-b2fc561dc329</errorID>
      <errorWord>IV类</errorWord>
      <group>L1_Knowledge</group>
      <groupName>知识性问题</groupName>
      <ability>L2_Knowledge</ability>
      <abilityName>其他知识</abilityName>
      <candidateList>
        <item>Ⅳ类</item>
      </candidateList>
      <explain/>
      <paraID>4FF5B085</paraID>
      <start>9</start>
      <end>12</end>
      <status>unmodified</status>
      <modifiedWord/>
      <trackRevisions>false</trackRevisions>
    </reviewItem>
    <reviewItem>
      <errorID>948eeded-0f1b-4ebc-aa7a-c48393ba0a5c</errorID>
      <errorWord>IV类</errorWord>
      <group>L1_Knowledge</group>
      <groupName>知识性问题</groupName>
      <ability>L2_Knowledge</ability>
      <abilityName>其他知识</abilityName>
      <candidateList>
        <item>Ⅳ类</item>
      </candidateList>
      <explain/>
      <paraID>4FF5B085</paraID>
      <start>56</start>
      <end>59</end>
      <status>unmodified</status>
      <modifiedWord/>
      <trackRevisions>false</trackRevisions>
    </reviewItem>
    <reviewItem>
      <errorID>66a90949-c951-42c3-939c-47a5d263526f</errorID>
      <errorWord>IV类</errorWord>
      <group>L1_Knowledge</group>
      <groupName>知识性问题</groupName>
      <ability>L2_Knowledge</ability>
      <abilityName>其他知识</abilityName>
      <candidateList>
        <item>Ⅳ类</item>
      </candidateList>
      <explain/>
      <paraID>4FF5B085</paraID>
      <start>98</start>
      <end>101</end>
      <status>unmodified</status>
      <modifiedWord/>
      <trackRevisions>false</trackRevisions>
    </reviewItem>
    <reviewItem>
      <errorID>6e0f6bb6-4d66-4396-a917-cccc74539416</errorID>
      <errorWord>(</errorWord>
      <group>L1_Format</group>
      <groupName>格式问题</groupName>
      <ability>L2_HalfPunc</ability>
      <abilityName>全半角检查</abilityName>
      <candidateList>
        <item>（</item>
      </candidateList>
      <explain>文本全半角错误。</explain>
      <paraID>5AD7D0BF</paraID>
      <start>12</start>
      <end>13</end>
      <status>unmodified</status>
      <modifiedWord/>
      <trackRevisions>false</trackRevisions>
    </reviewItem>
    <reviewItem>
      <errorID>172a50d3-f411-4344-b7f2-67f98f8b424d</errorID>
      <errorWord>)</errorWord>
      <group>L1_Format</group>
      <groupName>格式问题</groupName>
      <ability>L2_HalfPunc</ability>
      <abilityName>全半角检查</abilityName>
      <candidateList>
        <item>）</item>
      </candidateList>
      <explain>文本全半角错误。</explain>
      <paraID>5AD7D0BF</paraID>
      <start>15</start>
      <end>16</end>
      <status>unmodified</status>
      <modifiedWord/>
      <trackRevisions>false</trackRevisions>
    </reviewItem>
    <reviewItem>
      <errorID>5009dcd5-4e9c-4eb1-ae3a-5b15f73fa561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4CC950AF</paraID>
      <start>132</start>
      <end>133</end>
      <status>unmodified</status>
      <modifiedWord/>
      <trackRevisions>false</trackRevisions>
    </reviewItem>
    <reviewItem>
      <errorID>d750a157-f3de-4862-9c0d-679d0ac590dd</errorID>
      <errorWord>～</errorWord>
      <group>L1_Format</group>
      <groupName>格式问题</groupName>
      <ability>L2_HalfPunc</ability>
      <abilityName>全半角检查</abilityName>
      <candidateList>
        <item>~</item>
      </candidateList>
      <explain>文本全半角错误。</explain>
      <paraID> 7BF471D</paraID>
      <start>1</start>
      <end>2</end>
      <status>unmodified</status>
      <modifiedWord/>
      <trackRevisions>false</trackRevisions>
    </reviewItem>
    <reviewItem>
      <errorID>8f8a230a-1a5e-4337-ad71-54cd4ed6bc4b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5D820405</paraID>
      <start>0</start>
      <end>2</end>
      <status>unmodified</status>
      <modifiedWord/>
      <trackRevisions>false</trackRevisions>
    </reviewItem>
    <reviewItem>
      <errorID>b703e105-4344-4301-bf09-b5bcccaced6e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6F4D3E41</paraID>
      <start>50</start>
      <end>51</end>
      <status>unmodified</status>
      <modifiedWord/>
      <trackRevisions>false</trackRevisions>
    </reviewItem>
    <reviewItem>
      <errorID>5f667bfb-8b4a-447c-b4c0-660876f16f70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75F56328</paraID>
      <start>0</start>
      <end>2</end>
      <status>unmodified</status>
      <modifiedWord/>
      <trackRevisions>false</trackRevisions>
    </reviewItem>
    <reviewItem>
      <errorID>f33f12dc-5423-4af5-be67-197d6c4a7358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2158854B</paraID>
      <start>0</start>
      <end>2</end>
      <status>unmodified</status>
      <modifiedWord/>
      <trackRevisions>false</trackRevisions>
    </reviewItem>
    <reviewItem>
      <errorID>3f09c37e-d713-4edb-9f96-9a79ff3c1256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56EE51F6</paraID>
      <start>0</start>
      <end>2</end>
      <status>unmodified</status>
      <modifiedWord/>
      <trackRevisions>false</trackRevisions>
    </reviewItem>
    <reviewItem>
      <errorID>bde2212f-c51c-4d62-86f7-a2e115fbf749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534E8EED</paraID>
      <start>0</start>
      <end>2</end>
      <status>unmodified</status>
      <modifiedWord/>
      <trackRevisions>false</trackRevisions>
    </reviewItem>
    <reviewItem>
      <errorID>29e42783-6d5e-4cff-9ecc-d6f73ff1e58d</errorID>
      <errorWord>;</errorWord>
      <group>L1_Format</group>
      <groupName>格式问题</groupName>
      <ability>L2_HalfPunc</ability>
      <abilityName>全半角检查</abilityName>
      <candidateList>
        <item>；</item>
      </candidateList>
      <explain>文本全半角错误。</explain>
      <paraID>25DB2B9B</paraID>
      <start>37</start>
      <end>38</end>
      <status>unmodified</status>
      <modifiedWord/>
      <trackRevisions>false</trackRevisions>
    </reviewItem>
    <reviewItem>
      <errorID>acf3dc98-36d1-44de-8f8b-ea9ae7f9a74c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19ED4BAF</paraID>
      <start>0</start>
      <end>2</end>
      <status>unmodified</status>
      <modifiedWord/>
      <trackRevisions>false</trackRevisions>
    </reviewItem>
    <reviewItem>
      <errorID>d77cd367-edda-4545-870f-efffbd09a7a3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6F736A7D</paraID>
      <start>22</start>
      <end>23</end>
      <status>unmodified</status>
      <modifiedWord/>
      <trackRevisions>false</trackRevisions>
    </reviewItem>
    <reviewItem>
      <errorID>2bb88506-9387-46d6-874b-15973aa6d791</errorID>
      <errorWord>～</errorWord>
      <group>L1_Format</group>
      <groupName>格式问题</groupName>
      <ability>L2_HalfPunc</ability>
      <abilityName>全半角检查</abilityName>
      <candidateList>
        <item>~</item>
      </candidateList>
      <explain>文本全半角错误。</explain>
      <paraID>4AF67E7E</paraID>
      <start>1</start>
      <end>2</end>
      <status>unmodified</status>
      <modifiedWord/>
      <trackRevisions>false</trackRevisions>
    </reviewItem>
    <reviewItem>
      <errorID>e01eaa13-38dc-4970-b1d4-1fae7e89ecf2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4720E198</paraID>
      <start>0</start>
      <end>2</end>
      <status>unmodified</status>
      <modifiedWord/>
      <trackRevisions>false</trackRevisions>
    </reviewItem>
    <reviewItem>
      <errorID>be7e9bb5-a515-4ea6-bdad-284710f39bcb</errorID>
      <errorWord>（</errorWord>
      <group>L1_Punc</group>
      <groupName>标点问题</groupName>
      <ability>L2_Punc</ability>
      <abilityName>标点符号检查</abilityName>
      <candidateList/>
      <explain>同一形式括号套用。</explain>
      <paraID>1FCF0E03</paraID>
      <start>5</start>
      <end>6</end>
      <status>unmodified</status>
      <modifiedWord/>
      <trackRevisions>false</trackRevisions>
    </reviewItem>
    <reviewItem>
      <errorID>8d258fce-acf0-4253-8246-58b502970678</errorID>
      <errorWord>）</errorWord>
      <group>L1_Punc</group>
      <groupName>标点问题</groupName>
      <ability>L2_Punc</ability>
      <abilityName>标点符号检查</abilityName>
      <candidateList/>
      <explain>同一形式括号套用。</explain>
      <paraID>1FCF0E03</paraID>
      <start>7</start>
      <end>8</end>
      <status>unmodified</status>
      <modifiedWord/>
      <trackRevisions>false</trackRevisions>
    </reviewItem>
    <reviewItem>
      <errorID>dc5e9e59-dc82-4f3e-a747-2645b8709157</errorID>
      <errorWord>（</errorWord>
      <group>L1_Punc</group>
      <groupName>标点问题</groupName>
      <ability>L2_Punc</ability>
      <abilityName>标点符号检查</abilityName>
      <candidateList/>
      <explain>同一形式括号套用。</explain>
      <paraID>3F125781</paraID>
      <start>5</start>
      <end>6</end>
      <status>unmodified</status>
      <modifiedWord/>
      <trackRevisions>false</trackRevisions>
    </reviewItem>
    <reviewItem>
      <errorID>92cfcf54-b6e1-498d-88f7-976715dcea2a</errorID>
      <errorWord>）</errorWord>
      <group>L1_Punc</group>
      <groupName>标点问题</groupName>
      <ability>L2_Punc</ability>
      <abilityName>标点符号检查</abilityName>
      <candidateList/>
      <explain>同一形式括号套用。</explain>
      <paraID>3F125781</paraID>
      <start>7</start>
      <end>8</end>
      <status>unmodified</status>
      <modifiedWord/>
      <trackRevisions>false</trackRevisions>
    </reviewItem>
    <reviewItem>
      <errorID>873f8ff6-fdb9-4617-9c6f-4338cd4b218d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29C01F58</paraID>
      <start>0</start>
      <end>2</end>
      <status>unmodified</status>
      <modifiedWord/>
      <trackRevisions>false</trackRevisions>
    </reviewItem>
    <reviewItem>
      <errorID>cc5286fa-c2d0-4132-8e1b-f0e30a88bbea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23E8828D</paraID>
      <start>0</start>
      <end>2</end>
      <status>unmodified</status>
      <modifiedWord/>
      <trackRevisions>false</trackRevisions>
    </reviewItem>
    <reviewItem>
      <errorID>ca060dc4-8938-4a43-895b-41fec61c9ee4</errorID>
      <errorWord>(</errorWord>
      <group>L1_Format</group>
      <groupName>格式问题</groupName>
      <ability>L2_HalfPunc</ability>
      <abilityName>全半角检查</abilityName>
      <candidateList>
        <item>（</item>
      </candidateList>
      <explain>文本全半角错误。</explain>
      <paraID>18E2C893</paraID>
      <start>7</start>
      <end>8</end>
      <status>unmodified</status>
      <modifiedWord/>
      <trackRevisions>false</trackRevisions>
    </reviewItem>
    <reviewItem>
      <errorID>1746d084-388b-4d1c-b94b-7f2c3ba36940</errorID>
      <errorWord>)</errorWord>
      <group>L1_Format</group>
      <groupName>格式问题</groupName>
      <ability>L2_HalfPunc</ability>
      <abilityName>全半角检查</abilityName>
      <candidateList>
        <item>）</item>
      </candidateList>
      <explain>文本全半角错误。</explain>
      <paraID>18E2C893</paraID>
      <start>10</start>
      <end>11</end>
      <status>unmodified</status>
      <modifiedWord/>
      <trackRevisions>false</trackRevisions>
    </reviewItem>
    <reviewItem>
      <errorID>4afdc88d-7264-47a9-8709-2ffe606dcbd3</errorID>
      <errorWord>(</errorWord>
      <group>L1_Format</group>
      <groupName>格式问题</groupName>
      <ability>L2_HalfPunc</ability>
      <abilityName>全半角检查</abilityName>
      <candidateList>
        <item>（</item>
      </candidateList>
      <explain>文本全半角错误。</explain>
      <paraID>18E2C893</paraID>
      <start>15</start>
      <end>16</end>
      <status>unmodified</status>
      <modifiedWord/>
      <trackRevisions>false</trackRevisions>
    </reviewItem>
    <reviewItem>
      <errorID>10d2e163-35c8-41a3-820b-f35f18707ee2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18E2C893</paraID>
      <start>20</start>
      <end>21</end>
      <status>unmodified</status>
      <modifiedWord/>
      <trackRevisions>false</trackRevisions>
    </reviewItem>
    <reviewItem>
      <errorID>e09515df-9e96-4030-be0f-b4c20065e022</errorID>
      <errorWord>)</errorWord>
      <group>L1_Format</group>
      <groupName>格式问题</groupName>
      <ability>L2_HalfPunc</ability>
      <abilityName>全半角检查</abilityName>
      <candidateList>
        <item>）</item>
      </candidateList>
      <explain>文本全半角错误。</explain>
      <paraID>18E2C893</paraID>
      <start>26</start>
      <end>27</end>
      <status>unmodified</status>
      <modifiedWord/>
      <trackRevisions>false</trackRevisions>
    </reviewItem>
    <reviewItem>
      <errorID>722089e1-5d5c-4e60-b688-aa542583633e</errorID>
      <errorWord>(</errorWord>
      <group>L1_Format</group>
      <groupName>格式问题</groupName>
      <ability>L2_HalfPunc</ability>
      <abilityName>全半角检查</abilityName>
      <candidateList>
        <item>（</item>
      </candidateList>
      <explain>文本全半角错误。</explain>
      <paraID>25E75514</paraID>
      <start>7</start>
      <end>8</end>
      <status>unmodified</status>
      <modifiedWord/>
      <trackRevisions>false</trackRevisions>
    </reviewItem>
    <reviewItem>
      <errorID>c92aa7fd-019f-408e-b803-e1e78cfa1c5f</errorID>
      <errorWord>)</errorWord>
      <group>L1_Format</group>
      <groupName>格式问题</groupName>
      <ability>L2_HalfPunc</ability>
      <abilityName>全半角检查</abilityName>
      <candidateList>
        <item>）</item>
      </candidateList>
      <explain>文本全半角错误。</explain>
      <paraID>25E75514</paraID>
      <start>10</start>
      <end>11</end>
      <status>unmodified</status>
      <modifiedWord/>
      <trackRevisions>false</trackRevisions>
    </reviewItem>
    <reviewItem>
      <errorID>4642ee5c-f222-4b2a-b3c6-71a40bc7e11e</errorID>
      <errorWord>(</errorWord>
      <group>L1_Format</group>
      <groupName>格式问题</groupName>
      <ability>L2_HalfPunc</ability>
      <abilityName>全半角检查</abilityName>
      <candidateList>
        <item>（</item>
      </candidateList>
      <explain>文本全半角错误。</explain>
      <paraID>25E75514</paraID>
      <start>15</start>
      <end>16</end>
      <status>unmodified</status>
      <modifiedWord/>
      <trackRevisions>false</trackRevisions>
    </reviewItem>
    <reviewItem>
      <errorID>1ab9311b-fe23-43d9-8dcf-6913e670c93a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25E75514</paraID>
      <start>20</start>
      <end>21</end>
      <status>unmodified</status>
      <modifiedWord/>
      <trackRevisions>false</trackRevisions>
    </reviewItem>
    <reviewItem>
      <errorID>db37ca93-f375-469d-896b-06fc85c52b18</errorID>
      <errorWord>)</errorWord>
      <group>L1_Format</group>
      <groupName>格式问题</groupName>
      <ability>L2_HalfPunc</ability>
      <abilityName>全半角检查</abilityName>
      <candidateList>
        <item>）</item>
      </candidateList>
      <explain>文本全半角错误。</explain>
      <paraID>25E75514</paraID>
      <start>26</start>
      <end>27</end>
      <status>unmodified</status>
      <modifiedWord/>
      <trackRevisions>false</trackRevisions>
    </reviewItem>
    <reviewItem>
      <errorID>ed4015ce-f5f2-482d-a8fb-cac075337ef3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4CA840E8</paraID>
      <start>0</start>
      <end>2</end>
      <status>unmodified</status>
      <modifiedWord/>
      <trackRevisions>false</trackRevisions>
    </reviewItem>
    <reviewItem>
      <errorID>a54073ba-366e-4504-928e-51966bf0fd8a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3BAF00B2</paraID>
      <start>0</start>
      <end>2</end>
      <status>unmodified</status>
      <modifiedWord/>
      <trackRevisions>false</trackRevisions>
    </reviewItem>
    <reviewItem>
      <errorID>ef1f013c-0d35-40f9-915c-9409408804fd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47A3D9D5</paraID>
      <start>0</start>
      <end>2</end>
      <status>unmodified</status>
      <modifiedWord/>
      <trackRevisions>false</trackRevisions>
    </reviewItem>
    <reviewItem>
      <errorID>e1d4485c-60fb-414e-b826-f2231cd3daad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448E3C4F</paraID>
      <start>0</start>
      <end>2</end>
      <status>unmodified</status>
      <modifiedWord/>
      <trackRevisions>false</trackRevisions>
    </reviewItem>
    <reviewItem>
      <errorID>2f047c37-d1f6-4884-814f-15edf895dbd9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7F6C078</paraID>
      <start>0</start>
      <end>2</end>
      <status>unmodified</status>
      <modifiedWord/>
      <trackRevisions>false</trackRevisions>
    </reviewItem>
    <reviewItem>
      <errorID>8dee9c4e-469e-4d39-86c4-823720d102fa</errorID>
      <errorWord>～</errorWord>
      <group>L1_Format</group>
      <groupName>格式问题</groupName>
      <ability>L2_HalfPunc</ability>
      <abilityName>全半角检查</abilityName>
      <candidateList>
        <item>~</item>
      </candidateList>
      <explain>文本全半角错误。</explain>
      <paraID>7F5E24CB</paraID>
      <start>3</start>
      <end>4</end>
      <status>unmodified</status>
      <modifiedWord/>
      <trackRevisions>false</trackRevisions>
    </reviewItem>
    <reviewItem>
      <errorID>a21316c9-3d9d-430f-b492-97dfc9ca0836</errorID>
      <errorWord>～</errorWord>
      <group>L1_Format</group>
      <groupName>格式问题</groupName>
      <ability>L2_HalfPunc</ability>
      <abilityName>全半角检查</abilityName>
      <candidateList>
        <item>~</item>
      </candidateList>
      <explain>文本全半角错误。</explain>
      <paraID>4FC28BF4</paraID>
      <start>1</start>
      <end>2</end>
      <status>unmodified</status>
      <modifiedWord/>
      <trackRevisions>false</trackRevisions>
    </reviewItem>
    <reviewItem>
      <errorID>23cb3afe-dbc5-4aaf-8b69-84e0559619ff</errorID>
      <errorWord>（</errorWord>
      <group>L1_Format</group>
      <groupName>格式问题</groupName>
      <ability>L2_HalfPunc</ability>
      <abilityName>全半角检查</abilityName>
      <candidateList>
        <item>(</item>
      </candidateList>
      <explain>文本全半角错误。</explain>
      <paraID>483EFD37</paraID>
      <start>1</start>
      <end>2</end>
      <status>unmodified</status>
      <modifiedWord/>
      <trackRevisions>false</trackRevisions>
    </reviewItem>
    <reviewItem>
      <errorID>453edcae-e03e-44bf-9759-a237614c81d2</errorID>
      <errorWord>）</errorWord>
      <group>L1_Format</group>
      <groupName>格式问题</groupName>
      <ability>L2_HalfPunc</ability>
      <abilityName>全半角检查</abilityName>
      <candidateList>
        <item>)</item>
      </candidateList>
      <explain>文本全半角错误。</explain>
      <paraID>483EFD37</paraID>
      <start>3</start>
      <end>4</end>
      <status>unmodified</status>
      <modifiedWord/>
      <trackRevisions>false</trackRevisions>
    </reviewItem>
    <reviewItem>
      <errorID>0d77728e-7eba-48a5-b7d7-afce78d12c1a</errorID>
      <errorWord>（</errorWord>
      <group>L1_Format</group>
      <groupName>格式问题</groupName>
      <ability>L2_HalfPunc</ability>
      <abilityName>全半角检查</abilityName>
      <candidateList>
        <item>(</item>
      </candidateList>
      <explain>文本全半角错误。</explain>
      <paraID>361C90EA</paraID>
      <start>2</start>
      <end>3</end>
      <status>unmodified</status>
      <modifiedWord/>
      <trackRevisions>false</trackRevisions>
    </reviewItem>
    <reviewItem>
      <errorID>865a257b-f30b-4616-929c-4cd1cda39d07</errorID>
      <errorWord>）</errorWord>
      <group>L1_Format</group>
      <groupName>格式问题</groupName>
      <ability>L2_HalfPunc</ability>
      <abilityName>全半角检查</abilityName>
      <candidateList>
        <item>)</item>
      </candidateList>
      <explain>文本全半角错误。</explain>
      <paraID>361C90EA</paraID>
      <start>5</start>
      <end>6</end>
      <status>unmodified</status>
      <modifiedWord/>
      <trackRevisions>false</trackRevisions>
    </reviewItem>
    <reviewItem>
      <errorID>8824cde0-0efb-447f-9865-5a34cd94302b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82C6880</paraID>
      <start>0</start>
      <end>2</end>
      <status>unmodified</status>
      <modifiedWord/>
      <trackRevisions>false</trackRevisions>
    </reviewItem>
    <reviewItem>
      <errorID>b05f69eb-44fb-4a03-8b94-b58ba44cbac7</errorID>
      <errorWord>（</errorWord>
      <group>L1_Punc</group>
      <groupName>标点问题</groupName>
      <ability>L2_Punc</ability>
      <abilityName>标点符号检查</abilityName>
      <candidateList/>
      <explain>同一形式括号套用。</explain>
      <paraID> 186CA4E</paraID>
      <start>5</start>
      <end>6</end>
      <status>unmodified</status>
      <modifiedWord/>
      <trackRevisions>false</trackRevisions>
    </reviewItem>
    <reviewItem>
      <errorID>20f04fa7-875b-43fe-8bde-f855345e83cd</errorID>
      <errorWord>）</errorWord>
      <group>L1_Punc</group>
      <groupName>标点问题</groupName>
      <ability>L2_Punc</ability>
      <abilityName>标点符号检查</abilityName>
      <candidateList/>
      <explain>同一形式括号套用。</explain>
      <paraID> 186CA4E</paraID>
      <start>7</start>
      <end>8</end>
      <status>unmodified</status>
      <modifiedWord/>
      <trackRevisions>false</trackRevisions>
    </reviewItem>
    <reviewItem>
      <errorID>c1842b47-811f-4ae1-bdd3-416b3e088bd2</errorID>
      <errorWord>（</errorWord>
      <group>L1_Punc</group>
      <groupName>标点问题</groupName>
      <ability>L2_Punc</ability>
      <abilityName>标点符号检查</abilityName>
      <candidateList/>
      <explain>同一形式括号套用。</explain>
      <paraID>558EFECC</paraID>
      <start>5</start>
      <end>6</end>
      <status>unmodified</status>
      <modifiedWord/>
      <trackRevisions>false</trackRevisions>
    </reviewItem>
    <reviewItem>
      <errorID>85b94b95-ec1e-45be-ad27-6ea1f1d3cb20</errorID>
      <errorWord>）</errorWord>
      <group>L1_Punc</group>
      <groupName>标点问题</groupName>
      <ability>L2_Punc</ability>
      <abilityName>标点符号检查</abilityName>
      <candidateList/>
      <explain>同一形式括号套用。</explain>
      <paraID>558EFECC</paraID>
      <start>7</start>
      <end>8</end>
      <status>unmodified</status>
      <modifiedWord/>
      <trackRevisions>false</trackRevisions>
    </reviewItem>
    <reviewItem>
      <errorID>bc8ae3da-ba1d-4eeb-9ab3-1d876955b174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42920D05</paraID>
      <start>0</start>
      <end>2</end>
      <status>unmodified</status>
      <modifiedWord/>
      <trackRevisions>false</trackRevisions>
    </reviewItem>
    <reviewItem>
      <errorID>3e2f8bbd-9158-4735-9794-d64e2577a8e2</errorID>
      <errorWord>&lt;</errorWord>
      <group>L1_Format</group>
      <groupName>格式问题</groupName>
      <ability>L2_HalfPunc</ability>
      <abilityName>全半角检查</abilityName>
      <candidateList>
        <item>〈</item>
      </candidateList>
      <explain>文本全半角错误。</explain>
      <paraID>60CED498</paraID>
      <start>322</start>
      <end>323</end>
      <status>unmodified</status>
      <modifiedWord/>
      <trackRevisions>false</trackRevisions>
    </reviewItem>
    <reviewItem>
      <errorID>bf6ee204-8da7-4833-adc9-83928defd08e</errorID>
      <errorWord>&gt;</errorWord>
      <group>L1_Format</group>
      <groupName>格式问题</groupName>
      <ability>L2_HalfPunc</ability>
      <abilityName>全半角检查</abilityName>
      <candidateList>
        <item>〉</item>
      </candidateList>
      <explain>文本全半角错误。</explain>
      <paraID>60CED498</paraID>
      <start>356</start>
      <end>357</end>
      <status>unmodified</status>
      <modifiedWord/>
      <trackRevisions>false</trackRevisions>
    </reviewItem>
    <reviewItem>
      <errorID>791adf2e-180e-4580-81b3-254ad2a56fd0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20BE7BC6</paraID>
      <start>0</start>
      <end>2</end>
      <status>unmodified</status>
      <modifiedWord/>
      <trackRevisions>false</trackRevisions>
    </reviewItem>
    <reviewItem>
      <errorID>222eed82-9acb-422c-bafa-3a3d09c837ff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45C4EAB2</paraID>
      <start>0</start>
      <end>2</end>
      <status>unmodified</status>
      <modifiedWord/>
      <trackRevisions>false</trackRevisions>
    </reviewItem>
    <reviewItem>
      <errorID>220ab819-9aa1-4ba0-afc8-0ad63ef04e2b</errorID>
      <errorWord>程</errorWord>
      <group>L1_Word</group>
      <groupName>字词问题</groupName>
      <ability>L2_Typo</ability>
      <abilityName>字词错误</abilityName>
      <candidateList>
        <item>程中</item>
      </candidateList>
      <explain/>
      <paraID>48F07067</paraID>
      <start>40</start>
      <end>41</end>
      <status>unmodified</status>
      <modifiedWord/>
      <trackRevisions>false</trackRevisions>
    </reviewItem>
    <reviewItem>
      <errorID>3c364d2d-3c8e-4b57-9d22-00c277e94e56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29A16651</paraID>
      <start>0</start>
      <end>2</end>
      <status>unmodified</status>
      <modifiedWord/>
      <trackRevisions>false</trackRevisions>
    </reviewItem>
    <reviewItem>
      <errorID>a14189ea-27fc-47c9-98ce-bfe92d9ba6df</errorID>
      <errorWord>-</errorWord>
      <group>L1_Format</group>
      <groupName>格式问题</groupName>
      <ability>L2_HalfPunc</ability>
      <abilityName>全半角检查</abilityName>
      <candidateList>
        <item>－</item>
      </candidateList>
      <explain>文本全半角错误。</explain>
      <paraID>24CED391</paraID>
      <start>144</start>
      <end>145</end>
      <status>unmodified</status>
      <modifiedWord/>
      <trackRevisions>false</trackRevisions>
    </reviewItem>
    <reviewItem>
      <errorID>0fdbe245-24f2-4979-8694-20ede14708b8</errorID>
      <errorWord>-</errorWord>
      <group>L1_Format</group>
      <groupName>格式问题</groupName>
      <ability>L2_HalfPunc</ability>
      <abilityName>全半角检查</abilityName>
      <candidateList>
        <item>－</item>
      </candidateList>
      <explain>文本全半角错误。</explain>
      <paraID>24CED391</paraID>
      <start>147</start>
      <end>148</end>
      <status>unmodified</status>
      <modifiedWord/>
      <trackRevisions>false</trackRevisions>
    </reviewItem>
    <reviewItem>
      <errorID>916066d9-a240-4b20-b0ed-ce08a140338d</errorID>
      <errorWord>-</errorWord>
      <group>L1_Format</group>
      <groupName>格式问题</groupName>
      <ability>L2_HalfPunc</ability>
      <abilityName>全半角检查</abilityName>
      <candidateList>
        <item>－</item>
      </candidateList>
      <explain>文本全半角错误。</explain>
      <paraID>24CED391</paraID>
      <start>192</start>
      <end>193</end>
      <status>unmodified</status>
      <modifiedWord/>
      <trackRevisions>false</trackRevisions>
    </reviewItem>
    <reviewItem>
      <errorID>8183d690-bf6a-4321-bf6b-cfc7fe8d2444</errorID>
      <errorWord>胶粘剂</errorWord>
      <group>L1_Word</group>
      <groupName>字词问题</groupName>
      <ability>L2_Typo</ability>
      <abilityName>字词错误</abilityName>
      <candidateList>
        <item>胶黏剂</item>
      </candidateList>
      <explain/>
      <paraID>57198B7A</paraID>
      <start>21</start>
      <end>24</end>
      <status>ignored</status>
      <modifiedWord/>
      <trackRevisions>false</trackRevisions>
    </reviewItem>
    <reviewItem>
      <errorID>59e03d84-2613-4f5f-b339-91e19ffe1e3b</errorID>
      <errorWord>胶粘剂</errorWord>
      <group>L1_Word</group>
      <groupName>字词问题</groupName>
      <ability>L2_Typo</ability>
      <abilityName>字词错误</abilityName>
      <candidateList>
        <item>胶黏剂</item>
      </candidateList>
      <explain/>
      <paraID>57198B7A</paraID>
      <start>76</start>
      <end>79</end>
      <status>ignored</status>
      <modifiedWord/>
      <trackRevisions>false</trackRevisions>
    </reviewItem>
    <reviewItem>
      <errorID>6731c96f-ec83-484d-a366-120a8fa6e9ea</errorID>
      <errorWord>50-55%</errorWord>
      <group>L1_Knowledge</group>
      <groupName>知识性问题</groupName>
      <ability>L2_Knowledge</ability>
      <abilityName>其他知识</abilityName>
      <candidateList>
        <item>50%—55%</item>
      </candidateList>
      <explain>1. “50-55%”中的单位“%”仅出现在后一个数字上，容易引起歧义；根据《现代汉语标点符号数字用法规范手册》，数字表示范围两边需要使用统一的格式。2. 根据标点国标 4.13 中的规则，数字、时间或地域连接符应使用（视觉上更长的）“—”或“～”。</explain>
      <paraID>57198B7A</paraID>
      <start>94</start>
      <end>100</end>
      <status>unmodified</status>
      <modifiedWord/>
      <trackRevisions>false</trackRevisions>
    </reviewItem>
    <reviewItem>
      <errorID>f2b86f32-f17c-4b17-82aa-cddd131b81dd</errorID>
      <errorWord>25-30%</errorWord>
      <group>L1_Knowledge</group>
      <groupName>知识性问题</groupName>
      <ability>L2_Knowledge</ability>
      <abilityName>其他知识</abilityName>
      <candidateList>
        <item>25%—30%</item>
      </candidateList>
      <explain>1. “25-30%”中的单位“%”仅出现在后一个数字上，容易引起歧义；根据《现代汉语标点符号数字用法规范手册》，数字表示范围两边需要使用统一的格式。2. 根据标点国标 4.13 中的规则，数字、时间或地域连接符应使用（视觉上更长的）“—”或“～”。</explain>
      <paraID>57198B7A</paraID>
      <start>106</start>
      <end>112</end>
      <status>unmodified</status>
      <modifiedWord/>
      <trackRevisions>false</trackRevisions>
    </reviewItem>
    <reviewItem>
      <errorID>5c9c6a22-2244-4937-a5ec-47120a99c305</errorID>
      <errorWord>12-14%</errorWord>
      <group>L1_Knowledge</group>
      <groupName>知识性问题</groupName>
      <ability>L2_Knowledge</ability>
      <abilityName>其他知识</abilityName>
      <candidateList>
        <item>12%—14%</item>
      </candidateList>
      <explain>1. “12-14%”中的单位“%”仅出现在后一个数字上，容易引起歧义；根据《现代汉语标点符号数字用法规范手册》，数字表示范围两边需要使用统一的格式。2. 根据标点国标 4.13 中的规则，数字、时间或地域连接符应使用（视觉上更长的）“—”或“～”。</explain>
      <paraID>57198B7A</paraID>
      <start>120</start>
      <end>126</end>
      <status>unmodified</status>
      <modifiedWord/>
      <trackRevisions>false</trackRevisions>
    </reviewItem>
    <reviewItem>
      <errorID>34e37f67-8d8c-458a-a336-e12d788bbc8d</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57198B7A</paraID>
      <start>130</start>
      <end>138</end>
      <status>unmodified</status>
      <modifiedWord/>
      <trackRevisions>false</trackRevisions>
    </reviewItem>
    <reviewItem>
      <errorID>f44cab52-2eed-41f0-b878-8908396753a0</errorID>
      <errorWord>-</errorWord>
      <group>L1_Format</group>
      <groupName>格式问题</groupName>
      <ability>L2_HalfPunc</ability>
      <abilityName>全半角检查</abilityName>
      <candidateList>
        <item>－</item>
      </candidateList>
      <explain>文本全半角错误。</explain>
      <paraID>57198B7A</paraID>
      <start>142</start>
      <end>143</end>
      <status>unmodified</status>
      <modifiedWord/>
      <trackRevisions>false</trackRevisions>
    </reviewItem>
    <reviewItem>
      <errorID>d9a7b56d-1fcd-4663-8b58-ae8aef3ba0b6</errorID>
      <errorWord>3-5%</errorWord>
      <group>L1_Knowledge</group>
      <groupName>知识性问题</groupName>
      <ability>L2_Knowledge</ability>
      <abilityName>其他知识</abilityName>
      <candidateList>
        <item>3%—5%</item>
      </candidateList>
      <explain>1. “3-5%”中的单位“%”仅出现在后一个数字上，容易引起歧义；根据《现代汉语标点符号数字用法规范手册》，数字表示范围两边需要使用统一的格式。2. 根据标点国标 4.13 中的规则，数字、时间或地域连接符应使用（视觉上更长的）“—”或“～”。</explain>
      <paraID>57198B7A</paraID>
      <start>152</start>
      <end>156</end>
      <status>unmodified</status>
      <modifiedWord/>
      <trackRevisions>false</trackRevisions>
    </reviewItem>
    <reviewItem>
      <errorID>f9ee4582-caa4-4b7f-bad3-6ae4dc41f466</errorID>
      <errorWord>0.5-2%</errorWord>
      <group>L1_Knowledge</group>
      <groupName>知识性问题</groupName>
      <ability>L2_Knowledge</ability>
      <abilityName>其他知识</abilityName>
      <candidateList>
        <item>0.5%—2%</item>
      </candidateList>
      <explain>1. “0.5-2%”中的单位“%”仅出现在后一个数字上，容易引起歧义；根据《现代汉语标点符号数字用法规范手册》，数字表示范围两边需要使用统一的格式。2. 根据标点国标 4.13 中的规则，数字、时间或地域连接符应使用（视觉上更长的）“—”或“～”。</explain>
      <paraID>57198B7A</paraID>
      <start>173</start>
      <end>179</end>
      <status>unmodified</status>
      <modifiedWord/>
      <trackRevisions>false</trackRevisions>
    </reviewItem>
    <reviewItem>
      <errorID>e5b65ba0-0377-45bd-ba57-c77c1508e539</errorID>
      <errorWord>胶粘剂</errorWord>
      <group>L1_Word</group>
      <groupName>字词问题</groupName>
      <ability>L2_Typo</ability>
      <abilityName>字词错误</abilityName>
      <candidateList>
        <item>胶黏剂</item>
      </candidateList>
      <explain/>
      <paraID>57198B7A</paraID>
      <start>180</start>
      <end>183</end>
      <status>ignored</status>
      <modifiedWord/>
      <trackRevisions>false</trackRevisions>
    </reviewItem>
    <reviewItem>
      <errorID>cbb18ca3-8cc5-4a98-90d9-a5425c24debf</errorID>
      <errorWord>-</errorWord>
      <group>L1_Format</group>
      <groupName>格式问题</groupName>
      <ability>L2_HalfPunc</ability>
      <abilityName>全半角检查</abilityName>
      <candidateList>
        <item>－</item>
      </candidateList>
      <explain>文本全半角错误。</explain>
      <paraID>57198B7A</paraID>
      <start>199</start>
      <end>200</end>
      <status>unmodified</status>
      <modifiedWord/>
      <trackRevisions>false</trackRevisions>
    </reviewItem>
    <reviewItem>
      <errorID>53cd860a-51f8-43cf-ba79-66ac36485e1b</errorID>
      <errorWord>胶粘剂</errorWord>
      <group>L1_Word</group>
      <groupName>字词问题</groupName>
      <ability>L2_Typo</ability>
      <abilityName>字词错误</abilityName>
      <candidateList>
        <item>胶黏剂</item>
      </candidateList>
      <explain/>
      <paraID>57198B7A</paraID>
      <start>335</start>
      <end>338</end>
      <status>ignored</status>
      <modifiedWord/>
      <trackRevisions>false</trackRevisions>
    </reviewItem>
    <reviewItem>
      <errorID>b00233e2-6009-46e2-b138-ab22de4b18c3</errorID>
      <errorWord>胶粘剂</errorWord>
      <group>L1_Word</group>
      <groupName>字词问题</groupName>
      <ability>L2_Typo</ability>
      <abilityName>字词错误</abilityName>
      <candidateList>
        <item>胶黏剂</item>
      </candidateList>
      <explain/>
      <paraID>57198B7A</paraID>
      <start>354</start>
      <end>357</end>
      <status>ignored</status>
      <modifiedWord/>
      <trackRevisions>false</trackRevisions>
    </reviewItem>
    <reviewItem>
      <errorID>8a9c4e4c-7ec5-4048-a752-fd3c931ec346</errorID>
      <errorWord>胶粘剂</errorWord>
      <group>L1_Word</group>
      <groupName>字词问题</groupName>
      <ability>L2_Typo</ability>
      <abilityName>字词错误</abilityName>
      <candidateList>
        <item>胶黏剂</item>
      </candidateList>
      <explain/>
      <paraID>57198B7A</paraID>
      <start>376</start>
      <end>379</end>
      <status>ignored</status>
      <modifiedWord/>
      <trackRevisions>false</trackRevisions>
    </reviewItem>
    <reviewItem>
      <errorID>0e81d883-ce0a-4c78-9356-64ee4c4ba470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30F4F10</paraID>
      <start>0</start>
      <end>2</end>
      <status>unmodified</status>
      <modifiedWord/>
      <trackRevisions>false</trackRevisions>
    </reviewItem>
    <reviewItem>
      <errorID>3b01c927-7494-4df5-a9c0-5dab2478626f</errorID>
      <errorWord>(</errorWord>
      <group>L1_Format</group>
      <groupName>格式问题</groupName>
      <ability>L2_HalfPunc</ability>
      <abilityName>全半角检查</abilityName>
      <candidateList>
        <item>（</item>
      </candidateList>
      <explain>文本全半角错误。</explain>
      <paraID>4ADA7156</paraID>
      <start>5</start>
      <end>6</end>
      <status>unmodified</status>
      <modifiedWord/>
      <trackRevisions>false</trackRevisions>
    </reviewItem>
    <reviewItem>
      <errorID>249b2ff6-2e06-4334-80ea-482e6ae49541</errorID>
      <errorWord>)</errorWord>
      <group>L1_Format</group>
      <groupName>格式问题</groupName>
      <ability>L2_HalfPunc</ability>
      <abilityName>全半角检查</abilityName>
      <candidateList>
        <item>）</item>
      </candidateList>
      <explain>文本全半角错误。</explain>
      <paraID>4ADA7156</paraID>
      <start>10</start>
      <end>11</end>
      <status>unmodified</status>
      <modifiedWord/>
      <trackRevisions>false</trackRevisions>
    </reviewItem>
    <reviewItem>
      <errorID>f48e0d79-337a-4c28-992e-c0f8ebf0f9b2</errorID>
      <errorWord>(</errorWord>
      <group>L1_Format</group>
      <groupName>格式问题</groupName>
      <ability>L2_HalfPunc</ability>
      <abilityName>全半角检查</abilityName>
      <candidateList>
        <item>（</item>
      </candidateList>
      <explain>文本全半角错误。</explain>
      <paraID> 481DDC1</paraID>
      <start>8</start>
      <end>9</end>
      <status>unmodified</status>
      <modifiedWord/>
      <trackRevisions>false</trackRevisions>
    </reviewItem>
    <reviewItem>
      <errorID>a6239633-3304-4840-b932-33c4058b5309</errorID>
      <errorWord>)</errorWord>
      <group>L1_Format</group>
      <groupName>格式问题</groupName>
      <ability>L2_HalfPunc</ability>
      <abilityName>全半角检查</abilityName>
      <candidateList>
        <item>）</item>
      </candidateList>
      <explain>文本全半角错误。</explain>
      <paraID> 481DDC1</paraID>
      <start>11</start>
      <end>12</end>
      <status>unmodified</status>
      <modifiedWord/>
      <trackRevisions>false</trackRevisions>
    </reviewItem>
    <reviewItem>
      <errorID>d821258f-3593-46ac-84b9-e7b4ceed9dda</errorID>
      <errorWord>n：</errorWord>
      <group>L1_Format</group>
      <groupName>格式问题</groupName>
      <ability>L2_Ordinal</ability>
      <abilityName>序号格式</abilityName>
      <candidateList>
        <item>n.</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191BD54D</paraID>
      <start>0</start>
      <end>2</end>
      <status>unmodified</status>
      <modifiedWord/>
      <trackRevisions>false</trackRevisions>
    </reviewItem>
    <reviewItem>
      <errorID>17a2b53b-8583-439e-a867-60cb46630d1e</errorID>
      <errorWord>(</errorWord>
      <group>L1_Format</group>
      <groupName>格式问题</groupName>
      <ability>L2_HalfPunc</ability>
      <abilityName>全半角检查</abilityName>
      <candidateList>
        <item>（</item>
      </candidateList>
      <explain>文本全半角错误。</explain>
      <paraID>191BD54D</paraID>
      <start>6</start>
      <end>7</end>
      <status>unmodified</status>
      <modifiedWord/>
      <trackRevisions>false</trackRevisions>
    </reviewItem>
    <reviewItem>
      <errorID>2ee08199-62bf-4a80-a00a-b82ee8998020</errorID>
      <errorWord>)</errorWord>
      <group>L1_Format</group>
      <groupName>格式问题</groupName>
      <ability>L2_HalfPunc</ability>
      <abilityName>全半角检查</abilityName>
      <candidateList>
        <item>）</item>
      </candidateList>
      <explain>文本全半角错误。</explain>
      <paraID>191BD54D</paraID>
      <start>11</start>
      <end>12</end>
      <status>unmodified</status>
      <modifiedWord/>
      <trackRevisions>false</trackRevisions>
    </reviewItem>
    <reviewItem>
      <errorID>4e8d53d7-792d-49a7-977c-64ff0c67ff08</errorID>
      <errorWord>90-95%</errorWord>
      <group>L1_Knowledge</group>
      <groupName>知识性问题</groupName>
      <ability>L2_Knowledge</ability>
      <abilityName>其他知识</abilityName>
      <candidateList>
        <item>90%—95%</item>
      </candidateList>
      <explain>1. “90-95%”中的单位“%”仅出现在后一个数字上，容易引起歧义；根据《现代汉语标点符号数字用法规范手册》，数字表示范围两边需要使用统一的格式。2. 根据标点国标 4.13 中的规则，数字、时间或地域连接符应使用（视觉上更长的）“—”或“～”。</explain>
      <paraID> 626F198</paraID>
      <start>138</start>
      <end>144</end>
      <status>unmodified</status>
      <modifiedWord/>
      <trackRevisions>false</trackRevisions>
    </reviewItem>
    <reviewItem>
      <errorID>47a14766-e2cb-48d3-929b-4fd58158facd</errorID>
      <errorWord>（</errorWord>
      <group>L1_Format</group>
      <groupName>格式问题</groupName>
      <ability>L2_HalfPunc</ability>
      <abilityName>全半角检查</abilityName>
      <candidateList>
        <item>(</item>
      </candidateList>
      <explain>文本全半角错误。</explain>
      <paraID>29AA2809</paraID>
      <start>4</start>
      <end>5</end>
      <status>unmodified</status>
      <modifiedWord/>
      <trackRevisions>false</trackRevisions>
    </reviewItem>
    <reviewItem>
      <errorID>a9d20ee4-7876-416d-914a-970c42d9bf6b</errorID>
      <errorWord>）</errorWord>
      <group>L1_Format</group>
      <groupName>格式问题</groupName>
      <ability>L2_HalfPunc</ability>
      <abilityName>全半角检查</abilityName>
      <candidateList>
        <item>)</item>
      </candidateList>
      <explain>文本全半角错误。</explain>
      <paraID>29AA2809</paraID>
      <start>9</start>
      <end>10</end>
      <status>unmodified</status>
      <modifiedWord/>
      <trackRevisions>false</trackRevisions>
    </reviewItem>
    <reviewItem>
      <errorID>320d889d-0f6c-4e2a-bfe5-e82f59270b99</errorID>
      <errorWord>＞</errorWord>
      <group>L1_Format</group>
      <groupName>格式问题</groupName>
      <ability>L2_HalfPunc</ability>
      <abilityName>全半角检查</abilityName>
      <candidateList>
        <item>&gt;</item>
      </candidateList>
      <explain>文本全半角错误。</explain>
      <paraID>443B35D5</paraID>
      <start>0</start>
      <end>1</end>
      <status>unmodified</status>
      <modifiedWord/>
      <trackRevisions>false</trackRevisions>
    </reviewItem>
    <reviewItem>
      <errorID>357fc04a-f698-4de8-960e-8dc399537799</errorID>
      <errorWord>是否是</errorWord>
      <group>L1_Word</group>
      <groupName>字词问题</groupName>
      <ability>L2_Typo</ability>
      <abilityName>字词错误</abilityName>
      <candidateList>
        <item>是不是</item>
      </candidateList>
      <explain/>
      <paraID>4C713551</paraID>
      <start>0</start>
      <end>3</end>
      <status>unmodified</status>
      <modifiedWord/>
      <trackRevisions>false</trackRevisions>
    </reviewItem>
    <reviewItem>
      <errorID>bcd06867-4371-45ba-93d7-8cc7ba24b961</errorID>
      <errorWord>是否是</errorWord>
      <group>L1_Word</group>
      <groupName>字词问题</groupName>
      <ability>L2_Typo</ability>
      <abilityName>字词错误</abilityName>
      <candidateList>
        <item>是不是</item>
      </candidateList>
      <explain/>
      <paraID>272F28EF</paraID>
      <start>0</start>
      <end>3</end>
      <status>unmodified</status>
      <modifiedWord/>
      <trackRevisions>false</trackRevisions>
    </reviewItem>
    <reviewItem>
      <errorID>893166fb-6525-4c1e-9fb8-b679eb2b3e3d</errorID>
      <errorWord>(</errorWord>
      <group>L1_Format</group>
      <groupName>格式问题</groupName>
      <ability>L2_HalfPunc</ability>
      <abilityName>全半角检查</abilityName>
      <candidateList>
        <item>（</item>
      </candidateList>
      <explain>文本全半角错误。</explain>
      <paraID>2A09FF15</paraID>
      <start>2</start>
      <end>3</end>
      <status>unmodified</status>
      <modifiedWord/>
      <trackRevisions>false</trackRevisions>
    </reviewItem>
    <reviewItem>
      <errorID>9f22b1de-6282-4068-9a9b-03b655c6a37b</errorID>
      <errorWord>)</errorWord>
      <group>L1_Format</group>
      <groupName>格式问题</groupName>
      <ability>L2_HalfPunc</ability>
      <abilityName>全半角检查</abilityName>
      <candidateList>
        <item>）</item>
      </candidateList>
      <explain>文本全半角错误。</explain>
      <paraID>2A09FF15</paraID>
      <start>7</start>
      <end>8</end>
      <status>unmodified</status>
      <modifiedWord/>
      <trackRevisions>false</trackRevisions>
    </reviewItem>
    <reviewItem>
      <errorID>a48c31c8-3b36-431c-85e1-b58bd70c4e33</errorID>
      <errorWord>(</errorWord>
      <group>L1_Format</group>
      <groupName>格式问题</groupName>
      <ability>L2_HalfPunc</ability>
      <abilityName>全半角检查</abilityName>
      <candidateList>
        <item>（</item>
      </candidateList>
      <explain>文本全半角错误。</explain>
      <paraID>4D65FC7E</paraID>
      <start>20</start>
      <end>21</end>
      <status>unmodified</status>
      <modifiedWord/>
      <trackRevisions>false</trackRevisions>
    </reviewItem>
    <reviewItem>
      <errorID>c68e754f-8d52-4d17-befb-33a2d0dc9c71</errorID>
      <errorWord>)</errorWord>
      <group>L1_Format</group>
      <groupName>格式问题</groupName>
      <ability>L2_HalfPunc</ability>
      <abilityName>全半角检查</abilityName>
      <candidateList>
        <item>）</item>
      </candidateList>
      <explain>文本全半角错误。</explain>
      <paraID>4D65FC7E</paraID>
      <start>33</start>
      <end>34</end>
      <status>unmodified</status>
      <modifiedWord/>
      <trackRevisions>false</trackRevisions>
    </reviewItem>
    <reviewItem>
      <errorID>9271faee-f637-4285-a6c9-48b122634306</errorID>
      <errorWord>08月25日</errorWord>
      <group>L1_Knowledge</group>
      <groupName>知识性问题</groupName>
      <ability>L2_Time</ability>
      <abilityName>日期时间</abilityName>
      <candidateList>
        <item>8月25日</item>
      </candidateList>
      <explain>根据日常书写习惯，月份一般会省略前导零。</explain>
      <paraID>2A14BFAA</paraID>
      <start>6</start>
      <end>12</end>
      <status>unmodified</status>
      <modifiedWord/>
      <trackRevisions>false</trackRevisions>
    </reviewItem>
    <reviewItem>
      <errorID>3dbb84a3-8271-46e7-b16a-d0c151c9b3e6</errorID>
      <errorWord>08月26日</errorWord>
      <group>L1_Knowledge</group>
      <groupName>知识性问题</groupName>
      <ability>L2_Time</ability>
      <abilityName>日期时间</abilityName>
      <candidateList>
        <item>8月26日</item>
      </candidateList>
      <explain>根据日常书写习惯，月份一般会省略前导零。</explain>
      <paraID>4102AA2E</paraID>
      <start>6</start>
      <end>12</end>
      <status>unmodified</status>
      <modifiedWord/>
      <trackRevisions>false</trackRevisions>
    </reviewItem>
    <reviewItem>
      <errorID>bedf4900-fe80-4188-82a1-d16491686851</errorID>
      <errorWord>海拔高度</errorWord>
      <group>L1_Word</group>
      <groupName>字词问题</groupName>
      <ability>L2_Typo</ability>
      <abilityName>字词错误</abilityName>
      <candidateList>
        <item>海拔</item>
      </candidateList>
      <explain>〈名〉从平均海平面起算的高度。</explain>
      <paraID>1C2A1E55</paraID>
      <start>5</start>
      <end>9</end>
      <status>ignored</status>
      <modifiedWord/>
      <trackRevisions>false</trackRevisions>
    </reviewItem>
    <reviewItem>
      <errorID>2c5cff06-2718-4f88-be05-8222721e8e39</errorID>
      <errorWord>海拔高度</errorWord>
      <group>L1_Word</group>
      <groupName>字词问题</groupName>
      <ability>L2_Typo</ability>
      <abilityName>字词错误</abilityName>
      <candidateList>
        <item>海拔</item>
      </candidateList>
      <explain>〈名〉从平均海平面起算的高度。</explain>
      <paraID>2667A97F</paraID>
      <start>2</start>
      <end>6</end>
      <status>ignored</status>
      <modifiedWord/>
      <trackRevisions>false</trackRevisions>
    </reviewItem>
    <reviewItem>
      <errorID>6f91bc7b-19d7-4bcd-9be4-e0005a58d714</errorID>
      <errorWord>(</errorWord>
      <group>L1_Format</group>
      <groupName>格式问题</groupName>
      <ability>L2_HalfPunc</ability>
      <abilityName>全半角检查</abilityName>
      <candidateList>
        <item>（</item>
      </candidateList>
      <explain>文本全半角错误。</explain>
      <paraID>18079EF9</paraID>
      <start>7</start>
      <end>8</end>
      <status>unmodified</status>
      <modifiedWord/>
      <trackRevisions>false</trackRevisions>
    </reviewItem>
    <reviewItem>
      <errorID>404d9f2d-779b-40ab-b23d-ce3c82cc5025</errorID>
      <errorWord>)</errorWord>
      <group>L1_Format</group>
      <groupName>格式问题</groupName>
      <ability>L2_HalfPunc</ability>
      <abilityName>全半角检查</abilityName>
      <candidateList>
        <item>）</item>
      </candidateList>
      <explain>文本全半角错误。</explain>
      <paraID>18079EF9</paraID>
      <start>9</start>
      <end>10</end>
      <status>unmodified</status>
      <modifiedWord/>
      <trackRevisions>false</trackRevisions>
    </reviewItem>
    <reviewItem>
      <errorID>65850af8-54be-45b1-baff-6268d6f4c962</errorID>
      <errorWord>(</errorWord>
      <group>L1_Format</group>
      <groupName>格式问题</groupName>
      <ability>L2_HalfPunc</ability>
      <abilityName>全半角检查</abilityName>
      <candidateList>
        <item>（</item>
      </candidateList>
      <explain>文本全半角错误。</explain>
      <paraID> 4523113</paraID>
      <start>8</start>
      <end>9</end>
      <status>unmodified</status>
      <modifiedWord/>
      <trackRevisions>false</trackRevisions>
    </reviewItem>
    <reviewItem>
      <errorID>c3f2ab0a-7066-4a88-a785-32ce00e4b448</errorID>
      <errorWord>)</errorWord>
      <group>L1_Format</group>
      <groupName>格式问题</groupName>
      <ability>L2_HalfPunc</ability>
      <abilityName>全半角检查</abilityName>
      <candidateList>
        <item>）</item>
      </candidateList>
      <explain>文本全半角错误。</explain>
      <paraID> 4523113</paraID>
      <start>10</start>
      <end>11</end>
      <status>unmodified</status>
      <modifiedWord/>
      <trackRevisions>false</trackRevisions>
    </reviewItem>
    <reviewItem>
      <errorID>ad130ba7-9093-4f35-9eb7-17da0b6162f9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1ED1824A</paraID>
      <start>0</start>
      <end>2</end>
      <status>unmodified</status>
      <modifiedWord/>
      <trackRevisions>false</trackRevisions>
    </reviewItem>
    <reviewItem>
      <errorID>eb43726a-9022-4cda-9466-25016b653e63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38ED34B7</paraID>
      <start>0</start>
      <end>2</end>
      <status>unmodified</status>
      <modifiedWord/>
      <trackRevisions>false</trackRevisions>
    </reviewItem>
    <reviewItem>
      <errorID>2defc854-b3b9-472d-9431-8dbb8e239558</errorID>
      <errorWord>、</errorWord>
      <group>L1_Punc</group>
      <groupName>标点问题</groupName>
      <ability>L2_Punc</ability>
      <abilityName>标点符号检查</abilityName>
      <candidateList>
        <item>.</item>
      </candidateList>
      <explain/>
      <paraID>32E00CE3</paraID>
      <start>1</start>
      <end>2</end>
      <status>unmodified</status>
      <modifiedWord/>
      <trackRevisions>false</trackRevisions>
    </reviewItem>
    <reviewItem>
      <errorID>f4c08fcc-92cb-41d2-8910-59d5a1b37a7a</errorID>
      <errorWord>(</errorWord>
      <group>L1_Format</group>
      <groupName>格式问题</groupName>
      <ability>L2_HalfPunc</ability>
      <abilityName>全半角检查</abilityName>
      <candidateList>
        <item>（</item>
      </candidateList>
      <explain>文本全半角错误。</explain>
      <paraID>7001BD33</paraID>
      <start>4</start>
      <end>5</end>
      <status>unmodified</status>
      <modifiedWord/>
      <trackRevisions>false</trackRevisions>
    </reviewItem>
    <reviewItem>
      <errorID>4194d226-0902-4060-ab46-47f10c47c2d6</errorID>
      <errorWord>)</errorWord>
      <group>L1_Format</group>
      <groupName>格式问题</groupName>
      <ability>L2_HalfPunc</ability>
      <abilityName>全半角检查</abilityName>
      <candidateList>
        <item>）</item>
      </candidateList>
      <explain>文本全半角错误。</explain>
      <paraID>7001BD33</paraID>
      <start>9</start>
      <end>10</end>
      <status>unmodified</status>
      <modifiedWord/>
      <trackRevisions>false</trackRevisions>
    </reviewItem>
    <reviewItem>
      <errorID>5f77365d-40d0-4253-b7e0-f6878d613e0d</errorID>
      <errorWord>（</errorWord>
      <group>L1_Format</group>
      <groupName>格式问题</groupName>
      <ability>L2_HalfPunc</ability>
      <abilityName>全半角检查</abilityName>
      <candidateList>
        <item>(</item>
      </candidateList>
      <explain>文本全半角错误。</explain>
      <paraID>59A8BB8A</paraID>
      <start>2</start>
      <end>3</end>
      <status>unmodified</status>
      <modifiedWord/>
      <trackRevisions>false</trackRevisions>
    </reviewItem>
    <reviewItem>
      <errorID>561e559a-0c53-4b43-a675-3def5b08c083</errorID>
      <errorWord>）</errorWord>
      <group>L1_Format</group>
      <groupName>格式问题</groupName>
      <ability>L2_HalfPunc</ability>
      <abilityName>全半角检查</abilityName>
      <candidateList>
        <item>)</item>
      </candidateList>
      <explain>文本全半角错误。</explain>
      <paraID>59A8BB8A</paraID>
      <start>8</start>
      <end>9</end>
      <status>unmodified</status>
      <modifiedWord/>
      <trackRevisions>false</trackRevisions>
    </reviewItem>
    <reviewItem>
      <errorID>b7866ea6-de4e-4e62-b49f-0a557c502f7e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4F00CA7A</paraID>
      <start>0</start>
      <end>2</end>
      <status>unmodified</status>
      <modifiedWord/>
      <trackRevisions>false</trackRevisions>
    </reviewItem>
    <reviewItem>
      <errorID>1d52025f-1a94-4f44-9bdd-7440d674d366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7AA25162</paraID>
      <start>0</start>
      <end>2</end>
      <status>unmodified</status>
      <modifiedWord/>
      <trackRevisions>false</trackRevisions>
    </reviewItem>
    <reviewItem>
      <errorID>f9cc791a-517d-433b-9a7e-b472dead8e1c</errorID>
      <errorWord>)</errorWord>
      <group>L1_Format</group>
      <groupName>格式问题</groupName>
      <ability>L2_HalfPunc</ability>
      <abilityName>全半角检查</abilityName>
      <candidateList>
        <item>）</item>
      </candidateList>
      <explain>文本全半角错误。</explain>
      <paraID> 68324EE</paraID>
      <start>7</start>
      <end>8</end>
      <status>unmodified</status>
      <modifiedWord/>
      <trackRevisions>false</trackRevisions>
    </reviewItem>
    <reviewItem>
      <errorID>d981cf16-716b-4787-9828-8238314f6373</errorID>
      <errorWord>)</errorWord>
      <group>L1_Format</group>
      <groupName>格式问题</groupName>
      <ability>L2_HalfPunc</ability>
      <abilityName>全半角检查</abilityName>
      <candidateList>
        <item>）</item>
      </candidateList>
      <explain>文本全半角错误。</explain>
      <paraID>373AD17A</paraID>
      <start>12</start>
      <end>13</end>
      <status>unmodified</status>
      <modifiedWord/>
      <trackRevisions>false</trackRevisions>
    </reviewItem>
    <reviewItem>
      <errorID>9e55bf08-2324-418a-ab72-97302d0b320e</errorID>
      <errorWord>)</errorWord>
      <group>L1_Format</group>
      <groupName>格式问题</groupName>
      <ability>L2_HalfPunc</ability>
      <abilityName>全半角检查</abilityName>
      <candidateList>
        <item>）</item>
      </candidateList>
      <explain>文本全半角错误。</explain>
      <paraID>43D95795</paraID>
      <start>10</start>
      <end>11</end>
      <status>unmodified</status>
      <modifiedWord/>
      <trackRevisions>false</trackRevisions>
    </reviewItem>
    <reviewItem>
      <errorID>7dad2a33-03a9-435e-8da1-edf8a63fc5d8</errorID>
      <errorWord>～</errorWord>
      <group>L1_Format</group>
      <groupName>格式问题</groupName>
      <ability>L2_HalfPunc</ability>
      <abilityName>全半角检查</abilityName>
      <candidateList>
        <item>~</item>
      </candidateList>
      <explain>文本全半角错误。</explain>
      <paraID>295D11B2</paraID>
      <start>3</start>
      <end>4</end>
      <status>unmodified</status>
      <modifiedWord/>
      <trackRevisions>false</trackRevisions>
    </reviewItem>
    <reviewItem>
      <errorID>ca8fd22d-3577-4371-b8c6-67ab321502f3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70AF6CC7</paraID>
      <start>0</start>
      <end>2</end>
      <status>unmodified</status>
      <modifiedWord/>
      <trackRevisions>false</trackRevisions>
    </reviewItem>
    <reviewItem>
      <errorID>e34e0852-efda-4b3a-a6ec-ce32d02d7f7f</errorID>
      <errorWord>年平均</errorWord>
      <group>L1_Word</group>
      <groupName>字词问题</groupName>
      <ability>L2_Typo</ability>
      <abilityName>字词错误</abilityName>
      <candidateList>
        <item>平均年</item>
      </candidateList>
      <explain/>
      <paraID>7A1CA562</paraID>
      <start>51</start>
      <end>54</end>
      <status>unmodified</status>
      <modifiedWord/>
      <trackRevisions>false</trackRevisions>
    </reviewItem>
    <reviewItem>
      <errorID>60103ce6-25cf-4e0c-ade8-4191e433c42e</errorID>
      <errorWord>污水厂</errorWord>
      <group>L1_Word</group>
      <groupName>字词问题</groupName>
      <ability>L2_Typo</ability>
      <abilityName>字词错误</abilityName>
      <candidateList>
        <item>污水处理厂</item>
      </candidateList>
      <explain/>
      <paraID>415B9857</paraID>
      <start>109</start>
      <end>112</end>
      <status>unmodified</status>
      <modifiedWord/>
      <trackRevisions>false</trackRevisions>
    </reviewItem>
    <reviewItem>
      <errorID>cda7af61-4752-4940-883a-38bc61603efa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72B33739</paraID>
      <start>0</start>
      <end>2</end>
      <status>unmodified</status>
      <modifiedWord/>
      <trackRevisions>false</trackRevisions>
    </reviewItem>
    <reviewItem>
      <errorID>3c9cc611-2ad2-44c5-ba3e-a098dee5e771</errorID>
      <errorWord>～</errorWord>
      <group>L1_Format</group>
      <groupName>格式问题</groupName>
      <ability>L2_HalfPunc</ability>
      <abilityName>全半角检查</abilityName>
      <candidateList>
        <item>~</item>
      </candidateList>
      <explain>文本全半角错误。</explain>
      <paraID>21DA2440</paraID>
      <start>3</start>
      <end>4</end>
      <status>unmodified</status>
      <modifiedWord/>
      <trackRevisions>false</trackRevisions>
    </reviewItem>
    <reviewItem>
      <errorID>4b34c551-4823-4bfb-93f1-2d1ccf0dd808</errorID>
      <errorWord>～</errorWord>
      <group>L1_Format</group>
      <groupName>格式问题</groupName>
      <ability>L2_HalfPunc</ability>
      <abilityName>全半角检查</abilityName>
      <candidateList>
        <item>~</item>
      </candidateList>
      <explain>文本全半角错误。</explain>
      <paraID>226756D5</paraID>
      <start>3</start>
      <end>4</end>
      <status>unmodified</status>
      <modifiedWord/>
      <trackRevisions>false</trackRevisions>
    </reviewItem>
    <reviewItem>
      <errorID>546dedf6-3653-4302-89db-bc69507a5932</errorID>
      <errorWord>(</errorWord>
      <group>L1_Format</group>
      <groupName>格式问题</groupName>
      <ability>L2_HalfPunc</ability>
      <abilityName>全半角检查</abilityName>
      <candidateList>
        <item>（</item>
      </candidateList>
      <explain>文本全半角错误。</explain>
      <paraID> D9D5100</paraID>
      <start>4</start>
      <end>5</end>
      <status>unmodified</status>
      <modifiedWord/>
      <trackRevisions>false</trackRevisions>
    </reviewItem>
    <reviewItem>
      <errorID>165a40bf-5026-44d1-b21b-4b70f5476e52</errorID>
      <errorWord>)</errorWord>
      <group>L1_Format</group>
      <groupName>格式问题</groupName>
      <ability>L2_HalfPunc</ability>
      <abilityName>全半角检查</abilityName>
      <candidateList>
        <item>）</item>
      </candidateList>
      <explain>文本全半角错误。</explain>
      <paraID> D9D5100</paraID>
      <start>9</start>
      <end>10</end>
      <status>unmodified</status>
      <modifiedWord/>
      <trackRevisions>false</trackRevisions>
    </reviewItem>
    <reviewItem>
      <errorID>0d6ff4af-6f4f-4f9a-8ef2-e6f3b417ef0f</errorID>
      <errorWord>～</errorWord>
      <group>L1_Format</group>
      <groupName>格式问题</groupName>
      <ability>L2_HalfPunc</ability>
      <abilityName>全半角检查</abilityName>
      <candidateList>
        <item>~</item>
      </candidateList>
      <explain>文本全半角错误。</explain>
      <paraID>641A6BB3</paraID>
      <start>1</start>
      <end>2</end>
      <status>unmodified</status>
      <modifiedWord/>
      <trackRevisions>false</trackRevisions>
    </reviewItem>
    <reviewItem>
      <errorID>a8b381d7-29e3-4b7e-b496-80c87cb07448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4EDF08CD</paraID>
      <start>0</start>
      <end>2</end>
      <status>unmodified</status>
      <modifiedWord/>
      <trackRevisions>false</trackRevisions>
    </reviewItem>
    <reviewItem>
      <errorID>b772e312-8b81-404d-b101-032a7c494f49</errorID>
      <errorWord>(</errorWord>
      <group>L1_Format</group>
      <groupName>格式问题</groupName>
      <ability>L2_HalfPunc</ability>
      <abilityName>全半角检查</abilityName>
      <candidateList>
        <item>（</item>
      </candidateList>
      <explain>文本全半角错误。</explain>
      <paraID>6ADDC8ED</paraID>
      <start>0</start>
      <end>1</end>
      <status>unmodified</status>
      <modifiedWord/>
      <trackRevisions>false</trackRevisions>
    </reviewItem>
    <reviewItem>
      <errorID>d8751433-2432-41d7-8a04-2861c87f79d6</errorID>
      <errorWord>)</errorWord>
      <group>L1_Format</group>
      <groupName>格式问题</groupName>
      <ability>L2_HalfPunc</ability>
      <abilityName>全半角检查</abilityName>
      <candidateList>
        <item>）</item>
      </candidateList>
      <explain>文本全半角错误。</explain>
      <paraID>6ADDC8ED</paraID>
      <start>3</start>
      <end>4</end>
      <status>unmodified</status>
      <modifiedWord/>
      <trackRevisions>false</trackRevisions>
    </reviewItem>
    <reviewItem>
      <errorID>2355397e-3e0c-47c8-b279-3e998e7a1399</errorID>
      <errorWord>(</errorWord>
      <group>L1_Format</group>
      <groupName>格式问题</groupName>
      <ability>L2_HalfPunc</ability>
      <abilityName>全半角检查</abilityName>
      <candidateList>
        <item>（</item>
      </candidateList>
      <explain>文本全半角错误。</explain>
      <paraID>3DFEFCD4</paraID>
      <start>5</start>
      <end>6</end>
      <status>unmodified</status>
      <modifiedWord/>
      <trackRevisions>false</trackRevisions>
    </reviewItem>
    <reviewItem>
      <errorID>96b7b622-894b-40e6-8764-b698fe436ac1</errorID>
      <errorWord>)</errorWord>
      <group>L1_Format</group>
      <groupName>格式问题</groupName>
      <ability>L2_HalfPunc</ability>
      <abilityName>全半角检查</abilityName>
      <candidateList>
        <item>）</item>
      </candidateList>
      <explain>文本全半角错误。</explain>
      <paraID>3DFEFCD4</paraID>
      <start>8</start>
      <end>9</end>
      <status>unmodified</status>
      <modifiedWord/>
      <trackRevisions>false</trackRevisions>
    </reviewItem>
    <reviewItem>
      <errorID>bd456249-e807-47df-b479-333871987617</errorID>
      <errorWord>)</errorWord>
      <group>L1_Format</group>
      <groupName>格式问题</groupName>
      <ability>L2_HalfPunc</ability>
      <abilityName>全半角检查</abilityName>
      <candidateList>
        <item>）</item>
      </candidateList>
      <explain>文本全半角错误。</explain>
      <paraID>13578137</paraID>
      <start>4</start>
      <end>5</end>
      <status>unmodified</status>
      <modifiedWord/>
      <trackRevisions>false</trackRevisions>
    </reviewItem>
    <reviewItem>
      <errorID>ffdfd4de-da24-48b6-8668-d5503e789e5f</errorID>
      <errorWord>(</errorWord>
      <group>L1_Format</group>
      <groupName>格式问题</groupName>
      <ability>L2_HalfPunc</ability>
      <abilityName>全半角检查</abilityName>
      <candidateList>
        <item>（</item>
      </candidateList>
      <explain>文本全半角错误。</explain>
      <paraID> 705A056</paraID>
      <start>2</start>
      <end>3</end>
      <status>unmodified</status>
      <modifiedWord/>
      <trackRevisions>false</trackRevisions>
    </reviewItem>
    <reviewItem>
      <errorID>98523f95-6ed5-4201-9b36-60c3fb52d5ed</errorID>
      <errorWord>)</errorWord>
      <group>L1_Format</group>
      <groupName>格式问题</groupName>
      <ability>L2_HalfPunc</ability>
      <abilityName>全半角检查</abilityName>
      <candidateList>
        <item>）</item>
      </candidateList>
      <explain>文本全半角错误。</explain>
      <paraID> 705A056</paraID>
      <start>4</start>
      <end>5</end>
      <status>unmodified</status>
      <modifiedWord/>
      <trackRevisions>false</trackRevisions>
    </reviewItem>
    <reviewItem>
      <errorID>43d86bb8-79a3-4496-b845-4fe4470173b4</errorID>
      <errorWord>(</errorWord>
      <group>L1_Format</group>
      <groupName>格式问题</groupName>
      <ability>L2_HalfPunc</ability>
      <abilityName>全半角检查</abilityName>
      <candidateList>
        <item>（</item>
      </candidateList>
      <explain>文本全半角错误。</explain>
      <paraID> 9B490E9</paraID>
      <start>0</start>
      <end>1</end>
      <status>unmodified</status>
      <modifiedWord/>
      <trackRevisions>false</trackRevisions>
    </reviewItem>
    <reviewItem>
      <errorID>a0079bf3-2da4-48d0-9a1b-0f653eb38cbb</errorID>
      <errorWord>)</errorWord>
      <group>L1_Format</group>
      <groupName>格式问题</groupName>
      <ability>L2_HalfPunc</ability>
      <abilityName>全半角检查</abilityName>
      <candidateList>
        <item>）</item>
      </candidateList>
      <explain>文本全半角错误。</explain>
      <paraID> 9B490E9</paraID>
      <start>3</start>
      <end>4</end>
      <status>unmodified</status>
      <modifiedWord/>
      <trackRevisions>false</trackRevisions>
    </reviewItem>
    <reviewItem>
      <errorID>e9f303cb-fbc9-4ae6-a49c-b89eaa5c1dc4</errorID>
      <errorWord>～</errorWord>
      <group>L1_Format</group>
      <groupName>格式问题</groupName>
      <ability>L2_HalfPunc</ability>
      <abilityName>全半角检查</abilityName>
      <candidateList>
        <item>~</item>
      </candidateList>
      <explain>文本全半角错误。</explain>
      <paraID>2708A557</paraID>
      <start>1</start>
      <end>2</end>
      <status>unmodified</status>
      <modifiedWord/>
      <trackRevisions>false</trackRevisions>
    </reviewItem>
    <reviewItem>
      <errorID>24c7ce09-2c9c-444c-951b-39d6d05ee18a</errorID>
      <errorWord>（</errorWord>
      <group>L1_Format</group>
      <groupName>格式问题</groupName>
      <ability>L2_HalfPunc</ability>
      <abilityName>全半角检查</abilityName>
      <candidateList>
        <item>(</item>
      </candidateList>
      <explain>文本全半角错误。</explain>
      <paraID>461326D3</paraID>
      <start>1</start>
      <end>2</end>
      <status>unmodified</status>
      <modifiedWord/>
      <trackRevisions>false</trackRevisions>
    </reviewItem>
    <reviewItem>
      <errorID>ae169549-c6ef-4280-9742-9adbd2532047</errorID>
      <errorWord>）</errorWord>
      <group>L1_Format</group>
      <groupName>格式问题</groupName>
      <ability>L2_HalfPunc</ability>
      <abilityName>全半角检查</abilityName>
      <candidateList>
        <item>)</item>
      </candidateList>
      <explain>文本全半角错误。</explain>
      <paraID>461326D3</paraID>
      <start>3</start>
      <end>4</end>
      <status>unmodified</status>
      <modifiedWord/>
      <trackRevisions>false</trackRevisions>
    </reviewItem>
    <reviewItem>
      <errorID>5c4fccae-bfa1-4c92-acf0-18b564ffdd2c</errorID>
      <errorWord>（</errorWord>
      <group>L1_Format</group>
      <groupName>格式问题</groupName>
      <ability>L2_HalfPunc</ability>
      <abilityName>全半角检查</abilityName>
      <candidateList>
        <item>(</item>
      </candidateList>
      <explain>文本全半角错误。</explain>
      <paraID> E6E740D</paraID>
      <start>2</start>
      <end>3</end>
      <status>unmodified</status>
      <modifiedWord/>
      <trackRevisions>false</trackRevisions>
    </reviewItem>
    <reviewItem>
      <errorID>2d2cd8d3-9a76-4906-b3aa-ac56e8a79f38</errorID>
      <errorWord>）</errorWord>
      <group>L1_Format</group>
      <groupName>格式问题</groupName>
      <ability>L2_HalfPunc</ability>
      <abilityName>全半角检查</abilityName>
      <candidateList>
        <item>)</item>
      </candidateList>
      <explain>文本全半角错误。</explain>
      <paraID> E6E740D</paraID>
      <start>5</start>
      <end>6</end>
      <status>unmodified</status>
      <modifiedWord/>
      <trackRevisions>false</trackRevisions>
    </reviewItem>
    <reviewItem>
      <errorID>fb287b63-224b-43f8-b80a-eb6f9f25954d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4058A98F</paraID>
      <start>0</start>
      <end>2</end>
      <status>unmodified</status>
      <modifiedWord/>
      <trackRevisions>false</trackRevisions>
    </reviewItem>
    <reviewItem>
      <errorID>2dfd5192-d031-4fe5-8acb-d61d0f303fe4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17495F7</paraID>
      <start>0</start>
      <end>2</end>
      <status>unmodified</status>
      <modifiedWord/>
      <trackRevisions>false</trackRevisions>
    </reviewItem>
    <reviewItem>
      <errorID>c1a84a0e-0728-4665-bd28-ec998af964d3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4A41C248</paraID>
      <start>0</start>
      <end>2</end>
      <status>unmodified</status>
      <modifiedWord/>
      <trackRevisions>false</trackRevisions>
    </reviewItem>
    <reviewItem>
      <errorID>2a6ccb00-add9-4aab-b810-a768353d3041</errorID>
      <errorWord>提高</errorWord>
      <group>L1_Grammar</group>
      <groupName>语法问题</groupName>
      <ability>L2_Grammar</ability>
      <abilityName>语法错误</abilityName>
      <candidateList>
        <item>增强</item>
      </candidateList>
      <explain>“提高～意识”搭配不当，建议修改为“增强～意识”。</explain>
      <paraID> E6F92EE</paraID>
      <start>0</start>
      <end>2</end>
      <status>unmodified</status>
      <modifiedWord/>
      <trackRevisions>false</trackRevisions>
    </reviewItem>
    <reviewItem>
      <errorID>ad5294b6-cda0-46e1-b198-65ed9c9c8095</errorID>
      <errorWord>各</errorWord>
      <group>L1_Word</group>
      <groupName>字词问题</groupName>
      <ability>L2_Typo</ability>
      <abilityName>字词错误</abilityName>
      <candidateList>
        <item>各类</item>
      </candidateList>
      <explain/>
      <paraID> E6F92EE</paraID>
      <start>31</start>
      <end>32</end>
      <status>unmodified</status>
      <modifiedWord/>
      <trackRevisions>false</trackRevisions>
    </reviewItem>
    <reviewItem>
      <errorID>b7941344-122f-43b6-9fe3-a871dc2ee0bf</errorID>
      <errorWord>过选用</errorWord>
      <group>L1_Word</group>
      <groupName>字词问题</groupName>
      <ability>L2_Typo</ability>
      <abilityName>字词错误</abilityName>
      <candidateList>
        <item>选用</item>
      </candidateList>
      <explain/>
      <paraID>1D819F3E</paraID>
      <start>0</start>
      <end>3</end>
      <status>unmodified</status>
      <modifiedWord/>
      <trackRevisions>false</trackRevisions>
    </reviewItem>
    <reviewItem>
      <errorID>90ef22e3-c9fc-4c29-88d7-896a04de3c02</errorID>
      <errorWord>减震</errorWord>
      <group>L1_Word</group>
      <groupName>字词问题</groupName>
      <ability>L2_Typo</ability>
      <abilityName>字词错误</abilityName>
      <candidateList>
        <item>减振</item>
      </candidateList>
      <explain/>
      <paraID>1D819F3E</paraID>
      <start>23</start>
      <end>25</end>
      <status>unmodified</status>
      <modifiedWord/>
      <trackRevisions>false</trackRevisions>
    </reviewItem>
    <reviewItem>
      <errorID>4e30e82e-1a56-40c1-870c-fa729facffbc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32C97A89</paraID>
      <start>0</start>
      <end>2</end>
      <status>unmodified</status>
      <modifiedWord/>
      <trackRevisions>false</trackRevisions>
    </reviewItem>
    <reviewItem>
      <errorID>572b50fc-5e52-4704-82b8-bb717008c97e</errorID>
      <errorWord>、</errorWord>
      <group>L1_Punc</group>
      <groupName>标点问题</groupName>
      <ability>L2_Punc</ability>
      <abilityName>标点符号检查</abilityName>
      <candidateList/>
      <explain/>
      <paraID>15B809CF</paraID>
      <start>25</start>
      <end>26</end>
      <status>unmodified</status>
      <modifiedWord/>
      <trackRevisions>false</trackRevisions>
    </reviewItem>
    <reviewItem>
      <errorID>8e800359-00b9-4ace-bfca-169ad1333b4d</errorID>
      <errorWord>选</errorWord>
      <group>L1_Word</group>
      <groupName>字词问题</groupName>
      <ability>L2_Typo</ability>
      <abilityName>字词错误</abilityName>
      <candidateList>
        <item>选择</item>
      </candidateList>
      <explain>〈动〉挑选：～对象｜～地点。</explain>
      <paraID>663C6817</paraID>
      <start>22</start>
      <end>23</end>
      <status>unmodified</status>
      <modifiedWord/>
      <trackRevisions>false</trackRevisions>
    </reviewItem>
    <reviewItem>
      <errorID>ed68faf1-b25b-4693-90de-e46645eed5be</errorID>
      <errorWord>作</errorWord>
      <group>L1_Word</group>
      <groupName>字词问题</groupName>
      <ability>L2_Typo</ability>
      <abilityName>字词错误</abilityName>
      <candidateList>
        <item>做</item>
      </candidateList>
      <explain>存在发音相同字词的误用。</explain>
      <paraID>663C6817</paraID>
      <start>37</start>
      <end>38</end>
      <status>unmodified</status>
      <modifiedWord/>
      <trackRevisions>false</trackRevisions>
    </reviewItem>
    <reviewItem>
      <errorID>5fd77023-ce08-4e4d-8a6b-f57c7d484711</errorID>
      <errorWord>维护结构</errorWord>
      <group>L1_Word</group>
      <groupName>字词问题</groupName>
      <ability>L2_Typo</ability>
      <abilityName>字词错误</abilityName>
      <candidateList>
        <item>围护结构</item>
      </candidateList>
      <explain>存在发音相同字词的误用。</explain>
      <paraID>7B9186C9</paraID>
      <start>8</start>
      <end>12</end>
      <status>unmodified</status>
      <modifiedWord/>
      <trackRevisions>false</trackRevisions>
    </reviewItem>
    <reviewItem>
      <errorID>4e44ed93-37c9-41bf-a344-b6434c8c11d7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488597A5</paraID>
      <start>0</start>
      <end>2</end>
      <status>unmodified</status>
      <modifiedWord/>
      <trackRevisions>false</trackRevisions>
    </reviewItem>
    <reviewItem>
      <errorID>3f75b8e5-b2a6-4c2b-92a7-4fb2a022fc95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6F8A0D28</paraID>
      <start>0</start>
      <end>2</end>
      <status>unmodified</status>
      <modifiedWord/>
      <trackRevisions>false</trackRevisions>
    </reviewItem>
    <reviewItem>
      <errorID>b88a7161-ad54-4d62-a33f-b6b48036d2a1</errorID>
      <errorWord>胶粘剂</errorWord>
      <group>L1_Word</group>
      <groupName>字词问题</groupName>
      <ability>L2_Typo</ability>
      <abilityName>字词错误</abilityName>
      <candidateList>
        <item>胶黏剂</item>
      </candidateList>
      <explain/>
      <paraID>6B0747C1</paraID>
      <start>11</start>
      <end>14</end>
      <status>ignored</status>
      <modifiedWord/>
      <trackRevisions>false</trackRevisions>
    </reviewItem>
    <reviewItem>
      <errorID>6d741a16-0b71-4839-941b-5378fe86ada6</errorID>
      <errorWord>胶粘剂</errorWord>
      <group>L1_Word</group>
      <groupName>字词问题</groupName>
      <ability>L2_Typo</ability>
      <abilityName>字词错误</abilityName>
      <candidateList>
        <item>胶黏剂</item>
      </candidateList>
      <explain/>
      <paraID>6B0747C1</paraID>
      <start>142</start>
      <end>145</end>
      <status>ignored</status>
      <modifiedWord/>
      <trackRevisions>false</trackRevisions>
    </reviewItem>
    <reviewItem>
      <errorID>50f2ad92-2cb9-4f79-a012-2b80f8aae2a7</errorID>
      <errorWord>胶粘剂</errorWord>
      <group>L1_Word</group>
      <groupName>字词问题</groupName>
      <ability>L2_Typo</ability>
      <abilityName>字词错误</abilityName>
      <candidateList>
        <item>胶黏剂</item>
      </candidateList>
      <explain/>
      <paraID>6B0747C1</paraID>
      <start>169</start>
      <end>172</end>
      <status>ignored</status>
      <modifiedWord/>
      <trackRevisions>false</trackRevisions>
    </reviewItem>
    <reviewItem>
      <errorID>6fb6c40b-34f4-4a18-8094-3e712c48a9b5</errorID>
      <errorWord>(</errorWord>
      <group>L1_Format</group>
      <groupName>格式问题</groupName>
      <ability>L2_HalfPunc</ability>
      <abilityName>全半角检查</abilityName>
      <candidateList>
        <item>（</item>
      </candidateList>
      <explain>文本全半角错误。</explain>
      <paraID>4F353D30</paraID>
      <start>10</start>
      <end>11</end>
      <status>unmodified</status>
      <modifiedWord/>
      <trackRevisions>false</trackRevisions>
    </reviewItem>
    <reviewItem>
      <errorID>e4a6b15f-51c7-497c-a7df-be3f8c06b044</errorID>
      <errorWord>)</errorWord>
      <group>L1_Format</group>
      <groupName>格式问题</groupName>
      <ability>L2_HalfPunc</ability>
      <abilityName>全半角检查</abilityName>
      <candidateList>
        <item>）</item>
      </candidateList>
      <explain>文本全半角错误。</explain>
      <paraID>4F353D30</paraID>
      <start>13</start>
      <end>14</end>
      <status>unmodified</status>
      <modifiedWord/>
      <trackRevisions>false</trackRevisions>
    </reviewItem>
    <reviewItem>
      <errorID>b98a4ef3-9ede-43b7-a389-059171a3f5a4</errorID>
      <errorWord>(</errorWord>
      <group>L1_Format</group>
      <groupName>格式问题</groupName>
      <ability>L2_HalfPunc</ability>
      <abilityName>全半角检查</abilityName>
      <candidateList>
        <item>（</item>
      </candidateList>
      <explain>文本全半角错误。</explain>
      <paraID>240228BA</paraID>
      <start>5</start>
      <end>6</end>
      <status>unmodified</status>
      <modifiedWord/>
      <trackRevisions>false</trackRevisions>
    </reviewItem>
    <reviewItem>
      <errorID>56d74b1a-3290-4efb-b2e3-8dafb1290608</errorID>
      <errorWord>)</errorWord>
      <group>L1_Format</group>
      <groupName>格式问题</groupName>
      <ability>L2_HalfPunc</ability>
      <abilityName>全半角检查</abilityName>
      <candidateList>
        <item>）</item>
      </candidateList>
      <explain>文本全半角错误。</explain>
      <paraID>240228BA</paraID>
      <start>7</start>
      <end>8</end>
      <status>unmodified</status>
      <modifiedWord/>
      <trackRevisions>false</trackRevisions>
    </reviewItem>
    <reviewItem>
      <errorID>8aa747f0-f5a6-447a-a3eb-19c1963c0d18</errorID>
      <errorWord>(</errorWord>
      <group>L1_Format</group>
      <groupName>格式问题</groupName>
      <ability>L2_HalfPunc</ability>
      <abilityName>全半角检查</abilityName>
      <candidateList>
        <item>（</item>
      </candidateList>
      <explain>文本全半角错误。</explain>
      <paraID>3722A176</paraID>
      <start>11</start>
      <end>12</end>
      <status>unmodified</status>
      <modifiedWord/>
      <trackRevisions>false</trackRevisions>
    </reviewItem>
    <reviewItem>
      <errorID>9833ea82-4d99-42fc-bca2-b13710910b41</errorID>
      <errorWord>)</errorWord>
      <group>L1_Format</group>
      <groupName>格式问题</groupName>
      <ability>L2_HalfPunc</ability>
      <abilityName>全半角检查</abilityName>
      <candidateList>
        <item>）</item>
      </candidateList>
      <explain>文本全半角错误。</explain>
      <paraID>3722A176</paraID>
      <start>17</start>
      <end>18</end>
      <status>unmodified</status>
      <modifiedWord/>
      <trackRevisions>false</trackRevisions>
    </reviewItem>
    <reviewItem>
      <errorID>69c7798f-c86f-4d5e-8c7b-732294204bf2</errorID>
      <errorWord>(</errorWord>
      <group>L1_Format</group>
      <groupName>格式问题</groupName>
      <ability>L2_HalfPunc</ability>
      <abilityName>全半角检查</abilityName>
      <candidateList>
        <item>（</item>
      </candidateList>
      <explain>文本全半角错误。</explain>
      <paraID>419AC993</paraID>
      <start>2</start>
      <end>3</end>
      <status>unmodified</status>
      <modifiedWord/>
      <trackRevisions>false</trackRevisions>
    </reviewItem>
    <reviewItem>
      <errorID>1d80f683-bfa6-4d04-9a4c-79eb70822cda</errorID>
      <errorWord>)</errorWord>
      <group>L1_Format</group>
      <groupName>格式问题</groupName>
      <ability>L2_HalfPunc</ability>
      <abilityName>全半角检查</abilityName>
      <candidateList>
        <item>）</item>
      </candidateList>
      <explain>文本全半角错误。</explain>
      <paraID>419AC993</paraID>
      <start>7</start>
      <end>8</end>
      <status>unmodified</status>
      <modifiedWord/>
      <trackRevisions>false</trackRevisions>
    </reviewItem>
    <reviewItem>
      <errorID>8e092cf6-4ae9-4555-b70e-45269be58f3a</errorID>
      <errorWord>(</errorWord>
      <group>L1_Format</group>
      <groupName>格式问题</groupName>
      <ability>L2_HalfPunc</ability>
      <abilityName>全半角检查</abilityName>
      <candidateList>
        <item>（</item>
      </candidateList>
      <explain>文本全半角错误。</explain>
      <paraID>4CA0212F</paraID>
      <start>4</start>
      <end>5</end>
      <status>unmodified</status>
      <modifiedWord/>
      <trackRevisions>false</trackRevisions>
    </reviewItem>
    <reviewItem>
      <errorID>ad79a193-432b-484a-88c2-17c3b009b5dd</errorID>
      <errorWord>)</errorWord>
      <group>L1_Format</group>
      <groupName>格式问题</groupName>
      <ability>L2_HalfPunc</ability>
      <abilityName>全半角检查</abilityName>
      <candidateList>
        <item>）</item>
      </candidateList>
      <explain>文本全半角错误。</explain>
      <paraID>4CA0212F</paraID>
      <start>8</start>
      <end>9</end>
      <status>unmodified</status>
      <modifiedWord/>
      <trackRevisions>false</trackRevisions>
    </reviewItem>
    <reviewItem>
      <errorID>5bf0ef8e-9d19-40ff-9d05-4f6a99c99cd8</errorID>
      <errorWord>(</errorWord>
      <group>L1_Format</group>
      <groupName>格式问题</groupName>
      <ability>L2_HalfPunc</ability>
      <abilityName>全半角检查</abilityName>
      <candidateList>
        <item>（</item>
      </candidateList>
      <explain>文本全半角错误。</explain>
      <paraID>3130B538</paraID>
      <start>4</start>
      <end>5</end>
      <status>unmodified</status>
      <modifiedWord/>
      <trackRevisions>false</trackRevisions>
    </reviewItem>
    <reviewItem>
      <errorID>295d328a-f366-4598-8cef-6dfbb492d0ae</errorID>
      <errorWord>)</errorWord>
      <group>L1_Format</group>
      <groupName>格式问题</groupName>
      <ability>L2_HalfPunc</ability>
      <abilityName>全半角检查</abilityName>
      <candidateList>
        <item>）</item>
      </candidateList>
      <explain>文本全半角错误。</explain>
      <paraID>3130B538</paraID>
      <start>6</start>
      <end>7</end>
      <status>unmodified</status>
      <modifiedWord/>
      <trackRevisions>false</trackRevisions>
    </reviewItem>
    <reviewItem>
      <errorID>983aae33-5eba-4747-b6ff-243e1287fc8a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CC83BB2</paraID>
      <start>0</start>
      <end>2</end>
      <status>unmodified</status>
      <modifiedWord/>
      <trackRevisions>false</trackRevisions>
    </reviewItem>
    <reviewItem>
      <errorID>a0e38036-f547-4fae-9df4-3cae58b864d6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6485B8C3</paraID>
      <start>21</start>
      <end>24</end>
      <status>unmodified</status>
      <modifiedWord/>
      <trackRevisions>false</trackRevisions>
    </reviewItem>
    <reviewItem>
      <errorID>5846cca6-c322-4c24-bb0e-4654c31ef872</errorID>
      <errorWord>(</errorWord>
      <group>L1_Format</group>
      <groupName>格式问题</groupName>
      <ability>L2_HalfPunc</ability>
      <abilityName>全半角检查</abilityName>
      <candidateList>
        <item>（</item>
      </candidateList>
      <explain>文本全半角错误。</explain>
      <paraID>7EA6C8D6</paraID>
      <start>5</start>
      <end>6</end>
      <status>unmodified</status>
      <modifiedWord/>
      <trackRevisions>false</trackRevisions>
    </reviewItem>
    <reviewItem>
      <errorID>382141fc-5f44-4f08-b80f-5d5d42fb6552</errorID>
      <errorWord>)</errorWord>
      <group>L1_Format</group>
      <groupName>格式问题</groupName>
      <ability>L2_HalfPunc</ability>
      <abilityName>全半角检查</abilityName>
      <candidateList>
        <item>）</item>
      </candidateList>
      <explain>文本全半角错误。</explain>
      <paraID>7EA6C8D6</paraID>
      <start>9</start>
      <end>10</end>
      <status>unmodified</status>
      <modifiedWord/>
      <trackRevisions>false</trackRevisions>
    </reviewItem>
    <reviewItem>
      <errorID>73d2c126-017e-41a4-8971-ebc0fdf113f7</errorID>
      <errorWord>胶粘剂</errorWord>
      <group>L1_Word</group>
      <groupName>字词问题</groupName>
      <ability>L2_Typo</ability>
      <abilityName>字词错误</abilityName>
      <candidateList>
        <item>胶黏剂</item>
      </candidateList>
      <explain/>
      <paraID>59A8443B</paraID>
      <start>4</start>
      <end>7</end>
      <status>ignored</status>
      <modifiedWord/>
      <trackRevisions>false</trackRevisions>
    </reviewItem>
    <reviewItem>
      <errorID>d199d230-ee6f-48a5-b4dd-63df78656f0c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767E9DCE</paraID>
      <start>0</start>
      <end>2</end>
      <status>unmodified</status>
      <modifiedWord/>
      <trackRevisions>false</trackRevisions>
    </reviewItem>
    <reviewItem>
      <errorID>51d7b774-9220-4b84-b9db-e8b872fc3243</errorID>
      <errorWord>(</errorWord>
      <group>L1_Format</group>
      <groupName>格式问题</groupName>
      <ability>L2_HalfPunc</ability>
      <abilityName>全半角检查</abilityName>
      <candidateList>
        <item>（</item>
      </candidateList>
      <explain>文本全半角错误。</explain>
      <paraID>469472FB</paraID>
      <start>12</start>
      <end>13</end>
      <status>unmodified</status>
      <modifiedWord/>
      <trackRevisions>false</trackRevisions>
    </reviewItem>
    <reviewItem>
      <errorID>25f64a3e-5ca1-4772-81bc-32060e150edd</errorID>
      <errorWord>)</errorWord>
      <group>L1_Format</group>
      <groupName>格式问题</groupName>
      <ability>L2_HalfPunc</ability>
      <abilityName>全半角检查</abilityName>
      <candidateList>
        <item>）</item>
      </candidateList>
      <explain>文本全半角错误。</explain>
      <paraID>469472FB</paraID>
      <start>19</start>
      <end>20</end>
      <status>unmodified</status>
      <modifiedWord/>
      <trackRevisions>false</trackRevisions>
    </reviewItem>
    <reviewItem>
      <errorID>6e1265eb-026d-491d-a1f1-a1e5d5529c8a</errorID>
      <errorWord>(</errorWord>
      <group>L1_Format</group>
      <groupName>格式问题</groupName>
      <ability>L2_HalfPunc</ability>
      <abilityName>全半角检查</abilityName>
      <candidateList>
        <item>（</item>
      </candidateList>
      <explain>文本全半角错误。</explain>
      <paraID>1D585BE2</paraID>
      <start>2</start>
      <end>3</end>
      <status>unmodified</status>
      <modifiedWord/>
      <trackRevisions>false</trackRevisions>
    </reviewItem>
    <reviewItem>
      <errorID>f93356e2-4369-497b-846e-c8ccc619a948</errorID>
      <errorWord>)</errorWord>
      <group>L1_Format</group>
      <groupName>格式问题</groupName>
      <ability>L2_HalfPunc</ability>
      <abilityName>全半角检查</abilityName>
      <candidateList>
        <item>）</item>
      </candidateList>
      <explain>文本全半角错误。</explain>
      <paraID>1D585BE2</paraID>
      <start>20</start>
      <end>21</end>
      <status>unmodified</status>
      <modifiedWord/>
      <trackRevisions>false</trackRevisions>
    </reviewItem>
    <reviewItem>
      <errorID>928596fb-c4c3-489b-9400-4248f23d2311</errorID>
      <errorWord>胶粘剂</errorWord>
      <group>L1_Word</group>
      <groupName>字词问题</groupName>
      <ability>L2_Typo</ability>
      <abilityName>字词错误</abilityName>
      <candidateList>
        <item>胶黏剂</item>
      </candidateList>
      <explain/>
      <paraID>72573469</paraID>
      <start>4</start>
      <end>7</end>
      <status>ignored</status>
      <modifiedWord/>
      <trackRevisions>false</trackRevisions>
    </reviewItem>
    <reviewItem>
      <errorID>2effbe9f-150d-4103-a054-9c471129982b</errorID>
      <errorWord>(</errorWord>
      <group>L1_Format</group>
      <groupName>格式问题</groupName>
      <ability>L2_HalfPunc</ability>
      <abilityName>全半角检查</abilityName>
      <candidateList>
        <item>（</item>
      </candidateList>
      <explain>文本全半角错误。</explain>
      <paraID>4A01CBC5</paraID>
      <start>5</start>
      <end>6</end>
      <status>unmodified</status>
      <modifiedWord/>
      <trackRevisions>false</trackRevisions>
    </reviewItem>
    <reviewItem>
      <errorID>4d3de9db-edd6-4980-ae9a-4423a1a746b6</errorID>
      <errorWord>)</errorWord>
      <group>L1_Format</group>
      <groupName>格式问题</groupName>
      <ability>L2_HalfPunc</ability>
      <abilityName>全半角检查</abilityName>
      <candidateList>
        <item>）</item>
      </candidateList>
      <explain>文本全半角错误。</explain>
      <paraID>4A01CBC5</paraID>
      <start>9</start>
      <end>10</end>
      <status>unmodified</status>
      <modifiedWord/>
      <trackRevisions>false</trackRevisions>
    </reviewItem>
    <reviewItem>
      <errorID>4acefc85-8c66-4b7b-8842-591f964c0eb2</errorID>
      <errorWord>胶粘剂</errorWord>
      <group>L1_Word</group>
      <groupName>字词问题</groupName>
      <ability>L2_Typo</ability>
      <abilityName>字词错误</abilityName>
      <candidateList>
        <item>胶黏剂</item>
      </candidateList>
      <explain/>
      <paraID>7BBA8C05</paraID>
      <start>4</start>
      <end>7</end>
      <status>ignored</status>
      <modifiedWord/>
      <trackRevisions>false</trackRevisions>
    </reviewItem>
    <reviewItem>
      <errorID>954e9bbd-78c3-414c-a11b-adf088101929</errorID>
      <errorWord>胶粘剂</errorWord>
      <group>L1_Word</group>
      <groupName>字词问题</groupName>
      <ability>L2_Typo</ability>
      <abilityName>字词错误</abilityName>
      <candidateList>
        <item>胶黏剂</item>
      </candidateList>
      <explain/>
      <paraID> C99D445</paraID>
      <start>4</start>
      <end>7</end>
      <status>ignored</status>
      <modifiedWord/>
      <trackRevisions>false</trackRevisions>
    </reviewItem>
    <reviewItem>
      <errorID>7042d834-13d3-4af6-8047-d98f13783129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7318651E</paraID>
      <start>0</start>
      <end>2</end>
      <status>unmodified</status>
      <modifiedWord/>
      <trackRevisions>false</trackRevisions>
    </reviewItem>
    <reviewItem>
      <errorID>0e71e917-ba6a-4c58-9dee-a26b73af63f6</errorID>
      <errorWord>(</errorWord>
      <group>L1_Format</group>
      <groupName>格式问题</groupName>
      <ability>L2_HalfPunc</ability>
      <abilityName>全半角检查</abilityName>
      <candidateList>
        <item>（</item>
      </candidateList>
      <explain>文本全半角错误。</explain>
      <paraID>1F2189E8</paraID>
      <start>2</start>
      <end>3</end>
      <status>unmodified</status>
      <modifiedWord/>
      <trackRevisions>false</trackRevisions>
    </reviewItem>
    <reviewItem>
      <errorID>c316c96f-ea66-46f8-bdc4-43a011c9c0e3</errorID>
      <errorWord>)</errorWord>
      <group>L1_Format</group>
      <groupName>格式问题</groupName>
      <ability>L2_HalfPunc</ability>
      <abilityName>全半角检查</abilityName>
      <candidateList>
        <item>）</item>
      </candidateList>
      <explain>文本全半角错误。</explain>
      <paraID>1F2189E8</paraID>
      <start>20</start>
      <end>21</end>
      <status>unmodified</status>
      <modifiedWord/>
      <trackRevisions>false</trackRevisions>
    </reviewItem>
    <reviewItem>
      <errorID>eeb13eb0-e1d4-496c-8cc2-4e1d1d1439f6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76BFDA3A</paraID>
      <start>0</start>
      <end>2</end>
      <status>unmodified</status>
      <modifiedWord/>
      <trackRevisions>false</trackRevisions>
    </reviewItem>
    <reviewItem>
      <errorID>c5c90b6f-f910-44a5-b5e0-49c56d41f5bf</errorID>
      <errorWord>(</errorWord>
      <group>L1_Format</group>
      <groupName>格式问题</groupName>
      <ability>L2_HalfPunc</ability>
      <abilityName>全半角检查</abilityName>
      <candidateList>
        <item>（</item>
      </candidateList>
      <explain>文本全半角错误。</explain>
      <paraID> BCDDF8A</paraID>
      <start>115</start>
      <end>116</end>
      <status>unmodified</status>
      <modifiedWord/>
      <trackRevisions>false</trackRevisions>
    </reviewItem>
    <reviewItem>
      <errorID>61c47e7b-ed45-48a4-bf8a-bccc2198a566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BCDDF8A</paraID>
      <start>125</start>
      <end>126</end>
      <status>unmodified</status>
      <modifiedWord/>
      <trackRevisions>false</trackRevisions>
    </reviewItem>
    <reviewItem>
      <errorID>a3993d15-7482-4fa7-8db9-c405d878cb09</errorID>
      <errorWord>)</errorWord>
      <group>L1_Format</group>
      <groupName>格式问题</groupName>
      <ability>L2_HalfPunc</ability>
      <abilityName>全半角检查</abilityName>
      <candidateList>
        <item>）</item>
      </candidateList>
      <explain>文本全半角错误。</explain>
      <paraID> BCDDF8A</paraID>
      <start>131</start>
      <end>132</end>
      <status>unmodified</status>
      <modifiedWord/>
      <trackRevisions>false</trackRevisions>
    </reviewItem>
    <reviewItem>
      <errorID>5495b90c-ae3f-45b8-85c2-590ee00ba3b2</errorID>
      <errorWord>(</errorWord>
      <group>L1_Format</group>
      <groupName>格式问题</groupName>
      <ability>L2_HalfPunc</ability>
      <abilityName>全半角检查</abilityName>
      <candidateList>
        <item>（</item>
      </candidateList>
      <explain>文本全半角错误。</explain>
      <paraID> BCDDF8A</paraID>
      <start>154</start>
      <end>155</end>
      <status>unmodified</status>
      <modifiedWord/>
      <trackRevisions>false</trackRevisions>
    </reviewItem>
    <reviewItem>
      <errorID>cf1aa234-2301-421f-94f2-5c84a1686316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BCDDF8A</paraID>
      <start>164</start>
      <end>165</end>
      <status>unmodified</status>
      <modifiedWord/>
      <trackRevisions>false</trackRevisions>
    </reviewItem>
    <reviewItem>
      <errorID>d5aa3ac0-8dae-449f-8bac-caa05f5f4f96</errorID>
      <errorWord>（</errorWord>
      <group>L1_Format</group>
      <groupName>格式问题</groupName>
      <ability>L2_HalfPunc</ability>
      <abilityName>全半角检查</abilityName>
      <candidateList>
        <item>(</item>
      </candidateList>
      <explain>文本全半角错误。</explain>
      <paraID>2C443C11</paraID>
      <start>0</start>
      <end>1</end>
      <status>unmodified</status>
      <modifiedWord/>
      <trackRevisions>false</trackRevisions>
    </reviewItem>
    <reviewItem>
      <errorID>52f733f9-5c09-45a5-8b45-593375cb7b86</errorID>
      <errorWord>）</errorWord>
      <group>L1_Format</group>
      <groupName>格式问题</groupName>
      <ability>L2_HalfPunc</ability>
      <abilityName>全半角检查</abilityName>
      <candidateList>
        <item>)</item>
      </candidateList>
      <explain>文本全半角错误。</explain>
      <paraID>2C443C11</paraID>
      <start>3</start>
      <end>4</end>
      <status>unmodified</status>
      <modifiedWord/>
      <trackRevisions>false</trackRevisions>
    </reviewItem>
    <reviewItem>
      <errorID>94c23e9d-416c-4d8e-acc8-1adf5b3d91ed</errorID>
      <errorWord>:</errorWord>
      <group>L1_Format</group>
      <groupName>格式问题</groupName>
      <ability>L2_HalfPunc</ability>
      <abilityName>全半角检查</abilityName>
      <candidateList>
        <item>：</item>
      </candidateList>
      <explain>文本全半角错误。</explain>
      <paraID>733B93C4</paraID>
      <start>9</start>
      <end>10</end>
      <status>unmodified</status>
      <modifiedWord/>
      <trackRevisions>false</trackRevisions>
    </reviewItem>
    <reviewItem>
      <errorID>a2490183-2fe3-4fab-b292-986879be6d2e</errorID>
      <errorWord>:</errorWord>
      <group>L1_Format</group>
      <groupName>格式问题</groupName>
      <ability>L2_HalfPunc</ability>
      <abilityName>全半角检查</abilityName>
      <candidateList>
        <item>：</item>
      </candidateList>
      <explain>文本全半角错误。</explain>
      <paraID>3BCC6100</paraID>
      <start>9</start>
      <end>10</end>
      <status>unmodified</status>
      <modifiedWord/>
      <trackRevisions>false</trackRevisions>
    </reviewItem>
    <reviewItem>
      <errorID>72c7af1b-3242-4472-abb7-70363da8553e</errorID>
      <errorWord>交通部</errorWord>
      <group>L1_Knowledge</group>
      <groupName>知识性问题</groupName>
      <ability>L2_Knowledge</ability>
      <abilityName>其他知识</abilityName>
      <candidateList>
        <item>交通运输部</item>
      </candidateList>
      <explain/>
      <paraID> 2D750F4</paraID>
      <start>27</start>
      <end>30</end>
      <status>unmodified</status>
      <modifiedWord/>
      <trackRevisions>false</trackRevisions>
    </reviewItem>
    <reviewItem>
      <errorID>0cb746e9-5de4-40d8-877a-40d1cdadd1c7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7CC1E467</paraID>
      <start>0</start>
      <end>2</end>
      <status>unmodified</status>
      <modifiedWord/>
      <trackRevisions>false</trackRevisions>
    </reviewItem>
    <reviewItem>
      <errorID>a5be052b-5ed2-4ba2-8fbe-a882f3768bcc</errorID>
      <errorWord>胶粘剂</errorWord>
      <group>L1_Word</group>
      <groupName>字词问题</groupName>
      <ability>L2_Typo</ability>
      <abilityName>字词错误</abilityName>
      <candidateList>
        <item>胶黏剂</item>
      </candidateList>
      <explain/>
      <paraID> 7CB4B23</paraID>
      <start>36</start>
      <end>39</end>
      <status>ignored</status>
      <modifiedWord/>
      <trackRevisions>false</trackRevisions>
    </reviewItem>
    <reviewItem>
      <errorID>4f33aa43-ce69-47e9-a949-1b39fc65c761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2E392391</paraID>
      <start>0</start>
      <end>2</end>
      <status>unmodified</status>
      <modifiedWord/>
      <trackRevisions>false</trackRevisions>
    </reviewItem>
    <reviewItem>
      <errorID>3fb31762-1763-4c88-a6cd-f15b8a9cdf51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11F6AC87</paraID>
      <start>61</start>
      <end>62</end>
      <status>unmodified</status>
      <modifiedWord/>
      <trackRevisions>false</trackRevisions>
    </reviewItem>
    <reviewItem>
      <errorID>e4045a7d-bc28-4766-b576-af39e9b79547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63818321</paraID>
      <start>0</start>
      <end>2</end>
      <status>unmodified</status>
      <modifiedWord/>
      <trackRevisions>false</trackRevisions>
    </reviewItem>
    <reviewItem>
      <errorID>ca4e9170-e49c-46da-91f6-d39389b08944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1BB942B1</paraID>
      <start>7</start>
      <end>8</end>
      <status>unmodified</status>
      <modifiedWord/>
      <trackRevisions>false</trackRevisions>
    </reviewItem>
    <reviewItem>
      <errorID>d2e7992d-be24-4fcc-bec3-cdcae69d2a45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6EB37358</paraID>
      <start>7</start>
      <end>8</end>
      <status>unmodified</status>
      <modifiedWord/>
      <trackRevisions>false</trackRevisions>
    </reviewItem>
    <reviewItem>
      <errorID>9858fed1-e680-414a-bda2-4108828a0cf6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38555289</paraID>
      <start>0</start>
      <end>2</end>
      <status>unmodified</status>
      <modifiedWord/>
      <trackRevisions>false</trackRevisions>
    </reviewItem>
    <reviewItem>
      <errorID>217d63c9-3376-47fd-a6b8-c85ceef67fd9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6833493D</paraID>
      <start>9</start>
      <end>10</end>
      <status>unmodified</status>
      <modifiedWord/>
      <trackRevisions>false</trackRevisions>
    </reviewItem>
    <reviewItem>
      <errorID>78b7a1f3-de0d-4a83-a7dd-b9af33f94640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B0D3031</paraID>
      <start>0</start>
      <end>2</end>
      <status>unmodified</status>
      <modifiedWord/>
      <trackRevisions>false</trackRevisions>
    </reviewItem>
    <reviewItem>
      <errorID>4966866f-773d-4d45-8e80-1b8b090cb5cf</errorID>
      <errorWord>胶粘剂</errorWord>
      <group>L1_Word</group>
      <groupName>字词问题</groupName>
      <ability>L2_Typo</ability>
      <abilityName>字词错误</abilityName>
      <candidateList>
        <item>胶黏剂</item>
      </candidateList>
      <explain/>
      <paraID>2516883B</paraID>
      <start>0</start>
      <end>3</end>
      <status>ignored</status>
      <modifiedWord/>
      <trackRevisions>false</trackRevisions>
    </reviewItem>
    <reviewItem>
      <errorID>8703d45b-6f15-4ddd-98d4-e955a2384c6e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24FCCB89</paraID>
      <start>0</start>
      <end>2</end>
      <status>unmodified</status>
      <modifiedWord/>
      <trackRevisions>false</trackRevisions>
    </reviewItem>
    <reviewItem>
      <errorID>00af1820-e5b6-435f-b00a-6d289535602e</errorID>
      <errorWord>，...，</errorWord>
      <group>L1_Punc</group>
      <groupName>标点问题</groupName>
      <ability>L2_Punc</ability>
      <abilityName>标点符号检查</abilityName>
      <candidateList>
        <item>，</item>
      </candidateList>
      <explain/>
      <paraID>4F2D0CD5</paraID>
      <start>9</start>
      <end>14</end>
      <status>unmodified</status>
      <modifiedWord/>
      <trackRevisions>false</trackRevisions>
    </reviewItem>
    <reviewItem>
      <errorID>d910a08f-d86c-4ba1-9141-f363e64b37c0</errorID>
      <errorWord>...,</errorWord>
      <group>L1_Punc</group>
      <groupName>标点问题</groupName>
      <ability>L2_Punc</ability>
      <abilityName>标点符号检查</abilityName>
      <candidateList>
        <item>.</item>
      </candidateList>
      <explain/>
      <paraID>1E2BCC0A</paraID>
      <start>8</start>
      <end>12</end>
      <status>unmodified</status>
      <modifiedWord/>
      <trackRevisions>false</trackRevisions>
    </reviewItem>
    <reviewItem>
      <errorID>c32f8b9b-898e-4e73-986e-ed3719d1813e</errorID>
      <errorWord>胶粘剂</errorWord>
      <group>L1_Word</group>
      <groupName>字词问题</groupName>
      <ability>L2_Typo</ability>
      <abilityName>字词错误</abilityName>
      <candidateList>
        <item>胶黏剂</item>
      </candidateList>
      <explain/>
      <paraID>2DA1BE5F</paraID>
      <start>0</start>
      <end>3</end>
      <status>ignored</status>
      <modifiedWord/>
      <trackRevisions>false</trackRevisions>
    </reviewItem>
    <reviewItem>
      <errorID>ebe9b306-fb5b-46c5-bee9-90bb63f0ddd3</errorID>
      <errorWord>胶粘剂</errorWord>
      <group>L1_Word</group>
      <groupName>字词问题</groupName>
      <ability>L2_Typo</ability>
      <abilityName>字词错误</abilityName>
      <candidateList>
        <item>胶黏剂</item>
      </candidateList>
      <explain/>
      <paraID>13B4FAF5</paraID>
      <start>3</start>
      <end>6</end>
      <status>ignored</status>
      <modifiedWord/>
      <trackRevisions>false</trackRevisions>
    </reviewItem>
    <reviewItem>
      <errorID>623be904-37a7-4908-883e-a9ed6897967e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19BDE078</paraID>
      <start>0</start>
      <end>2</end>
      <status>unmodified</status>
      <modifiedWord/>
      <trackRevisions>false</trackRevisions>
    </reviewItem>
    <reviewItem>
      <errorID>5272fc32-64d8-4b20-a138-e454433d0b4d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53092FB3</paraID>
      <start>0</start>
      <end>2</end>
      <status>unmodified</status>
      <modifiedWord/>
      <trackRevisions>false</trackRevisions>
    </reviewItem>
    <reviewItem>
      <errorID>e5370185-1a48-4711-a1f4-59a0e96bf6f9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145D724</paraID>
      <start>0</start>
      <end>2</end>
      <status>unmodified</status>
      <modifiedWord/>
      <trackRevisions>false</trackRevisions>
    </reviewItem>
    <reviewItem>
      <errorID>ff963957-36bd-4dbd-bf0a-f8ccd587a40c</errorID>
      <errorWord>提高</errorWord>
      <group>L1_Grammar</group>
      <groupName>语法问题</groupName>
      <ability>L2_Grammar</ability>
      <abilityName>语法错误</abilityName>
      <candidateList>
        <item>增强</item>
      </candidateList>
      <explain>“提高～意识”搭配不当，建议修改为“增强～意识”。</explain>
      <paraID>4D4291C6</paraID>
      <start>269</start>
      <end>271</end>
      <status>unmodified</status>
      <modifiedWord/>
      <trackRevisions>false</trackRevisions>
    </reviewItem>
    <reviewItem>
      <errorID>52c0c633-28d5-487a-ae5b-3bac11f96240</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3DDAFFE3</paraID>
      <start>206</start>
      <end>208</end>
      <status>unmodified</status>
      <modifiedWord/>
      <trackRevisions>false</trackRevisions>
    </reviewItem>
    <reviewItem>
      <errorID>72e5a19d-4588-495a-852f-15289b9c60f4</errorID>
      <errorWord>强</errorWord>
      <group>L1_Word</group>
      <groupName>字词问题</groupName>
      <ability>L2_Typo</ability>
      <abilityName>字词错误</abilityName>
      <candidateList>
        <item>强对</item>
      </candidateList>
      <explain/>
      <paraID>16F4C84A</paraID>
      <start>44</start>
      <end>45</end>
      <status>unmodified</status>
      <modifiedWord/>
      <trackRevisions>false</trackRevisions>
    </reviewItem>
    <reviewItem>
      <errorID>d6126442-1ccb-42d0-9063-07fbf503d963</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6A5E46CA</paraID>
      <start>0</start>
      <end>2</end>
      <status>unmodified</status>
      <modifiedWord/>
      <trackRevisions>false</trackRevisions>
    </reviewItem>
    <reviewItem>
      <errorID>b1850b72-23ed-47b5-9785-4c28282de04b</errorID>
      <errorWord>围档</errorWord>
      <group>L1_Word</group>
      <groupName>字词问题</groupName>
      <ability>L2_Typo</ability>
      <abilityName>字词错误</abilityName>
      <candidateList>
        <item>围挡</item>
      </candidateList>
      <explain>存在发音相同字词的误用。</explain>
      <paraID>6A5E46CA</paraID>
      <start>18</start>
      <end>20</end>
      <status>unmodified</status>
      <modifiedWord/>
      <trackRevisions>false</trackRevisions>
    </reviewItem>
    <reviewItem>
      <errorID>1ac55727-5d19-4b02-813f-529a4b1c25af</errorID>
      <errorWord>其它</errorWord>
      <group>L1_Word</group>
      <groupName>字词问题</groupName>
      <ability>L2_Alias</ability>
      <abilityName>也作/曾用词</abilityName>
      <candidateList>
        <item>其他</item>
      </candidateList>
      <explain>词汇[其它]为不规范表述或旧称，其规范书面表述为[其他]。</explain>
      <paraID>6A5E46CA</paraID>
      <start>53</start>
      <end>55</end>
      <status>ignored</status>
      <modifiedWord/>
      <trackRevisions>false</trackRevisions>
    </reviewItem>
    <reviewItem>
      <errorID>ef47af7d-7108-4dc6-a23b-4c54a30be53d</errorID>
      <errorWord>档板</errorWord>
      <group>L1_Word</group>
      <groupName>字词问题</groupName>
      <ability>L2_Typo</ability>
      <abilityName>字词错误</abilityName>
      <candidateList>
        <item>挡板</item>
      </candidateList>
      <explain>存在发音相同字词的误用。</explain>
      <paraID>6A5E46CA</paraID>
      <start>90</start>
      <end>92</end>
      <status>unmodified</status>
      <modifiedWord/>
      <trackRevisions>false</trackRevisions>
    </reviewItem>
    <reviewItem>
      <errorID>f3544a63-520d-4382-9bb4-906cb8149bee</errorID>
      <errorWord>砂包</errorWord>
      <group>L1_Word</group>
      <groupName>字词问题</groupName>
      <ability>L2_Variant</ability>
      <abilityName>异形词</abilityName>
      <candidateList>
        <item>沙包</item>
      </candidateList>
      <explain>词汇[砂包]的规范词形写作[沙包]。</explain>
      <paraID>6A5E46CA</paraID>
      <start>96</start>
      <end>98</end>
      <status>unmodified</status>
      <modifiedWord/>
      <trackRevisions>false</trackRevisions>
    </reviewItem>
    <reviewItem>
      <errorID>28ce6c5d-338d-471e-9def-ddfa70daaa9e</errorID>
      <errorWord>围档</errorWord>
      <group>L1_Word</group>
      <groupName>字词问题</groupName>
      <ability>L2_Typo</ability>
      <abilityName>字词错误</abilityName>
      <candidateList>
        <item>围挡</item>
      </candidateList>
      <explain>存在发音相同字词的误用。</explain>
      <paraID>6A5E46CA</paraID>
      <start>100</start>
      <end>102</end>
      <status>unmodified</status>
      <modifiedWord/>
      <trackRevisions>false</trackRevisions>
    </reviewItem>
    <reviewItem>
      <errorID>e31f6d3c-e106-44f2-a52f-7b0179b2945b</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356B44C0</paraID>
      <start>0</start>
      <end>2</end>
      <status>unmodified</status>
      <modifiedWord/>
      <trackRevisions>false</trackRevisions>
    </reviewItem>
    <reviewItem>
      <errorID>11017e09-2301-451e-9bc7-33ca9e9d0c3b</errorID>
      <errorWord>围档</errorWord>
      <group>L1_Word</group>
      <groupName>字词问题</groupName>
      <ability>L2_Typo</ability>
      <abilityName>字词错误</abilityName>
      <candidateList>
        <item>围挡</item>
      </candidateList>
      <explain>存在发音相同字词的误用。</explain>
      <paraID>356B44C0</paraID>
      <start>21</start>
      <end>23</end>
      <status>unmodified</status>
      <modifiedWord/>
      <trackRevisions>false</trackRevisions>
    </reviewItem>
    <reviewItem>
      <errorID>5139844c-f2e7-41c8-91c1-95bca3371728</errorID>
      <errorWord>其它</errorWord>
      <group>L1_Word</group>
      <groupName>字词问题</groupName>
      <ability>L2_Alias</ability>
      <abilityName>也作/曾用词</abilityName>
      <candidateList>
        <item>其他</item>
      </candidateList>
      <explain>词汇[其它]为不规范表述或旧称，其规范书面表述为[其他]。</explain>
      <paraID>356B44C0</paraID>
      <start>57</start>
      <end>59</end>
      <status>ignored</status>
      <modifiedWord/>
      <trackRevisions>false</trackRevisions>
    </reviewItem>
    <reviewItem>
      <errorID>a4b6ddb1-ec37-4c23-8bfe-a39146c27434</errorID>
      <errorWord>档板</errorWord>
      <group>L1_Word</group>
      <groupName>字词问题</groupName>
      <ability>L2_Typo</ability>
      <abilityName>字词错误</abilityName>
      <candidateList>
        <item>挡板</item>
      </candidateList>
      <explain>存在发音相同字词的误用。</explain>
      <paraID>356B44C0</paraID>
      <start>95</start>
      <end>97</end>
      <status>unmodified</status>
      <modifiedWord/>
      <trackRevisions>false</trackRevisions>
    </reviewItem>
    <reviewItem>
      <errorID>d663a677-a950-45ba-8b54-49325ff7647b</errorID>
      <errorWord>砂包</errorWord>
      <group>L1_Word</group>
      <groupName>字词问题</groupName>
      <ability>L2_Variant</ability>
      <abilityName>异形词</abilityName>
      <candidateList>
        <item>沙包</item>
      </candidateList>
      <explain>词汇[砂包]的规范词形写作[沙包]。</explain>
      <paraID>356B44C0</paraID>
      <start>101</start>
      <end>103</end>
      <status>unmodified</status>
      <modifiedWord/>
      <trackRevisions>false</trackRevisions>
    </reviewItem>
    <reviewItem>
      <errorID>637db156-2b67-46f6-baab-ae7df75dd4bb</errorID>
      <errorWord>围档</errorWord>
      <group>L1_Word</group>
      <groupName>字词问题</groupName>
      <ability>L2_Typo</ability>
      <abilityName>字词错误</abilityName>
      <candidateList>
        <item>围挡</item>
      </candidateList>
      <explain>存在发音相同字词的误用。</explain>
      <paraID>356B44C0</paraID>
      <start>105</start>
      <end>107</end>
      <status>unmodified</status>
      <modifiedWord/>
      <trackRevisions>false</trackRevisions>
    </reviewItem>
    <reviewItem>
      <errorID>cf0f1131-7c56-4bbc-ac8b-07d13714a07a</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4BCD6980</paraID>
      <start>0</start>
      <end>2</end>
      <status>unmodified</status>
      <modifiedWord/>
      <trackRevisions>false</trackRevisions>
    </reviewItem>
    <reviewItem>
      <errorID>c616cbe9-661a-40b4-a9a3-0a8b2a024adc</errorID>
      <errorWord>围档</errorWord>
      <group>L1_Word</group>
      <groupName>字词问题</groupName>
      <ability>L2_Typo</ability>
      <abilityName>字词错误</abilityName>
      <candidateList>
        <item>围挡</item>
      </candidateList>
      <explain>存在发音相同字词的误用。</explain>
      <paraID>4BCD6980</paraID>
      <start>26</start>
      <end>28</end>
      <status>unmodified</status>
      <modifiedWord/>
      <trackRevisions>false</trackRevisions>
    </reviewItem>
    <reviewItem>
      <errorID>3c305dc0-a4dd-49b2-b5e6-715db1422e15</errorID>
      <errorWord>其它</errorWord>
      <group>L1_Word</group>
      <groupName>字词问题</groupName>
      <ability>L2_Alias</ability>
      <abilityName>也作/曾用词</abilityName>
      <candidateList>
        <item>其他</item>
      </candidateList>
      <explain>词汇[其它]为不规范表述或旧称，其规范书面表述为[其他]。</explain>
      <paraID>4BCD6980</paraID>
      <start>61</start>
      <end>63</end>
      <status>ignored</status>
      <modifiedWord/>
      <trackRevisions>false</trackRevisions>
    </reviewItem>
    <reviewItem>
      <errorID>9e776be4-93e0-44dd-8c64-470b78699f95</errorID>
      <errorWord>档板</errorWord>
      <group>L1_Word</group>
      <groupName>字词问题</groupName>
      <ability>L2_Typo</ability>
      <abilityName>字词错误</abilityName>
      <candidateList>
        <item>挡板</item>
      </candidateList>
      <explain/>
      <paraID>4BCD6980</paraID>
      <start>98</start>
      <end>100</end>
      <status>unmodified</status>
      <modifiedWord/>
      <trackRevisions>false</trackRevisions>
    </reviewItem>
    <reviewItem>
      <errorID>4042117a-e009-4d90-aaeb-bf2200a84613</errorID>
      <errorWord>砂包</errorWord>
      <group>L1_Word</group>
      <groupName>字词问题</groupName>
      <ability>L2_Variant</ability>
      <abilityName>异形词</abilityName>
      <candidateList>
        <item>沙包</item>
      </candidateList>
      <explain>词汇[砂包]的规范词形写作[沙包]。</explain>
      <paraID>4BCD6980</paraID>
      <start>104</start>
      <end>106</end>
      <status>unmodified</status>
      <modifiedWord/>
      <trackRevisions>false</trackRevisions>
    </reviewItem>
    <reviewItem>
      <errorID>58b74484-5809-4366-939a-c507829bc92f</errorID>
      <errorWord>围档</errorWord>
      <group>L1_Word</group>
      <groupName>字词问题</groupName>
      <ability>L2_Typo</ability>
      <abilityName>字词错误</abilityName>
      <candidateList>
        <item>围挡</item>
      </candidateList>
      <explain/>
      <paraID>4BCD6980</paraID>
      <start>108</start>
      <end>110</end>
      <status>unmodified</status>
      <modifiedWord/>
      <trackRevisions>false</trackRevisions>
    </reviewItem>
    <reviewItem>
      <errorID>47395f90-0bf4-4a76-b4f5-7ac82034c48f</errorID>
      <errorWord>(</errorWord>
      <group>L1_Format</group>
      <groupName>格式问题</groupName>
      <ability>L2_HalfPunc</ability>
      <abilityName>全半角检查</abilityName>
      <candidateList>
        <item>（</item>
      </candidateList>
      <explain>文本全半角错误。</explain>
      <paraID>72C69628</paraID>
      <start>16</start>
      <end>17</end>
      <status>unmodified</status>
      <modifiedWord/>
      <trackRevisions>false</trackRevisions>
    </reviewItem>
    <reviewItem>
      <errorID>1f89698d-27b2-40e9-b1f8-30e178608bb5</errorID>
      <errorWord>)</errorWord>
      <group>L1_Format</group>
      <groupName>格式问题</groupName>
      <ability>L2_HalfPunc</ability>
      <abilityName>全半角检查</abilityName>
      <candidateList>
        <item>）</item>
      </candidateList>
      <explain>文本全半角错误。</explain>
      <paraID>72C69628</paraID>
      <start>31</start>
      <end>32</end>
      <status>unmodified</status>
      <modifiedWord/>
      <trackRevisions>false</trackRevisions>
    </reviewItem>
    <reviewItem>
      <errorID>034581b3-8493-4fe2-aac4-c7923f831864</errorID>
      <errorWord>(</errorWord>
      <group>L1_Format</group>
      <groupName>格式问题</groupName>
      <ability>L2_HalfPunc</ability>
      <abilityName>全半角检查</abilityName>
      <candidateList>
        <item>（</item>
      </candidateList>
      <explain>文本全半角错误。</explain>
      <paraID>72C69628</paraID>
      <start>49</start>
      <end>50</end>
      <status>unmodified</status>
      <modifiedWord/>
      <trackRevisions>false</trackRevisions>
    </reviewItem>
    <reviewItem>
      <errorID>71199c97-4cdd-41cf-a224-aa38c632ed25</errorID>
      <errorWord>)</errorWord>
      <group>L1_Format</group>
      <groupName>格式问题</groupName>
      <ability>L2_HalfPunc</ability>
      <abilityName>全半角检查</abilityName>
      <candidateList>
        <item>）</item>
      </candidateList>
      <explain>文本全半角错误。</explain>
      <paraID>72C69628</paraID>
      <start>65</start>
      <end>66</end>
      <status>unmodified</status>
      <modifiedWord/>
      <trackRevisions>false</trackRevisions>
    </reviewItem>
    <reviewItem>
      <errorID>2f09989e-dfba-44db-a424-8d9116080a14</errorID>
      <errorWord>设</errorWord>
      <group>L1_Word</group>
      <groupName>字词问题</groupName>
      <ability>L2_Typo</ability>
      <abilityName>字词错误</abilityName>
      <candidateList>
        <item>设置</item>
      </candidateList>
      <explain>〈动〉❶设立：这座剧院是为儿童～的。❷安放；安装：～障碍。</explain>
      <paraID>13FDC4C4</paraID>
      <start>204</start>
      <end>205</end>
      <status>unmodified</status>
      <modifiedWord/>
      <trackRevisions>false</trackRevisions>
    </reviewItem>
    <reviewItem>
      <errorID>6e36a55c-f804-403d-bdda-a5d21203a091</errorID>
      <errorWord>构</errorWord>
      <group>L1_Word</group>
      <groupName>字词问题</groupName>
      <ability>L2_Typo</ability>
      <abilityName>字词错误</abilityName>
      <candidateList>
        <item>构和</item>
      </candidateList>
      <explain/>
      <paraID> E5DD5A0</paraID>
      <start>110</start>
      <end>111</end>
      <status>unmodified</status>
      <modifiedWord/>
      <trackRevisions>false</trackRevisions>
    </reviewItem>
    <reviewItem>
      <errorID>769ed847-3014-47bd-9d12-997145b91448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705833F2</paraID>
      <start>0</start>
      <end>2</end>
      <status>unmodified</status>
      <modifiedWord/>
      <trackRevisions>false</trackRevisions>
    </reviewItem>
    <reviewItem>
      <errorID>ac861c6c-5067-4fa5-a94e-a391610be162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2CDBD577</paraID>
      <start>78</start>
      <end>81</end>
      <status>unmodified</status>
      <modifiedWord/>
      <trackRevisions>false</trackRevisions>
    </reviewItem>
    <reviewItem>
      <errorID>e4bdf9f3-e7cc-413d-8135-7fab9718170c</errorID>
      <errorWord>胶粘剂</errorWord>
      <group>L1_Word</group>
      <groupName>字词问题</groupName>
      <ability>L2_Typo</ability>
      <abilityName>字词错误</abilityName>
      <candidateList>
        <item>胶黏剂</item>
      </candidateList>
      <explain/>
      <paraID>2CDBD577</paraID>
      <start>216</start>
      <end>219</end>
      <status>ignored</status>
      <modifiedWord/>
      <trackRevisions>false</trackRevisions>
    </reviewItem>
    <reviewItem>
      <errorID>edefedb9-c933-4a67-99cf-e72830d2ed28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559C2BEB</paraID>
      <start>0</start>
      <end>2</end>
      <status>unmodified</status>
      <modifiedWord/>
      <trackRevisions>false</trackRevisions>
    </reviewItem>
    <reviewItem>
      <errorID>97d1e681-c355-4307-8b79-1b906ffbc7d1</errorID>
      <errorWord>(</errorWord>
      <group>L1_Format</group>
      <groupName>格式问题</groupName>
      <ability>L2_HalfPunc</ability>
      <abilityName>全半角检查</abilityName>
      <candidateList>
        <item>（</item>
      </candidateList>
      <explain>文本全半角错误。</explain>
      <paraID>768CCD92</paraID>
      <start>0</start>
      <end>1</end>
      <status>unmodified</status>
      <modifiedWord/>
      <trackRevisions>false</trackRevisions>
    </reviewItem>
    <reviewItem>
      <errorID>9ac947c1-1a2b-40f5-9508-ca196c921c93</errorID>
      <errorWord>)</errorWord>
      <group>L1_Format</group>
      <groupName>格式问题</groupName>
      <ability>L2_HalfPunc</ability>
      <abilityName>全半角检查</abilityName>
      <candidateList>
        <item>）</item>
      </candidateList>
      <explain>文本全半角错误。</explain>
      <paraID>768CCD92</paraID>
      <start>3</start>
      <end>4</end>
      <status>unmodified</status>
      <modifiedWord/>
      <trackRevisions>false</trackRevisions>
    </reviewItem>
    <reviewItem>
      <errorID>0a46620c-57d8-413f-8dab-6e83a13e2b4f</errorID>
      <errorWord>（/</errorWord>
      <group>L1_Punc</group>
      <groupName>标点问题</groupName>
      <ability>L2_Punc</ability>
      <abilityName>标点符号检查</abilityName>
      <candidateList>
        <item>（</item>
      </candidateList>
      <explain/>
      <paraID>6574A866</paraID>
      <start>0</start>
      <end>2</end>
      <status>unmodified</status>
      <modifiedWord/>
      <trackRevisions>false</trackRevisions>
    </reviewItem>
    <reviewItem>
      <errorID>c99ee9fb-618e-48a4-8e84-f7b560d2145d</errorID>
      <errorWord>胶粘剂</errorWord>
      <group>L1_Word</group>
      <groupName>字词问题</groupName>
      <ability>L2_Typo</ability>
      <abilityName>字词错误</abilityName>
      <candidateList>
        <item>胶黏剂</item>
      </candidateList>
      <explain/>
      <paraID>7BE86492</paraID>
      <start>0</start>
      <end>3</end>
      <status>ignored</status>
      <modifiedWord/>
      <trackRevisions>false</trackRevisions>
    </reviewItem>
    <reviewItem>
      <errorID>50d7f616-a1d4-4e90-95ba-698aea8acd55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6FC35457</paraID>
      <start>0</start>
      <end>2</end>
      <status>unmodified</status>
      <modifiedWord/>
      <trackRevisions>false</trackRevisions>
    </reviewItem>
    <reviewItem>
      <errorID>9b4bc431-9927-4195-b569-5c49c4589cd6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2CF4CA71</paraID>
      <start>0</start>
      <end>2</end>
      <status>unmodified</status>
      <modifiedWord/>
      <trackRevisions>false</trackRevisions>
    </reviewItem>
    <reviewItem>
      <errorID>07aa7524-8d79-424b-b32d-040d48c54ec2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23D02736</paraID>
      <start>0</start>
      <end>2</end>
      <status>unmodified</status>
      <modifiedWord/>
      <trackRevisions>false</trackRevisions>
    </reviewItem>
    <reviewItem>
      <errorID>4fc9a58a-947b-45bf-ba59-41ace94777ef</errorID>
      <errorWord>求</errorWord>
      <group>L1_Word</group>
      <groupName>字词问题</groupName>
      <ability>L2_Typo</ability>
      <abilityName>字词错误</abilityName>
      <candidateList>
        <item>求安</item>
      </candidateList>
      <explain/>
      <paraID>20C61170</paraID>
      <start>11</start>
      <end>12</end>
      <status>unmodified</status>
      <modifiedWord/>
      <trackRevisions>false</trackRevisions>
    </reviewItem>
    <reviewItem>
      <errorID>f6faa619-2ed7-4e6a-83f8-33c0e330a55b</errorID>
      <errorWord>管理办法》中</errorWord>
      <group>L1_Word</group>
      <groupName>字词问题</groupName>
      <ability>L2_Typo</ability>
      <abilityName>字词错误</abilityName>
      <candidateList>
        <item>管理办法》</item>
      </candidateList>
      <explain/>
      <paraID>22A25B9F</paraID>
      <start>60</start>
      <end>66</end>
      <status>unmodified</status>
      <modifiedWord/>
      <trackRevisions>false</trackRevisions>
    </reviewItem>
    <reviewItem>
      <errorID>4e465984-f593-4c84-a973-ec3ab9bc3058</errorID>
      <errorWord>(</errorWord>
      <group>L1_Format</group>
      <groupName>格式问题</groupName>
      <ability>L2_HalfPunc</ability>
      <abilityName>全半角检查</abilityName>
      <candidateList>
        <item>（</item>
      </candidateList>
      <explain>文本全半角错误。</explain>
      <paraID>5BA629F2</paraID>
      <start>13</start>
      <end>14</end>
      <status>unmodified</status>
      <modifiedWord/>
      <trackRevisions>false</trackRevisions>
    </reviewItem>
    <reviewItem>
      <errorID>bc731818-1260-42d6-8e0d-e35524da250f</errorID>
      <errorWord>)</errorWord>
      <group>L1_Format</group>
      <groupName>格式问题</groupName>
      <ability>L2_HalfPunc</ability>
      <abilityName>全半角检查</abilityName>
      <candidateList>
        <item>）</item>
      </candidateList>
      <explain>文本全半角错误。</explain>
      <paraID>5BA629F2</paraID>
      <start>28</start>
      <end>29</end>
      <status>unmodified</status>
      <modifiedWord/>
      <trackRevisions>false</trackRevisions>
    </reviewItem>
    <reviewItem>
      <errorID>edaafe28-1e81-4d9c-8235-d73008e158dd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C17BF60</paraID>
      <start>0</start>
      <end>2</end>
      <status>unmodified</status>
      <modifiedWord/>
      <trackRevisions>false</trackRevisions>
    </reviewItem>
    <reviewItem>
      <errorID>4995549a-c680-4eef-90bd-f577ed163d7a</errorID>
      <errorWord>作</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 C17BF60</paraID>
      <start>56</start>
      <end>57</end>
      <status>unmodified</status>
      <modifiedWord/>
      <trackRevisions>false</trackRevisions>
    </reviewItem>
    <reviewItem>
      <errorID>eb7be23d-32af-4739-8775-c45393e7ed84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36F3AA40</paraID>
      <start>0</start>
      <end>2</end>
      <status>unmodified</status>
      <modifiedWord/>
      <trackRevisions>false</trackRevisions>
    </reviewItem>
    <reviewItem>
      <errorID>1a7c5a30-fcb0-4518-8660-dd69bbef2080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6C96555D</paraID>
      <start>0</start>
      <end>2</end>
      <status>unmodified</status>
      <modifiedWord/>
      <trackRevisions>false</trackRevisions>
    </reviewItem>
    <reviewItem>
      <errorID>aa665e83-f132-43bd-8d66-f61795302e4f</errorID>
      <errorWord>报告表</errorWord>
      <group>L1_Word</group>
      <groupName>字词问题</groupName>
      <ability>L2_Typo</ability>
      <abilityName>字词错误</abilityName>
      <candidateList>
        <item>报告</item>
      </candidateList>
      <explain>❶〈动〉把事情或意见正式告诉上级或群众：你应当把事情的经过向领导～｜大会主席～了开会宗旨。❷〈名〉用口头或书面的形式向上级或群众所做的正式陈述：总结～｜动员～。</explain>
      <paraID>126E43FC</paraID>
      <start>172</start>
      <end>175</end>
      <status>unmodified</status>
      <modifiedWord/>
      <trackRevisions>false</trackRevisions>
    </reviewItem>
    <reviewItem>
      <errorID>8e1d9f55-718f-471f-9430-97a652b025f8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36909E83</paraID>
      <start>34</start>
      <end>35</end>
      <status>unmodified</status>
      <modifiedWord/>
      <trackRevisions>false</trackRevisions>
    </reviewItem>
    <reviewItem>
      <errorID>56b44654-a49a-432f-90b6-84f61ccc38bb</errorID>
      <errorWord>胶粘剂</errorWord>
      <group>L1_Word</group>
      <groupName>字词问题</groupName>
      <ability>L2_Typo</ability>
      <abilityName>字词错误</abilityName>
      <candidateList>
        <item>胶黏剂</item>
      </candidateList>
      <explain/>
      <paraID>3C7164A3</paraID>
      <start>6</start>
      <end>9</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4303d9-ade1-45dc-b259-3c359486150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120</Pages>
  <Words>19985</Words>
  <Characters>21302</Characters>
  <Lines>546</Lines>
  <Paragraphs>153</Paragraphs>
  <TotalTime>1</TotalTime>
  <ScaleCrop>false</ScaleCrop>
  <LinksUpToDate>false</LinksUpToDate>
  <CharactersWithSpaces>21515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2024-02-19T03:26:00Z</dcterms:created>
  <dc:creator>Windows 用户</dc:creator>
  <cp:lastModifiedBy>球球</cp:lastModifiedBy>
  <cp:lastPrinted>2025-08-26T06:48:00Z</cp:lastPrinted>
  <dcterms:modified xsi:type="dcterms:W3CDTF">2026-05-12T06:27:48Z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886AA0AB46AA41D481B6E4F5A23AE122_13</vt:lpwstr>
  </property>
  <property fmtid="{D5CDD505-2E9C-101B-9397-08002B2CF9AE}" pid="4" name="KSOTemplateDocerSaveRecord">
    <vt:lpwstr>eyJoZGlkIjoiYWZhMzA0MTE2MGQ3ODcwOTgyMWY3NzY0ZDhkYzQxODciLCJ1c2VySWQiOiIzODk2NzQyOTcifQ==</vt:lpwstr>
  </property>
</Properties>
</file>