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CF80DF">
      <w:pPr>
        <w:adjustRightInd w:val="0"/>
        <w:snapToGrid w:val="0"/>
        <w:jc w:val="center"/>
        <w:outlineLvl w:val="0"/>
        <w:rPr>
          <w:bCs/>
          <w:color w:val="000000" w:themeColor="text1"/>
          <w:sz w:val="72"/>
          <w:szCs w:val="72"/>
          <w14:textFill>
            <w14:solidFill>
              <w14:schemeClr w14:val="tx1"/>
            </w14:solidFill>
          </w14:textFill>
        </w:rPr>
      </w:pPr>
      <w:r>
        <w:rPr>
          <w:bCs/>
          <w:color w:val="000000" w:themeColor="text1"/>
          <w:sz w:val="72"/>
          <w:szCs w:val="72"/>
          <w14:textFill>
            <w14:solidFill>
              <w14:schemeClr w14:val="tx1"/>
            </w14:solidFill>
          </w14:textFill>
        </w:rPr>
        <w:t xml:space="preserve"> 建设项目环境影响报告表</w:t>
      </w:r>
    </w:p>
    <w:p w14:paraId="008FBC63">
      <w:pPr>
        <w:adjustRightInd w:val="0"/>
        <w:snapToGrid w:val="0"/>
        <w:spacing w:before="192" w:beforeLines="80"/>
        <w:jc w:val="center"/>
        <w:rPr>
          <w:bCs/>
          <w:color w:val="000000" w:themeColor="text1"/>
          <w:sz w:val="48"/>
          <w:szCs w:val="48"/>
          <w14:textFill>
            <w14:solidFill>
              <w14:schemeClr w14:val="tx1"/>
            </w14:solidFill>
          </w14:textFill>
        </w:rPr>
      </w:pPr>
      <w:r>
        <w:rPr>
          <w:bCs/>
          <w:color w:val="000000" w:themeColor="text1"/>
          <w:sz w:val="48"/>
          <w:szCs w:val="48"/>
          <w14:textFill>
            <w14:solidFill>
              <w14:schemeClr w14:val="tx1"/>
            </w14:solidFill>
          </w14:textFill>
        </w:rPr>
        <w:t>（污染影响类）</w:t>
      </w:r>
    </w:p>
    <w:p w14:paraId="253ADF7C">
      <w:pPr>
        <w:adjustRightInd w:val="0"/>
        <w:snapToGrid w:val="0"/>
        <w:spacing w:line="288" w:lineRule="auto"/>
        <w:jc w:val="center"/>
        <w:rPr>
          <w:color w:val="000000" w:themeColor="text1"/>
          <w:kern w:val="44"/>
          <w:sz w:val="44"/>
          <w:szCs w:val="44"/>
          <w14:textFill>
            <w14:solidFill>
              <w14:schemeClr w14:val="tx1"/>
            </w14:solidFill>
          </w14:textFill>
        </w:rPr>
      </w:pPr>
    </w:p>
    <w:p w14:paraId="5E9C5065">
      <w:pPr>
        <w:jc w:val="center"/>
        <w:rPr>
          <w:color w:val="000000" w:themeColor="text1"/>
          <w:sz w:val="52"/>
          <w:szCs w:val="52"/>
          <w14:textFill>
            <w14:solidFill>
              <w14:schemeClr w14:val="tx1"/>
            </w14:solidFill>
          </w14:textFill>
        </w:rPr>
      </w:pPr>
    </w:p>
    <w:p w14:paraId="2DC50873">
      <w:pPr>
        <w:ind w:firstLine="1040"/>
        <w:rPr>
          <w:color w:val="000000" w:themeColor="text1"/>
          <w:sz w:val="44"/>
          <w:szCs w:val="44"/>
          <w14:textFill>
            <w14:solidFill>
              <w14:schemeClr w14:val="tx1"/>
            </w14:solidFill>
          </w14:textFill>
        </w:rPr>
      </w:pPr>
    </w:p>
    <w:p w14:paraId="7AE1E629">
      <w:pPr>
        <w:ind w:firstLine="1040"/>
        <w:rPr>
          <w:color w:val="000000" w:themeColor="text1"/>
          <w:sz w:val="44"/>
          <w:szCs w:val="44"/>
          <w14:textFill>
            <w14:solidFill>
              <w14:schemeClr w14:val="tx1"/>
            </w14:solidFill>
          </w14:textFill>
        </w:rPr>
      </w:pPr>
    </w:p>
    <w:p w14:paraId="4747B08D">
      <w:pPr>
        <w:ind w:firstLine="1040"/>
        <w:rPr>
          <w:color w:val="000000" w:themeColor="text1"/>
          <w:sz w:val="44"/>
          <w:szCs w:val="44"/>
          <w14:textFill>
            <w14:solidFill>
              <w14:schemeClr w14:val="tx1"/>
            </w14:solidFill>
          </w14:textFill>
        </w:rPr>
      </w:pPr>
    </w:p>
    <w:p w14:paraId="244CDC3A">
      <w:pPr>
        <w:ind w:firstLine="1040"/>
        <w:rPr>
          <w:color w:val="000000" w:themeColor="text1"/>
          <w:sz w:val="44"/>
          <w:szCs w:val="44"/>
          <w14:textFill>
            <w14:solidFill>
              <w14:schemeClr w14:val="tx1"/>
            </w14:solidFill>
          </w14:textFill>
        </w:rPr>
      </w:pPr>
    </w:p>
    <w:p w14:paraId="33A97018">
      <w:pPr>
        <w:adjustRightInd w:val="0"/>
        <w:snapToGrid w:val="0"/>
        <w:spacing w:line="288" w:lineRule="auto"/>
        <w:ind w:left="2159" w:leftChars="171" w:hanging="1800" w:hangingChars="500"/>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 xml:space="preserve">项目名称： </w:t>
      </w:r>
      <w:r>
        <w:rPr>
          <w:color w:val="000000" w:themeColor="text1"/>
          <w:sz w:val="36"/>
          <w:szCs w:val="36"/>
          <w:u w:val="single"/>
          <w14:textFill>
            <w14:solidFill>
              <w14:schemeClr w14:val="tx1"/>
            </w14:solidFill>
          </w14:textFill>
        </w:rPr>
        <w:t xml:space="preserve">  </w:t>
      </w:r>
      <w:bookmarkStart w:id="0" w:name="OLE_LINK50"/>
      <w:r>
        <w:rPr>
          <w:color w:val="000000" w:themeColor="text1"/>
          <w:sz w:val="36"/>
          <w:szCs w:val="36"/>
          <w:u w:val="single"/>
          <w14:textFill>
            <w14:solidFill>
              <w14:schemeClr w14:val="tx1"/>
            </w14:solidFill>
          </w14:textFill>
        </w:rPr>
        <w:t xml:space="preserve">合成生物实验室建设项目（重新报批）   </w:t>
      </w:r>
      <w:bookmarkEnd w:id="0"/>
      <w:r>
        <w:rPr>
          <w:color w:val="000000" w:themeColor="text1"/>
          <w:sz w:val="36"/>
          <w:szCs w:val="36"/>
          <w:u w:val="single"/>
          <w14:textFill>
            <w14:solidFill>
              <w14:schemeClr w14:val="tx1"/>
            </w14:solidFill>
          </w14:textFill>
        </w:rPr>
        <w:t xml:space="preserve">            </w:t>
      </w:r>
    </w:p>
    <w:p w14:paraId="063E0617">
      <w:pPr>
        <w:adjustRightInd w:val="0"/>
        <w:snapToGrid w:val="0"/>
        <w:spacing w:line="288" w:lineRule="auto"/>
        <w:ind w:firstLine="360" w:firstLineChars="100"/>
        <w:jc w:val="center"/>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建设单位（盖章）：</w:t>
      </w:r>
      <w:r>
        <w:rPr>
          <w:color w:val="000000" w:themeColor="text1"/>
          <w:sz w:val="36"/>
          <w:szCs w:val="36"/>
          <w:u w:val="single"/>
          <w14:textFill>
            <w14:solidFill>
              <w14:schemeClr w14:val="tx1"/>
            </w14:solidFill>
          </w14:textFill>
        </w:rPr>
        <w:t xml:space="preserve">  </w:t>
      </w:r>
      <w:bookmarkStart w:id="1" w:name="OLE_LINK49"/>
      <w:r>
        <w:rPr>
          <w:color w:val="000000" w:themeColor="text1"/>
          <w:sz w:val="36"/>
          <w:szCs w:val="36"/>
          <w:u w:val="single"/>
          <w14:textFill>
            <w14:solidFill>
              <w14:schemeClr w14:val="tx1"/>
            </w14:solidFill>
          </w14:textFill>
        </w:rPr>
        <w:t>博帝生物技术（常州）有限公司</w:t>
      </w:r>
      <w:bookmarkEnd w:id="1"/>
    </w:p>
    <w:p w14:paraId="147C4AC5">
      <w:pPr>
        <w:adjustRightInd w:val="0"/>
        <w:snapToGrid w:val="0"/>
        <w:spacing w:line="288" w:lineRule="auto"/>
        <w:ind w:firstLine="360" w:firstLineChars="100"/>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编制日期：</w:t>
      </w:r>
      <w:r>
        <w:rPr>
          <w:color w:val="000000" w:themeColor="text1"/>
          <w:sz w:val="36"/>
          <w:szCs w:val="36"/>
          <w:u w:val="single"/>
          <w14:textFill>
            <w14:solidFill>
              <w14:schemeClr w14:val="tx1"/>
            </w14:solidFill>
          </w14:textFill>
        </w:rPr>
        <w:t xml:space="preserve">            2025年12月              </w:t>
      </w:r>
    </w:p>
    <w:p w14:paraId="7F4D13B2">
      <w:pPr>
        <w:adjustRightInd w:val="0"/>
        <w:snapToGrid w:val="0"/>
        <w:spacing w:line="288" w:lineRule="auto"/>
        <w:ind w:firstLine="1040"/>
        <w:rPr>
          <w:color w:val="000000" w:themeColor="text1"/>
          <w:sz w:val="36"/>
          <w:szCs w:val="36"/>
          <w:u w:val="single"/>
          <w14:textFill>
            <w14:solidFill>
              <w14:schemeClr w14:val="tx1"/>
            </w14:solidFill>
          </w14:textFill>
        </w:rPr>
      </w:pPr>
      <w:bookmarkStart w:id="2" w:name="_Hlk57884087"/>
    </w:p>
    <w:p w14:paraId="4AF99357">
      <w:pPr>
        <w:adjustRightInd w:val="0"/>
        <w:snapToGrid w:val="0"/>
        <w:spacing w:line="288" w:lineRule="auto"/>
        <w:ind w:firstLine="1040"/>
        <w:rPr>
          <w:color w:val="000000" w:themeColor="text1"/>
          <w:sz w:val="36"/>
          <w:szCs w:val="36"/>
          <w14:textFill>
            <w14:solidFill>
              <w14:schemeClr w14:val="tx1"/>
            </w14:solidFill>
          </w14:textFill>
        </w:rPr>
      </w:pPr>
    </w:p>
    <w:p w14:paraId="63965E39">
      <w:pPr>
        <w:adjustRightInd w:val="0"/>
        <w:snapToGrid w:val="0"/>
        <w:spacing w:line="288" w:lineRule="auto"/>
        <w:ind w:firstLine="1040"/>
        <w:rPr>
          <w:color w:val="000000" w:themeColor="text1"/>
          <w:sz w:val="36"/>
          <w:szCs w:val="36"/>
          <w14:textFill>
            <w14:solidFill>
              <w14:schemeClr w14:val="tx1"/>
            </w14:solidFill>
          </w14:textFill>
        </w:rPr>
      </w:pPr>
    </w:p>
    <w:p w14:paraId="1AA9A6F2">
      <w:pPr>
        <w:rPr>
          <w:color w:val="000000" w:themeColor="text1"/>
          <w:sz w:val="36"/>
          <w:szCs w:val="36"/>
          <w14:textFill>
            <w14:solidFill>
              <w14:schemeClr w14:val="tx1"/>
            </w14:solidFill>
          </w14:textFill>
        </w:rPr>
      </w:pPr>
    </w:p>
    <w:p w14:paraId="79765D83">
      <w:pPr>
        <w:pStyle w:val="3"/>
        <w:numPr>
          <w:ilvl w:val="2"/>
          <w:numId w:val="0"/>
        </w:numPr>
        <w:ind w:left="426"/>
        <w:rPr>
          <w:color w:val="000000" w:themeColor="text1"/>
          <w:sz w:val="36"/>
          <w:szCs w:val="36"/>
          <w14:textFill>
            <w14:solidFill>
              <w14:schemeClr w14:val="tx1"/>
            </w14:solidFill>
          </w14:textFill>
        </w:rPr>
      </w:pPr>
    </w:p>
    <w:p w14:paraId="4CEE755B">
      <w:pPr>
        <w:rPr>
          <w:color w:val="000000" w:themeColor="text1"/>
          <w:sz w:val="36"/>
          <w:szCs w:val="36"/>
          <w14:textFill>
            <w14:solidFill>
              <w14:schemeClr w14:val="tx1"/>
            </w14:solidFill>
          </w14:textFill>
        </w:rPr>
      </w:pPr>
    </w:p>
    <w:p w14:paraId="73190D2E">
      <w:pPr>
        <w:rPr>
          <w:color w:val="000000" w:themeColor="text1"/>
          <w14:textFill>
            <w14:solidFill>
              <w14:schemeClr w14:val="tx1"/>
            </w14:solidFill>
          </w14:textFill>
        </w:rPr>
      </w:pPr>
    </w:p>
    <w:p w14:paraId="231B97D9">
      <w:pPr>
        <w:adjustRightInd w:val="0"/>
        <w:snapToGrid w:val="0"/>
        <w:spacing w:line="288" w:lineRule="auto"/>
        <w:ind w:firstLine="1040"/>
        <w:rPr>
          <w:color w:val="000000" w:themeColor="text1"/>
          <w:sz w:val="36"/>
          <w:szCs w:val="36"/>
          <w14:textFill>
            <w14:solidFill>
              <w14:schemeClr w14:val="tx1"/>
            </w14:solidFill>
          </w14:textFill>
        </w:rPr>
      </w:pPr>
    </w:p>
    <w:p w14:paraId="749D164D">
      <w:pPr>
        <w:adjustRightInd w:val="0"/>
        <w:snapToGrid w:val="0"/>
        <w:spacing w:line="288" w:lineRule="auto"/>
        <w:ind w:firstLine="1040"/>
        <w:rPr>
          <w:color w:val="000000" w:themeColor="text1"/>
          <w:sz w:val="36"/>
          <w:szCs w:val="36"/>
          <w14:textFill>
            <w14:solidFill>
              <w14:schemeClr w14:val="tx1"/>
            </w14:solidFill>
          </w14:textFill>
        </w:rPr>
      </w:pPr>
    </w:p>
    <w:bookmarkEnd w:id="2"/>
    <w:p w14:paraId="496D8A33">
      <w:pPr>
        <w:adjustRightInd w:val="0"/>
        <w:snapToGrid w:val="0"/>
        <w:spacing w:line="288" w:lineRule="auto"/>
        <w:jc w:val="center"/>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中华人民共和国生态环境部制</w:t>
      </w:r>
    </w:p>
    <w:p w14:paraId="0A5B94AE">
      <w:pPr>
        <w:adjustRightInd w:val="0"/>
        <w:snapToGrid w:val="0"/>
        <w:spacing w:line="288" w:lineRule="auto"/>
        <w:ind w:firstLine="1040"/>
        <w:rPr>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76639BFE">
      <w:pPr>
        <w:pStyle w:val="21"/>
        <w:spacing w:before="0" w:beforeAutospacing="0" w:after="0" w:afterAutospacing="0"/>
        <w:jc w:val="center"/>
        <w:outlineLvl w:val="0"/>
        <w:rPr>
          <w:rFonts w:hint="eastAsia" w:ascii="Times New Roman" w:hAnsi="Times New Roman" w:eastAsia="宋体"/>
          <w:snapToGrid w:val="0"/>
          <w:color w:val="000000" w:themeColor="text1"/>
          <w:sz w:val="30"/>
          <w:szCs w:val="30"/>
          <w:lang w:eastAsia="zh-CN"/>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bookmarkStart w:id="33" w:name="_GoBack"/>
      <w:r>
        <w:rPr>
          <w:rFonts w:hint="eastAsia" w:ascii="Times New Roman" w:hAnsi="Times New Roman" w:eastAsia="宋体"/>
          <w:snapToGrid w:val="0"/>
          <w:color w:val="000000" w:themeColor="text1"/>
          <w:sz w:val="30"/>
          <w:szCs w:val="30"/>
          <w:lang w:eastAsia="zh-CN"/>
          <w14:textFill>
            <w14:solidFill>
              <w14:schemeClr w14:val="tx1"/>
            </w14:solidFill>
          </w14:textFill>
        </w:rPr>
        <w:drawing>
          <wp:inline distT="0" distB="0" distL="114300" distR="114300">
            <wp:extent cx="5593715" cy="7909560"/>
            <wp:effectExtent l="0" t="0" r="14605" b="0"/>
            <wp:docPr id="2" name="图片 2" descr="1、封面+资质+证书+社保+营业执照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封面+资质+证书+社保+营业执照_03"/>
                    <pic:cNvPicPr>
                      <a:picLocks noChangeAspect="1"/>
                    </pic:cNvPicPr>
                  </pic:nvPicPr>
                  <pic:blipFill>
                    <a:blip r:embed="rId9"/>
                    <a:stretch>
                      <a:fillRect/>
                    </a:stretch>
                  </pic:blipFill>
                  <pic:spPr>
                    <a:xfrm>
                      <a:off x="0" y="0"/>
                      <a:ext cx="5593715" cy="7909560"/>
                    </a:xfrm>
                    <a:prstGeom prst="rect">
                      <a:avLst/>
                    </a:prstGeom>
                  </pic:spPr>
                </pic:pic>
              </a:graphicData>
            </a:graphic>
          </wp:inline>
        </w:drawing>
      </w:r>
      <w:bookmarkEnd w:id="33"/>
    </w:p>
    <w:p w14:paraId="666455BC">
      <w:pPr>
        <w:pStyle w:val="21"/>
        <w:spacing w:before="0" w:beforeAutospacing="0" w:after="0" w:afterAutospacing="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t>一、建设项目基本情况</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60"/>
        <w:gridCol w:w="2936"/>
        <w:gridCol w:w="1937"/>
        <w:gridCol w:w="3439"/>
      </w:tblGrid>
      <w:tr w14:paraId="6BCE1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tcMar>
              <w:top w:w="16" w:type="dxa"/>
              <w:left w:w="16" w:type="dxa"/>
              <w:right w:w="16" w:type="dxa"/>
            </w:tcMar>
            <w:vAlign w:val="center"/>
          </w:tcPr>
          <w:p w14:paraId="3239EDE1">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4252" w:type="pct"/>
            <w:gridSpan w:val="3"/>
            <w:vAlign w:val="center"/>
          </w:tcPr>
          <w:p w14:paraId="7367AFBF">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合成生物实验室建设项目（重新报批）</w:t>
            </w:r>
          </w:p>
        </w:tc>
      </w:tr>
      <w:tr w14:paraId="41BB73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tcMar>
              <w:top w:w="16" w:type="dxa"/>
              <w:left w:w="16" w:type="dxa"/>
              <w:right w:w="16" w:type="dxa"/>
            </w:tcMar>
            <w:vAlign w:val="center"/>
          </w:tcPr>
          <w:p w14:paraId="5C8F499B">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4252" w:type="pct"/>
            <w:gridSpan w:val="3"/>
            <w:vAlign w:val="center"/>
          </w:tcPr>
          <w:p w14:paraId="0007AE6E">
            <w:pPr>
              <w:adjustRightInd w:val="0"/>
              <w:snapToGrid w:val="0"/>
              <w:spacing w:line="36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2601-320458-89-01-450141</w:t>
            </w:r>
          </w:p>
        </w:tc>
      </w:tr>
      <w:tr w14:paraId="1506ED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tcMar>
              <w:top w:w="16" w:type="dxa"/>
              <w:left w:w="16" w:type="dxa"/>
              <w:right w:w="16" w:type="dxa"/>
            </w:tcMar>
            <w:vAlign w:val="center"/>
          </w:tcPr>
          <w:p w14:paraId="4F5452A9">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1502" w:type="pct"/>
            <w:vAlign w:val="center"/>
          </w:tcPr>
          <w:p w14:paraId="70F3F090">
            <w:pPr>
              <w:adjustRightInd w:val="0"/>
              <w:snapToGrid w:val="0"/>
              <w:spacing w:line="360" w:lineRule="exact"/>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w:t>
            </w:r>
          </w:p>
        </w:tc>
        <w:tc>
          <w:tcPr>
            <w:tcW w:w="991" w:type="pct"/>
            <w:vAlign w:val="center"/>
          </w:tcPr>
          <w:p w14:paraId="5960B5FA">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1759" w:type="pct"/>
            <w:vAlign w:val="center"/>
          </w:tcPr>
          <w:p w14:paraId="6E3226C9">
            <w:pPr>
              <w:adjustRightInd w:val="0"/>
              <w:snapToGrid w:val="0"/>
              <w:spacing w:line="360" w:lineRule="exact"/>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w:t>
            </w:r>
          </w:p>
        </w:tc>
      </w:tr>
      <w:tr w14:paraId="6B1CF6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tcMar>
              <w:top w:w="16" w:type="dxa"/>
              <w:left w:w="16" w:type="dxa"/>
              <w:right w:w="16" w:type="dxa"/>
            </w:tcMar>
            <w:vAlign w:val="center"/>
          </w:tcPr>
          <w:p w14:paraId="45D5D4BB">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4252" w:type="pct"/>
            <w:gridSpan w:val="3"/>
            <w:vAlign w:val="center"/>
          </w:tcPr>
          <w:p w14:paraId="374EF515">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u w:val="single"/>
                <w14:textFill>
                  <w14:solidFill>
                    <w14:schemeClr w14:val="tx1"/>
                  </w14:solidFill>
                </w14:textFill>
              </w:rPr>
              <w:t xml:space="preserve">  江苏 </w:t>
            </w:r>
            <w:r>
              <w:rPr>
                <w:color w:val="000000" w:themeColor="text1"/>
                <w:sz w:val="24"/>
                <w14:textFill>
                  <w14:solidFill>
                    <w14:schemeClr w14:val="tx1"/>
                  </w14:solidFill>
                </w14:textFill>
              </w:rPr>
              <w:t>省（自治区）</w:t>
            </w:r>
            <w:r>
              <w:rPr>
                <w:color w:val="000000" w:themeColor="text1"/>
                <w:sz w:val="24"/>
                <w:u w:val="single"/>
                <w14:textFill>
                  <w14:solidFill>
                    <w14:schemeClr w14:val="tx1"/>
                  </w14:solidFill>
                </w14:textFill>
              </w:rPr>
              <w:t xml:space="preserve">  常州  </w:t>
            </w:r>
            <w:r>
              <w:rPr>
                <w:color w:val="000000" w:themeColor="text1"/>
                <w:sz w:val="24"/>
                <w14:textFill>
                  <w14:solidFill>
                    <w14:schemeClr w14:val="tx1"/>
                  </w14:solidFill>
                </w14:textFill>
              </w:rPr>
              <w:t>市</w:t>
            </w:r>
            <w:r>
              <w:rPr>
                <w:color w:val="000000" w:themeColor="text1"/>
                <w:sz w:val="24"/>
                <w:u w:val="single"/>
                <w14:textFill>
                  <w14:solidFill>
                    <w14:schemeClr w14:val="tx1"/>
                  </w14:solidFill>
                </w14:textFill>
              </w:rPr>
              <w:t xml:space="preserve">  金坛  </w:t>
            </w:r>
            <w:r>
              <w:rPr>
                <w:color w:val="000000" w:themeColor="text1"/>
                <w:sz w:val="24"/>
                <w14:textFill>
                  <w14:solidFill>
                    <w14:schemeClr w14:val="tx1"/>
                  </w14:solidFill>
                </w14:textFill>
              </w:rPr>
              <w:t>县（区）</w:t>
            </w:r>
            <w:r>
              <w:rPr>
                <w:color w:val="000000" w:themeColor="text1"/>
                <w:sz w:val="24"/>
                <w:u w:val="single"/>
                <w14:textFill>
                  <w14:solidFill>
                    <w14:schemeClr w14:val="tx1"/>
                  </w14:solidFill>
                </w14:textFill>
              </w:rPr>
              <w:t xml:space="preserve">  金坛金城科技产业园  </w:t>
            </w:r>
            <w:r>
              <w:rPr>
                <w:color w:val="000000" w:themeColor="text1"/>
                <w:sz w:val="24"/>
                <w14:textFill>
                  <w14:solidFill>
                    <w14:schemeClr w14:val="tx1"/>
                  </w14:solidFill>
                </w14:textFill>
              </w:rPr>
              <w:t>乡（街道）</w:t>
            </w:r>
            <w:r>
              <w:rPr>
                <w:color w:val="000000" w:themeColor="text1"/>
                <w:sz w:val="24"/>
                <w:u w:val="single"/>
                <w14:textFill>
                  <w14:solidFill>
                    <w14:schemeClr w14:val="tx1"/>
                  </w14:solidFill>
                </w14:textFill>
              </w:rPr>
              <w:t xml:space="preserve">  西城路118号  </w:t>
            </w:r>
          </w:p>
        </w:tc>
      </w:tr>
      <w:tr w14:paraId="6C4343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tcMar>
              <w:top w:w="16" w:type="dxa"/>
              <w:left w:w="16" w:type="dxa"/>
              <w:right w:w="16" w:type="dxa"/>
            </w:tcMar>
            <w:vAlign w:val="center"/>
          </w:tcPr>
          <w:p w14:paraId="51321E14">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4252" w:type="pct"/>
            <w:gridSpan w:val="3"/>
            <w:vAlign w:val="center"/>
          </w:tcPr>
          <w:p w14:paraId="0AB8BD4F">
            <w:pPr>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color w:val="000000" w:themeColor="text1"/>
                <w:sz w:val="24"/>
                <w:u w:val="single"/>
                <w14:textFill>
                  <w14:solidFill>
                    <w14:schemeClr w14:val="tx1"/>
                  </w14:solidFill>
                </w14:textFill>
              </w:rPr>
              <w:t xml:space="preserve"> 119</w:t>
            </w:r>
            <w:r>
              <w:rPr>
                <w:color w:val="000000" w:themeColor="text1"/>
                <w:sz w:val="24"/>
                <w14:textFill>
                  <w14:solidFill>
                    <w14:schemeClr w14:val="tx1"/>
                  </w14:solidFill>
                </w14:textFill>
              </w:rPr>
              <w:t>度</w:t>
            </w:r>
            <w:r>
              <w:rPr>
                <w:color w:val="000000" w:themeColor="text1"/>
                <w:sz w:val="24"/>
                <w:u w:val="single"/>
                <w14:textFill>
                  <w14:solidFill>
                    <w14:schemeClr w14:val="tx1"/>
                  </w14:solidFill>
                </w14:textFill>
              </w:rPr>
              <w:t xml:space="preserve"> 33 </w:t>
            </w:r>
            <w:r>
              <w:rPr>
                <w:color w:val="000000" w:themeColor="text1"/>
                <w:sz w:val="24"/>
                <w14:textFill>
                  <w14:solidFill>
                    <w14:schemeClr w14:val="tx1"/>
                  </w14:solidFill>
                </w14:textFill>
              </w:rPr>
              <w:t>分</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56.58</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秒，</w:t>
            </w:r>
            <w:r>
              <w:rPr>
                <w:color w:val="000000" w:themeColor="text1"/>
                <w:sz w:val="24"/>
                <w:u w:val="single"/>
                <w14:textFill>
                  <w14:solidFill>
                    <w14:schemeClr w14:val="tx1"/>
                  </w14:solidFill>
                </w14:textFill>
              </w:rPr>
              <w:t xml:space="preserve"> 31</w:t>
            </w:r>
            <w:r>
              <w:rPr>
                <w:color w:val="000000" w:themeColor="text1"/>
                <w:sz w:val="24"/>
                <w14:textFill>
                  <w14:solidFill>
                    <w14:schemeClr w14:val="tx1"/>
                  </w14:solidFill>
                </w14:textFill>
              </w:rPr>
              <w:t>度</w:t>
            </w:r>
            <w:r>
              <w:rPr>
                <w:color w:val="000000" w:themeColor="text1"/>
                <w:sz w:val="24"/>
                <w:u w:val="single"/>
                <w14:textFill>
                  <w14:solidFill>
                    <w14:schemeClr w14:val="tx1"/>
                  </w14:solidFill>
                </w14:textFill>
              </w:rPr>
              <w:t xml:space="preserve"> 45 </w:t>
            </w:r>
            <w:r>
              <w:rPr>
                <w:color w:val="000000" w:themeColor="text1"/>
                <w:sz w:val="24"/>
                <w14:textFill>
                  <w14:solidFill>
                    <w14:schemeClr w14:val="tx1"/>
                  </w14:solidFill>
                </w14:textFill>
              </w:rPr>
              <w:t>分</w:t>
            </w:r>
            <w:r>
              <w:rPr>
                <w:color w:val="000000" w:themeColor="text1"/>
                <w:sz w:val="24"/>
                <w:u w:val="single"/>
                <w14:textFill>
                  <w14:solidFill>
                    <w14:schemeClr w14:val="tx1"/>
                  </w14:solidFill>
                </w14:textFill>
              </w:rPr>
              <w:t xml:space="preserve"> 49.</w:t>
            </w:r>
            <w:r>
              <w:rPr>
                <w:rFonts w:hint="eastAsia"/>
                <w:color w:val="000000" w:themeColor="text1"/>
                <w:sz w:val="24"/>
                <w:u w:val="single"/>
                <w14:textFill>
                  <w14:solidFill>
                    <w14:schemeClr w14:val="tx1"/>
                  </w14:solidFill>
                </w14:textFill>
              </w:rPr>
              <w:t>04</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秒）</w:t>
            </w:r>
          </w:p>
        </w:tc>
      </w:tr>
      <w:tr w14:paraId="492E4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tcMar>
              <w:top w:w="16" w:type="dxa"/>
              <w:left w:w="16" w:type="dxa"/>
              <w:right w:w="16" w:type="dxa"/>
            </w:tcMar>
            <w:vAlign w:val="center"/>
          </w:tcPr>
          <w:p w14:paraId="6B849AB2">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14:paraId="592F8A56">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1502" w:type="pct"/>
            <w:vAlign w:val="center"/>
          </w:tcPr>
          <w:p w14:paraId="0FDADFD5">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M7320 工程和技术研究和试验发展</w:t>
            </w:r>
          </w:p>
        </w:tc>
        <w:tc>
          <w:tcPr>
            <w:tcW w:w="991" w:type="pct"/>
            <w:vAlign w:val="center"/>
          </w:tcPr>
          <w:p w14:paraId="5AC9B902">
            <w:pPr>
              <w:adjustRightInd w:val="0"/>
              <w:snapToGrid w:val="0"/>
              <w:spacing w:line="360" w:lineRule="exact"/>
              <w:jc w:val="center"/>
              <w:rPr>
                <w:color w:val="000000" w:themeColor="text1"/>
                <w:sz w:val="24"/>
                <w14:textFill>
                  <w14:solidFill>
                    <w14:schemeClr w14:val="tx1"/>
                  </w14:solidFill>
                </w14:textFill>
              </w:rPr>
            </w:pPr>
            <w:bookmarkStart w:id="3" w:name="_Hlk49843745"/>
            <w:r>
              <w:rPr>
                <w:color w:val="000000" w:themeColor="text1"/>
                <w:sz w:val="24"/>
                <w14:textFill>
                  <w14:solidFill>
                    <w14:schemeClr w14:val="tx1"/>
                  </w14:solidFill>
                </w14:textFill>
              </w:rPr>
              <w:t>建设项目</w:t>
            </w:r>
          </w:p>
          <w:p w14:paraId="07CB5846">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3"/>
          </w:p>
        </w:tc>
        <w:tc>
          <w:tcPr>
            <w:tcW w:w="1759" w:type="pct"/>
            <w:vAlign w:val="center"/>
          </w:tcPr>
          <w:p w14:paraId="1F06210A">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四十五、研究和试验发展98专业试验、研发（试验）基地</w:t>
            </w:r>
          </w:p>
        </w:tc>
      </w:tr>
      <w:tr w14:paraId="7E8C85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tcMar>
              <w:top w:w="16" w:type="dxa"/>
              <w:left w:w="16" w:type="dxa"/>
              <w:right w:w="16" w:type="dxa"/>
            </w:tcMar>
            <w:vAlign w:val="center"/>
          </w:tcPr>
          <w:p w14:paraId="10148484">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1502" w:type="pct"/>
            <w:vAlign w:val="center"/>
          </w:tcPr>
          <w:p w14:paraId="7E2C62D6">
            <w:pPr>
              <w:spacing w:line="36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☑新建（迁建）</w:t>
            </w:r>
          </w:p>
          <w:p w14:paraId="07D8B65D">
            <w:pPr>
              <w:spacing w:line="36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□改建</w:t>
            </w:r>
          </w:p>
          <w:p w14:paraId="1FD8C2C3">
            <w:pPr>
              <w:spacing w:line="36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□扩建</w:t>
            </w:r>
          </w:p>
          <w:p w14:paraId="59B4766D">
            <w:pPr>
              <w:spacing w:line="36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□技术改造</w:t>
            </w:r>
          </w:p>
        </w:tc>
        <w:tc>
          <w:tcPr>
            <w:tcW w:w="991" w:type="pct"/>
            <w:vAlign w:val="center"/>
          </w:tcPr>
          <w:p w14:paraId="7B30074A">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14:paraId="7C949DF6">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1759" w:type="pct"/>
            <w:vAlign w:val="center"/>
          </w:tcPr>
          <w:p w14:paraId="6C7CDEC6">
            <w:pPr>
              <w:spacing w:line="36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□首次申报项目             </w:t>
            </w:r>
          </w:p>
          <w:p w14:paraId="0D7B4E3D">
            <w:pPr>
              <w:spacing w:line="36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不予批准后再次申报项目</w:t>
            </w:r>
          </w:p>
          <w:p w14:paraId="4E753AD3">
            <w:pPr>
              <w:spacing w:line="36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 xml:space="preserve">超五年重新审核项目     </w:t>
            </w:r>
          </w:p>
          <w:p w14:paraId="025E8121">
            <w:pPr>
              <w:spacing w:line="36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重大变动重新报批项目</w:t>
            </w:r>
          </w:p>
        </w:tc>
      </w:tr>
      <w:tr w14:paraId="21BDC9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tcMar>
              <w:top w:w="16" w:type="dxa"/>
              <w:left w:w="16" w:type="dxa"/>
              <w:right w:w="16" w:type="dxa"/>
            </w:tcMar>
            <w:vAlign w:val="center"/>
          </w:tcPr>
          <w:p w14:paraId="6FEE9B78">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2FCF4DCB">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备案）部门（选填）</w:t>
            </w:r>
          </w:p>
        </w:tc>
        <w:tc>
          <w:tcPr>
            <w:tcW w:w="1502" w:type="pct"/>
            <w:vAlign w:val="center"/>
          </w:tcPr>
          <w:p w14:paraId="3EE840AF">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江苏金坛经济开发区</w:t>
            </w:r>
          </w:p>
          <w:p w14:paraId="6F064E8A">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经济发展局</w:t>
            </w:r>
          </w:p>
        </w:tc>
        <w:tc>
          <w:tcPr>
            <w:tcW w:w="991" w:type="pct"/>
            <w:vAlign w:val="center"/>
          </w:tcPr>
          <w:p w14:paraId="60000396">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7B966A47">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1759" w:type="pct"/>
            <w:vAlign w:val="center"/>
          </w:tcPr>
          <w:p w14:paraId="54782F5C">
            <w:pPr>
              <w:adjustRightInd w:val="0"/>
              <w:snapToGrid w:val="0"/>
              <w:spacing w:line="36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坛开经发备字〔2026〕21号</w:t>
            </w:r>
          </w:p>
        </w:tc>
      </w:tr>
      <w:tr w14:paraId="150AC1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tcMar>
              <w:top w:w="16" w:type="dxa"/>
              <w:left w:w="16" w:type="dxa"/>
              <w:right w:w="16" w:type="dxa"/>
            </w:tcMar>
            <w:vAlign w:val="center"/>
          </w:tcPr>
          <w:p w14:paraId="08DA596D">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1502" w:type="pct"/>
            <w:vAlign w:val="center"/>
          </w:tcPr>
          <w:p w14:paraId="3BA55AED">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3000</w:t>
            </w:r>
          </w:p>
        </w:tc>
        <w:tc>
          <w:tcPr>
            <w:tcW w:w="991" w:type="pct"/>
            <w:tcMar>
              <w:top w:w="16" w:type="dxa"/>
              <w:left w:w="16" w:type="dxa"/>
              <w:right w:w="16" w:type="dxa"/>
            </w:tcMar>
            <w:vAlign w:val="center"/>
          </w:tcPr>
          <w:p w14:paraId="519E1601">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1759" w:type="pct"/>
            <w:vAlign w:val="center"/>
          </w:tcPr>
          <w:p w14:paraId="38BF1162">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30</w:t>
            </w:r>
          </w:p>
        </w:tc>
      </w:tr>
      <w:tr w14:paraId="7AC84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tcMar>
              <w:top w:w="16" w:type="dxa"/>
              <w:left w:w="16" w:type="dxa"/>
              <w:right w:w="16" w:type="dxa"/>
            </w:tcMar>
            <w:vAlign w:val="center"/>
          </w:tcPr>
          <w:p w14:paraId="58AC6BB6">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1502" w:type="pct"/>
            <w:vAlign w:val="center"/>
          </w:tcPr>
          <w:p w14:paraId="69AD0686">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w:t>
            </w:r>
          </w:p>
        </w:tc>
        <w:tc>
          <w:tcPr>
            <w:tcW w:w="991" w:type="pct"/>
            <w:tcMar>
              <w:top w:w="16" w:type="dxa"/>
              <w:left w:w="16" w:type="dxa"/>
              <w:right w:w="16" w:type="dxa"/>
            </w:tcMar>
            <w:vAlign w:val="center"/>
          </w:tcPr>
          <w:p w14:paraId="2DE0219E">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1759" w:type="pct"/>
            <w:vAlign w:val="center"/>
          </w:tcPr>
          <w:p w14:paraId="0A766333">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6个月</w:t>
            </w:r>
          </w:p>
        </w:tc>
      </w:tr>
      <w:tr w14:paraId="6CF561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tcMar>
              <w:top w:w="16" w:type="dxa"/>
              <w:left w:w="16" w:type="dxa"/>
              <w:right w:w="16" w:type="dxa"/>
            </w:tcMar>
            <w:vAlign w:val="center"/>
          </w:tcPr>
          <w:p w14:paraId="6FB9FFFC">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1502" w:type="pct"/>
            <w:vAlign w:val="center"/>
          </w:tcPr>
          <w:p w14:paraId="4D9E4F5F">
            <w:pPr>
              <w:adjustRightInd w:val="0"/>
              <w:snapToGrid w:val="0"/>
              <w:spacing w:line="360" w:lineRule="exac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否</w:t>
            </w:r>
          </w:p>
          <w:p w14:paraId="4D57CDD9">
            <w:pPr>
              <w:adjustRightInd w:val="0"/>
              <w:snapToGrid w:val="0"/>
              <w:spacing w:line="36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991" w:type="pct"/>
            <w:tcMar>
              <w:top w:w="16" w:type="dxa"/>
              <w:left w:w="16" w:type="dxa"/>
              <w:right w:w="16" w:type="dxa"/>
            </w:tcMar>
            <w:vAlign w:val="center"/>
          </w:tcPr>
          <w:p w14:paraId="3C80CB9C">
            <w:pPr>
              <w:adjustRightInd w:val="0"/>
              <w:snapToGrid w:val="0"/>
              <w:spacing w:line="360" w:lineRule="exact"/>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14:paraId="340FE7FB">
            <w:pPr>
              <w:adjustRightInd w:val="0"/>
              <w:snapToGrid w:val="0"/>
              <w:spacing w:line="360" w:lineRule="exact"/>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1759" w:type="pct"/>
            <w:vAlign w:val="center"/>
          </w:tcPr>
          <w:p w14:paraId="61434686">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156（租用）</w:t>
            </w:r>
          </w:p>
        </w:tc>
      </w:tr>
      <w:tr w14:paraId="793FF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47" w:type="pct"/>
            <w:vAlign w:val="center"/>
          </w:tcPr>
          <w:p w14:paraId="1CA323B7">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4252" w:type="pct"/>
            <w:gridSpan w:val="3"/>
            <w:vAlign w:val="center"/>
          </w:tcPr>
          <w:p w14:paraId="399DDB74">
            <w:pPr>
              <w:adjustRightInd w:val="0"/>
              <w:snapToGrid w:val="0"/>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专项评价设置对照表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16"/>
              <w:gridCol w:w="3897"/>
              <w:gridCol w:w="2455"/>
              <w:gridCol w:w="1025"/>
            </w:tblGrid>
            <w:tr w14:paraId="541BF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442" w:type="pct"/>
                  <w:vAlign w:val="center"/>
                </w:tcPr>
                <w:p w14:paraId="77F8BEEA">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2406" w:type="pct"/>
                  <w:vAlign w:val="center"/>
                </w:tcPr>
                <w:p w14:paraId="1CC105AE">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设置原则</w:t>
                  </w:r>
                </w:p>
              </w:tc>
              <w:tc>
                <w:tcPr>
                  <w:tcW w:w="1516" w:type="pct"/>
                  <w:vAlign w:val="center"/>
                </w:tcPr>
                <w:p w14:paraId="3403A2A1">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本项目对照情况</w:t>
                  </w:r>
                </w:p>
              </w:tc>
              <w:tc>
                <w:tcPr>
                  <w:tcW w:w="633" w:type="pct"/>
                  <w:vAlign w:val="center"/>
                </w:tcPr>
                <w:p w14:paraId="0A82B9BB">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是否设置</w:t>
                  </w:r>
                </w:p>
              </w:tc>
            </w:tr>
            <w:tr w14:paraId="10FB8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2" w:type="pct"/>
                  <w:vAlign w:val="center"/>
                </w:tcPr>
                <w:p w14:paraId="50566FA4">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w:t>
                  </w:r>
                </w:p>
              </w:tc>
              <w:tc>
                <w:tcPr>
                  <w:tcW w:w="2406" w:type="pct"/>
                  <w:vAlign w:val="center"/>
                </w:tcPr>
                <w:p w14:paraId="1F05C943">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排放废气含有毒有害污染物、二噁英、苯并[a]芘、氰化物、氯气且厂界外500米范围内有环境空气保护目标的建设项目</w:t>
                  </w:r>
                </w:p>
              </w:tc>
              <w:tc>
                <w:tcPr>
                  <w:tcW w:w="1516" w:type="pct"/>
                  <w:vAlign w:val="center"/>
                </w:tcPr>
                <w:p w14:paraId="3C06CB48">
                  <w:pPr>
                    <w:autoSpaceDE w:val="0"/>
                    <w:autoSpaceDN w:val="0"/>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不涉及排放《有毒有害大气污染物名录（2018年）》中物质及二噁英、苯并[a]芘、氰化物</w:t>
                  </w:r>
                  <w:r>
                    <w:rPr>
                      <w:rFonts w:hint="eastAsia"/>
                      <w:color w:val="000000" w:themeColor="text1"/>
                      <w:szCs w:val="21"/>
                      <w14:textFill>
                        <w14:solidFill>
                          <w14:schemeClr w14:val="tx1"/>
                        </w14:solidFill>
                      </w14:textFill>
                    </w:rPr>
                    <w:t>、氯气</w:t>
                  </w:r>
                </w:p>
              </w:tc>
              <w:tc>
                <w:tcPr>
                  <w:tcW w:w="633" w:type="pct"/>
                  <w:vAlign w:val="center"/>
                </w:tcPr>
                <w:p w14:paraId="6BB16EFB">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w:t>
                  </w:r>
                </w:p>
              </w:tc>
            </w:tr>
            <w:tr w14:paraId="6D49A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45" w:hRule="atLeast"/>
                <w:jc w:val="center"/>
              </w:trPr>
              <w:tc>
                <w:tcPr>
                  <w:tcW w:w="442" w:type="pct"/>
                  <w:vAlign w:val="center"/>
                </w:tcPr>
                <w:p w14:paraId="1D74B8BF">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w:t>
                  </w:r>
                </w:p>
              </w:tc>
              <w:tc>
                <w:tcPr>
                  <w:tcW w:w="2406" w:type="pct"/>
                  <w:vAlign w:val="center"/>
                </w:tcPr>
                <w:p w14:paraId="21E042C4">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新增工业废水直排建设项目（槽罐车外送污水处理厂的除外）；新增废水直排的污水集中处理厂</w:t>
                  </w:r>
                </w:p>
              </w:tc>
              <w:tc>
                <w:tcPr>
                  <w:tcW w:w="1516" w:type="pct"/>
                  <w:vAlign w:val="center"/>
                </w:tcPr>
                <w:p w14:paraId="336E28B4">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本项目无工业废水直接排放</w:t>
                  </w:r>
                </w:p>
              </w:tc>
              <w:tc>
                <w:tcPr>
                  <w:tcW w:w="633" w:type="pct"/>
                  <w:vAlign w:val="center"/>
                </w:tcPr>
                <w:p w14:paraId="241C5084">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r>
            <w:tr w14:paraId="6C602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2" w:type="pct"/>
                  <w:vAlign w:val="center"/>
                </w:tcPr>
                <w:p w14:paraId="3E2296D5">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w:t>
                  </w:r>
                </w:p>
              </w:tc>
              <w:tc>
                <w:tcPr>
                  <w:tcW w:w="2406" w:type="pct"/>
                  <w:vAlign w:val="center"/>
                </w:tcPr>
                <w:p w14:paraId="50014EE8">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有毒有害和易燃易爆危险物质存储量超过临界量的建设项目</w:t>
                  </w:r>
                </w:p>
              </w:tc>
              <w:tc>
                <w:tcPr>
                  <w:tcW w:w="1516" w:type="pct"/>
                  <w:vAlign w:val="center"/>
                </w:tcPr>
                <w:p w14:paraId="5D3CF8D7">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本项目存储的有毒有害和易燃易爆危险物质未超过临界量</w:t>
                  </w:r>
                </w:p>
              </w:tc>
              <w:tc>
                <w:tcPr>
                  <w:tcW w:w="633" w:type="pct"/>
                  <w:vAlign w:val="center"/>
                </w:tcPr>
                <w:p w14:paraId="072332CA">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r>
            <w:tr w14:paraId="51EDA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2" w:type="pct"/>
                  <w:vAlign w:val="center"/>
                </w:tcPr>
                <w:p w14:paraId="406AF4FB">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w:t>
                  </w:r>
                </w:p>
              </w:tc>
              <w:tc>
                <w:tcPr>
                  <w:tcW w:w="2406" w:type="pct"/>
                  <w:vAlign w:val="center"/>
                </w:tcPr>
                <w:p w14:paraId="62451554">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取水口下游500米范围内有重要水生生物的自然产卵场、索饵场、越冬场和洄游通道的新增河道取水的污染类建设项目</w:t>
                  </w:r>
                </w:p>
              </w:tc>
              <w:tc>
                <w:tcPr>
                  <w:tcW w:w="1516" w:type="pct"/>
                  <w:vAlign w:val="center"/>
                </w:tcPr>
                <w:p w14:paraId="0F5010AF">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633" w:type="pct"/>
                  <w:vAlign w:val="center"/>
                </w:tcPr>
                <w:p w14:paraId="0D9CC2E6">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r>
            <w:tr w14:paraId="6DD27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2" w:type="pct"/>
                  <w:vAlign w:val="center"/>
                </w:tcPr>
                <w:p w14:paraId="249ED88E">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海洋</w:t>
                  </w:r>
                </w:p>
              </w:tc>
              <w:tc>
                <w:tcPr>
                  <w:tcW w:w="2406" w:type="pct"/>
                  <w:vAlign w:val="center"/>
                </w:tcPr>
                <w:p w14:paraId="7CE684AB">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直接向海排放污染物的海洋工程建设项目</w:t>
                  </w:r>
                </w:p>
              </w:tc>
              <w:tc>
                <w:tcPr>
                  <w:tcW w:w="1516" w:type="pct"/>
                  <w:vAlign w:val="center"/>
                </w:tcPr>
                <w:p w14:paraId="327C8018">
                  <w:pPr>
                    <w:autoSpaceDE w:val="0"/>
                    <w:autoSpaceDN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c>
                <w:tcPr>
                  <w:tcW w:w="633" w:type="pct"/>
                  <w:vAlign w:val="center"/>
                </w:tcPr>
                <w:p w14:paraId="6D4AE8D1">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r>
          </w:tbl>
          <w:p w14:paraId="3EAFCC5E">
            <w:pPr>
              <w:autoSpaceDE w:val="0"/>
              <w:autoSpaceDN w:val="0"/>
              <w:adjustRightInd w:val="0"/>
              <w:snapToGrid w:val="0"/>
              <w:spacing w:line="360" w:lineRule="exact"/>
              <w:jc w:val="center"/>
              <w:rPr>
                <w:color w:val="000000" w:themeColor="text1"/>
                <w:kern w:val="0"/>
                <w:sz w:val="24"/>
                <w14:textFill>
                  <w14:solidFill>
                    <w14:schemeClr w14:val="tx1"/>
                  </w14:solidFill>
                </w14:textFill>
              </w:rPr>
            </w:pPr>
          </w:p>
        </w:tc>
      </w:tr>
      <w:tr w14:paraId="7B64E9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747" w:type="pct"/>
            <w:vAlign w:val="center"/>
          </w:tcPr>
          <w:p w14:paraId="25D16059">
            <w:pPr>
              <w:autoSpaceDE w:val="0"/>
              <w:autoSpaceDN w:val="0"/>
              <w:adjustRightInd w:val="0"/>
              <w:snapToGrid w:val="0"/>
              <w:spacing w:line="480" w:lineRule="exact"/>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规划情况</w:t>
            </w:r>
          </w:p>
        </w:tc>
        <w:tc>
          <w:tcPr>
            <w:tcW w:w="4252" w:type="pct"/>
            <w:gridSpan w:val="3"/>
            <w:vAlign w:val="center"/>
          </w:tcPr>
          <w:p w14:paraId="6C69F798">
            <w:pPr>
              <w:autoSpaceDE w:val="0"/>
              <w:autoSpaceDN w:val="0"/>
              <w:adjustRightInd w:val="0"/>
              <w:snapToGrid w:val="0"/>
              <w:spacing w:line="480" w:lineRule="exact"/>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名称：《</w:t>
            </w:r>
            <w:bookmarkStart w:id="4" w:name="OLE_LINK53"/>
            <w:r>
              <w:rPr>
                <w:color w:val="000000" w:themeColor="text1"/>
                <w:spacing w:val="-6"/>
                <w:sz w:val="24"/>
                <w14:textFill>
                  <w14:solidFill>
                    <w14:schemeClr w14:val="tx1"/>
                  </w14:solidFill>
                </w14:textFill>
              </w:rPr>
              <w:t>金坛金城科技产业园发展规划（2023-2035年）</w:t>
            </w:r>
            <w:bookmarkEnd w:id="4"/>
            <w:r>
              <w:rPr>
                <w:color w:val="000000" w:themeColor="text1"/>
                <w:spacing w:val="-6"/>
                <w:sz w:val="24"/>
                <w14:textFill>
                  <w14:solidFill>
                    <w14:schemeClr w14:val="tx1"/>
                  </w14:solidFill>
                </w14:textFill>
              </w:rPr>
              <w:t>》</w:t>
            </w:r>
          </w:p>
          <w:p w14:paraId="384C6413">
            <w:pPr>
              <w:autoSpaceDE w:val="0"/>
              <w:autoSpaceDN w:val="0"/>
              <w:adjustRightInd w:val="0"/>
              <w:snapToGrid w:val="0"/>
              <w:spacing w:line="480" w:lineRule="exact"/>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审批机关：常州市人民政府</w:t>
            </w:r>
          </w:p>
          <w:p w14:paraId="65A80F6E">
            <w:pPr>
              <w:autoSpaceDE w:val="0"/>
              <w:autoSpaceDN w:val="0"/>
              <w:adjustRightInd w:val="0"/>
              <w:snapToGrid w:val="0"/>
              <w:spacing w:line="480" w:lineRule="exact"/>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审批文件名称及文号</w:t>
            </w:r>
            <w:r>
              <w:rPr>
                <w:color w:val="000000" w:themeColor="text1"/>
                <w14:textFill>
                  <w14:solidFill>
                    <w14:schemeClr w14:val="tx1"/>
                  </w14:solidFill>
                </w14:textFill>
              </w:rPr>
              <w:t>：/</w:t>
            </w:r>
          </w:p>
        </w:tc>
      </w:tr>
      <w:tr w14:paraId="501F7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47" w:type="pct"/>
            <w:vAlign w:val="center"/>
          </w:tcPr>
          <w:p w14:paraId="6966195E">
            <w:pPr>
              <w:autoSpaceDE w:val="0"/>
              <w:autoSpaceDN w:val="0"/>
              <w:adjustRightInd w:val="0"/>
              <w:snapToGrid w:val="0"/>
              <w:spacing w:line="480" w:lineRule="exact"/>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规划环境影响评价情况</w:t>
            </w:r>
          </w:p>
        </w:tc>
        <w:tc>
          <w:tcPr>
            <w:tcW w:w="4252" w:type="pct"/>
            <w:gridSpan w:val="3"/>
            <w:vAlign w:val="center"/>
          </w:tcPr>
          <w:p w14:paraId="0CE824E9">
            <w:pPr>
              <w:autoSpaceDE w:val="0"/>
              <w:autoSpaceDN w:val="0"/>
              <w:adjustRightInd w:val="0"/>
              <w:snapToGrid w:val="0"/>
              <w:spacing w:line="480" w:lineRule="exact"/>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名称：《</w:t>
            </w:r>
            <w:bookmarkStart w:id="5" w:name="OLE_LINK15"/>
            <w:r>
              <w:rPr>
                <w:color w:val="000000" w:themeColor="text1"/>
                <w:spacing w:val="-6"/>
                <w:sz w:val="24"/>
                <w14:textFill>
                  <w14:solidFill>
                    <w14:schemeClr w14:val="tx1"/>
                  </w14:solidFill>
                </w14:textFill>
              </w:rPr>
              <w:t>金坛金城科技产业园发展规划环境影响报告书</w:t>
            </w:r>
            <w:bookmarkEnd w:id="5"/>
            <w:r>
              <w:rPr>
                <w:color w:val="000000" w:themeColor="text1"/>
                <w:spacing w:val="-6"/>
                <w:sz w:val="24"/>
                <w14:textFill>
                  <w14:solidFill>
                    <w14:schemeClr w14:val="tx1"/>
                  </w14:solidFill>
                </w14:textFill>
              </w:rPr>
              <w:t>》</w:t>
            </w:r>
          </w:p>
          <w:p w14:paraId="40DCB87D">
            <w:pPr>
              <w:autoSpaceDE w:val="0"/>
              <w:autoSpaceDN w:val="0"/>
              <w:adjustRightInd w:val="0"/>
              <w:snapToGrid w:val="0"/>
              <w:spacing w:line="480" w:lineRule="exact"/>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审批机关：常州市生态环境局</w:t>
            </w:r>
          </w:p>
          <w:p w14:paraId="6E9E75F0">
            <w:pPr>
              <w:autoSpaceDE w:val="0"/>
              <w:autoSpaceDN w:val="0"/>
              <w:adjustRightInd w:val="0"/>
              <w:snapToGrid w:val="0"/>
              <w:spacing w:line="480" w:lineRule="exact"/>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审批文件名称及文号：《市生态环境局关于金坛金城科技产业园发展规划（2023-2035）环境影响报告书的审查意见》（常金环审〔2024〕40号）</w:t>
            </w:r>
          </w:p>
        </w:tc>
      </w:tr>
    </w:tbl>
    <w:p w14:paraId="61888F97">
      <w:pPr>
        <w:tabs>
          <w:tab w:val="left" w:pos="1875"/>
        </w:tabs>
        <w:rPr>
          <w:color w:val="000000" w:themeColor="text1"/>
          <w:sz w:val="30"/>
          <w14:textFill>
            <w14:solidFill>
              <w14:schemeClr w14:val="tx1"/>
            </w14:solidFill>
          </w14:textFill>
        </w:rPr>
        <w:sectPr>
          <w:footerReference r:id="rId6" w:type="default"/>
          <w:pgSz w:w="11906" w:h="16838"/>
          <w:pgMar w:top="1440" w:right="1080" w:bottom="1440" w:left="1080" w:header="851" w:footer="1077" w:gutter="0"/>
          <w:pgNumType w:start="1"/>
          <w:cols w:space="720" w:num="1"/>
          <w:docGrid w:linePitch="312" w:charSpace="0"/>
        </w:sectPr>
      </w:pPr>
    </w:p>
    <w:tbl>
      <w:tblPr>
        <w:tblStyle w:val="25"/>
        <w:tblW w:w="5000" w:type="pct"/>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9485"/>
      </w:tblGrid>
      <w:tr w14:paraId="4F5B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0" w:type="dxa"/>
            <w:vAlign w:val="center"/>
          </w:tcPr>
          <w:p w14:paraId="4EF9751D">
            <w:pPr>
              <w:spacing w:line="360" w:lineRule="exact"/>
              <w:jc w:val="center"/>
              <w:rPr>
                <w:color w:val="000000" w:themeColor="text1"/>
                <w:spacing w:val="-2"/>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8955" w:type="dxa"/>
            <w:vAlign w:val="center"/>
          </w:tcPr>
          <w:p w14:paraId="530EAA88">
            <w:pPr>
              <w:autoSpaceDE w:val="0"/>
              <w:autoSpaceDN w:val="0"/>
              <w:adjustRightInd w:val="0"/>
              <w:snapToGrid w:val="0"/>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与《</w:t>
            </w:r>
            <w:bookmarkStart w:id="6" w:name="OLE_LINK26"/>
            <w:r>
              <w:rPr>
                <w:b/>
                <w:bCs/>
                <w:color w:val="000000" w:themeColor="text1"/>
                <w:sz w:val="24"/>
                <w14:textFill>
                  <w14:solidFill>
                    <w14:schemeClr w14:val="tx1"/>
                  </w14:solidFill>
                </w14:textFill>
              </w:rPr>
              <w:t>金坛金城科技产业园发展规划</w:t>
            </w:r>
            <w:bookmarkEnd w:id="6"/>
            <w:r>
              <w:rPr>
                <w:b/>
                <w:bCs/>
                <w:color w:val="000000" w:themeColor="text1"/>
                <w:sz w:val="24"/>
                <w14:textFill>
                  <w14:solidFill>
                    <w14:schemeClr w14:val="tx1"/>
                  </w14:solidFill>
                </w14:textFill>
              </w:rPr>
              <w:t>》相符性分析</w:t>
            </w:r>
          </w:p>
          <w:p w14:paraId="74B10ACE">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立足常州、辐射华东，聚焦“532”发展战略，按照金坛区委提出的“金科园规划与打造金坛北部产业新城相结合，与拓展金城工业园发展空间相结合，与加快开发速度相结合”的总体要求，主攻高端装备制造、新能源新材料、智慧物流三大主导产业，以打造功能转型与创新发展示范区、产业高效与特色发展增长极、生态低碳与协调发展新园区为目标，着力建设以科技创研为核心引领，以高端制造、技术研发、孵化加速、高效物流、绿色化工为主导功能，融合生态居住、商业休闲、文化娱乐于一体的现代化产业新区，逐步培养成为金坛经济发展的重要增长极、省级经济开发区和金坛北部产业新城。</w:t>
            </w:r>
          </w:p>
          <w:p w14:paraId="46F87427">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金城科技产业园具体范围：园区规划范围东至老丹金溧漕河、南至良常路、西至新丹金溧漕河、北至新丹金溧漕河，规划面积11.8平方公里。</w:t>
            </w:r>
          </w:p>
          <w:p w14:paraId="448CC4A0">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本项目位于江苏省金坛西城路118号，属于金坛金城科技产业园规划范围内。</w:t>
            </w:r>
          </w:p>
          <w:p w14:paraId="675FFA66">
            <w:pPr>
              <w:autoSpaceDE w:val="0"/>
              <w:autoSpaceDN w:val="0"/>
              <w:adjustRightInd w:val="0"/>
              <w:snapToGrid w:val="0"/>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与《金坛金城科技产业园发展规划环境影响报告书》相符性分析</w:t>
            </w:r>
          </w:p>
          <w:p w14:paraId="681617CF">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产业发展导向</w:t>
            </w:r>
          </w:p>
          <w:p w14:paraId="329C4A99">
            <w:pPr>
              <w:pStyle w:val="65"/>
              <w:spacing w:line="480" w:lineRule="exact"/>
              <w:rPr>
                <w:bCs/>
                <w:color w:val="000000" w:themeColor="text1"/>
                <w14:textFill>
                  <w14:solidFill>
                    <w14:schemeClr w14:val="tx1"/>
                  </w14:solidFill>
                </w14:textFill>
              </w:rPr>
            </w:pPr>
            <w:r>
              <w:rPr>
                <w:bCs/>
                <w:color w:val="000000" w:themeColor="text1"/>
                <w14:textFill>
                  <w14:solidFill>
                    <w14:schemeClr w14:val="tx1"/>
                  </w14:solidFill>
                </w14:textFill>
              </w:rPr>
              <w:t>金城科技产业园产业门类众多，其中通用设备制造、其他制造业以</w:t>
            </w:r>
          </w:p>
          <w:p w14:paraId="30E6A6BA">
            <w:pPr>
              <w:pStyle w:val="65"/>
              <w:spacing w:line="480" w:lineRule="exact"/>
              <w:ind w:firstLine="0" w:firstLineChars="0"/>
              <w:rPr>
                <w:bCs/>
                <w:color w:val="000000" w:themeColor="text1"/>
                <w14:textFill>
                  <w14:solidFill>
                    <w14:schemeClr w14:val="tx1"/>
                  </w14:solidFill>
                </w14:textFill>
              </w:rPr>
            </w:pPr>
            <w:r>
              <w:rPr>
                <w:bCs/>
                <w:color w:val="000000" w:themeColor="text1"/>
                <w14:textFill>
                  <w14:solidFill>
                    <w14:schemeClr w14:val="tx1"/>
                  </w14:solidFill>
                </w14:textFill>
              </w:rPr>
              <w:t>及化工产业为现状三大主导产业，基于现状产业基础，并立足现有产业优势，规划重点发展高端装备制造、新能源新材料、生命健康、智慧物流四大主导产业，构建“3+1”的产业体系。</w:t>
            </w:r>
          </w:p>
          <w:p w14:paraId="1B96EA91">
            <w:pPr>
              <w:pStyle w:val="65"/>
              <w:spacing w:line="480" w:lineRule="exac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①</w:t>
            </w:r>
            <w:r>
              <w:rPr>
                <w:bCs/>
                <w:color w:val="000000" w:themeColor="text1"/>
                <w14:textFill>
                  <w14:solidFill>
                    <w14:schemeClr w14:val="tx1"/>
                  </w14:solidFill>
                </w14:textFill>
              </w:rPr>
              <w:t>高端装备制造</w:t>
            </w:r>
          </w:p>
          <w:p w14:paraId="07B16A9C">
            <w:pPr>
              <w:pStyle w:val="65"/>
              <w:spacing w:line="480" w:lineRule="exact"/>
              <w:rPr>
                <w:bCs/>
                <w:color w:val="000000" w:themeColor="text1"/>
                <w14:textFill>
                  <w14:solidFill>
                    <w14:schemeClr w14:val="tx1"/>
                  </w14:solidFill>
                </w14:textFill>
              </w:rPr>
            </w:pPr>
            <w:r>
              <w:rPr>
                <w:bCs/>
                <w:color w:val="000000" w:themeColor="text1"/>
                <w14:textFill>
                  <w14:solidFill>
                    <w14:schemeClr w14:val="tx1"/>
                  </w14:solidFill>
                </w14:textFill>
              </w:rPr>
              <w:t>以装备制造业龙头企业为核心，促进产业链横向融合、纵向延伸、高端发展，引导企业集聚，形成专业化分工、上下游产品衔接配套的产业体系。根据扶持高端装备制造企业发展意见，引导装备制造企业做大做强，推动企业在自主创新、突破关键技术、提升核心竞争力、壮大产业规模等方面有新进展，促进装备制造业向高端转型升级。重点发展</w:t>
            </w:r>
            <w:r>
              <w:rPr>
                <w:b/>
                <w:color w:val="000000" w:themeColor="text1"/>
                <w14:textFill>
                  <w14:solidFill>
                    <w14:schemeClr w14:val="tx1"/>
                  </w14:solidFill>
                </w14:textFill>
              </w:rPr>
              <w:t>新能源汽车核心零部件、汽车零部件、高端装备部件、精密零部件制造</w:t>
            </w:r>
            <w:r>
              <w:rPr>
                <w:bCs/>
                <w:color w:val="000000" w:themeColor="text1"/>
                <w14:textFill>
                  <w14:solidFill>
                    <w14:schemeClr w14:val="tx1"/>
                  </w14:solidFill>
                </w14:textFill>
              </w:rPr>
              <w:t>等主导产业。聚焦新能源汽车产业链，重点发展电机制造，对外以电机系统制造，融入区域新能源汽车产业链，形成产业间联动，对内以电机系统内部上下游产业链为主体，结合周边智能制造产业，形成内部产业联动。</w:t>
            </w:r>
          </w:p>
          <w:p w14:paraId="3C53A369">
            <w:pPr>
              <w:pStyle w:val="65"/>
              <w:spacing w:line="480" w:lineRule="exac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②</w:t>
            </w:r>
            <w:r>
              <w:rPr>
                <w:bCs/>
                <w:color w:val="000000" w:themeColor="text1"/>
                <w14:textFill>
                  <w14:solidFill>
                    <w14:schemeClr w14:val="tx1"/>
                  </w14:solidFill>
                </w14:textFill>
              </w:rPr>
              <w:t>新能源新材料</w:t>
            </w:r>
          </w:p>
          <w:p w14:paraId="6FB0CA95">
            <w:pPr>
              <w:pStyle w:val="65"/>
              <w:spacing w:line="480" w:lineRule="exact"/>
              <w:rPr>
                <w:bCs/>
                <w:color w:val="000000" w:themeColor="text1"/>
                <w14:textFill>
                  <w14:solidFill>
                    <w14:schemeClr w14:val="tx1"/>
                  </w14:solidFill>
                </w14:textFill>
              </w:rPr>
            </w:pPr>
            <w:r>
              <w:rPr>
                <w:bCs/>
                <w:color w:val="000000" w:themeColor="text1"/>
                <w14:textFill>
                  <w14:solidFill>
                    <w14:schemeClr w14:val="tx1"/>
                  </w14:solidFill>
                </w14:textFill>
              </w:rPr>
              <w:t>积极引进和导入新能源新材料产业，打造新材料产业园，与周边直溪现代产业园、中德（常州）创新产业园、华罗庚高新技术产业开发区等形成产业联动。引导企业紧密跟踪新型材料技术的研究开发，重点发</w:t>
            </w:r>
            <w:r>
              <w:rPr>
                <w:b/>
                <w:color w:val="000000" w:themeColor="text1"/>
                <w14:textFill>
                  <w14:solidFill>
                    <w14:schemeClr w14:val="tx1"/>
                  </w14:solidFill>
                </w14:textFill>
              </w:rPr>
              <w:t>展光伏新能源以及新型金属合金材料、新型显示材料、核辐射改性材料、环保阻燃新型高分子功能材料、高性能密封材料、节能环保型材料、石墨烯材料、高性能锂电池、燃料电池</w:t>
            </w:r>
            <w:r>
              <w:rPr>
                <w:bCs/>
                <w:color w:val="000000" w:themeColor="text1"/>
                <w14:textFill>
                  <w14:solidFill>
                    <w14:schemeClr w14:val="tx1"/>
                  </w14:solidFill>
                </w14:textFill>
              </w:rPr>
              <w:t>关键材料等新材料产业。</w:t>
            </w:r>
          </w:p>
          <w:p w14:paraId="6C58B55B">
            <w:pPr>
              <w:pStyle w:val="65"/>
              <w:spacing w:line="480" w:lineRule="exac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③</w:t>
            </w:r>
            <w:r>
              <w:rPr>
                <w:bCs/>
                <w:color w:val="000000" w:themeColor="text1"/>
                <w14:textFill>
                  <w14:solidFill>
                    <w14:schemeClr w14:val="tx1"/>
                  </w14:solidFill>
                </w14:textFill>
              </w:rPr>
              <w:t>智慧物流</w:t>
            </w:r>
          </w:p>
          <w:p w14:paraId="22324E62">
            <w:pPr>
              <w:pStyle w:val="65"/>
              <w:spacing w:line="480" w:lineRule="exact"/>
              <w:rPr>
                <w:bCs/>
                <w:color w:val="000000" w:themeColor="text1"/>
                <w14:textFill>
                  <w14:solidFill>
                    <w14:schemeClr w14:val="tx1"/>
                  </w14:solidFill>
                </w14:textFill>
              </w:rPr>
            </w:pPr>
            <w:r>
              <w:rPr>
                <w:bCs/>
                <w:color w:val="000000" w:themeColor="text1"/>
                <w14:textFill>
                  <w14:solidFill>
                    <w14:schemeClr w14:val="tx1"/>
                  </w14:solidFill>
                </w14:textFill>
              </w:rPr>
              <w:t>强化港口运营，发展智慧物流体系。保留金坛港港口功能，初期以装卸、仓储、理货等港口基本服务为主，中后期配合周边产业需求，强化软硬件拓展延伸，硬件拓展聚焦物流装备研发、制造、检测、冻品消杀储备首仓建设，软件助力聚焦物流应用软件开发、系统研发、区域物流平台等。通过结合现状制造产业，引入物流装备研发、制造等相关产业，培育和壮大现代智慧物流产业。强化运营管理，近距离结合绿色食品产业体系，发挥首仓存储、城市配送等服务；远距离提供大中型区域物流服务；同时提升物流金融、物流商贸等延伸服务。</w:t>
            </w:r>
          </w:p>
          <w:p w14:paraId="7EF5D5D9">
            <w:pPr>
              <w:pStyle w:val="65"/>
              <w:spacing w:line="480" w:lineRule="exac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④</w:t>
            </w:r>
            <w:r>
              <w:rPr>
                <w:bCs/>
                <w:color w:val="000000" w:themeColor="text1"/>
                <w14:textFill>
                  <w14:solidFill>
                    <w14:schemeClr w14:val="tx1"/>
                  </w14:solidFill>
                </w14:textFill>
              </w:rPr>
              <w:t>生命健康</w:t>
            </w:r>
          </w:p>
          <w:p w14:paraId="3819D447">
            <w:pPr>
              <w:pStyle w:val="65"/>
              <w:spacing w:line="480" w:lineRule="exact"/>
              <w:rPr>
                <w:bCs/>
                <w:color w:val="000000" w:themeColor="text1"/>
                <w14:textFill>
                  <w14:solidFill>
                    <w14:schemeClr w14:val="tx1"/>
                  </w14:solidFill>
                </w14:textFill>
              </w:rPr>
            </w:pPr>
            <w:r>
              <w:rPr>
                <w:bCs/>
                <w:color w:val="000000" w:themeColor="text1"/>
                <w14:textFill>
                  <w14:solidFill>
                    <w14:schemeClr w14:val="tx1"/>
                  </w14:solidFill>
                </w14:textFill>
              </w:rPr>
              <w:t>抢抓常州市推动合成生物和生物生命健康产业高质量发展机遇，积蓄发展新动能，抢占新一轮产业发展的制高点，重点支持创新药物、高端医疗器械与设备、生物类电子类医疗美容产品、高端化妆品、长寿及抗衰老产品等大健康领域，以及合成生物技术、基因与细胞诊疗技术、前沿生物技术、脑科学（类脑智能）和医疗大数据等新兴领域，打造生命健康产业高地。以培育产业为主线，搭建合成生物和生物医药科技创新中心，积极承接长三角生物技术及生命健康产业外溢。生物生命健康产业规划采用生产拉动型为主要发展模式，以成熟产业引进为主，逐步建设孵化器、研发机构。首先引入医疗器械、合成生物、生物制造、生物制药企业的空间集聚与技术提升；进而从人的全生命周期视角入手，深化生物生命健康产业向生命健康产业的升级，带动城乡全面融合发展。在金城大道以南、西城北路以东、丹阳北路以西、良常路以北形成开放组团式产业中心，打开原有封闭大地块，围绕中心湖组团布局，分期建设，补足产业社区功能，打造产业高地。</w:t>
            </w:r>
          </w:p>
          <w:p w14:paraId="51F177BE">
            <w:pPr>
              <w:pStyle w:val="65"/>
              <w:spacing w:line="480" w:lineRule="exact"/>
              <w:rPr>
                <w:bCs/>
                <w:color w:val="000000" w:themeColor="text1"/>
                <w14:textFill>
                  <w14:solidFill>
                    <w14:schemeClr w14:val="tx1"/>
                  </w14:solidFill>
                </w14:textFill>
              </w:rPr>
            </w:pPr>
            <w:r>
              <w:rPr>
                <w:bCs/>
                <w:color w:val="000000" w:themeColor="text1"/>
                <w14:textFill>
                  <w14:solidFill>
                    <w14:schemeClr w14:val="tx1"/>
                  </w14:solidFill>
                </w14:textFill>
              </w:rPr>
              <w:t>本项目为合成生物实验室建设项目，主要以代谢工程和合成生物学技术改造基因工程菌实验为主，属于</w:t>
            </w:r>
            <w:bookmarkStart w:id="7" w:name="OLE_LINK22"/>
            <w:r>
              <w:rPr>
                <w:bCs/>
                <w:color w:val="000000" w:themeColor="text1"/>
                <w14:textFill>
                  <w14:solidFill>
                    <w14:schemeClr w14:val="tx1"/>
                  </w14:solidFill>
                </w14:textFill>
              </w:rPr>
              <w:t>生命健康产业</w:t>
            </w:r>
            <w:bookmarkEnd w:id="7"/>
            <w:r>
              <w:rPr>
                <w:bCs/>
                <w:color w:val="000000" w:themeColor="text1"/>
                <w14:textFill>
                  <w14:solidFill>
                    <w14:schemeClr w14:val="tx1"/>
                  </w14:solidFill>
                </w14:textFill>
              </w:rPr>
              <w:t>，与产业定位相符。</w:t>
            </w:r>
          </w:p>
          <w:p w14:paraId="378B8698">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空间布局规划</w:t>
            </w:r>
          </w:p>
          <w:p w14:paraId="7EB75580">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金城科技产业园规划形成“四轴、四片”的规划空间结构。</w:t>
            </w:r>
          </w:p>
          <w:p w14:paraId="5A57F8FF">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四轴：金城大道产业联动轴、良常路区域发展轴、南北产业联动轴、金沙大道快速交通轴四条城市发展轴线。</w:t>
            </w:r>
          </w:p>
          <w:p w14:paraId="7BF8453F">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四片：智能智造板块、智慧物流板块、生命健康板块、生态服务板块四个城市发展功能板块。</w:t>
            </w:r>
          </w:p>
          <w:p w14:paraId="7E857054">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w:t>
            </w:r>
            <w:r>
              <w:rPr>
                <w:color w:val="000000" w:themeColor="text1"/>
                <w:sz w:val="24"/>
                <w14:textFill>
                  <w14:solidFill>
                    <w14:schemeClr w14:val="tx1"/>
                  </w14:solidFill>
                </w14:textFill>
              </w:rPr>
              <w:t>智能智造板块</w:t>
            </w:r>
          </w:p>
          <w:p w14:paraId="60333CD3">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错位联动发展，重点布局三新产业，补链强链，加快传统智造数智转型；</w:t>
            </w:r>
          </w:p>
          <w:p w14:paraId="28B163AA">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w:t>
            </w:r>
            <w:r>
              <w:rPr>
                <w:color w:val="000000" w:themeColor="text1"/>
                <w:sz w:val="24"/>
                <w14:textFill>
                  <w14:solidFill>
                    <w14:schemeClr w14:val="tx1"/>
                  </w14:solidFill>
                </w14:textFill>
              </w:rPr>
              <w:t>智慧物流板块</w:t>
            </w:r>
          </w:p>
          <w:p w14:paraId="384931A6">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依托现有金坛港，借力良好的交通区位，优化港口布局，提升服务能级。</w:t>
            </w:r>
          </w:p>
          <w:p w14:paraId="6B026C51">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w:t>
            </w:r>
            <w:r>
              <w:rPr>
                <w:color w:val="000000" w:themeColor="text1"/>
                <w:sz w:val="24"/>
                <w14:textFill>
                  <w14:solidFill>
                    <w14:schemeClr w14:val="tx1"/>
                  </w14:solidFill>
                </w14:textFill>
              </w:rPr>
              <w:t>生命健康板块</w:t>
            </w:r>
          </w:p>
          <w:p w14:paraId="57025669">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从生命健康全周期的角度，将生命健康制造业、生命健康服务业、生命健康管理、田园健体休闲等产业与业态联动发展，深度串联“生命健康”为产业链条，引领一二三产融合互促。</w:t>
            </w:r>
          </w:p>
          <w:p w14:paraId="0FB9E512">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④</w:t>
            </w:r>
            <w:r>
              <w:rPr>
                <w:color w:val="000000" w:themeColor="text1"/>
                <w:sz w:val="24"/>
                <w14:textFill>
                  <w14:solidFill>
                    <w14:schemeClr w14:val="tx1"/>
                  </w14:solidFill>
                </w14:textFill>
              </w:rPr>
              <w:t>生态服务板块</w:t>
            </w:r>
          </w:p>
          <w:p w14:paraId="69959EBB">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依托园区良好的水绿生态环境、以水为媒，强化产业园区内的生态环境建设及特色水绿空间塑造，打造生产+科普+绿色+休闲“四位一体”的现代化生态服务岛。</w:t>
            </w:r>
          </w:p>
          <w:p w14:paraId="2BF758CE">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本项目主要以代谢工程和合成生物学技术改造基因工程菌实验为主，属于生命健康产业，与空间布局规划相符。</w:t>
            </w:r>
          </w:p>
          <w:p w14:paraId="4B16ADC1">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基础设施规划</w:t>
            </w:r>
          </w:p>
          <w:p w14:paraId="40149390">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w:t>
            </w:r>
            <w:r>
              <w:rPr>
                <w:color w:val="000000" w:themeColor="text1"/>
                <w:sz w:val="24"/>
                <w14:textFill>
                  <w14:solidFill>
                    <w14:schemeClr w14:val="tx1"/>
                  </w14:solidFill>
                </w14:textFill>
              </w:rPr>
              <w:t>给水工程规划</w:t>
            </w:r>
          </w:p>
          <w:p w14:paraId="706DDBF8">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金城科技产业园由长荡湖水厂供水，水源取自长荡湖，以常金供水、金武供水为应急。</w:t>
            </w:r>
          </w:p>
          <w:p w14:paraId="419C9F12">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长荡湖水厂设计供水规模为30万m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/d，其中一期工程（供水规模20万m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/d）于2015年10月开工建设，2018年7月正式投运，采用“预处理+常规处理+深度处理”工艺。</w:t>
            </w:r>
          </w:p>
          <w:p w14:paraId="308F579F">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w:t>
            </w:r>
            <w:r>
              <w:rPr>
                <w:color w:val="000000" w:themeColor="text1"/>
                <w:sz w:val="24"/>
                <w14:textFill>
                  <w14:solidFill>
                    <w14:schemeClr w14:val="tx1"/>
                  </w14:solidFill>
                </w14:textFill>
              </w:rPr>
              <w:t>雨水工程规划</w:t>
            </w:r>
          </w:p>
          <w:p w14:paraId="06213FB0">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排水制度为雨污分流制。雨水排放按分散、就近原则排入河道。保留现有道路下雨水管道，结合新建道路敷设雨水管道，配套道路及周边排水条件。规划区内道路人行道铺装、广场及其它硬地铺装尽量采用透水材料，停车场尽量采用植草砖种植绿化，以最大限度地降低雨水径流。鼓励各开发地块对部分清洁雨水进行收集处理后利用，用于绿化浇灌、水景补水及冲厕等，实现水体的生态循环，节约水资源。</w:t>
            </w:r>
          </w:p>
          <w:p w14:paraId="4494FD02">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w:t>
            </w:r>
            <w:r>
              <w:rPr>
                <w:color w:val="000000" w:themeColor="text1"/>
                <w:sz w:val="24"/>
                <w14:textFill>
                  <w14:solidFill>
                    <w14:schemeClr w14:val="tx1"/>
                  </w14:solidFill>
                </w14:textFill>
              </w:rPr>
              <w:t>污水工程规划</w:t>
            </w:r>
          </w:p>
          <w:p w14:paraId="22BB06CD">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园区采用雨污分流的排水体制。污水分片收集后，经泵站提升进金坛第二污水处理厂集中处理，工业污水须预处理达标后方能接管，待金坛工业污水厂建成且相关管网敷设到位后，特殊产业及化工类污水由单独管道输送至金坛工业污水厂处理。</w:t>
            </w:r>
          </w:p>
          <w:p w14:paraId="7C00AE7A">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金坛第二污水厂位于良常路北、金武路西侧，现状规模6.0万立方米/日，其中再生水利用量为2万m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金坛第二污水处理厂主要收集金坛老城区东环二路以东、开发区（含开发区核心区、金科园、华科园）的污水。按太湖流域污染防治要求，尾水达到《城镇污水处理厂污染物排放标准》中一级A标准及《太湖地区城镇污水处理厂及重点工业行业主要水污染物排放限值》城镇污水处理厂Ⅰ级标准后，2.0万立方米/日回用，剩余部分排入尧塘河。第二污水厂建设有再生水利用工程，尾水量超出4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/d时，超出部分作为下塘河景观水回用，尾水达到《城市污水再利用景观环境用水水质标准》（GB/T18921-2002）。污泥处置方式为建材利用，由江苏博耐特斯新型建材有限公司处置。</w:t>
            </w:r>
          </w:p>
          <w:p w14:paraId="41326D84">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金坛经济开发区内正在新建1座规模5万m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/d的金坛区工业污水处理厂以满足开发区日益增长的污水处理需求（近期规模2万m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/d，远期5万m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/d）。一期设计规模2万m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/d，其中，化工废水处理系统设计规模0.5万m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/d，主要用于处理金坛新材料园区的化工废水；一般工业废水处理系统设计规模1.5万m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/d，用于处理一般工业废水。</w:t>
            </w:r>
          </w:p>
          <w:p w14:paraId="46A029B5">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本项目所在地污水管网已敷设到位，本项目产生的生活污水接入金坛区第二污水处理有限公司进行处理</w:t>
            </w:r>
            <w:r>
              <w:rPr>
                <w:color w:val="000000" w:themeColor="text1"/>
                <w:kern w:val="0"/>
                <w:sz w:val="24"/>
                <w14:textFill>
                  <w14:solidFill>
                    <w14:schemeClr w14:val="tx1"/>
                  </w14:solidFill>
                </w14:textFill>
              </w:rPr>
              <w:t>。</w:t>
            </w:r>
          </w:p>
          <w:p w14:paraId="096CECE8">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w:t>
            </w:r>
            <w:r>
              <w:rPr>
                <w:color w:val="000000" w:themeColor="text1"/>
                <w:sz w:val="24"/>
                <w14:textFill>
                  <w14:solidFill>
                    <w14:schemeClr w14:val="tx1"/>
                  </w14:solidFill>
                </w14:textFill>
              </w:rPr>
              <w:t>供电工程规划</w:t>
            </w:r>
          </w:p>
          <w:p w14:paraId="32C94631">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规划期末园区最高用电负荷约250MW。</w:t>
            </w:r>
          </w:p>
          <w:p w14:paraId="6E968B55">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规划保留110kV城西变（1*31.5MVA），110kV盐港变（1*80MVA），现状110kV线路、35kV线路保留，影响地块建设的局部迁移改造，规划沿春风东路建设35kV电缆。新建110kV良常变。</w:t>
            </w:r>
          </w:p>
          <w:p w14:paraId="206C2B4D">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大型居住区、繁华商业区等原则上采用电缆埋地敷设，其余地区可根据需要采用合适的敷设方式。架空线路采用同杆双回或多回，以道路东、南侧为主要通道。</w:t>
            </w:r>
          </w:p>
          <w:p w14:paraId="70C5E058">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除依靠传统的公共电网供电外，区内应积极发展以可再生能源利用为主要形式的分布式能源系统，缓解电网压力，提高能源利用效率。重点利用太阳能热水、太阳能光伏发电、地（水）源热泵、冷热电联产等，建设可持续和可再生的能源系统，形成与常规能源相互衔接、相互补充的能源供应模式。</w:t>
            </w:r>
          </w:p>
          <w:p w14:paraId="723C72B9">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w:t>
            </w:r>
            <w:r>
              <w:rPr>
                <w:color w:val="000000" w:themeColor="text1"/>
                <w:sz w:val="24"/>
                <w14:textFill>
                  <w14:solidFill>
                    <w14:schemeClr w14:val="tx1"/>
                  </w14:solidFill>
                </w14:textFill>
              </w:rPr>
              <w:t>燃气工程规划</w:t>
            </w:r>
          </w:p>
          <w:p w14:paraId="140A0CA2">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金坛区上游气源为“西气东输”、“川气东送”等多气源联合供气。供气压力采用中低压二级制。来自直溪门站的高压管道经高中压调压站计量、调压至0.4MPa后送往中心城区中压管网，经良常东路等道路引入园区。</w:t>
            </w:r>
          </w:p>
          <w:p w14:paraId="60936C34">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规划保留现状常良高中压调压站（良常高中压调压站）、良常加气站，船用LNG加气站；保留现状高、中压燃气管道，完善园区中压干管网络，采用环状布置方式布置，中压支管布置成支状。</w:t>
            </w:r>
          </w:p>
          <w:p w14:paraId="12AB006D">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现状高压燃气管道（DN500）敷设在良常路北侧，中压燃气管道（DN150）敷设在西城路、红山路、荆元路、后关路等道路侧，供应沿线的工业用户。规划沿金沙大道、金城大道（盐港路）、春风东路各敷设1根中压管（DN200），与现状中压管接通。低压管道根据自然地理条件自然成片，确保供气效果。</w:t>
            </w:r>
          </w:p>
          <w:p w14:paraId="453C20E7">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⑥</w:t>
            </w:r>
            <w:r>
              <w:rPr>
                <w:color w:val="000000" w:themeColor="text1"/>
                <w:sz w:val="24"/>
                <w14:textFill>
                  <w14:solidFill>
                    <w14:schemeClr w14:val="tx1"/>
                  </w14:solidFill>
                </w14:textFill>
              </w:rPr>
              <w:t>供热工程规划</w:t>
            </w:r>
          </w:p>
          <w:p w14:paraId="2EC70673">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园区热用户主要为企业生产用热及部分行政办公、医疗卫生、商业商务等公共设施用户。预测园区热负荷约为43.41t/h。</w:t>
            </w:r>
          </w:p>
          <w:p w14:paraId="244F3D06">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金城科技产业园东部（区外）现状有一座加怡热电厂，建有2×75t/h锅炉+150t/h锅炉正常运行，额定供热能力300t/h，另外2×75t/h锅炉作为备用，现状热负荷221t/h，热用户79家，有一条主干热力管道沿盐港路、城西路敷设至工业园内。</w:t>
            </w:r>
          </w:p>
          <w:p w14:paraId="0EE4E174">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对照分析：本项目位于常州市金坛经济开发区西城路118号，位于金坛金城科技产业园内，园区内雨污水管网已基本分流整治到位，企业污水已接入区域道路污水管网，企业产生的危废均依托有资质单位合理处置。周边基础设施齐备，满足本项目要求。</w:t>
            </w:r>
          </w:p>
          <w:p w14:paraId="7DA9E38C">
            <w:pPr>
              <w:autoSpaceDE w:val="0"/>
              <w:autoSpaceDN w:val="0"/>
              <w:adjustRightInd w:val="0"/>
              <w:snapToGrid w:val="0"/>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与环评结论及审查意见相符性</w:t>
            </w:r>
          </w:p>
          <w:p w14:paraId="798B6BD7">
            <w:pPr>
              <w:snapToGrid w:val="0"/>
              <w:spacing w:before="72" w:beforeLines="30"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表1-1  与</w:t>
            </w:r>
            <w:r>
              <w:rPr>
                <w:rFonts w:hint="eastAsia"/>
                <w:b/>
                <w:bCs/>
                <w:color w:val="000000" w:themeColor="text1"/>
                <w:szCs w:val="21"/>
                <w14:textFill>
                  <w14:solidFill>
                    <w14:schemeClr w14:val="tx1"/>
                  </w14:solidFill>
                </w14:textFill>
              </w:rPr>
              <w:t>《市生态环境局关于金坛金城科技产业园发展规划（2023-2035）环境影响报告书的审查意见》（常金环审〔2024〕40号）</w:t>
            </w:r>
            <w:r>
              <w:rPr>
                <w:b/>
                <w:bCs/>
                <w:color w:val="000000" w:themeColor="text1"/>
                <w:szCs w:val="21"/>
                <w14:textFill>
                  <w14:solidFill>
                    <w14:schemeClr w14:val="tx1"/>
                  </w14:solidFill>
                </w14:textFill>
              </w:rPr>
              <w:t>的相符性分析</w:t>
            </w:r>
          </w:p>
          <w:tbl>
            <w:tblPr>
              <w:tblStyle w:val="25"/>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57" w:type="dxa"/>
                <w:bottom w:w="28" w:type="dxa"/>
                <w:right w:w="57" w:type="dxa"/>
              </w:tblCellMar>
            </w:tblPr>
            <w:tblGrid>
              <w:gridCol w:w="5278"/>
              <w:gridCol w:w="3249"/>
              <w:gridCol w:w="740"/>
            </w:tblGrid>
            <w:tr w14:paraId="083453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40" w:hRule="atLeast"/>
                <w:jc w:val="center"/>
              </w:trPr>
              <w:tc>
                <w:tcPr>
                  <w:tcW w:w="2847" w:type="pct"/>
                  <w:tcBorders>
                    <w:tl2br w:val="nil"/>
                    <w:tr2bl w:val="nil"/>
                  </w:tcBorders>
                  <w:shd w:val="clear" w:color="auto" w:fill="FFFFFF"/>
                  <w:vAlign w:val="center"/>
                </w:tcPr>
                <w:p w14:paraId="74B50C37">
                  <w:pPr>
                    <w:pStyle w:val="69"/>
                    <w:snapToGrid w:val="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区域环评审查意见</w:t>
                  </w:r>
                </w:p>
              </w:tc>
              <w:tc>
                <w:tcPr>
                  <w:tcW w:w="1753" w:type="pct"/>
                  <w:tcBorders>
                    <w:tl2br w:val="nil"/>
                    <w:tr2bl w:val="nil"/>
                  </w:tcBorders>
                  <w:shd w:val="clear" w:color="auto" w:fill="FFFFFF"/>
                  <w:vAlign w:val="center"/>
                </w:tcPr>
                <w:p w14:paraId="60A29696">
                  <w:pPr>
                    <w:pStyle w:val="69"/>
                    <w:snapToGrid w:val="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本项目</w:t>
                  </w:r>
                </w:p>
              </w:tc>
              <w:tc>
                <w:tcPr>
                  <w:tcW w:w="399" w:type="pct"/>
                  <w:tcBorders>
                    <w:tl2br w:val="nil"/>
                    <w:tr2bl w:val="nil"/>
                  </w:tcBorders>
                  <w:shd w:val="clear" w:color="auto" w:fill="FFFFFF"/>
                  <w:vAlign w:val="center"/>
                </w:tcPr>
                <w:p w14:paraId="5877D507">
                  <w:pPr>
                    <w:pStyle w:val="69"/>
                    <w:snapToGrid w:val="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相符性</w:t>
                  </w:r>
                </w:p>
              </w:tc>
            </w:tr>
            <w:tr w14:paraId="7BE782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40" w:hRule="atLeast"/>
                <w:jc w:val="center"/>
              </w:trPr>
              <w:tc>
                <w:tcPr>
                  <w:tcW w:w="2847" w:type="pct"/>
                  <w:tcBorders>
                    <w:tl2br w:val="nil"/>
                    <w:tr2bl w:val="nil"/>
                  </w:tcBorders>
                  <w:shd w:val="clear" w:color="auto" w:fill="FFFFFF"/>
                  <w:vAlign w:val="center"/>
                </w:tcPr>
                <w:p w14:paraId="5A8356AD">
                  <w:pPr>
                    <w:contextualSpacing/>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规划范围：东至老丹金溧漕河、南至良常路、西至新丹金溧漕河、北至新丹金溧漕河，规划面积11.8平方公里。</w:t>
                  </w:r>
                </w:p>
              </w:tc>
              <w:tc>
                <w:tcPr>
                  <w:tcW w:w="1753" w:type="pct"/>
                  <w:tcBorders>
                    <w:tl2br w:val="nil"/>
                    <w:tr2bl w:val="nil"/>
                  </w:tcBorders>
                  <w:shd w:val="clear" w:color="auto" w:fill="FFFFFF"/>
                  <w:vAlign w:val="center"/>
                </w:tcPr>
                <w:p w14:paraId="7BA1068E">
                  <w:pPr>
                    <w:contextualSpacing/>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项目位于</w:t>
                  </w:r>
                  <w:r>
                    <w:rPr>
                      <w:color w:val="000000" w:themeColor="text1"/>
                      <w:szCs w:val="21"/>
                      <w14:textFill>
                        <w14:solidFill>
                          <w14:schemeClr w14:val="tx1"/>
                        </w14:solidFill>
                      </w14:textFill>
                    </w:rPr>
                    <w:t>常州市金坛经济开发区西城路118号</w:t>
                  </w:r>
                  <w:r>
                    <w:rPr>
                      <w:color w:val="000000" w:themeColor="text1"/>
                      <w:kern w:val="0"/>
                      <w:szCs w:val="21"/>
                      <w14:textFill>
                        <w14:solidFill>
                          <w14:schemeClr w14:val="tx1"/>
                        </w14:solidFill>
                      </w14:textFill>
                    </w:rPr>
                    <w:t>，属于金坛金城科技产业园范围。</w:t>
                  </w:r>
                </w:p>
              </w:tc>
              <w:tc>
                <w:tcPr>
                  <w:tcW w:w="399" w:type="pct"/>
                  <w:tcBorders>
                    <w:tl2br w:val="nil"/>
                    <w:tr2bl w:val="nil"/>
                  </w:tcBorders>
                  <w:shd w:val="clear" w:color="auto" w:fill="FFFFFF"/>
                  <w:vAlign w:val="center"/>
                </w:tcPr>
                <w:p w14:paraId="6B858260">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相符</w:t>
                  </w:r>
                </w:p>
              </w:tc>
            </w:tr>
            <w:tr w14:paraId="3F08B2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40" w:hRule="atLeast"/>
                <w:jc w:val="center"/>
              </w:trPr>
              <w:tc>
                <w:tcPr>
                  <w:tcW w:w="2847" w:type="pct"/>
                  <w:tcBorders>
                    <w:tl2br w:val="nil"/>
                    <w:tr2bl w:val="nil"/>
                  </w:tcBorders>
                  <w:shd w:val="clear" w:color="auto" w:fill="FFFFFF"/>
                  <w:vAlign w:val="center"/>
                </w:tcPr>
                <w:p w14:paraId="7B82880D">
                  <w:pPr>
                    <w:contextualSpacing/>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产业定位：基于现状产业基础，立足现有产业优势，规划重点发展高端装备制造、新能源新材料、生命健康、智慧物流四大主导产业，构建“3+1”的产业体系。</w:t>
                  </w:r>
                </w:p>
              </w:tc>
              <w:tc>
                <w:tcPr>
                  <w:tcW w:w="1753" w:type="pct"/>
                  <w:tcBorders>
                    <w:tl2br w:val="nil"/>
                    <w:tr2bl w:val="nil"/>
                  </w:tcBorders>
                  <w:shd w:val="clear" w:color="auto" w:fill="FFFFFF"/>
                  <w:vAlign w:val="center"/>
                </w:tcPr>
                <w:p w14:paraId="59AA4472">
                  <w:pPr>
                    <w:contextualSpacing/>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本项目为合成生物实验室建设项目，主要以代谢工程和合成生物学技术改造基因工程菌实验为主</w:t>
                  </w:r>
                  <w:r>
                    <w:rPr>
                      <w:rFonts w:hint="eastAsia"/>
                      <w:color w:val="000000" w:themeColor="text1"/>
                      <w:kern w:val="0"/>
                      <w:szCs w:val="21"/>
                      <w14:textFill>
                        <w14:solidFill>
                          <w14:schemeClr w14:val="tx1"/>
                        </w14:solidFill>
                      </w14:textFill>
                    </w:rPr>
                    <w:t>，实验目标产物应用于食品、化妆品行业</w:t>
                  </w:r>
                  <w:r>
                    <w:rPr>
                      <w:color w:val="000000" w:themeColor="text1"/>
                      <w:kern w:val="0"/>
                      <w:szCs w:val="21"/>
                      <w14:textFill>
                        <w14:solidFill>
                          <w14:schemeClr w14:val="tx1"/>
                        </w14:solidFill>
                      </w14:textFill>
                    </w:rPr>
                    <w:t>，属于生命健康产业。</w:t>
                  </w:r>
                </w:p>
              </w:tc>
              <w:tc>
                <w:tcPr>
                  <w:tcW w:w="399" w:type="pct"/>
                  <w:tcBorders>
                    <w:tl2br w:val="nil"/>
                    <w:tr2bl w:val="nil"/>
                  </w:tcBorders>
                  <w:shd w:val="clear" w:color="auto" w:fill="FFFFFF"/>
                  <w:vAlign w:val="center"/>
                </w:tcPr>
                <w:p w14:paraId="7410AEA4">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相符</w:t>
                  </w:r>
                </w:p>
              </w:tc>
            </w:tr>
            <w:tr w14:paraId="44708F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40" w:hRule="atLeast"/>
                <w:jc w:val="center"/>
              </w:trPr>
              <w:tc>
                <w:tcPr>
                  <w:tcW w:w="2847" w:type="pct"/>
                  <w:tcBorders>
                    <w:tl2br w:val="nil"/>
                    <w:tr2bl w:val="nil"/>
                  </w:tcBorders>
                  <w:shd w:val="clear" w:color="auto" w:fill="FFFFFF"/>
                  <w:vAlign w:val="center"/>
                </w:tcPr>
                <w:p w14:paraId="4BB99770">
                  <w:pPr>
                    <w:contextualSpacing/>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环保基础设施规划：由长荡湖水厂供水，供水规模为30万m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d，水源取自长荡湖，以常金供水、金武供水为应急；园区采用雨污分流的排水体制，污水分片收集后，经泵站提升进金坛第二污水处理厂集中处理，待金坛工业污水厂建成且相关管网敷设到位后，特殊产业及化工类污水由单独管道输送至金坛工业污水厂处理。保留并充分利用现有污水主干管，新建金沙大道以西片区、红山路、西环二路（白塔路）、丹阳门北路污水管网，污水经邮堂庙泵站提升，邮堂庙泵站规模规划扩建至3万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d；以加怡热电作为热源点，保留现状热力管网，根据热用户分布，延伸、完善和新增热力管道，满足工业园新增热用户需求；保留现状高、中压燃气管道，完善园区中压干管网络，规划沿金沙大道、金城大道（盐港路）、春风东路各敷设1根中压管（DN200），与现状中压管接通。</w:t>
                  </w:r>
                </w:p>
              </w:tc>
              <w:tc>
                <w:tcPr>
                  <w:tcW w:w="1753" w:type="pct"/>
                  <w:tcBorders>
                    <w:tl2br w:val="nil"/>
                    <w:tr2bl w:val="nil"/>
                  </w:tcBorders>
                  <w:shd w:val="clear" w:color="auto" w:fill="FFFFFF"/>
                  <w:vAlign w:val="center"/>
                </w:tcPr>
                <w:p w14:paraId="29F3926F">
                  <w:pPr>
                    <w:contextualSpacing/>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本项目位于金坛金城科技产业园，属于金坛第二污水处理有限公司收水范围内，且项目周边污水管网已铺设到位，项目产生的生活污水能够顺利接入金坛第二污水处理有限公司集中处理。</w:t>
                  </w:r>
                </w:p>
                <w:p w14:paraId="004571A3">
                  <w:pPr>
                    <w:contextualSpacing/>
                    <w:rPr>
                      <w:color w:val="000000" w:themeColor="text1"/>
                      <w:szCs w:val="21"/>
                      <w14:textFill>
                        <w14:solidFill>
                          <w14:schemeClr w14:val="tx1"/>
                        </w14:solidFill>
                      </w14:textFill>
                    </w:rPr>
                  </w:pPr>
                </w:p>
              </w:tc>
              <w:tc>
                <w:tcPr>
                  <w:tcW w:w="399" w:type="pct"/>
                  <w:tcBorders>
                    <w:tl2br w:val="nil"/>
                    <w:tr2bl w:val="nil"/>
                  </w:tcBorders>
                  <w:shd w:val="clear" w:color="auto" w:fill="FFFFFF"/>
                  <w:vAlign w:val="center"/>
                </w:tcPr>
                <w:p w14:paraId="03252E5E">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相符</w:t>
                  </w:r>
                </w:p>
              </w:tc>
            </w:tr>
            <w:tr w14:paraId="6042D0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40" w:hRule="atLeast"/>
                <w:jc w:val="center"/>
              </w:trPr>
              <w:tc>
                <w:tcPr>
                  <w:tcW w:w="2847" w:type="pct"/>
                  <w:tcBorders>
                    <w:tl2br w:val="nil"/>
                    <w:tr2bl w:val="nil"/>
                  </w:tcBorders>
                  <w:shd w:val="clear" w:color="auto" w:fill="FFFFFF"/>
                  <w:vAlign w:val="center"/>
                </w:tcPr>
                <w:p w14:paraId="2D49E13D">
                  <w:pPr>
                    <w:autoSpaceDE w:val="0"/>
                    <w:autoSpaceDN w:val="0"/>
                    <w:adjustRightInd w:val="0"/>
                    <w:snapToGrid w:val="0"/>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严守环境质量底线，严格生态环境准入要求，推动产业绿色转型升级。根据国家和江苏省、常州市关于大气、水、土壤污染防治相关要求和区域“三线一单”成果，明确园区环境质量改善阶段目标，制定园区污染物减排方案及污染物总量管控要求，采取有效措施控制主要污染物和特征污染物数量，严格控制危险废物增量，实现区域环境质量持续改善，实现产业发展与城市发展、生态环境保护相协调。提出碳达峰、碳中和目标，落实碳排放管控要求。强化生态环境准入要求，引进项目的生产工艺、设备、能耗、污染物排放、资源利用等均须达到同类行业先进水平。大力推进产业结构优化升级，全面提升现有产业的技术水平。</w:t>
                  </w:r>
                </w:p>
              </w:tc>
              <w:tc>
                <w:tcPr>
                  <w:tcW w:w="1753" w:type="pct"/>
                  <w:tcBorders>
                    <w:tl2br w:val="nil"/>
                    <w:tr2bl w:val="nil"/>
                  </w:tcBorders>
                  <w:shd w:val="clear" w:color="auto" w:fill="FFFFFF"/>
                  <w:vAlign w:val="center"/>
                </w:tcPr>
                <w:p w14:paraId="0652AE0A">
                  <w:pPr>
                    <w:widowControl/>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本项目的建设符合国家和江苏省、常州市关于大气、水、土壤污染防治相关要求和区域“三线一单”成果要求；项目产生的废气经废气处理设施处理后可达标排放；项目严格执行环保“三同时”制度，履行完环保审批手续后再开工建设。</w:t>
                  </w:r>
                </w:p>
              </w:tc>
              <w:tc>
                <w:tcPr>
                  <w:tcW w:w="399" w:type="pct"/>
                  <w:tcBorders>
                    <w:tl2br w:val="nil"/>
                    <w:tr2bl w:val="nil"/>
                  </w:tcBorders>
                  <w:shd w:val="clear" w:color="auto" w:fill="FFFFFF"/>
                  <w:vAlign w:val="center"/>
                </w:tcPr>
                <w:p w14:paraId="2CEB770C">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相符</w:t>
                  </w:r>
                </w:p>
              </w:tc>
            </w:tr>
            <w:tr w14:paraId="7BD730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40" w:hRule="atLeast"/>
                <w:jc w:val="center"/>
              </w:trPr>
              <w:tc>
                <w:tcPr>
                  <w:tcW w:w="2847" w:type="pct"/>
                  <w:tcBorders>
                    <w:tl2br w:val="nil"/>
                    <w:tr2bl w:val="nil"/>
                  </w:tcBorders>
                  <w:shd w:val="clear" w:color="auto" w:fill="FFFFFF"/>
                  <w:vAlign w:val="center"/>
                </w:tcPr>
                <w:p w14:paraId="7E50AF85">
                  <w:pPr>
                    <w:autoSpaceDE w:val="0"/>
                    <w:autoSpaceDN w:val="0"/>
                    <w:adjustRightInd w:val="0"/>
                    <w:snapToGrid w:val="0"/>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完善环境监测监控体系，提升环境风险应急能力。建立环境要素的监控体系，每年开展环境质量跟踪监测，明确责任主体和实施时限等，重点关注居住区大气环境质量变化情况。加快推进园区环境质量监测系统、视频监控系统、环境应急管理系统建设，完善环境管理电子台账。根据监测结果并结合环境影响、区域污染物控制措施实施的进度和效果，适时优化调整规划实施。加强园区环境风险防范应急体系建设，完善园区应急预案，强化环境应急队伍建设和物资储备，加强应急演练；严格环境风险源头防控，强化重点企业和区域环境风险评估；完善应急响应联动机制，切实保障区域生态安全。</w:t>
                  </w:r>
                </w:p>
              </w:tc>
              <w:tc>
                <w:tcPr>
                  <w:tcW w:w="1753" w:type="pct"/>
                  <w:tcBorders>
                    <w:tl2br w:val="nil"/>
                    <w:tr2bl w:val="nil"/>
                  </w:tcBorders>
                  <w:shd w:val="clear" w:color="auto" w:fill="FFFFFF"/>
                  <w:vAlign w:val="center"/>
                </w:tcPr>
                <w:p w14:paraId="786A6EDC">
                  <w:pPr>
                    <w:autoSpaceDE w:val="0"/>
                    <w:autoSpaceDN w:val="0"/>
                    <w:adjustRightInd w:val="0"/>
                    <w:snapToGrid w:val="0"/>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本项目建设过程制定风险防范措施，运营过程定期演练，编制完善突发环境事件应急预案。</w:t>
                  </w:r>
                </w:p>
              </w:tc>
              <w:tc>
                <w:tcPr>
                  <w:tcW w:w="399" w:type="pct"/>
                  <w:tcBorders>
                    <w:tl2br w:val="nil"/>
                    <w:tr2bl w:val="nil"/>
                  </w:tcBorders>
                  <w:shd w:val="clear" w:color="auto" w:fill="FFFFFF"/>
                  <w:vAlign w:val="center"/>
                </w:tcPr>
                <w:p w14:paraId="262BDD58">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7A5A08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40" w:hRule="atLeast"/>
                <w:jc w:val="center"/>
              </w:trPr>
              <w:tc>
                <w:tcPr>
                  <w:tcW w:w="2847" w:type="pct"/>
                  <w:tcBorders>
                    <w:tl2br w:val="nil"/>
                    <w:tr2bl w:val="nil"/>
                  </w:tcBorders>
                  <w:shd w:val="clear" w:color="auto" w:fill="FFFFFF"/>
                  <w:vAlign w:val="center"/>
                </w:tcPr>
                <w:p w14:paraId="09665C5D">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完善环境基础设施建设。园区实施雨污分流、清污分流和污水集中处理，企业废水须分类收集、分质处理，经预处理达到污水处理厂接管标准后方可接管。加强园区固体废物的集中处理处置，危险废物交由有资质的单位处置。加快推进区内天然气管网和雨污管网建设。</w:t>
                  </w:r>
                </w:p>
              </w:tc>
              <w:tc>
                <w:tcPr>
                  <w:tcW w:w="1753" w:type="pct"/>
                  <w:tcBorders>
                    <w:tl2br w:val="nil"/>
                    <w:tr2bl w:val="nil"/>
                  </w:tcBorders>
                  <w:shd w:val="clear" w:color="auto" w:fill="FFFFFF"/>
                  <w:vAlign w:val="center"/>
                </w:tcPr>
                <w:p w14:paraId="36F21ED9">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项目实施雨污分流，雨水经园区雨水管网收集后排入附近的丹金溧漕河；生活污水接管至金坛区第二污水处理有限公司处理；项目危废委托有资质的单位处置。</w:t>
                  </w:r>
                </w:p>
              </w:tc>
              <w:tc>
                <w:tcPr>
                  <w:tcW w:w="399" w:type="pct"/>
                  <w:tcBorders>
                    <w:tl2br w:val="nil"/>
                    <w:tr2bl w:val="nil"/>
                  </w:tcBorders>
                  <w:shd w:val="clear" w:color="auto" w:fill="FFFFFF"/>
                  <w:vAlign w:val="center"/>
                </w:tcPr>
                <w:p w14:paraId="0196341E">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5EE6A8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340" w:hRule="atLeast"/>
                <w:jc w:val="center"/>
              </w:trPr>
              <w:tc>
                <w:tcPr>
                  <w:tcW w:w="2847" w:type="pct"/>
                  <w:tcBorders>
                    <w:tl2br w:val="nil"/>
                    <w:tr2bl w:val="nil"/>
                  </w:tcBorders>
                  <w:shd w:val="clear" w:color="auto" w:fill="FFFFFF"/>
                  <w:vAlign w:val="center"/>
                </w:tcPr>
                <w:p w14:paraId="6B0E0A15">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加强污染源监控。强化颗粒物、VOCs等污染物的控制与治理，最大限度减少无组织废气排放；按照《报告书》提出的总量控制要求严格控制园区重点污染物排放总量。</w:t>
                  </w:r>
                </w:p>
              </w:tc>
              <w:tc>
                <w:tcPr>
                  <w:tcW w:w="1753" w:type="pct"/>
                  <w:tcBorders>
                    <w:tl2br w:val="nil"/>
                    <w:tr2bl w:val="nil"/>
                  </w:tcBorders>
                  <w:shd w:val="clear" w:color="auto" w:fill="FFFFFF"/>
                  <w:vAlign w:val="center"/>
                </w:tcPr>
                <w:p w14:paraId="14A5C1B1">
                  <w:pPr>
                    <w:widowControl/>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本项目生产过程中产生非甲烷总烃等废气，经处理后达标排放，不会对区域大气环境质量造成明显影响。</w:t>
                  </w:r>
                </w:p>
              </w:tc>
              <w:tc>
                <w:tcPr>
                  <w:tcW w:w="399" w:type="pct"/>
                  <w:tcBorders>
                    <w:tl2br w:val="nil"/>
                    <w:tr2bl w:val="nil"/>
                  </w:tcBorders>
                  <w:shd w:val="clear" w:color="auto" w:fill="FFFFFF"/>
                  <w:vAlign w:val="center"/>
                </w:tcPr>
                <w:p w14:paraId="360452BB">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相符</w:t>
                  </w:r>
                </w:p>
              </w:tc>
            </w:tr>
          </w:tbl>
          <w:p w14:paraId="51EC4406">
            <w:pPr>
              <w:autoSpaceDE w:val="0"/>
              <w:autoSpaceDN w:val="0"/>
              <w:adjustRightInd w:val="0"/>
              <w:snapToGrid w:val="0"/>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、与环境准入条件清单相符性</w:t>
            </w:r>
          </w:p>
          <w:p w14:paraId="6FFA7A89">
            <w:pPr>
              <w:spacing w:line="480" w:lineRule="exact"/>
              <w:ind w:firstLine="422" w:firstLineChars="200"/>
              <w:jc w:val="center"/>
              <w:rPr>
                <w:color w:val="000000" w:themeColor="text1"/>
                <w:sz w:val="24"/>
                <w14:textFill>
                  <w14:solidFill>
                    <w14:schemeClr w14:val="tx1"/>
                  </w14:solidFill>
                </w14:textFill>
              </w:rPr>
            </w:pPr>
            <w:r>
              <w:rPr>
                <w:b/>
                <w:bCs/>
                <w:color w:val="000000" w:themeColor="text1"/>
                <w:szCs w:val="21"/>
                <w14:textFill>
                  <w14:solidFill>
                    <w14:schemeClr w14:val="tx1"/>
                  </w14:solidFill>
                </w14:textFill>
              </w:rPr>
              <w:t>表1-</w:t>
            </w:r>
            <w:r>
              <w:rPr>
                <w:rFonts w:hint="eastAsia"/>
                <w:b/>
                <w:bCs/>
                <w:color w:val="000000" w:themeColor="text1"/>
                <w:szCs w:val="21"/>
                <w14:textFill>
                  <w14:solidFill>
                    <w14:schemeClr w14:val="tx1"/>
                  </w14:solidFill>
                </w14:textFill>
              </w:rPr>
              <w:t>2 项目与环境准入条件清单相符性分析一览表</w:t>
            </w:r>
          </w:p>
          <w:tbl>
            <w:tblPr>
              <w:tblStyle w:val="25"/>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41"/>
              <w:gridCol w:w="5250"/>
              <w:gridCol w:w="2781"/>
              <w:gridCol w:w="693"/>
            </w:tblGrid>
            <w:tr w14:paraId="222680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92" w:type="pct"/>
                  <w:tcBorders>
                    <w:tl2br w:val="nil"/>
                    <w:tr2bl w:val="nil"/>
                  </w:tcBorders>
                  <w:shd w:val="clear" w:color="auto" w:fill="FFFFFF"/>
                  <w:vAlign w:val="center"/>
                </w:tcPr>
                <w:p w14:paraId="773BCA3C">
                  <w:pPr>
                    <w:pStyle w:val="69"/>
                    <w:snapToGrid w:val="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清单类别</w:t>
                  </w:r>
                </w:p>
              </w:tc>
              <w:tc>
                <w:tcPr>
                  <w:tcW w:w="2832" w:type="pct"/>
                  <w:tcBorders>
                    <w:tl2br w:val="nil"/>
                    <w:tr2bl w:val="nil"/>
                  </w:tcBorders>
                  <w:shd w:val="clear" w:color="auto" w:fill="FFFFFF"/>
                  <w:vAlign w:val="center"/>
                </w:tcPr>
                <w:p w14:paraId="4BCA525D">
                  <w:pPr>
                    <w:pStyle w:val="69"/>
                    <w:snapToGrid w:val="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准入内容</w:t>
                  </w:r>
                </w:p>
              </w:tc>
              <w:tc>
                <w:tcPr>
                  <w:tcW w:w="1500" w:type="pct"/>
                  <w:tcBorders>
                    <w:tl2br w:val="nil"/>
                    <w:tr2bl w:val="nil"/>
                  </w:tcBorders>
                  <w:shd w:val="clear" w:color="auto" w:fill="FFFFFF"/>
                  <w:vAlign w:val="center"/>
                </w:tcPr>
                <w:p w14:paraId="2BC68949">
                  <w:pPr>
                    <w:pStyle w:val="69"/>
                    <w:snapToGrid w:val="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本项目</w:t>
                  </w:r>
                </w:p>
              </w:tc>
              <w:tc>
                <w:tcPr>
                  <w:tcW w:w="374" w:type="pct"/>
                  <w:tcBorders>
                    <w:tl2br w:val="nil"/>
                    <w:tr2bl w:val="nil"/>
                  </w:tcBorders>
                  <w:shd w:val="clear" w:color="auto" w:fill="FFFFFF"/>
                  <w:vAlign w:val="center"/>
                </w:tcPr>
                <w:p w14:paraId="7A8D84A4">
                  <w:pPr>
                    <w:pStyle w:val="69"/>
                    <w:snapToGrid w:val="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相符性</w:t>
                  </w:r>
                </w:p>
              </w:tc>
            </w:tr>
            <w:tr w14:paraId="38F929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2" w:type="pct"/>
                  <w:tcBorders>
                    <w:tl2br w:val="nil"/>
                    <w:tr2bl w:val="nil"/>
                  </w:tcBorders>
                  <w:shd w:val="clear" w:color="auto" w:fill="FFFFFF"/>
                  <w:vAlign w:val="center"/>
                </w:tcPr>
                <w:p w14:paraId="3A1FE1D2">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产业定位</w:t>
                  </w:r>
                </w:p>
              </w:tc>
              <w:tc>
                <w:tcPr>
                  <w:tcW w:w="2832" w:type="pct"/>
                  <w:tcBorders>
                    <w:tl2br w:val="nil"/>
                    <w:tr2bl w:val="nil"/>
                  </w:tcBorders>
                  <w:shd w:val="clear" w:color="auto" w:fill="FFFFFF"/>
                  <w:vAlign w:val="center"/>
                </w:tcPr>
                <w:p w14:paraId="7426FB45">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重点发展高端装备制造、新能源新材料、生命健康、智慧物流为主导“3+1”产业体系。</w:t>
                  </w:r>
                </w:p>
              </w:tc>
              <w:tc>
                <w:tcPr>
                  <w:tcW w:w="1500" w:type="pct"/>
                  <w:tcBorders>
                    <w:tl2br w:val="nil"/>
                    <w:tr2bl w:val="nil"/>
                  </w:tcBorders>
                  <w:shd w:val="clear" w:color="auto" w:fill="FFFFFF"/>
                  <w:vAlign w:val="center"/>
                </w:tcPr>
                <w:p w14:paraId="168278EF">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本项目为合成生物实验室建设项目，主要以代谢工程和合成生物学技术改造基因工程菌实验为主，属于生命健康产业。</w:t>
                  </w:r>
                </w:p>
              </w:tc>
              <w:tc>
                <w:tcPr>
                  <w:tcW w:w="374" w:type="pct"/>
                  <w:tcBorders>
                    <w:tl2br w:val="nil"/>
                    <w:tr2bl w:val="nil"/>
                  </w:tcBorders>
                  <w:shd w:val="clear" w:color="auto" w:fill="FFFFFF"/>
                  <w:vAlign w:val="center"/>
                </w:tcPr>
                <w:p w14:paraId="26662DD6">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相符</w:t>
                  </w:r>
                </w:p>
              </w:tc>
            </w:tr>
            <w:tr w14:paraId="1FF67D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2" w:type="pct"/>
                  <w:tcBorders>
                    <w:tl2br w:val="nil"/>
                    <w:tr2bl w:val="nil"/>
                  </w:tcBorders>
                  <w:shd w:val="clear" w:color="auto" w:fill="FFFFFF"/>
                  <w:vAlign w:val="center"/>
                </w:tcPr>
                <w:p w14:paraId="49B568BF">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禁止引入项目</w:t>
                  </w:r>
                </w:p>
              </w:tc>
              <w:tc>
                <w:tcPr>
                  <w:tcW w:w="2832" w:type="pct"/>
                  <w:tcBorders>
                    <w:tl2br w:val="nil"/>
                    <w:tr2bl w:val="nil"/>
                  </w:tcBorders>
                  <w:shd w:val="clear" w:color="auto" w:fill="FFFFFF"/>
                  <w:vAlign w:val="center"/>
                </w:tcPr>
                <w:p w14:paraId="4F80408D">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（1）高端装备制造：禁止引入含冶炼、轧钢项目（先进高端铸造类项目除外）。</w:t>
                  </w:r>
                </w:p>
                <w:p w14:paraId="063940E9">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（2）新能源新材料：禁止使用高VOCs含量的溶剂型涂料、油墨、胶粘剂等项目（具有不可替代性的原料除外）。</w:t>
                  </w:r>
                </w:p>
                <w:p w14:paraId="5D7BDC65">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（3）生命健康：禁止引进化学合成原料药的中试及生产项目，禁止引进医药中间体的项目。</w:t>
                  </w:r>
                </w:p>
                <w:p w14:paraId="73C2FFE8">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（4）禁止新建、扩建涉重点重金属污染物（铅、汞、镉、铬和砷）排放的项目。</w:t>
                  </w:r>
                </w:p>
                <w:p w14:paraId="1AE052BB">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（5）禁止引入排放含磷氮等污染物的项目（《江苏省太湖水污染防治条例》第四十六条规定的情形除外，即新建、改建、扩建排放含磷、氮等污染物的战略性新兴产业项目）。</w:t>
                  </w:r>
                </w:p>
                <w:p w14:paraId="2AD295B2">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（6）禁止新建钢铁、煤电、化工、印染项目；禁止引入不符合《印染行业规范条件》的改建印染项目。</w:t>
                  </w:r>
                </w:p>
                <w:p w14:paraId="6BC58542">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（7）《环境保护综合名录（2021年版）》“高污染、高环境风险”产品。</w:t>
                  </w:r>
                </w:p>
                <w:p w14:paraId="13962CA4">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（8）禁止引进其他属于国家和地方产业政策淘汰类或禁止类的建设项目和工艺。</w:t>
                  </w:r>
                </w:p>
                <w:p w14:paraId="033B4634">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（9）不得建设《长江经济带发展负面清单指南》中禁止类项目。</w:t>
                  </w:r>
                </w:p>
                <w:p w14:paraId="1400FC54">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（10）禁止引入危险化学品仓储企业。</w:t>
                  </w:r>
                </w:p>
              </w:tc>
              <w:tc>
                <w:tcPr>
                  <w:tcW w:w="1500" w:type="pct"/>
                  <w:tcBorders>
                    <w:tl2br w:val="nil"/>
                    <w:tr2bl w:val="nil"/>
                  </w:tcBorders>
                  <w:shd w:val="clear" w:color="auto" w:fill="FFFFFF"/>
                  <w:vAlign w:val="center"/>
                </w:tcPr>
                <w:p w14:paraId="04DCE848">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（1）本项目不属于冶炼、轧钢项目；</w:t>
                  </w:r>
                </w:p>
                <w:p w14:paraId="29C7BA65">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（2）项目使用不使用涂料、油墨等物料；</w:t>
                  </w:r>
                </w:p>
                <w:p w14:paraId="6E467CEB">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（3）项目不属于化学合成原料药的中试及生产项目，医药中间体的项目；</w:t>
                  </w:r>
                </w:p>
                <w:p w14:paraId="21334779">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（4）项目不排放含重点重金属（铅、汞、镉、铬、砷）；</w:t>
                  </w:r>
                </w:p>
                <w:p w14:paraId="4749A96D">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（5）项目不排放生产废水；</w:t>
                  </w:r>
                </w:p>
                <w:p w14:paraId="6FF58479">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（6）本项目不属于钢铁、煤电、化工、印染项目；</w:t>
                  </w:r>
                </w:p>
                <w:p w14:paraId="38E819E8">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（7）项目不属于《环境保护综合名录（2021年版）》“高污染、高环境风险”产品；</w:t>
                  </w:r>
                </w:p>
                <w:p w14:paraId="3B36AE2D">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（8）项目不属于《产业结构调整指导目录》中明确的淘汰类、禁止类项目；</w:t>
                  </w:r>
                </w:p>
                <w:p w14:paraId="3BC4C678">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（9）项目不属于《长江经济带发展负面清单指南》中禁止类项目；</w:t>
                  </w:r>
                </w:p>
                <w:p w14:paraId="06FEC66F">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（10）项目不属于危险化学品仓储企业</w:t>
                  </w:r>
                </w:p>
              </w:tc>
              <w:tc>
                <w:tcPr>
                  <w:tcW w:w="374" w:type="pct"/>
                  <w:tcBorders>
                    <w:tl2br w:val="nil"/>
                    <w:tr2bl w:val="nil"/>
                  </w:tcBorders>
                  <w:shd w:val="clear" w:color="auto" w:fill="FFFFFF"/>
                  <w:vAlign w:val="center"/>
                </w:tcPr>
                <w:p w14:paraId="770F45D2">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相符</w:t>
                  </w:r>
                </w:p>
              </w:tc>
            </w:tr>
            <w:tr w14:paraId="7F273C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2" w:type="pct"/>
                  <w:tcBorders>
                    <w:tl2br w:val="nil"/>
                    <w:tr2bl w:val="nil"/>
                  </w:tcBorders>
                  <w:shd w:val="clear" w:color="auto" w:fill="FFFFFF"/>
                  <w:vAlign w:val="center"/>
                </w:tcPr>
                <w:p w14:paraId="4E3F4CF4">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空间管控要求</w:t>
                  </w:r>
                </w:p>
              </w:tc>
              <w:tc>
                <w:tcPr>
                  <w:tcW w:w="2832" w:type="pct"/>
                  <w:tcBorders>
                    <w:tl2br w:val="nil"/>
                    <w:tr2bl w:val="nil"/>
                  </w:tcBorders>
                  <w:shd w:val="clear" w:color="auto" w:fill="FFFFFF"/>
                  <w:vAlign w:val="center"/>
                </w:tcPr>
                <w:p w14:paraId="6D780BF2">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（1）水域及绿地，禁止一切与环境保护功能无关的建设活动；</w:t>
                  </w:r>
                </w:p>
                <w:p w14:paraId="316F44EA">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（2）丹金溧漕河、尧塘河沿岸河道范围内（两岸堤防背水坡堤脚外10m）禁止建设妨碍行洪的建筑物、构筑物；</w:t>
                  </w:r>
                </w:p>
                <w:p w14:paraId="14B3A48B">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（3）禁止引进不能满足环评测算出的环境防护距离，或环评事故风险防范和应急措施难以落实到位的项目；</w:t>
                  </w:r>
                </w:p>
              </w:tc>
              <w:tc>
                <w:tcPr>
                  <w:tcW w:w="1500" w:type="pct"/>
                  <w:tcBorders>
                    <w:tl2br w:val="nil"/>
                    <w:tr2bl w:val="nil"/>
                  </w:tcBorders>
                  <w:shd w:val="clear" w:color="auto" w:fill="FFFFFF"/>
                  <w:vAlign w:val="center"/>
                </w:tcPr>
                <w:p w14:paraId="4ABC32AD">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（1）项目用地为工业用地，不涉及水域及绿地；</w:t>
                  </w:r>
                </w:p>
                <w:p w14:paraId="30F0E9F2">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（2）项目不在丹金溧漕河、尧塘河沿岸河道范围；</w:t>
                  </w:r>
                </w:p>
                <w:p w14:paraId="254BAD40">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（3）项目建成后将严格落实事故风险防范和应急措施。</w:t>
                  </w:r>
                </w:p>
              </w:tc>
              <w:tc>
                <w:tcPr>
                  <w:tcW w:w="374" w:type="pct"/>
                  <w:tcBorders>
                    <w:tl2br w:val="nil"/>
                    <w:tr2bl w:val="nil"/>
                  </w:tcBorders>
                  <w:shd w:val="clear" w:color="auto" w:fill="FFFFFF"/>
                  <w:vAlign w:val="center"/>
                </w:tcPr>
                <w:p w14:paraId="63423CE6">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相符</w:t>
                  </w:r>
                </w:p>
              </w:tc>
            </w:tr>
            <w:tr w14:paraId="5CC60B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2" w:type="pct"/>
                  <w:tcBorders>
                    <w:tl2br w:val="nil"/>
                    <w:tr2bl w:val="nil"/>
                  </w:tcBorders>
                  <w:shd w:val="clear" w:color="auto" w:fill="FFFFFF"/>
                  <w:vAlign w:val="center"/>
                </w:tcPr>
                <w:p w14:paraId="1F53E72E">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污染物排放管控</w:t>
                  </w:r>
                </w:p>
              </w:tc>
              <w:tc>
                <w:tcPr>
                  <w:tcW w:w="2832" w:type="pct"/>
                  <w:tcBorders>
                    <w:tl2br w:val="nil"/>
                    <w:tr2bl w:val="nil"/>
                  </w:tcBorders>
                  <w:shd w:val="clear" w:color="auto" w:fill="FFFFFF"/>
                  <w:vAlign w:val="center"/>
                </w:tcPr>
                <w:p w14:paraId="70D8826F">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颗粒物、二氧化硫、氮氧化物、VOCs作为总量控制因子，根据省、市上级要求，进行现役源2倍削减量替代或关闭类项目1.5倍削减量替代。</w:t>
                  </w:r>
                </w:p>
                <w:p w14:paraId="3D10DB67">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（1）废气污染物规划末期总量：SO</w:t>
                  </w:r>
                  <w:r>
                    <w:rPr>
                      <w:rFonts w:ascii="Times New Roman" w:eastAsia="宋体"/>
                      <w:color w:val="000000" w:themeColor="text1"/>
                      <w:szCs w:val="21"/>
                      <w:vertAlign w:val="subscript"/>
                      <w14:textFill>
                        <w14:solidFill>
                          <w14:schemeClr w14:val="tx1"/>
                        </w14:solidFill>
                      </w14:textFill>
                    </w:rPr>
                    <w:t>2</w:t>
                  </w:r>
                  <w:r>
                    <w:rPr>
                      <w:rFonts w:ascii="Times New Roman" w:eastAsia="宋体"/>
                      <w:color w:val="000000" w:themeColor="text1"/>
                      <w:szCs w:val="21"/>
                      <w14:textFill>
                        <w14:solidFill>
                          <w14:schemeClr w14:val="tx1"/>
                        </w14:solidFill>
                      </w14:textFill>
                    </w:rPr>
                    <w:t xml:space="preserve"> 8.912t/a、NOx 60.39t/a、颗粒物 91.643t/a、VOCs 61.56t/a。</w:t>
                  </w:r>
                </w:p>
                <w:p w14:paraId="4ABDDAA8">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（2）废水污染物规划末期总量：废水量331.36万t/a、COD165.69t/a、氨氮13.26t/a、总氮39.77t/a、总磷1.65t/a。</w:t>
                  </w:r>
                </w:p>
              </w:tc>
              <w:tc>
                <w:tcPr>
                  <w:tcW w:w="1500" w:type="pct"/>
                  <w:tcBorders>
                    <w:tl2br w:val="nil"/>
                    <w:tr2bl w:val="nil"/>
                  </w:tcBorders>
                  <w:shd w:val="clear" w:color="auto" w:fill="FFFFFF"/>
                  <w:vAlign w:val="center"/>
                </w:tcPr>
                <w:p w14:paraId="707A2982">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项目大气污染物非甲烷总烃进行污染物总量2倍减量替代；项目排放的非甲烷总烃废气总量不会突破园区污染物排放总量；项目仅排放生活污水。</w:t>
                  </w:r>
                </w:p>
              </w:tc>
              <w:tc>
                <w:tcPr>
                  <w:tcW w:w="374" w:type="pct"/>
                  <w:tcBorders>
                    <w:tl2br w:val="nil"/>
                    <w:tr2bl w:val="nil"/>
                  </w:tcBorders>
                  <w:shd w:val="clear" w:color="auto" w:fill="FFFFFF"/>
                  <w:vAlign w:val="center"/>
                </w:tcPr>
                <w:p w14:paraId="19974F33">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相符</w:t>
                  </w:r>
                </w:p>
              </w:tc>
            </w:tr>
            <w:tr w14:paraId="4C9721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2" w:type="pct"/>
                  <w:tcBorders>
                    <w:tl2br w:val="nil"/>
                    <w:tr2bl w:val="nil"/>
                  </w:tcBorders>
                  <w:shd w:val="clear" w:color="auto" w:fill="FFFFFF"/>
                  <w:vAlign w:val="center"/>
                </w:tcPr>
                <w:p w14:paraId="34B23643">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环境风险防控</w:t>
                  </w:r>
                </w:p>
              </w:tc>
              <w:tc>
                <w:tcPr>
                  <w:tcW w:w="2832" w:type="pct"/>
                  <w:tcBorders>
                    <w:tl2br w:val="nil"/>
                    <w:tr2bl w:val="nil"/>
                  </w:tcBorders>
                  <w:shd w:val="clear" w:color="auto" w:fill="FFFFFF"/>
                  <w:vAlign w:val="center"/>
                </w:tcPr>
                <w:p w14:paraId="33D86901">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（1）针对搬迁关闭的企业，应当在其土地出让或项目批准核准前完成场地环境调查和风险评估工作，以保障工业企业场地再开发利用的环境安全。</w:t>
                  </w:r>
                </w:p>
                <w:p w14:paraId="10411BD7">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（2）禁止安全风险大、工艺设施落后、安全水平低的企业或项目进入。</w:t>
                  </w:r>
                </w:p>
                <w:p w14:paraId="2CD5BDBB">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（3）存储危险化学品及产生大量废水的企业，应配套有效措施，防止因渗漏污染地下水、土壤，以及因事故废水直排污染地表水体。</w:t>
                  </w:r>
                </w:p>
                <w:p w14:paraId="1EDC725F">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（4）产生、利用或处置固体废物（含危险废物）的企业，在贮存、转移、利用、处置固体废物（含危险废物）过程中，应配套防扬散、防流失、防渗漏及其他防止污染环境的措施。</w:t>
                  </w:r>
                </w:p>
                <w:p w14:paraId="0A1C6C46">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（5）禁止无法落实危险废物处置途径的项目入园。</w:t>
                  </w:r>
                </w:p>
                <w:p w14:paraId="7F727106">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（6）禁止建设不能满足环评测算出环境防护距离的项目。</w:t>
                  </w:r>
                </w:p>
              </w:tc>
              <w:tc>
                <w:tcPr>
                  <w:tcW w:w="1500" w:type="pct"/>
                  <w:tcBorders>
                    <w:tl2br w:val="nil"/>
                    <w:tr2bl w:val="nil"/>
                  </w:tcBorders>
                  <w:shd w:val="clear" w:color="auto" w:fill="FFFFFF"/>
                  <w:vAlign w:val="center"/>
                </w:tcPr>
                <w:p w14:paraId="6466EAD7">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（1）项目不涉及；</w:t>
                  </w:r>
                </w:p>
                <w:p w14:paraId="5B4C1717">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（2）项目生产过程安全风险低、安全水平高；</w:t>
                  </w:r>
                </w:p>
                <w:p w14:paraId="111EB728">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（3）项目不涉及；</w:t>
                  </w:r>
                </w:p>
                <w:p w14:paraId="62653F4A">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（4）项目危废在厂区危废库房暂存过程中配套建设防扬散、防流失、防渗漏措施；</w:t>
                  </w:r>
                </w:p>
                <w:p w14:paraId="6139D7D7">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（5）项目产生的危废委托资质单位处理，区内企业产生的相关危险废物可委托常州市和润环保科技有限公司、常州市金坛金东环保工程公司等有资质的危废处置单位处置；</w:t>
                  </w:r>
                </w:p>
                <w:p w14:paraId="031A4AC5">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（6）项目卫生防护距离内无居民住宅等环境敏感目标；项目不设置大气环境防护距离。</w:t>
                  </w:r>
                </w:p>
              </w:tc>
              <w:tc>
                <w:tcPr>
                  <w:tcW w:w="374" w:type="pct"/>
                  <w:tcBorders>
                    <w:tl2br w:val="nil"/>
                    <w:tr2bl w:val="nil"/>
                  </w:tcBorders>
                  <w:shd w:val="clear" w:color="auto" w:fill="FFFFFF"/>
                  <w:vAlign w:val="center"/>
                </w:tcPr>
                <w:p w14:paraId="22B31E1E">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相符</w:t>
                  </w:r>
                </w:p>
              </w:tc>
            </w:tr>
            <w:tr w14:paraId="540C66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2" w:type="pct"/>
                  <w:tcBorders>
                    <w:tl2br w:val="nil"/>
                    <w:tr2bl w:val="nil"/>
                  </w:tcBorders>
                  <w:shd w:val="clear" w:color="auto" w:fill="FFFFFF"/>
                  <w:vAlign w:val="center"/>
                </w:tcPr>
                <w:p w14:paraId="5CE7F407">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资源开发利用要求</w:t>
                  </w:r>
                </w:p>
              </w:tc>
              <w:tc>
                <w:tcPr>
                  <w:tcW w:w="2832" w:type="pct"/>
                  <w:tcBorders>
                    <w:tl2br w:val="nil"/>
                    <w:tr2bl w:val="nil"/>
                  </w:tcBorders>
                  <w:shd w:val="clear" w:color="auto" w:fill="FFFFFF"/>
                  <w:vAlign w:val="center"/>
                </w:tcPr>
                <w:p w14:paraId="4989AB6D">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（1）大力倡导使用清洁能源；</w:t>
                  </w:r>
                </w:p>
                <w:p w14:paraId="41824A3E">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（2）提升废水资源化技术，提高水资源回用率；</w:t>
                  </w:r>
                </w:p>
                <w:p w14:paraId="3E66F79A">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（3）禁止销售使用燃料为“Ⅱ类”（较严），具体包括：</w:t>
                  </w:r>
                  <w:r>
                    <w:rPr>
                      <w:rFonts w:ascii="Times New Roman" w:eastAsia="宋体"/>
                      <w:color w:val="000000" w:themeColor="text1"/>
                      <w:szCs w:val="21"/>
                      <w14:textFill>
                        <w14:solidFill>
                          <w14:schemeClr w14:val="tx1"/>
                        </w14:solidFill>
                      </w14:textFill>
                    </w:rPr>
                    <w:fldChar w:fldCharType="begin"/>
                  </w:r>
                  <w:r>
                    <w:rPr>
                      <w:rFonts w:ascii="Times New Roman" w:eastAsia="宋体"/>
                      <w:color w:val="000000" w:themeColor="text1"/>
                      <w:szCs w:val="21"/>
                      <w14:textFill>
                        <w14:solidFill>
                          <w14:schemeClr w14:val="tx1"/>
                        </w14:solidFill>
                      </w14:textFill>
                    </w:rPr>
                    <w:instrText xml:space="preserve"> = 1 \* GB3 </w:instrText>
                  </w:r>
                  <w:r>
                    <w:rPr>
                      <w:rFonts w:ascii="Times New Roman" w:eastAsia="宋体"/>
                      <w:color w:val="000000" w:themeColor="text1"/>
                      <w:szCs w:val="21"/>
                      <w14:textFill>
                        <w14:solidFill>
                          <w14:schemeClr w14:val="tx1"/>
                        </w14:solidFill>
                      </w14:textFill>
                    </w:rPr>
                    <w:fldChar w:fldCharType="separate"/>
                  </w:r>
                  <w:r>
                    <w:rPr>
                      <w:rFonts w:ascii="Times New Roman" w:eastAsia="宋体"/>
                      <w:color w:val="000000" w:themeColor="text1"/>
                      <w:szCs w:val="21"/>
                      <w14:textFill>
                        <w14:solidFill>
                          <w14:schemeClr w14:val="tx1"/>
                        </w14:solidFill>
                      </w14:textFill>
                    </w:rPr>
                    <w:t>①</w:t>
                  </w:r>
                  <w:r>
                    <w:rPr>
                      <w:rFonts w:ascii="Times New Roman" w:eastAsia="宋体"/>
                      <w:color w:val="000000" w:themeColor="text1"/>
                      <w:szCs w:val="21"/>
                      <w14:textFill>
                        <w14:solidFill>
                          <w14:schemeClr w14:val="tx1"/>
                        </w14:solidFill>
                      </w14:textFill>
                    </w:rPr>
                    <w:fldChar w:fldCharType="end"/>
                  </w:r>
                  <w:r>
                    <w:rPr>
                      <w:rFonts w:ascii="Times New Roman" w:eastAsia="宋体"/>
                      <w:color w:val="000000" w:themeColor="text1"/>
                      <w:szCs w:val="21"/>
                      <w14:textFill>
                        <w14:solidFill>
                          <w14:schemeClr w14:val="tx1"/>
                        </w14:solidFill>
                      </w14:textFill>
                    </w:rPr>
                    <w:t>除单台出力大于等于20蒸吨/小时锅炉以外燃用的煤炭及其制品。</w:t>
                  </w:r>
                  <w:r>
                    <w:rPr>
                      <w:rFonts w:ascii="Times New Roman" w:eastAsia="宋体"/>
                      <w:color w:val="000000" w:themeColor="text1"/>
                      <w:szCs w:val="21"/>
                      <w14:textFill>
                        <w14:solidFill>
                          <w14:schemeClr w14:val="tx1"/>
                        </w14:solidFill>
                      </w14:textFill>
                    </w:rPr>
                    <w:fldChar w:fldCharType="begin"/>
                  </w:r>
                  <w:r>
                    <w:rPr>
                      <w:rFonts w:ascii="Times New Roman" w:eastAsia="宋体"/>
                      <w:color w:val="000000" w:themeColor="text1"/>
                      <w:szCs w:val="21"/>
                      <w14:textFill>
                        <w14:solidFill>
                          <w14:schemeClr w14:val="tx1"/>
                        </w14:solidFill>
                      </w14:textFill>
                    </w:rPr>
                    <w:instrText xml:space="preserve"> = 2 \* GB3 </w:instrText>
                  </w:r>
                  <w:r>
                    <w:rPr>
                      <w:rFonts w:ascii="Times New Roman" w:eastAsia="宋体"/>
                      <w:color w:val="000000" w:themeColor="text1"/>
                      <w:szCs w:val="21"/>
                      <w14:textFill>
                        <w14:solidFill>
                          <w14:schemeClr w14:val="tx1"/>
                        </w14:solidFill>
                      </w14:textFill>
                    </w:rPr>
                    <w:fldChar w:fldCharType="separate"/>
                  </w:r>
                  <w:r>
                    <w:rPr>
                      <w:rFonts w:ascii="Times New Roman" w:eastAsia="宋体"/>
                      <w:color w:val="000000" w:themeColor="text1"/>
                      <w:szCs w:val="21"/>
                      <w14:textFill>
                        <w14:solidFill>
                          <w14:schemeClr w14:val="tx1"/>
                        </w14:solidFill>
                      </w14:textFill>
                    </w:rPr>
                    <w:t>②</w:t>
                  </w:r>
                  <w:r>
                    <w:rPr>
                      <w:rFonts w:ascii="Times New Roman" w:eastAsia="宋体"/>
                      <w:color w:val="000000" w:themeColor="text1"/>
                      <w:szCs w:val="21"/>
                      <w14:textFill>
                        <w14:solidFill>
                          <w14:schemeClr w14:val="tx1"/>
                        </w14:solidFill>
                      </w14:textFill>
                    </w:rPr>
                    <w:fldChar w:fldCharType="end"/>
                  </w:r>
                  <w:r>
                    <w:rPr>
                      <w:rFonts w:ascii="Times New Roman" w:eastAsia="宋体"/>
                      <w:color w:val="000000" w:themeColor="text1"/>
                      <w:szCs w:val="21"/>
                      <w14:textFill>
                        <w14:solidFill>
                          <w14:schemeClr w14:val="tx1"/>
                        </w14:solidFill>
                      </w14:textFill>
                    </w:rPr>
                    <w:t>石油焦、油页岩、原油、重油、渣油、煤焦油。</w:t>
                  </w:r>
                </w:p>
                <w:p w14:paraId="0F35A8F0">
                  <w:pPr>
                    <w:pStyle w:val="70"/>
                    <w:jc w:val="left"/>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（4）禁止销售使用燃料为“Ⅲ类”（严格），具体包括：</w:t>
                  </w:r>
                  <w:r>
                    <w:rPr>
                      <w:rFonts w:ascii="Times New Roman" w:eastAsia="宋体"/>
                      <w:color w:val="000000" w:themeColor="text1"/>
                      <w:szCs w:val="21"/>
                      <w14:textFill>
                        <w14:solidFill>
                          <w14:schemeClr w14:val="tx1"/>
                        </w14:solidFill>
                      </w14:textFill>
                    </w:rPr>
                    <w:fldChar w:fldCharType="begin"/>
                  </w:r>
                  <w:r>
                    <w:rPr>
                      <w:rFonts w:ascii="Times New Roman" w:eastAsia="宋体"/>
                      <w:color w:val="000000" w:themeColor="text1"/>
                      <w:szCs w:val="21"/>
                      <w14:textFill>
                        <w14:solidFill>
                          <w14:schemeClr w14:val="tx1"/>
                        </w14:solidFill>
                      </w14:textFill>
                    </w:rPr>
                    <w:instrText xml:space="preserve"> = 1 \* GB3 </w:instrText>
                  </w:r>
                  <w:r>
                    <w:rPr>
                      <w:rFonts w:ascii="Times New Roman" w:eastAsia="宋体"/>
                      <w:color w:val="000000" w:themeColor="text1"/>
                      <w:szCs w:val="21"/>
                      <w14:textFill>
                        <w14:solidFill>
                          <w14:schemeClr w14:val="tx1"/>
                        </w14:solidFill>
                      </w14:textFill>
                    </w:rPr>
                    <w:fldChar w:fldCharType="separate"/>
                  </w:r>
                  <w:r>
                    <w:rPr>
                      <w:rFonts w:ascii="Times New Roman" w:eastAsia="宋体"/>
                      <w:color w:val="000000" w:themeColor="text1"/>
                      <w:szCs w:val="21"/>
                      <w14:textFill>
                        <w14:solidFill>
                          <w14:schemeClr w14:val="tx1"/>
                        </w14:solidFill>
                      </w14:textFill>
                    </w:rPr>
                    <w:t>①</w:t>
                  </w:r>
                  <w:r>
                    <w:rPr>
                      <w:rFonts w:ascii="Times New Roman" w:eastAsia="宋体"/>
                      <w:color w:val="000000" w:themeColor="text1"/>
                      <w:szCs w:val="21"/>
                      <w14:textFill>
                        <w14:solidFill>
                          <w14:schemeClr w14:val="tx1"/>
                        </w14:solidFill>
                      </w14:textFill>
                    </w:rPr>
                    <w:fldChar w:fldCharType="end"/>
                  </w:r>
                  <w:r>
                    <w:rPr>
                      <w:rFonts w:ascii="Times New Roman" w:eastAsia="宋体"/>
                      <w:color w:val="000000" w:themeColor="text1"/>
                      <w:szCs w:val="21"/>
                      <w14:textFill>
                        <w14:solidFill>
                          <w14:schemeClr w14:val="tx1"/>
                        </w14:solidFill>
                      </w14:textFill>
                    </w:rPr>
                    <w:t>煤炭及其制品（包括原煤、散煤煤矸石、煤泥、煤粉、水煤浆、型煤、焦炭、兰炭等）；</w:t>
                  </w:r>
                  <w:r>
                    <w:rPr>
                      <w:rFonts w:ascii="Times New Roman" w:eastAsia="宋体"/>
                      <w:color w:val="000000" w:themeColor="text1"/>
                      <w:szCs w:val="21"/>
                      <w14:textFill>
                        <w14:solidFill>
                          <w14:schemeClr w14:val="tx1"/>
                        </w14:solidFill>
                      </w14:textFill>
                    </w:rPr>
                    <w:fldChar w:fldCharType="begin"/>
                  </w:r>
                  <w:r>
                    <w:rPr>
                      <w:rFonts w:ascii="Times New Roman" w:eastAsia="宋体"/>
                      <w:color w:val="000000" w:themeColor="text1"/>
                      <w:szCs w:val="21"/>
                      <w14:textFill>
                        <w14:solidFill>
                          <w14:schemeClr w14:val="tx1"/>
                        </w14:solidFill>
                      </w14:textFill>
                    </w:rPr>
                    <w:instrText xml:space="preserve"> = 2 \* GB3 </w:instrText>
                  </w:r>
                  <w:r>
                    <w:rPr>
                      <w:rFonts w:ascii="Times New Roman" w:eastAsia="宋体"/>
                      <w:color w:val="000000" w:themeColor="text1"/>
                      <w:szCs w:val="21"/>
                      <w14:textFill>
                        <w14:solidFill>
                          <w14:schemeClr w14:val="tx1"/>
                        </w14:solidFill>
                      </w14:textFill>
                    </w:rPr>
                    <w:fldChar w:fldCharType="separate"/>
                  </w:r>
                  <w:r>
                    <w:rPr>
                      <w:rFonts w:ascii="Times New Roman" w:eastAsia="宋体"/>
                      <w:color w:val="000000" w:themeColor="text1"/>
                      <w:szCs w:val="21"/>
                      <w14:textFill>
                        <w14:solidFill>
                          <w14:schemeClr w14:val="tx1"/>
                        </w14:solidFill>
                      </w14:textFill>
                    </w:rPr>
                    <w:t>②</w:t>
                  </w:r>
                  <w:r>
                    <w:rPr>
                      <w:rFonts w:ascii="Times New Roman" w:eastAsia="宋体"/>
                      <w:color w:val="000000" w:themeColor="text1"/>
                      <w:szCs w:val="21"/>
                      <w14:textFill>
                        <w14:solidFill>
                          <w14:schemeClr w14:val="tx1"/>
                        </w14:solidFill>
                      </w14:textFill>
                    </w:rPr>
                    <w:fldChar w:fldCharType="end"/>
                  </w:r>
                  <w:r>
                    <w:rPr>
                      <w:rFonts w:ascii="Times New Roman" w:eastAsia="宋体"/>
                      <w:color w:val="000000" w:themeColor="text1"/>
                      <w:szCs w:val="21"/>
                      <w14:textFill>
                        <w14:solidFill>
                          <w14:schemeClr w14:val="tx1"/>
                        </w14:solidFill>
                      </w14:textFill>
                    </w:rPr>
                    <w:t>石油焦、油页岩、原油、重油、渣油、煤焦油；</w:t>
                  </w:r>
                  <w:r>
                    <w:rPr>
                      <w:rFonts w:ascii="Times New Roman" w:eastAsia="宋体"/>
                      <w:color w:val="000000" w:themeColor="text1"/>
                      <w:szCs w:val="21"/>
                      <w14:textFill>
                        <w14:solidFill>
                          <w14:schemeClr w14:val="tx1"/>
                        </w14:solidFill>
                      </w14:textFill>
                    </w:rPr>
                    <w:fldChar w:fldCharType="begin"/>
                  </w:r>
                  <w:r>
                    <w:rPr>
                      <w:rFonts w:ascii="Times New Roman" w:eastAsia="宋体"/>
                      <w:color w:val="000000" w:themeColor="text1"/>
                      <w:szCs w:val="21"/>
                      <w14:textFill>
                        <w14:solidFill>
                          <w14:schemeClr w14:val="tx1"/>
                        </w14:solidFill>
                      </w14:textFill>
                    </w:rPr>
                    <w:instrText xml:space="preserve"> = 3 \* GB3 </w:instrText>
                  </w:r>
                  <w:r>
                    <w:rPr>
                      <w:rFonts w:ascii="Times New Roman" w:eastAsia="宋体"/>
                      <w:color w:val="000000" w:themeColor="text1"/>
                      <w:szCs w:val="21"/>
                      <w14:textFill>
                        <w14:solidFill>
                          <w14:schemeClr w14:val="tx1"/>
                        </w14:solidFill>
                      </w14:textFill>
                    </w:rPr>
                    <w:fldChar w:fldCharType="separate"/>
                  </w:r>
                  <w:r>
                    <w:rPr>
                      <w:rFonts w:ascii="Times New Roman" w:eastAsia="宋体"/>
                      <w:color w:val="000000" w:themeColor="text1"/>
                      <w:szCs w:val="21"/>
                      <w14:textFill>
                        <w14:solidFill>
                          <w14:schemeClr w14:val="tx1"/>
                        </w14:solidFill>
                      </w14:textFill>
                    </w:rPr>
                    <w:t>③</w:t>
                  </w:r>
                  <w:r>
                    <w:rPr>
                      <w:rFonts w:ascii="Times New Roman" w:eastAsia="宋体"/>
                      <w:color w:val="000000" w:themeColor="text1"/>
                      <w:szCs w:val="21"/>
                      <w14:textFill>
                        <w14:solidFill>
                          <w14:schemeClr w14:val="tx1"/>
                        </w14:solidFill>
                      </w14:textFill>
                    </w:rPr>
                    <w:fldChar w:fldCharType="end"/>
                  </w:r>
                  <w:r>
                    <w:rPr>
                      <w:rFonts w:ascii="Times New Roman" w:eastAsia="宋体"/>
                      <w:color w:val="000000" w:themeColor="text1"/>
                      <w:szCs w:val="21"/>
                      <w14:textFill>
                        <w14:solidFill>
                          <w14:schemeClr w14:val="tx1"/>
                        </w14:solidFill>
                      </w14:textFill>
                    </w:rPr>
                    <w:t>非专用锅炉或未配置高效除尘设施的专用锅炉燃用的生物质成型燃料；④国家规定的其他高污染燃料；</w:t>
                  </w:r>
                </w:p>
                <w:p w14:paraId="189EB86F">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（5）资源利用上线：单位工业增加值综合能耗≤0.5吨标煤/万元；单位工业增加值新鲜水耗≤8.0m</w:t>
                  </w:r>
                  <w:r>
                    <w:rPr>
                      <w:rFonts w:ascii="Times New Roman" w:hAnsi="Times New Roman" w:eastAsia="宋体"/>
                      <w:color w:val="000000" w:themeColor="text1"/>
                      <w:sz w:val="21"/>
                      <w:szCs w:val="21"/>
                      <w:vertAlign w:val="superscript"/>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/万元；单位工业用地面积工业增加值≥9亿元/km</w:t>
                  </w:r>
                  <w:r>
                    <w:rPr>
                      <w:rFonts w:ascii="Times New Roman" w:hAnsi="Times New Roman" w:eastAsia="宋体"/>
                      <w:color w:val="000000" w:themeColor="text1"/>
                      <w:sz w:val="21"/>
                      <w:szCs w:val="21"/>
                      <w:vertAlign w:val="superscript"/>
                      <w14:textFill>
                        <w14:solidFill>
                          <w14:schemeClr w14:val="tx1"/>
                        </w14:solidFill>
                      </w14:textFill>
                    </w:rPr>
                    <w:t>2</w:t>
                  </w:r>
                  <w:r>
                    <w:rPr>
                      <w:rFonts w:ascii="Times New Roman" w:hAnsi="Times New Roman" w:eastAsia="宋体"/>
                      <w:color w:val="000000" w:themeColor="text1"/>
                      <w:sz w:val="21"/>
                      <w:szCs w:val="21"/>
                      <w14:textFill>
                        <w14:solidFill>
                          <w14:schemeClr w14:val="tx1"/>
                        </w14:solidFill>
                      </w14:textFill>
                    </w:rPr>
                    <w:t>。</w:t>
                  </w:r>
                </w:p>
              </w:tc>
              <w:tc>
                <w:tcPr>
                  <w:tcW w:w="1500" w:type="pct"/>
                  <w:tcBorders>
                    <w:tl2br w:val="nil"/>
                    <w:tr2bl w:val="nil"/>
                  </w:tcBorders>
                  <w:shd w:val="clear" w:color="auto" w:fill="FFFFFF"/>
                  <w:vAlign w:val="center"/>
                </w:tcPr>
                <w:p w14:paraId="1C164B79">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（1）项目使用清洁能源电力；</w:t>
                  </w:r>
                </w:p>
                <w:p w14:paraId="1E5A2FEF">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（2）项目不使用“Ⅱ类”燃料；</w:t>
                  </w:r>
                </w:p>
                <w:p w14:paraId="04EDA88A">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（3）项目不使用“Ⅲ类”类燃料；</w:t>
                  </w:r>
                </w:p>
                <w:p w14:paraId="2C6758E7">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（4）本项目将严格按照国家和省能耗及水耗限额标准执行，同时本项目不涉及高污染燃料。</w:t>
                  </w:r>
                </w:p>
              </w:tc>
              <w:tc>
                <w:tcPr>
                  <w:tcW w:w="374" w:type="pct"/>
                  <w:tcBorders>
                    <w:tl2br w:val="nil"/>
                    <w:tr2bl w:val="nil"/>
                  </w:tcBorders>
                  <w:shd w:val="clear" w:color="auto" w:fill="FFFFFF"/>
                  <w:vAlign w:val="center"/>
                </w:tcPr>
                <w:p w14:paraId="13CA5430">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相符</w:t>
                  </w:r>
                </w:p>
              </w:tc>
            </w:tr>
          </w:tbl>
          <w:p w14:paraId="7ACE4E6D">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综上，本项目建设与《金坛金城科技产业园发展规划（2023-2035年）》、《金坛金城科技产业园发展规划（2023-2035年）环境影响报告书）》、规划环评结论及审查意见相符。</w:t>
            </w:r>
          </w:p>
          <w:p w14:paraId="57A3AFC5">
            <w:pPr>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5、与国土空间规划相符性分析</w:t>
            </w:r>
          </w:p>
          <w:p w14:paraId="3D9B024A">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常州市国土空间总体规划（2021-2035年）》，到2035年，常州市耕地保有量不低于126.08万亩，其中永久基本农田保护面积不低于114.96万亩；生态保护红线面积不低于346.10平方千米；城镇开发边界面积控制在925.06平方千米以内。本项目位于城镇开发边界内，不涉及基本农田及生态红线，满足《常州市国土空间总体规划（2021-2035年）》相关要求。</w:t>
            </w:r>
          </w:p>
          <w:p w14:paraId="7EB3B608">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省政府关于溧阳市、金坛区、武进区、新北区、天宁区、钟楼区国土空间总体规划（2021－2035年）的批复》（苏政复〔2025〕6号）要求，“金坛区耕地保有量不低于31.3770万亩（永久基本农田保护面积不低于28.8140万亩，含委托易地代保任务0.5500万亩），生态保护红线面积不低于98.6663平方千米，城镇开发边界扩展倍数控制在基于2020年城镇建设用地规模的1.3636倍”。本项目位于城镇开发边界内，不涉及基本农田及生态红线，符合苏政复〔2025〕6号文件要求。</w:t>
            </w:r>
          </w:p>
        </w:tc>
      </w:tr>
    </w:tbl>
    <w:p w14:paraId="7E7FA2B0">
      <w:pPr>
        <w:tabs>
          <w:tab w:val="left" w:pos="1875"/>
        </w:tabs>
        <w:rPr>
          <w:color w:val="000000" w:themeColor="text1"/>
          <w:sz w:val="30"/>
          <w14:textFill>
            <w14:solidFill>
              <w14:schemeClr w14:val="tx1"/>
            </w14:solidFill>
          </w14:textFill>
        </w:rPr>
        <w:sectPr>
          <w:pgSz w:w="11906" w:h="16838"/>
          <w:pgMar w:top="1440" w:right="1080" w:bottom="1440" w:left="1080" w:header="851" w:footer="1077" w:gutter="0"/>
          <w:cols w:space="720" w:num="1"/>
          <w:docGrid w:linePitch="312" w:charSpace="0"/>
        </w:sectPr>
      </w:pPr>
    </w:p>
    <w:p w14:paraId="019147B5">
      <w:pPr>
        <w:pStyle w:val="9"/>
        <w:numPr>
          <w:ilvl w:val="0"/>
          <w:numId w:val="0"/>
        </w:numPr>
        <w:rPr>
          <w:color w:val="000000" w:themeColor="text1"/>
          <w14:textFill>
            <w14:solidFill>
              <w14:schemeClr w14:val="tx1"/>
            </w14:solidFill>
          </w14:textFill>
        </w:rPr>
      </w:pP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9466"/>
      </w:tblGrid>
      <w:tr w14:paraId="3C86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2" w:hRule="atLeast"/>
        </w:trPr>
        <w:tc>
          <w:tcPr>
            <w:tcW w:w="453" w:type="dxa"/>
            <w:vAlign w:val="center"/>
          </w:tcPr>
          <w:p w14:paraId="3D789158">
            <w:pPr>
              <w:pStyle w:val="9"/>
              <w:numPr>
                <w:ilvl w:val="0"/>
                <w:numId w:val="0"/>
              </w:numPr>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8640" w:type="dxa"/>
          </w:tcPr>
          <w:p w14:paraId="556CA55A">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1、与产业政策相符性分析</w:t>
            </w:r>
          </w:p>
          <w:p w14:paraId="44103E78">
            <w:pPr>
              <w:snapToGrid w:val="0"/>
              <w:spacing w:before="72" w:beforeLines="30"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表1-3 本项目产业政策相符性分析</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21"/>
              <w:gridCol w:w="7602"/>
              <w:gridCol w:w="923"/>
            </w:tblGrid>
            <w:tr w14:paraId="04BF2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0" w:type="pct"/>
                  <w:vAlign w:val="center"/>
                </w:tcPr>
                <w:p w14:paraId="3E395417">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判断</w:t>
                  </w:r>
                </w:p>
                <w:p w14:paraId="385BCFAC">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类型</w:t>
                  </w:r>
                </w:p>
              </w:tc>
              <w:tc>
                <w:tcPr>
                  <w:tcW w:w="4109" w:type="pct"/>
                  <w:vAlign w:val="center"/>
                </w:tcPr>
                <w:p w14:paraId="353AC0BE">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对照简析</w:t>
                  </w:r>
                </w:p>
              </w:tc>
              <w:tc>
                <w:tcPr>
                  <w:tcW w:w="499" w:type="pct"/>
                  <w:vAlign w:val="center"/>
                </w:tcPr>
                <w:p w14:paraId="2A0108E6">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是否满足要求</w:t>
                  </w:r>
                </w:p>
              </w:tc>
            </w:tr>
            <w:tr w14:paraId="1C4A9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0" w:type="pct"/>
                  <w:vMerge w:val="restart"/>
                  <w:vAlign w:val="center"/>
                </w:tcPr>
                <w:p w14:paraId="34E781F0">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产业</w:t>
                  </w:r>
                </w:p>
                <w:p w14:paraId="307096F3">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政策</w:t>
                  </w:r>
                </w:p>
              </w:tc>
              <w:tc>
                <w:tcPr>
                  <w:tcW w:w="4109" w:type="pct"/>
                  <w:vAlign w:val="center"/>
                </w:tcPr>
                <w:p w14:paraId="6A5BBC0B">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pacing w:val="-6"/>
                      <w:sz w:val="21"/>
                      <w:szCs w:val="21"/>
                      <w14:textFill>
                        <w14:solidFill>
                          <w14:schemeClr w14:val="tx1"/>
                        </w14:solidFill>
                      </w14:textFill>
                    </w:rPr>
                    <w:t>本</w:t>
                  </w:r>
                  <w:r>
                    <w:rPr>
                      <w:rFonts w:ascii="Times New Roman" w:hAnsi="Times New Roman" w:eastAsia="宋体"/>
                      <w:color w:val="000000" w:themeColor="text1"/>
                      <w:sz w:val="21"/>
                      <w:szCs w:val="21"/>
                      <w14:textFill>
                        <w14:solidFill>
                          <w14:schemeClr w14:val="tx1"/>
                        </w14:solidFill>
                      </w14:textFill>
                    </w:rPr>
                    <w:t>项目属于M7320工程和技术研究和试验发展，不属于《产业结构调整指导目录（2024年本）》中的限制及淘汰类。</w:t>
                  </w:r>
                </w:p>
              </w:tc>
              <w:tc>
                <w:tcPr>
                  <w:tcW w:w="499" w:type="pct"/>
                  <w:vAlign w:val="center"/>
                </w:tcPr>
                <w:p w14:paraId="5C49F50B">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是</w:t>
                  </w:r>
                </w:p>
              </w:tc>
            </w:tr>
            <w:tr w14:paraId="6C8C5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0" w:type="pct"/>
                  <w:vMerge w:val="continue"/>
                  <w:vAlign w:val="center"/>
                </w:tcPr>
                <w:p w14:paraId="753415C2">
                  <w:pPr>
                    <w:pStyle w:val="69"/>
                    <w:snapToGrid w:val="0"/>
                    <w:rPr>
                      <w:rFonts w:ascii="Times New Roman" w:hAnsi="Times New Roman" w:eastAsia="宋体"/>
                      <w:color w:val="000000" w:themeColor="text1"/>
                      <w:sz w:val="21"/>
                      <w:szCs w:val="21"/>
                      <w14:textFill>
                        <w14:solidFill>
                          <w14:schemeClr w14:val="tx1"/>
                        </w14:solidFill>
                      </w14:textFill>
                    </w:rPr>
                  </w:pPr>
                </w:p>
              </w:tc>
              <w:tc>
                <w:tcPr>
                  <w:tcW w:w="4109" w:type="pct"/>
                  <w:vAlign w:val="center"/>
                </w:tcPr>
                <w:p w14:paraId="6A33B64D">
                  <w:pPr>
                    <w:pStyle w:val="5"/>
                    <w:snapToGrid w:val="0"/>
                    <w:ind w:firstLine="0" w:firstLineChars="0"/>
                    <w:jc w:val="center"/>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本项目</w:t>
                  </w:r>
                  <w:r>
                    <w:rPr>
                      <w:rFonts w:eastAsia="宋体"/>
                      <w:color w:val="000000" w:themeColor="text1"/>
                      <w:kern w:val="44"/>
                      <w:szCs w:val="21"/>
                      <w14:textFill>
                        <w14:solidFill>
                          <w14:schemeClr w14:val="tx1"/>
                        </w14:solidFill>
                      </w14:textFill>
                    </w:rPr>
                    <w:t>属于</w:t>
                  </w:r>
                  <w:r>
                    <w:rPr>
                      <w:rFonts w:eastAsia="宋体"/>
                      <w:color w:val="000000" w:themeColor="text1"/>
                      <w:szCs w:val="21"/>
                      <w14:textFill>
                        <w14:solidFill>
                          <w14:schemeClr w14:val="tx1"/>
                        </w14:solidFill>
                      </w14:textFill>
                    </w:rPr>
                    <w:t>M7320工程和技术研究和试验发展，</w:t>
                  </w:r>
                  <w:r>
                    <w:rPr>
                      <w:rFonts w:eastAsia="宋体"/>
                      <w:color w:val="000000" w:themeColor="text1"/>
                      <w:kern w:val="44"/>
                      <w:szCs w:val="21"/>
                      <w14:textFill>
                        <w14:solidFill>
                          <w14:schemeClr w14:val="tx1"/>
                        </w14:solidFill>
                      </w14:textFill>
                    </w:rPr>
                    <w:t>不属于《江苏省产业结构调整限制、淘汰和禁止目录（2018年本）》中的限制、淘汰及禁止类</w:t>
                  </w:r>
                </w:p>
              </w:tc>
              <w:tc>
                <w:tcPr>
                  <w:tcW w:w="499" w:type="pct"/>
                  <w:vAlign w:val="center"/>
                </w:tcPr>
                <w:p w14:paraId="5CE58781">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是</w:t>
                  </w:r>
                </w:p>
              </w:tc>
            </w:tr>
            <w:tr w14:paraId="612C29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0" w:type="pct"/>
                  <w:vMerge w:val="continue"/>
                  <w:vAlign w:val="center"/>
                </w:tcPr>
                <w:p w14:paraId="5DF578E0">
                  <w:pPr>
                    <w:pStyle w:val="69"/>
                    <w:snapToGrid w:val="0"/>
                    <w:rPr>
                      <w:rFonts w:ascii="Times New Roman" w:hAnsi="Times New Roman" w:eastAsia="宋体"/>
                      <w:color w:val="000000" w:themeColor="text1"/>
                      <w:sz w:val="21"/>
                      <w:szCs w:val="21"/>
                      <w14:textFill>
                        <w14:solidFill>
                          <w14:schemeClr w14:val="tx1"/>
                        </w14:solidFill>
                      </w14:textFill>
                    </w:rPr>
                  </w:pPr>
                </w:p>
              </w:tc>
              <w:tc>
                <w:tcPr>
                  <w:tcW w:w="4109" w:type="pct"/>
                  <w:vAlign w:val="center"/>
                </w:tcPr>
                <w:p w14:paraId="2D2B1426">
                  <w:pPr>
                    <w:pStyle w:val="69"/>
                    <w:snapToGrid w:val="0"/>
                    <w:rPr>
                      <w:rFonts w:ascii="Times New Roman" w:hAnsi="Times New Roman" w:eastAsia="宋体"/>
                      <w:color w:val="000000" w:themeColor="text1"/>
                      <w:spacing w:val="-4"/>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本项目不属于《限制用地项目目录(2012年本)》和《禁止用地项目目录(2012年本)》中的限制类及禁止类项目。</w:t>
                  </w:r>
                </w:p>
              </w:tc>
              <w:tc>
                <w:tcPr>
                  <w:tcW w:w="499" w:type="pct"/>
                  <w:vAlign w:val="center"/>
                </w:tcPr>
                <w:p w14:paraId="68B0C96C">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是</w:t>
                  </w:r>
                </w:p>
              </w:tc>
            </w:tr>
            <w:tr w14:paraId="2F8A8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0" w:type="pct"/>
                  <w:vMerge w:val="continue"/>
                  <w:vAlign w:val="center"/>
                </w:tcPr>
                <w:p w14:paraId="763B117F">
                  <w:pPr>
                    <w:pStyle w:val="69"/>
                    <w:snapToGrid w:val="0"/>
                    <w:rPr>
                      <w:rFonts w:ascii="Times New Roman" w:hAnsi="Times New Roman" w:eastAsia="宋体"/>
                      <w:color w:val="000000" w:themeColor="text1"/>
                      <w:sz w:val="21"/>
                      <w:szCs w:val="21"/>
                      <w14:textFill>
                        <w14:solidFill>
                          <w14:schemeClr w14:val="tx1"/>
                        </w14:solidFill>
                      </w14:textFill>
                    </w:rPr>
                  </w:pPr>
                </w:p>
              </w:tc>
              <w:tc>
                <w:tcPr>
                  <w:tcW w:w="4109" w:type="pct"/>
                  <w:vAlign w:val="center"/>
                </w:tcPr>
                <w:p w14:paraId="531B30FE">
                  <w:pPr>
                    <w:pStyle w:val="69"/>
                    <w:snapToGrid w:val="0"/>
                    <w:rPr>
                      <w:rFonts w:ascii="Times New Roman" w:hAnsi="Times New Roman" w:eastAsia="宋体"/>
                      <w:color w:val="000000" w:themeColor="text1"/>
                      <w:spacing w:val="-4"/>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本项目属于</w:t>
                  </w:r>
                  <w:r>
                    <w:rPr>
                      <w:rFonts w:ascii="Times New Roman" w:hAnsi="Times New Roman" w:eastAsia="宋体"/>
                      <w:color w:val="000000" w:themeColor="text1"/>
                      <w:sz w:val="21"/>
                      <w:szCs w:val="21"/>
                      <w14:textFill>
                        <w14:solidFill>
                          <w14:schemeClr w14:val="tx1"/>
                        </w14:solidFill>
                      </w14:textFill>
                    </w:rPr>
                    <w:t>M7320工程和技术研究和试验发展</w:t>
                  </w:r>
                  <w:r>
                    <w:rPr>
                      <w:rFonts w:ascii="Times New Roman" w:hAnsi="Times New Roman" w:eastAsia="宋体"/>
                      <w:color w:val="000000" w:themeColor="text1"/>
                      <w:kern w:val="2"/>
                      <w:sz w:val="21"/>
                      <w:szCs w:val="21"/>
                      <w14:textFill>
                        <w14:solidFill>
                          <w14:schemeClr w14:val="tx1"/>
                        </w14:solidFill>
                      </w14:textFill>
                    </w:rPr>
                    <w:t>，不</w:t>
                  </w:r>
                  <w:r>
                    <w:rPr>
                      <w:rFonts w:ascii="Times New Roman" w:hAnsi="Times New Roman" w:eastAsia="宋体"/>
                      <w:color w:val="000000" w:themeColor="text1"/>
                      <w:sz w:val="21"/>
                      <w:szCs w:val="21"/>
                      <w14:textFill>
                        <w14:solidFill>
                          <w14:schemeClr w14:val="tx1"/>
                        </w14:solidFill>
                      </w14:textFill>
                    </w:rPr>
                    <w:t>属于《长江经济带发展负面清单指南》（试行，2022年版）、《关于印发&lt;长江经济带发展负面清单指南&gt;（试行，2022年版）江苏省实施细则》的通知（苏长江办发〔2022〕55号）中的禁止类项目，不属于《市场准入负面清单（2022年版）》中的禁止类项目。</w:t>
                  </w:r>
                </w:p>
              </w:tc>
              <w:tc>
                <w:tcPr>
                  <w:tcW w:w="499" w:type="pct"/>
                  <w:vAlign w:val="center"/>
                </w:tcPr>
                <w:p w14:paraId="553363DA">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是</w:t>
                  </w:r>
                </w:p>
              </w:tc>
            </w:tr>
            <w:tr w14:paraId="54BD6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0" w:type="pct"/>
                  <w:vMerge w:val="continue"/>
                  <w:vAlign w:val="center"/>
                </w:tcPr>
                <w:p w14:paraId="71127C6D">
                  <w:pPr>
                    <w:pStyle w:val="69"/>
                    <w:snapToGrid w:val="0"/>
                    <w:rPr>
                      <w:rFonts w:ascii="Times New Roman" w:hAnsi="Times New Roman" w:eastAsia="宋体"/>
                      <w:color w:val="000000" w:themeColor="text1"/>
                      <w:sz w:val="21"/>
                      <w:szCs w:val="21"/>
                      <w14:textFill>
                        <w14:solidFill>
                          <w14:schemeClr w14:val="tx1"/>
                        </w14:solidFill>
                      </w14:textFill>
                    </w:rPr>
                  </w:pPr>
                </w:p>
              </w:tc>
              <w:tc>
                <w:tcPr>
                  <w:tcW w:w="4109" w:type="pct"/>
                  <w:vAlign w:val="center"/>
                </w:tcPr>
                <w:p w14:paraId="6D3C6086">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本项目已在江苏金坛经济开发区经济发展局进行了备案（备案号：坛开经发备字〔202</w:t>
                  </w:r>
                  <w:r>
                    <w:rPr>
                      <w:rFonts w:hint="eastAsia" w:ascii="Times New Roman" w:hAnsi="Times New Roman" w:eastAsia="宋体"/>
                      <w:color w:val="000000" w:themeColor="text1"/>
                      <w:sz w:val="21"/>
                      <w:szCs w:val="21"/>
                      <w14:textFill>
                        <w14:solidFill>
                          <w14:schemeClr w14:val="tx1"/>
                        </w14:solidFill>
                      </w14:textFill>
                    </w:rPr>
                    <w:t>6</w:t>
                  </w:r>
                  <w:r>
                    <w:rPr>
                      <w:rFonts w:ascii="Times New Roman" w:hAnsi="Times New Roman" w:eastAsia="宋体"/>
                      <w:color w:val="000000" w:themeColor="text1"/>
                      <w:sz w:val="21"/>
                      <w:szCs w:val="21"/>
                      <w14:textFill>
                        <w14:solidFill>
                          <w14:schemeClr w14:val="tx1"/>
                        </w14:solidFill>
                      </w14:textFill>
                    </w:rPr>
                    <w:t>〕</w:t>
                  </w:r>
                  <w:r>
                    <w:rPr>
                      <w:rFonts w:hint="eastAsia" w:ascii="Times New Roman" w:hAnsi="Times New Roman" w:eastAsia="宋体"/>
                      <w:color w:val="000000" w:themeColor="text1"/>
                      <w:sz w:val="21"/>
                      <w:szCs w:val="21"/>
                      <w14:textFill>
                        <w14:solidFill>
                          <w14:schemeClr w14:val="tx1"/>
                        </w14:solidFill>
                      </w14:textFill>
                    </w:rPr>
                    <w:t>21</w:t>
                  </w:r>
                  <w:r>
                    <w:rPr>
                      <w:rFonts w:ascii="Times New Roman" w:hAnsi="Times New Roman" w:eastAsia="宋体"/>
                      <w:color w:val="000000" w:themeColor="text1"/>
                      <w:sz w:val="21"/>
                      <w:szCs w:val="21"/>
                      <w14:textFill>
                        <w14:solidFill>
                          <w14:schemeClr w14:val="tx1"/>
                        </w14:solidFill>
                      </w14:textFill>
                    </w:rPr>
                    <w:t>号），符合区域产业政策。</w:t>
                  </w:r>
                </w:p>
              </w:tc>
              <w:tc>
                <w:tcPr>
                  <w:tcW w:w="499" w:type="pct"/>
                  <w:vAlign w:val="center"/>
                </w:tcPr>
                <w:p w14:paraId="404FE97E">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是</w:t>
                  </w:r>
                </w:p>
              </w:tc>
            </w:tr>
            <w:tr w14:paraId="7CBCC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0" w:type="pct"/>
                  <w:vMerge w:val="continue"/>
                  <w:vAlign w:val="center"/>
                </w:tcPr>
                <w:p w14:paraId="0138ACD0">
                  <w:pPr>
                    <w:pStyle w:val="69"/>
                    <w:snapToGrid w:val="0"/>
                    <w:rPr>
                      <w:rFonts w:ascii="Times New Roman" w:hAnsi="Times New Roman" w:eastAsia="宋体"/>
                      <w:color w:val="000000" w:themeColor="text1"/>
                      <w:sz w:val="21"/>
                      <w:szCs w:val="21"/>
                      <w14:textFill>
                        <w14:solidFill>
                          <w14:schemeClr w14:val="tx1"/>
                        </w14:solidFill>
                      </w14:textFill>
                    </w:rPr>
                  </w:pPr>
                </w:p>
              </w:tc>
              <w:tc>
                <w:tcPr>
                  <w:tcW w:w="4109" w:type="pct"/>
                  <w:vAlign w:val="center"/>
                </w:tcPr>
                <w:p w14:paraId="764A5F15">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本项目属于</w:t>
                  </w:r>
                  <w:r>
                    <w:rPr>
                      <w:rFonts w:ascii="Times New Roman" w:hAnsi="Times New Roman" w:eastAsia="宋体"/>
                      <w:color w:val="000000" w:themeColor="text1"/>
                      <w:sz w:val="21"/>
                      <w:szCs w:val="21"/>
                      <w14:textFill>
                        <w14:solidFill>
                          <w14:schemeClr w14:val="tx1"/>
                        </w14:solidFill>
                      </w14:textFill>
                    </w:rPr>
                    <w:t>M7320工程和技术研究和试验发展</w:t>
                  </w:r>
                  <w:r>
                    <w:rPr>
                      <w:rFonts w:ascii="Times New Roman" w:hAnsi="Times New Roman" w:eastAsia="宋体"/>
                      <w:color w:val="000000" w:themeColor="text1"/>
                      <w:kern w:val="2"/>
                      <w:sz w:val="21"/>
                      <w:szCs w:val="21"/>
                      <w14:textFill>
                        <w14:solidFill>
                          <w14:schemeClr w14:val="tx1"/>
                        </w14:solidFill>
                      </w14:textFill>
                    </w:rPr>
                    <w:t>，不属于《江苏省 “两高” 项目管理目录（2025年版）》中“两高”项目范围</w:t>
                  </w:r>
                </w:p>
              </w:tc>
              <w:tc>
                <w:tcPr>
                  <w:tcW w:w="499" w:type="pct"/>
                  <w:vAlign w:val="center"/>
                </w:tcPr>
                <w:p w14:paraId="1E2E9953">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是</w:t>
                  </w:r>
                </w:p>
              </w:tc>
            </w:tr>
          </w:tbl>
          <w:p w14:paraId="71D269D3">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由上表可知，本项目符合国家及地方产业政策。</w:t>
            </w:r>
          </w:p>
          <w:p w14:paraId="3032C8F3">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2、选址合理性</w:t>
            </w:r>
          </w:p>
          <w:p w14:paraId="2753F183">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租用江苏省常州市金坛区金城镇西城路118号（金坛经开区合成生物产业园）的厂房进行“合成生物实验室建设项目”的建设，位于金坛区金城科技产业园内，已与出租方（江苏金坛经济开发区管理委员会）签署租赁协议。2020年江苏康泰生物医学技术有限公司取得金城镇西城路118号的不动产权证【不动产权证书：苏（2020）金坛区不动产权第0007571号】。目前，本项目出租方（江苏金坛经济开发区管理委员会）收回金坛区金城镇西城路118号的土地使用权，目前该地块收储在土地储备中心。</w:t>
            </w:r>
          </w:p>
          <w:p w14:paraId="5A650342">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所在地土地性质为工业用地，规划为工业用地，故本项目用地规划与《金坛金城科技产业园发展规划（2023-2035年）》相符。金坛金城科技产业园基于现状产业基础，并立足现有产业优势，规划重点发展高端装备制造、新能源新材料、智慧物流、生命健康四大主导产业。本项目为合成生物实验室建设项目，主要以代谢工程和合成生物学技术改造基因工程菌实验为主，实验目标产物应用于食品、化妆品行业，，属于园区重点发展的“生命健康”类产业。因此，本项目与《金坛金城科技产业园发展规划（2023-2035年）环境影响报告书》中产业定位相符。</w:t>
            </w:r>
          </w:p>
          <w:p w14:paraId="703ADE8E">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3、分区管控要求相符性分析</w:t>
            </w:r>
          </w:p>
          <w:p w14:paraId="1D78D6CA">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w:t>
            </w:r>
            <w:r>
              <w:rPr>
                <w:color w:val="000000" w:themeColor="text1"/>
                <w:spacing w:val="-2"/>
                <w:sz w:val="24"/>
                <w14:textFill>
                  <w14:solidFill>
                    <w14:schemeClr w14:val="tx1"/>
                  </w14:solidFill>
                </w14:textFill>
              </w:rPr>
              <w:t>常州市金坛区西城路118号</w:t>
            </w:r>
            <w:r>
              <w:rPr>
                <w:color w:val="000000" w:themeColor="text1"/>
                <w:sz w:val="24"/>
                <w14:textFill>
                  <w14:solidFill>
                    <w14:schemeClr w14:val="tx1"/>
                  </w14:solidFill>
                </w14:textFill>
              </w:rPr>
              <w:t>，对照《常州市生态环境分区管控动态更新成果（2023年版）》，属于江苏金坛金城科技产业园，为重点管控单元，江苏金坛金城科技产业园环境管控单元准入清单相符性分析如下：</w:t>
            </w:r>
          </w:p>
          <w:p w14:paraId="3FD4B7C2">
            <w:pPr>
              <w:snapToGrid w:val="0"/>
              <w:spacing w:line="360" w:lineRule="exact"/>
              <w:ind w:firstLine="422"/>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表1-4 与江苏金坛金城科技产业园环境管控单元准入清单相符性分析</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495"/>
              <w:gridCol w:w="2975"/>
              <w:gridCol w:w="1043"/>
            </w:tblGrid>
            <w:tr w14:paraId="517385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6" w:type="pct"/>
                  <w:vAlign w:val="center"/>
                </w:tcPr>
                <w:p w14:paraId="5E9A660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管控</w:t>
                  </w:r>
                </w:p>
                <w:p w14:paraId="6449824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2430" w:type="pct"/>
                  <w:vAlign w:val="center"/>
                </w:tcPr>
                <w:p w14:paraId="7318705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生态环境准入清单</w:t>
                  </w:r>
                </w:p>
              </w:tc>
              <w:tc>
                <w:tcPr>
                  <w:tcW w:w="1608" w:type="pct"/>
                  <w:vAlign w:val="center"/>
                </w:tcPr>
                <w:p w14:paraId="0B9A34BD">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对照分析</w:t>
                  </w:r>
                </w:p>
              </w:tc>
              <w:tc>
                <w:tcPr>
                  <w:tcW w:w="564" w:type="pct"/>
                  <w:vAlign w:val="center"/>
                </w:tcPr>
                <w:p w14:paraId="35E5F1A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是否满足要求</w:t>
                  </w:r>
                </w:p>
              </w:tc>
            </w:tr>
            <w:tr w14:paraId="24868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57D3966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空间布局约束</w:t>
                  </w:r>
                </w:p>
              </w:tc>
              <w:tc>
                <w:tcPr>
                  <w:tcW w:w="2430" w:type="pct"/>
                  <w:vAlign w:val="center"/>
                </w:tcPr>
                <w:p w14:paraId="6B3E7A8F">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（1）由于园区现状大气因子HCl超标，故在HCl监测结果达到相应环境空气质量</w:t>
                  </w:r>
                </w:p>
                <w:p w14:paraId="56F0AB2C">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限制值之前禁止引进排放HCl大气污染物</w:t>
                  </w:r>
                </w:p>
                <w:p w14:paraId="69E38E20">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的企业项目；</w:t>
                  </w:r>
                </w:p>
                <w:p w14:paraId="59D044FB">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（2）禁止引进其他属于国家和地方产业政策淘汰类或禁止类的建设项目和工艺；</w:t>
                  </w:r>
                </w:p>
                <w:p w14:paraId="25F3257B">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（3）未开展环境影响评价、未经环境保护</w:t>
                  </w:r>
                </w:p>
                <w:p w14:paraId="7BF1A06B">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行政主管部门批准的企业项目禁止建设；</w:t>
                  </w:r>
                </w:p>
                <w:p w14:paraId="7FA426AC">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（4）不符合《太湖流域管理条例》（中华</w:t>
                  </w:r>
                </w:p>
                <w:p w14:paraId="576C93C9">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人民共和国国务院令第604号）、《江苏省太湖水污染防治条例》等相关太湖流域管理规定的项目禁止建设。园区内禁止含</w:t>
                  </w:r>
                </w:p>
                <w:p w14:paraId="7B6E773C">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氮、磷废水排放的企业入区；</w:t>
                  </w:r>
                </w:p>
                <w:p w14:paraId="57E1243E">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（5）改建、扩建和技术改造项目属于下列</w:t>
                  </w:r>
                </w:p>
                <w:p w14:paraId="73384AA4">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情况之一的禁止建设：①无法通过采取“以</w:t>
                  </w:r>
                </w:p>
                <w:p w14:paraId="519479E7">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新带老”措施，实现增产不增污、削减污染</w:t>
                  </w:r>
                </w:p>
                <w:p w14:paraId="4815645D">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负荷的建设项目；②不履行环保“三同时”</w:t>
                  </w:r>
                </w:p>
                <w:p w14:paraId="77B82EA1">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的建设项目；③建设单位目前污染物排放</w:t>
                  </w:r>
                </w:p>
                <w:p w14:paraId="6FE1D770">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超过标准或总量控制指标，需要配套的污</w:t>
                  </w:r>
                </w:p>
                <w:p w14:paraId="4612D4C1">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染防治设施和生态保护措施未落实的建</w:t>
                  </w:r>
                </w:p>
                <w:p w14:paraId="5B78CDB3">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设项目。</w:t>
                  </w:r>
                </w:p>
              </w:tc>
              <w:tc>
                <w:tcPr>
                  <w:tcW w:w="1608" w:type="pct"/>
                  <w:vAlign w:val="center"/>
                </w:tcPr>
                <w:p w14:paraId="447820D9">
                  <w:pPr>
                    <w:numPr>
                      <w:ilvl w:val="0"/>
                      <w:numId w:val="4"/>
                    </w:num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本项目排放废气为非甲烷总烃、甲醇；</w:t>
                  </w:r>
                </w:p>
                <w:p w14:paraId="4F90EFFC">
                  <w:pPr>
                    <w:numPr>
                      <w:ilvl w:val="0"/>
                      <w:numId w:val="4"/>
                    </w:num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本项目为合成生物实验室建设项目，以代谢工程和合成生物学技术改造基因工程菌实验为主，不属于国家和地方产业政策淘汰类或禁止类的建设项目和工艺；</w:t>
                  </w:r>
                </w:p>
                <w:p w14:paraId="06537782">
                  <w:pPr>
                    <w:numPr>
                      <w:ilvl w:val="0"/>
                      <w:numId w:val="4"/>
                    </w:num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本项目正在开展环境影响评价；</w:t>
                  </w:r>
                </w:p>
                <w:p w14:paraId="4B1C6B5A">
                  <w:pPr>
                    <w:numPr>
                      <w:ilvl w:val="0"/>
                      <w:numId w:val="4"/>
                    </w:num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本项目为合成生物实验室建设项目，不属于《太湖流域管理条例》（中华人民共和国国务院令第604号）、《江苏省太湖水污染防治条例》等相关太湖流域管理规定的禁止建设的项目中华人民共和国国务院令第 604 号）、《江苏省太湖水污染防治条例》等相关太湖流域管理规定的项禁止建设项目。本项目排放的污水为生活污水；</w:t>
                  </w:r>
                </w:p>
              </w:tc>
              <w:tc>
                <w:tcPr>
                  <w:tcW w:w="564" w:type="pct"/>
                  <w:vAlign w:val="center"/>
                </w:tcPr>
                <w:p w14:paraId="1C4F2D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47A8D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583AD09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污染物排放管控</w:t>
                  </w:r>
                </w:p>
              </w:tc>
              <w:tc>
                <w:tcPr>
                  <w:tcW w:w="2430" w:type="pct"/>
                  <w:vAlign w:val="center"/>
                </w:tcPr>
                <w:p w14:paraId="636088C4">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（1）严格实施污染物总量控制制度，根据区域环境质量改善目标，采取有效措施减少主要污染物排放总量，确保区域环境质量持续改善；</w:t>
                  </w:r>
                </w:p>
                <w:p w14:paraId="096BC097">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（2）园区污染物排放总量不得突破环评报告及批复的总量。</w:t>
                  </w:r>
                </w:p>
              </w:tc>
              <w:tc>
                <w:tcPr>
                  <w:tcW w:w="1608" w:type="pct"/>
                  <w:vAlign w:val="center"/>
                </w:tcPr>
                <w:p w14:paraId="05C81E3A">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本项目生产过程中产生的有机废气经</w:t>
                  </w:r>
                  <w:r>
                    <w:rPr>
                      <w:rFonts w:hint="eastAsia"/>
                      <w:color w:val="000000" w:themeColor="text1"/>
                      <w:szCs w:val="21"/>
                      <w14:textFill>
                        <w14:solidFill>
                          <w14:schemeClr w14:val="tx1"/>
                        </w14:solidFill>
                      </w14:textFill>
                    </w:rPr>
                    <w:t>通风橱/万向罩收集后通过活性炭吸附装置处理。不会突破园区污染物排放总量。</w:t>
                  </w:r>
                </w:p>
              </w:tc>
              <w:tc>
                <w:tcPr>
                  <w:tcW w:w="564" w:type="pct"/>
                  <w:vAlign w:val="center"/>
                </w:tcPr>
                <w:p w14:paraId="693C417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21C83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3460640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环境风险防控</w:t>
                  </w:r>
                </w:p>
              </w:tc>
              <w:tc>
                <w:tcPr>
                  <w:tcW w:w="2430" w:type="pct"/>
                  <w:vAlign w:val="center"/>
                </w:tcPr>
                <w:p w14:paraId="70EA27CC">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（1）园区建立环境应急体系，完善事故应急救援体系，加强应急物资装备储备，编制突发环境事件应急预案，定期开展演练； </w:t>
                  </w:r>
                </w:p>
                <w:p w14:paraId="6205B358">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（2）生产、使用、储存危险化学品或其他存在环境风险的企事业单位，应当制定风险防范措施，编制完善突发环境事件应急预案，防止发生环境污染事故； </w:t>
                  </w:r>
                </w:p>
                <w:p w14:paraId="0FBE2916">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（3）加强环境影响跟踪监测，建立健全各环境要素监控体系，完善并落实园区日常环境监测与污染源监控计划。</w:t>
                  </w:r>
                </w:p>
              </w:tc>
              <w:tc>
                <w:tcPr>
                  <w:tcW w:w="1608" w:type="pct"/>
                  <w:vAlign w:val="center"/>
                </w:tcPr>
                <w:p w14:paraId="0D3AFCF9">
                  <w:pPr>
                    <w:rPr>
                      <w:color w:val="000000" w:themeColor="text1"/>
                      <w:szCs w:val="21"/>
                      <w14:textFill>
                        <w14:solidFill>
                          <w14:schemeClr w14:val="tx1"/>
                        </w14:solidFill>
                      </w14:textFill>
                    </w:rPr>
                  </w:pPr>
                  <w:r>
                    <w:rPr>
                      <w:color w:val="000000" w:themeColor="text1"/>
                      <w:szCs w:val="21"/>
                      <w14:textFill>
                        <w14:solidFill>
                          <w14:schemeClr w14:val="tx1"/>
                        </w14:solidFill>
                      </w14:textFill>
                    </w:rPr>
                    <w:t>（1）建立完善的应急救援体系，配备完善的应急物资，定期开展演练；</w:t>
                  </w:r>
                </w:p>
                <w:p w14:paraId="2B0796FA">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（2）制定风险防范措施，编制完善突发环境事件应急预案，防止发生环境污染事故；</w:t>
                  </w:r>
                </w:p>
                <w:p w14:paraId="5D37C957">
                  <w:pPr>
                    <w:rPr>
                      <w:color w:val="000000" w:themeColor="text1"/>
                      <w:szCs w:val="21"/>
                      <w14:textFill>
                        <w14:solidFill>
                          <w14:schemeClr w14:val="tx1"/>
                        </w14:solidFill>
                      </w14:textFill>
                    </w:rPr>
                  </w:pPr>
                  <w:r>
                    <w:rPr>
                      <w:color w:val="000000" w:themeColor="text1"/>
                      <w:szCs w:val="21"/>
                      <w14:textFill>
                        <w14:solidFill>
                          <w14:schemeClr w14:val="tx1"/>
                        </w14:solidFill>
                      </w14:textFill>
                    </w:rPr>
                    <w:t>（3）进行日常环境监测。</w:t>
                  </w:r>
                </w:p>
              </w:tc>
              <w:tc>
                <w:tcPr>
                  <w:tcW w:w="564" w:type="pct"/>
                  <w:vAlign w:val="center"/>
                </w:tcPr>
                <w:p w14:paraId="4033E44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3C646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18D90E8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资源开发效率要求</w:t>
                  </w:r>
                </w:p>
              </w:tc>
              <w:tc>
                <w:tcPr>
                  <w:tcW w:w="2430" w:type="pct"/>
                  <w:vAlign w:val="center"/>
                </w:tcPr>
                <w:p w14:paraId="5A0E4A78">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（1）大力倡导使用清洁能源；</w:t>
                  </w:r>
                </w:p>
                <w:p w14:paraId="714BD51A">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（2）提升废水资源化技术，提高水资源回用率；</w:t>
                  </w:r>
                </w:p>
                <w:p w14:paraId="053B3BC9">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（3）严禁自建燃煤设施。</w:t>
                  </w:r>
                </w:p>
              </w:tc>
              <w:tc>
                <w:tcPr>
                  <w:tcW w:w="1608" w:type="pct"/>
                  <w:vAlign w:val="center"/>
                </w:tcPr>
                <w:p w14:paraId="4C7152E1">
                  <w:pPr>
                    <w:rPr>
                      <w:color w:val="000000" w:themeColor="text1"/>
                      <w:spacing w:val="-4"/>
                      <w:szCs w:val="21"/>
                      <w14:textFill>
                        <w14:solidFill>
                          <w14:schemeClr w14:val="tx1"/>
                        </w14:solidFill>
                      </w14:textFill>
                    </w:rPr>
                  </w:pPr>
                  <w:r>
                    <w:rPr>
                      <w:color w:val="000000" w:themeColor="text1"/>
                      <w:spacing w:val="-4"/>
                      <w:szCs w:val="21"/>
                      <w14:textFill>
                        <w14:solidFill>
                          <w14:schemeClr w14:val="tx1"/>
                        </w14:solidFill>
                      </w14:textFill>
                    </w:rPr>
                    <w:t>（1）本项使用能源是电能；（2）本项目产生的废水主要是生活污水；</w:t>
                  </w:r>
                </w:p>
                <w:p w14:paraId="328558CE">
                  <w:pPr>
                    <w:rPr>
                      <w:color w:val="000000" w:themeColor="text1"/>
                      <w:spacing w:val="-4"/>
                      <w:szCs w:val="21"/>
                      <w14:textFill>
                        <w14:solidFill>
                          <w14:schemeClr w14:val="tx1"/>
                        </w14:solidFill>
                      </w14:textFill>
                    </w:rPr>
                  </w:pPr>
                  <w:r>
                    <w:rPr>
                      <w:color w:val="000000" w:themeColor="text1"/>
                      <w:spacing w:val="-4"/>
                      <w:szCs w:val="21"/>
                      <w14:textFill>
                        <w14:solidFill>
                          <w14:schemeClr w14:val="tx1"/>
                        </w14:solidFill>
                      </w14:textFill>
                    </w:rPr>
                    <w:t>（3）本项目不使用燃料。</w:t>
                  </w:r>
                </w:p>
              </w:tc>
              <w:tc>
                <w:tcPr>
                  <w:tcW w:w="564" w:type="pct"/>
                  <w:vAlign w:val="center"/>
                </w:tcPr>
                <w:p w14:paraId="40ACB33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bl>
          <w:p w14:paraId="73480DFC">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4、与水污染防治相关文件相符性分析</w:t>
            </w:r>
          </w:p>
          <w:p w14:paraId="2E4D7DE0">
            <w:pPr>
              <w:autoSpaceDE w:val="0"/>
              <w:autoSpaceDN w:val="0"/>
              <w:adjustRightInd w:val="0"/>
              <w:snapToGrid w:val="0"/>
              <w:spacing w:line="480" w:lineRule="exact"/>
              <w:jc w:val="center"/>
              <w:rPr>
                <w:b/>
                <w:bCs/>
                <w:color w:val="000000" w:themeColor="text1"/>
                <w:kern w:val="0"/>
                <w:sz w:val="24"/>
                <w14:textFill>
                  <w14:solidFill>
                    <w14:schemeClr w14:val="tx1"/>
                  </w14:solidFill>
                </w14:textFill>
              </w:rPr>
            </w:pPr>
            <w:r>
              <w:rPr>
                <w:b/>
                <w:bCs/>
                <w:color w:val="000000" w:themeColor="text1"/>
                <w:szCs w:val="21"/>
                <w14:textFill>
                  <w14:solidFill>
                    <w14:schemeClr w14:val="tx1"/>
                  </w14:solidFill>
                </w14:textFill>
              </w:rPr>
              <w:t>表1-5 与</w:t>
            </w:r>
            <w:r>
              <w:rPr>
                <w:rFonts w:hint="eastAsia"/>
                <w:b/>
                <w:bCs/>
                <w:color w:val="000000" w:themeColor="text1"/>
                <w:szCs w:val="21"/>
                <w14:textFill>
                  <w14:solidFill>
                    <w14:schemeClr w14:val="tx1"/>
                  </w14:solidFill>
                </w14:textFill>
              </w:rPr>
              <w:t>太湖流域相关条例</w:t>
            </w:r>
            <w:r>
              <w:rPr>
                <w:b/>
                <w:bCs/>
                <w:color w:val="000000" w:themeColor="text1"/>
                <w:szCs w:val="21"/>
                <w14:textFill>
                  <w14:solidFill>
                    <w14:schemeClr w14:val="tx1"/>
                  </w14:solidFill>
                </w14:textFill>
              </w:rPr>
              <w:t>相符性分析</w:t>
            </w:r>
          </w:p>
          <w:tbl>
            <w:tblPr>
              <w:tblStyle w:val="25"/>
              <w:tblW w:w="4996"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81"/>
              <w:gridCol w:w="856"/>
              <w:gridCol w:w="4008"/>
              <w:gridCol w:w="2446"/>
              <w:gridCol w:w="752"/>
            </w:tblGrid>
            <w:tr w14:paraId="5501E0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0" w:hRule="atLeast"/>
              </w:trPr>
              <w:tc>
                <w:tcPr>
                  <w:tcW w:w="639" w:type="pct"/>
                  <w:vAlign w:val="center"/>
                </w:tcPr>
                <w:p w14:paraId="6DE2C1A1">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文件名称</w:t>
                  </w:r>
                </w:p>
              </w:tc>
              <w:tc>
                <w:tcPr>
                  <w:tcW w:w="2630" w:type="pct"/>
                  <w:gridSpan w:val="2"/>
                  <w:vAlign w:val="center"/>
                </w:tcPr>
                <w:p w14:paraId="2F2B33BA">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要求</w:t>
                  </w:r>
                </w:p>
              </w:tc>
              <w:tc>
                <w:tcPr>
                  <w:tcW w:w="1322" w:type="pct"/>
                  <w:vAlign w:val="center"/>
                </w:tcPr>
                <w:p w14:paraId="276C3253">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本项目情况</w:t>
                  </w:r>
                </w:p>
              </w:tc>
              <w:tc>
                <w:tcPr>
                  <w:tcW w:w="407" w:type="pct"/>
                  <w:vAlign w:val="center"/>
                </w:tcPr>
                <w:p w14:paraId="7CD36620">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相符性</w:t>
                  </w:r>
                </w:p>
              </w:tc>
            </w:tr>
            <w:tr w14:paraId="3C56D5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3269" w:type="pct"/>
                  <w:gridSpan w:val="3"/>
                  <w:vAlign w:val="center"/>
                </w:tcPr>
                <w:p w14:paraId="441C9F9B">
                  <w:pPr>
                    <w:jc w:val="center"/>
                    <w:rPr>
                      <w:color w:val="000000" w:themeColor="text1"/>
                      <w:kern w:val="44"/>
                      <w:szCs w:val="21"/>
                      <w14:textFill>
                        <w14:solidFill>
                          <w14:schemeClr w14:val="tx1"/>
                        </w14:solidFill>
                      </w14:textFill>
                    </w:rPr>
                  </w:pPr>
                  <w:r>
                    <w:rPr>
                      <w:color w:val="000000" w:themeColor="text1"/>
                      <w:kern w:val="44"/>
                      <w:szCs w:val="21"/>
                      <w14:textFill>
                        <w14:solidFill>
                          <w14:schemeClr w14:val="tx1"/>
                        </w14:solidFill>
                      </w14:textFill>
                    </w:rPr>
                    <w:t>《省政府办公厅关于公布江苏省太湖流域三级保护区范围的通知》（苏政办发〔2012〕221号）</w:t>
                  </w:r>
                </w:p>
              </w:tc>
              <w:tc>
                <w:tcPr>
                  <w:tcW w:w="1322" w:type="pct"/>
                  <w:vAlign w:val="center"/>
                </w:tcPr>
                <w:p w14:paraId="1923D9EC">
                  <w:pPr>
                    <w:jc w:val="center"/>
                    <w:rPr>
                      <w:color w:val="000000" w:themeColor="text1"/>
                      <w:kern w:val="44"/>
                      <w:szCs w:val="21"/>
                      <w14:textFill>
                        <w14:solidFill>
                          <w14:schemeClr w14:val="tx1"/>
                        </w14:solidFill>
                      </w14:textFill>
                    </w:rPr>
                  </w:pPr>
                  <w:r>
                    <w:rPr>
                      <w:color w:val="000000" w:themeColor="text1"/>
                      <w:kern w:val="44"/>
                      <w:szCs w:val="21"/>
                      <w14:textFill>
                        <w14:solidFill>
                          <w14:schemeClr w14:val="tx1"/>
                        </w14:solidFill>
                      </w14:textFill>
                    </w:rPr>
                    <w:t>本项目位于太湖三级保护区，严格贯彻落实《太湖流域管理条例》和《江苏省太湖水污染防治条例》中的相关条例</w:t>
                  </w:r>
                </w:p>
              </w:tc>
              <w:tc>
                <w:tcPr>
                  <w:tcW w:w="407" w:type="pct"/>
                  <w:vAlign w:val="center"/>
                </w:tcPr>
                <w:p w14:paraId="0F6BF9B2">
                  <w:pPr>
                    <w:snapToGrid w:val="0"/>
                    <w:jc w:val="center"/>
                    <w:rPr>
                      <w:color w:val="000000" w:themeColor="text1"/>
                      <w:kern w:val="44"/>
                      <w:szCs w:val="21"/>
                      <w14:textFill>
                        <w14:solidFill>
                          <w14:schemeClr w14:val="tx1"/>
                        </w14:solidFill>
                      </w14:textFill>
                    </w:rPr>
                  </w:pPr>
                  <w:r>
                    <w:rPr>
                      <w:color w:val="000000" w:themeColor="text1"/>
                      <w:kern w:val="44"/>
                      <w:szCs w:val="21"/>
                      <w14:textFill>
                        <w14:solidFill>
                          <w14:schemeClr w14:val="tx1"/>
                        </w14:solidFill>
                      </w14:textFill>
                    </w:rPr>
                    <w:t>符合</w:t>
                  </w:r>
                </w:p>
              </w:tc>
            </w:tr>
            <w:tr w14:paraId="7B898B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39" w:type="pct"/>
                  <w:vMerge w:val="restart"/>
                  <w:vAlign w:val="center"/>
                </w:tcPr>
                <w:p w14:paraId="6A4FB6D8">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《太湖流域管理条例》（2011年）</w:t>
                  </w:r>
                </w:p>
              </w:tc>
              <w:tc>
                <w:tcPr>
                  <w:tcW w:w="2630" w:type="pct"/>
                  <w:gridSpan w:val="2"/>
                  <w:vAlign w:val="center"/>
                </w:tcPr>
                <w:p w14:paraId="0F265F61">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排污单位排放水污染物，不得超过经核定的水污染物排放总量，并应当按照规定设置便于检查、采样的规范化排污口，悬挂标志牌；不得私设暗管或者采取其他规避监管的方式排放水污染物。</w:t>
                  </w:r>
                </w:p>
              </w:tc>
              <w:tc>
                <w:tcPr>
                  <w:tcW w:w="1322" w:type="pct"/>
                  <w:vAlign w:val="center"/>
                </w:tcPr>
                <w:p w14:paraId="4E25B6B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本项目生活污水接入区域污水管网进入常州金坛区第二污水处理有限公司处理后达标排放。依托园区设置规范化排污口</w:t>
                  </w:r>
                  <w:r>
                    <w:rPr>
                      <w:rFonts w:hint="eastAsia"/>
                      <w:color w:val="000000" w:themeColor="text1"/>
                      <w:szCs w:val="21"/>
                      <w14:textFill>
                        <w14:solidFill>
                          <w14:schemeClr w14:val="tx1"/>
                        </w14:solidFill>
                      </w14:textFill>
                    </w:rPr>
                    <w:t>。</w:t>
                  </w:r>
                </w:p>
              </w:tc>
              <w:tc>
                <w:tcPr>
                  <w:tcW w:w="407" w:type="pct"/>
                  <w:vAlign w:val="center"/>
                </w:tcPr>
                <w:p w14:paraId="17DFB0AD">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645F11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39" w:type="pct"/>
                  <w:vMerge w:val="continue"/>
                  <w:vAlign w:val="center"/>
                </w:tcPr>
                <w:p w14:paraId="66C059D7">
                  <w:pPr>
                    <w:snapToGrid w:val="0"/>
                    <w:jc w:val="center"/>
                    <w:rPr>
                      <w:color w:val="000000" w:themeColor="text1"/>
                      <w:szCs w:val="21"/>
                      <w14:textFill>
                        <w14:solidFill>
                          <w14:schemeClr w14:val="tx1"/>
                        </w14:solidFill>
                      </w14:textFill>
                    </w:rPr>
                  </w:pPr>
                </w:p>
              </w:tc>
              <w:tc>
                <w:tcPr>
                  <w:tcW w:w="2630" w:type="pct"/>
                  <w:gridSpan w:val="2"/>
                  <w:vAlign w:val="center"/>
                </w:tcPr>
                <w:p w14:paraId="7C437FD1">
                  <w:pPr>
                    <w:pStyle w:val="69"/>
                    <w:snapToGrid w:val="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禁止在太湖流域设置不符合国家产业政策和水环境综合治理要求的造纸、制革、酒精、淀粉、冶金、酿造、印染、电镀等排放水污染物的生产项目，现有的生产项目不能实现达标排放的，应当依法关闭。</w:t>
                  </w:r>
                </w:p>
              </w:tc>
              <w:tc>
                <w:tcPr>
                  <w:tcW w:w="1322" w:type="pct"/>
                  <w:vAlign w:val="center"/>
                </w:tcPr>
                <w:p w14:paraId="448B78A6">
                  <w:pPr>
                    <w:snapToGrid w:val="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本项目不属于文件中所列行业。</w:t>
                  </w:r>
                </w:p>
              </w:tc>
              <w:tc>
                <w:tcPr>
                  <w:tcW w:w="407" w:type="pct"/>
                  <w:vAlign w:val="center"/>
                </w:tcPr>
                <w:p w14:paraId="35A05EBC">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76C7A4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39" w:type="pct"/>
                  <w:vMerge w:val="continue"/>
                  <w:vAlign w:val="center"/>
                </w:tcPr>
                <w:p w14:paraId="2E2ADA8F">
                  <w:pPr>
                    <w:snapToGrid w:val="0"/>
                    <w:jc w:val="center"/>
                    <w:rPr>
                      <w:color w:val="000000" w:themeColor="text1"/>
                      <w:szCs w:val="21"/>
                      <w14:textFill>
                        <w14:solidFill>
                          <w14:schemeClr w14:val="tx1"/>
                        </w14:solidFill>
                      </w14:textFill>
                    </w:rPr>
                  </w:pPr>
                </w:p>
              </w:tc>
              <w:tc>
                <w:tcPr>
                  <w:tcW w:w="2630" w:type="pct"/>
                  <w:gridSpan w:val="2"/>
                  <w:vAlign w:val="center"/>
                </w:tcPr>
                <w:p w14:paraId="3D0F6063">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11F197E6">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w:t>
                  </w:r>
                  <w:r>
                    <w:rPr>
                      <w:rFonts w:ascii="Times New Roman" w:hAnsi="Times New Roman" w:eastAsia="宋体"/>
                      <w:color w:val="000000" w:themeColor="text1"/>
                      <w:spacing w:val="-6"/>
                      <w:sz w:val="21"/>
                      <w:szCs w:val="21"/>
                      <w14:textFill>
                        <w14:solidFill>
                          <w14:schemeClr w14:val="tx1"/>
                        </w14:solidFill>
                      </w14:textFill>
                    </w:rPr>
                    <w:t>设置剧毒物质、危险化学品的贮存、输送设施和废物回收场、垃圾场；</w:t>
                  </w:r>
                </w:p>
                <w:p w14:paraId="7C5D158A">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（二）设置水上餐饮经营设施；</w:t>
                  </w:r>
                </w:p>
                <w:p w14:paraId="1A1037CF">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（三）新建、扩建高尔夫球场；</w:t>
                  </w:r>
                </w:p>
                <w:p w14:paraId="7B39D098">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（四）新建、扩建畜禽养殖场；</w:t>
                  </w:r>
                </w:p>
                <w:p w14:paraId="74045399">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（五）新建、扩建向水体排放污染物的建设项目；</w:t>
                  </w:r>
                </w:p>
                <w:p w14:paraId="65080280">
                  <w:pPr>
                    <w:pStyle w:val="69"/>
                    <w:snapToGrid w:val="0"/>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（六）本条例第二十九条规定的行为。</w:t>
                  </w:r>
                </w:p>
              </w:tc>
              <w:tc>
                <w:tcPr>
                  <w:tcW w:w="1322" w:type="pct"/>
                  <w:vAlign w:val="center"/>
                </w:tcPr>
                <w:p w14:paraId="7F54D451">
                  <w:pPr>
                    <w:snapToGrid w:val="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本项目选址不在文件所列范围内，也不属于文件中禁止的相关行为。</w:t>
                  </w:r>
                </w:p>
              </w:tc>
              <w:tc>
                <w:tcPr>
                  <w:tcW w:w="407" w:type="pct"/>
                  <w:vAlign w:val="center"/>
                </w:tcPr>
                <w:p w14:paraId="7462363C">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39F93C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68" w:hRule="atLeast"/>
              </w:trPr>
              <w:tc>
                <w:tcPr>
                  <w:tcW w:w="639" w:type="pct"/>
                  <w:vAlign w:val="center"/>
                </w:tcPr>
                <w:p w14:paraId="63EEEFC7">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《江苏省太湖水污染防治条例》（2021年修订）</w:t>
                  </w:r>
                </w:p>
              </w:tc>
              <w:tc>
                <w:tcPr>
                  <w:tcW w:w="463" w:type="pct"/>
                  <w:tcBorders>
                    <w:right w:val="single" w:color="auto" w:sz="4" w:space="0"/>
                  </w:tcBorders>
                  <w:vAlign w:val="center"/>
                </w:tcPr>
                <w:p w14:paraId="60719502">
                  <w:pPr>
                    <w:snapToGrid w:val="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第四十三条太湖流域一、二、三级保护区禁止下列行为</w:t>
                  </w:r>
                </w:p>
              </w:tc>
              <w:tc>
                <w:tcPr>
                  <w:tcW w:w="2166" w:type="pct"/>
                  <w:tcBorders>
                    <w:left w:val="single" w:color="auto" w:sz="4" w:space="0"/>
                  </w:tcBorders>
                  <w:vAlign w:val="center"/>
                </w:tcPr>
                <w:p w14:paraId="006E6744">
                  <w:pPr>
                    <w:pStyle w:val="69"/>
                    <w:snapToGrid w:val="0"/>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（一）新建、改建、扩建化学制浆造纸、制革、酿造、染料、印染、电镀以及其他排放含磷、氮等污染物的企业和项目，城镇污水集中处理等环境基础设施项目和第四十六条规定的情形除外；</w:t>
                  </w:r>
                </w:p>
                <w:p w14:paraId="267C40A5">
                  <w:pPr>
                    <w:pStyle w:val="69"/>
                    <w:snapToGrid w:val="0"/>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（二）销售、使用含磷洗涤用品；</w:t>
                  </w:r>
                </w:p>
                <w:p w14:paraId="07C8C27A">
                  <w:pPr>
                    <w:pStyle w:val="69"/>
                    <w:snapToGrid w:val="0"/>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（三）向水体排放或者倾倒油类、酸液、碱液、剧毒废固体培养基废液、含放射性废固体培养基废液、含病原体污水、工业废固体培养基以及其他废弃物；</w:t>
                  </w:r>
                </w:p>
                <w:p w14:paraId="3BD97AB4">
                  <w:pPr>
                    <w:pStyle w:val="69"/>
                    <w:snapToGrid w:val="0"/>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（四）在水体清洗装贮过油类或者有毒有害污染物的车辆、船舶和容器等；</w:t>
                  </w:r>
                </w:p>
                <w:p w14:paraId="21452C50">
                  <w:pPr>
                    <w:pStyle w:val="69"/>
                    <w:snapToGrid w:val="0"/>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（五）使用农药等有毒物毒杀水生生物；</w:t>
                  </w:r>
                </w:p>
                <w:p w14:paraId="75C1BDD8">
                  <w:pPr>
                    <w:pStyle w:val="69"/>
                    <w:snapToGrid w:val="0"/>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（六）向水体直接排放人畜粪便、倾倒垃圾；</w:t>
                  </w:r>
                </w:p>
                <w:p w14:paraId="249CFDEF">
                  <w:pPr>
                    <w:pStyle w:val="69"/>
                    <w:snapToGrid w:val="0"/>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（七）围湖造地；</w:t>
                  </w:r>
                </w:p>
                <w:p w14:paraId="35C6740B">
                  <w:pPr>
                    <w:pStyle w:val="69"/>
                    <w:snapToGrid w:val="0"/>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（八）违法开山采石，或者进行破坏林木、植被、水生生物的活动；</w:t>
                  </w:r>
                </w:p>
                <w:p w14:paraId="195EA902">
                  <w:pPr>
                    <w:pStyle w:val="69"/>
                    <w:snapToGrid w:val="0"/>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（九）法律、法规禁止的其他行为。</w:t>
                  </w:r>
                </w:p>
              </w:tc>
              <w:tc>
                <w:tcPr>
                  <w:tcW w:w="1322" w:type="pct"/>
                  <w:vAlign w:val="center"/>
                </w:tcPr>
                <w:p w14:paraId="5F86717D">
                  <w:pPr>
                    <w:pStyle w:val="69"/>
                    <w:snapToGrid w:val="0"/>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本项目行业类别为M7320工程和技术研究和试验发展，不属于文件中所列的禁止行业。位于太湖流域三级保护区内，不排放含氮磷的生产废水</w:t>
                  </w:r>
                  <w:r>
                    <w:rPr>
                      <w:rFonts w:hint="eastAsia" w:ascii="Times New Roman" w:hAnsi="Times New Roman" w:eastAsia="宋体"/>
                      <w:color w:val="000000" w:themeColor="text1"/>
                      <w:kern w:val="2"/>
                      <w:sz w:val="21"/>
                      <w:szCs w:val="21"/>
                      <w14:textFill>
                        <w14:solidFill>
                          <w14:schemeClr w14:val="tx1"/>
                        </w14:solidFill>
                      </w14:textFill>
                    </w:rPr>
                    <w:t>。</w:t>
                  </w:r>
                </w:p>
              </w:tc>
              <w:tc>
                <w:tcPr>
                  <w:tcW w:w="407" w:type="pct"/>
                  <w:vAlign w:val="center"/>
                </w:tcPr>
                <w:p w14:paraId="43BCB85A">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bl>
          <w:p w14:paraId="299D36DF">
            <w:pPr>
              <w:autoSpaceDE w:val="0"/>
              <w:autoSpaceDN w:val="0"/>
              <w:adjustRightInd w:val="0"/>
              <w:snapToGrid w:val="0"/>
              <w:spacing w:line="480" w:lineRule="exact"/>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5、与市政府市政府关于印发《常州市空气质量持续改善行动计划实施方案》的通知常政发〔2024〕51号相符性分析</w:t>
            </w:r>
          </w:p>
          <w:p w14:paraId="0F4ED2AB">
            <w:pPr>
              <w:autoSpaceDE w:val="0"/>
              <w:autoSpaceDN w:val="0"/>
              <w:adjustRightInd w:val="0"/>
              <w:snapToGrid w:val="0"/>
              <w:spacing w:line="48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表1-6与《常州市空气质量持续改善行动计划实施方案》相符性分析</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5214"/>
              <w:gridCol w:w="2256"/>
              <w:gridCol w:w="754"/>
            </w:tblGrid>
            <w:tr w14:paraId="7D8B8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370" w:type="pct"/>
                  <w:gridSpan w:val="2"/>
                  <w:tcBorders>
                    <w:tl2br w:val="nil"/>
                    <w:tr2bl w:val="nil"/>
                  </w:tcBorders>
                  <w:vAlign w:val="center"/>
                </w:tcPr>
                <w:p w14:paraId="5DF4B2CD">
                  <w:pPr>
                    <w:snapToGrid w:val="0"/>
                    <w:jc w:val="center"/>
                    <w:rPr>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文件要求</w:t>
                  </w:r>
                </w:p>
              </w:tc>
              <w:tc>
                <w:tcPr>
                  <w:tcW w:w="1220" w:type="pct"/>
                  <w:tcBorders>
                    <w:tl2br w:val="nil"/>
                    <w:tr2bl w:val="nil"/>
                  </w:tcBorders>
                  <w:vAlign w:val="center"/>
                </w:tcPr>
                <w:p w14:paraId="0F7C43A8">
                  <w:pPr>
                    <w:snapToGrid w:val="0"/>
                    <w:jc w:val="center"/>
                    <w:rPr>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本项目情况</w:t>
                  </w:r>
                </w:p>
              </w:tc>
              <w:tc>
                <w:tcPr>
                  <w:tcW w:w="408" w:type="pct"/>
                  <w:tcBorders>
                    <w:tl2br w:val="nil"/>
                    <w:tr2bl w:val="nil"/>
                  </w:tcBorders>
                  <w:vAlign w:val="center"/>
                </w:tcPr>
                <w:p w14:paraId="2D3C4E10">
                  <w:pPr>
                    <w:snapToGrid w:val="0"/>
                    <w:jc w:val="center"/>
                    <w:rPr>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相符性</w:t>
                  </w:r>
                </w:p>
              </w:tc>
            </w:tr>
            <w:tr w14:paraId="1E9FE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restart"/>
                  <w:tcBorders>
                    <w:tl2br w:val="nil"/>
                    <w:tr2bl w:val="nil"/>
                  </w:tcBorders>
                  <w:vAlign w:val="center"/>
                </w:tcPr>
                <w:p w14:paraId="6BDF9D08">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调整优化产业结构，推进产业绿色低碳发展</w:t>
                  </w:r>
                </w:p>
              </w:tc>
              <w:tc>
                <w:tcPr>
                  <w:tcW w:w="2817" w:type="pct"/>
                  <w:tcBorders>
                    <w:tl2br w:val="nil"/>
                    <w:tr2bl w:val="nil"/>
                  </w:tcBorders>
                  <w:vAlign w:val="center"/>
                </w:tcPr>
                <w:p w14:paraId="7C982E52">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tc>
              <w:tc>
                <w:tcPr>
                  <w:tcW w:w="1220" w:type="pct"/>
                  <w:tcBorders>
                    <w:tl2br w:val="nil"/>
                    <w:tr2bl w:val="nil"/>
                  </w:tcBorders>
                  <w:vAlign w:val="center"/>
                </w:tcPr>
                <w:p w14:paraId="7535E7B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本项目属于合成生物实验室建设项目，不属于“两高”项目。</w:t>
                  </w:r>
                </w:p>
              </w:tc>
              <w:tc>
                <w:tcPr>
                  <w:tcW w:w="408" w:type="pct"/>
                  <w:tcBorders>
                    <w:tl2br w:val="nil"/>
                    <w:tr2bl w:val="nil"/>
                  </w:tcBorders>
                  <w:vAlign w:val="center"/>
                </w:tcPr>
                <w:p w14:paraId="30072EE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相符</w:t>
                  </w:r>
                </w:p>
              </w:tc>
            </w:tr>
            <w:tr w14:paraId="00482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vAlign w:val="center"/>
                </w:tcPr>
                <w:p w14:paraId="7847739F">
                  <w:pPr>
                    <w:autoSpaceDE w:val="0"/>
                    <w:autoSpaceDN w:val="0"/>
                    <w:adjustRightInd w:val="0"/>
                    <w:snapToGrid w:val="0"/>
                    <w:jc w:val="center"/>
                    <w:rPr>
                      <w:color w:val="000000" w:themeColor="text1"/>
                      <w:kern w:val="0"/>
                      <w:szCs w:val="21"/>
                      <w14:textFill>
                        <w14:solidFill>
                          <w14:schemeClr w14:val="tx1"/>
                        </w14:solidFill>
                      </w14:textFill>
                    </w:rPr>
                  </w:pPr>
                </w:p>
              </w:tc>
              <w:tc>
                <w:tcPr>
                  <w:tcW w:w="2817" w:type="pct"/>
                  <w:tcBorders>
                    <w:tl2br w:val="nil"/>
                    <w:tr2bl w:val="nil"/>
                  </w:tcBorders>
                  <w:vAlign w:val="center"/>
                </w:tcPr>
                <w:p w14:paraId="682BA59A">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加快退出重点行业落后产能。落实《产业结构调整指导目录》，依法依规逐步退出限制类涉气行业工艺和装备、逐步淘汰步进式烧结机和球团竖炉以及半封闭式硅锰合金、镍铁、高碳铬铁、高碳锰铁电炉。</w:t>
                  </w:r>
                </w:p>
              </w:tc>
              <w:tc>
                <w:tcPr>
                  <w:tcW w:w="1220" w:type="pct"/>
                  <w:tcBorders>
                    <w:tl2br w:val="nil"/>
                    <w:tr2bl w:val="nil"/>
                  </w:tcBorders>
                  <w:vAlign w:val="center"/>
                </w:tcPr>
                <w:p w14:paraId="6D7CF51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本项目属于合成生物实验室建设项目，不属于产能落后项目。</w:t>
                  </w:r>
                </w:p>
              </w:tc>
              <w:tc>
                <w:tcPr>
                  <w:tcW w:w="408" w:type="pct"/>
                  <w:tcBorders>
                    <w:tl2br w:val="nil"/>
                    <w:tr2bl w:val="nil"/>
                  </w:tcBorders>
                  <w:vAlign w:val="center"/>
                </w:tcPr>
                <w:p w14:paraId="6DD4302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相符</w:t>
                  </w:r>
                </w:p>
              </w:tc>
            </w:tr>
            <w:tr w14:paraId="0F1E0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tcBorders>
                    <w:tl2br w:val="nil"/>
                    <w:tr2bl w:val="nil"/>
                  </w:tcBorders>
                  <w:vAlign w:val="center"/>
                </w:tcPr>
                <w:p w14:paraId="6A2AFA0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推进能源高效利用，加快能源清洁低碳转型</w:t>
                  </w:r>
                </w:p>
              </w:tc>
              <w:tc>
                <w:tcPr>
                  <w:tcW w:w="2817" w:type="pct"/>
                  <w:tcBorders>
                    <w:tl2br w:val="nil"/>
                    <w:tr2bl w:val="nil"/>
                  </w:tcBorders>
                  <w:vAlign w:val="center"/>
                </w:tcPr>
                <w:p w14:paraId="0DC6A3A2">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tc>
              <w:tc>
                <w:tcPr>
                  <w:tcW w:w="1220" w:type="pct"/>
                  <w:tcBorders>
                    <w:tl2br w:val="nil"/>
                    <w:tr2bl w:val="nil"/>
                  </w:tcBorders>
                  <w:vAlign w:val="center"/>
                </w:tcPr>
                <w:p w14:paraId="18802B7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本项目使用能源为电能。</w:t>
                  </w:r>
                </w:p>
              </w:tc>
              <w:tc>
                <w:tcPr>
                  <w:tcW w:w="408" w:type="pct"/>
                  <w:tcBorders>
                    <w:tl2br w:val="nil"/>
                    <w:tr2bl w:val="nil"/>
                  </w:tcBorders>
                  <w:vAlign w:val="center"/>
                </w:tcPr>
                <w:p w14:paraId="0810FF47">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相符</w:t>
                  </w:r>
                </w:p>
              </w:tc>
            </w:tr>
            <w:tr w14:paraId="2AE67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restart"/>
                  <w:tcBorders>
                    <w:tl2br w:val="nil"/>
                    <w:tr2bl w:val="nil"/>
                  </w:tcBorders>
                  <w:vAlign w:val="center"/>
                </w:tcPr>
                <w:p w14:paraId="0E33626E">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强化协同减排，切实降低污染物排放强度</w:t>
                  </w:r>
                </w:p>
              </w:tc>
              <w:tc>
                <w:tcPr>
                  <w:tcW w:w="2817" w:type="pct"/>
                  <w:tcBorders>
                    <w:tl2br w:val="nil"/>
                    <w:tr2bl w:val="nil"/>
                  </w:tcBorders>
                  <w:vAlign w:val="center"/>
                </w:tcPr>
                <w:p w14:paraId="6453C17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tc>
              <w:tc>
                <w:tcPr>
                  <w:tcW w:w="1220" w:type="pct"/>
                  <w:tcBorders>
                    <w:tl2br w:val="nil"/>
                    <w:tr2bl w:val="nil"/>
                  </w:tcBorders>
                  <w:vAlign w:val="center"/>
                </w:tcPr>
                <w:p w14:paraId="7C32ED11">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本项目生产过程中产生的有机废气经</w:t>
                  </w:r>
                  <w:r>
                    <w:rPr>
                      <w:rFonts w:hint="eastAsia"/>
                      <w:color w:val="000000" w:themeColor="text1"/>
                      <w:szCs w:val="21"/>
                      <w14:textFill>
                        <w14:solidFill>
                          <w14:schemeClr w14:val="tx1"/>
                        </w14:solidFill>
                      </w14:textFill>
                    </w:rPr>
                    <w:t>通风橱/万向罩收集后通过活性炭吸附装置处理。</w:t>
                  </w:r>
                </w:p>
              </w:tc>
              <w:tc>
                <w:tcPr>
                  <w:tcW w:w="408" w:type="pct"/>
                  <w:tcBorders>
                    <w:tl2br w:val="nil"/>
                    <w:tr2bl w:val="nil"/>
                  </w:tcBorders>
                  <w:vAlign w:val="center"/>
                </w:tcPr>
                <w:p w14:paraId="48BD8D67">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相符</w:t>
                  </w:r>
                </w:p>
              </w:tc>
            </w:tr>
            <w:tr w14:paraId="02921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vAlign w:val="center"/>
                </w:tcPr>
                <w:p w14:paraId="663185E4">
                  <w:pPr>
                    <w:autoSpaceDE w:val="0"/>
                    <w:autoSpaceDN w:val="0"/>
                    <w:adjustRightInd w:val="0"/>
                    <w:snapToGrid w:val="0"/>
                    <w:jc w:val="center"/>
                    <w:rPr>
                      <w:color w:val="000000" w:themeColor="text1"/>
                      <w:szCs w:val="21"/>
                      <w14:textFill>
                        <w14:solidFill>
                          <w14:schemeClr w14:val="tx1"/>
                        </w14:solidFill>
                      </w14:textFill>
                    </w:rPr>
                  </w:pPr>
                </w:p>
              </w:tc>
              <w:tc>
                <w:tcPr>
                  <w:tcW w:w="2817" w:type="pct"/>
                  <w:tcBorders>
                    <w:tl2br w:val="nil"/>
                    <w:tr2bl w:val="nil"/>
                  </w:tcBorders>
                  <w:vAlign w:val="center"/>
                </w:tcPr>
                <w:p w14:paraId="14EA6781">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tc>
              <w:tc>
                <w:tcPr>
                  <w:tcW w:w="1220" w:type="pct"/>
                  <w:tcBorders>
                    <w:tl2br w:val="nil"/>
                    <w:tr2bl w:val="nil"/>
                  </w:tcBorders>
                  <w:vAlign w:val="center"/>
                </w:tcPr>
                <w:p w14:paraId="7F917403">
                  <w:pPr>
                    <w:autoSpaceDE w:val="0"/>
                    <w:autoSpaceDN w:val="0"/>
                    <w:adjustRightInd w:val="0"/>
                    <w:snapToGrid w:val="0"/>
                    <w:jc w:val="center"/>
                    <w:rPr>
                      <w:color w:val="000000" w:themeColor="text1"/>
                      <w:kern w:val="0"/>
                      <w:szCs w:val="21"/>
                      <w14:textFill>
                        <w14:solidFill>
                          <w14:schemeClr w14:val="tx1"/>
                        </w14:solidFill>
                      </w14:textFill>
                    </w:rPr>
                  </w:pPr>
                  <w:bookmarkStart w:id="8" w:name="OLE_LINK18"/>
                  <w:r>
                    <w:rPr>
                      <w:color w:val="000000" w:themeColor="text1"/>
                      <w:kern w:val="0"/>
                      <w:szCs w:val="21"/>
                      <w14:textFill>
                        <w14:solidFill>
                          <w14:schemeClr w14:val="tx1"/>
                        </w14:solidFill>
                      </w14:textFill>
                    </w:rPr>
                    <w:t>本项目属于合成生物实验室建设项目，</w:t>
                  </w:r>
                  <w:bookmarkEnd w:id="8"/>
                  <w:r>
                    <w:rPr>
                      <w:color w:val="000000" w:themeColor="text1"/>
                      <w:kern w:val="0"/>
                      <w:szCs w:val="21"/>
                      <w14:textFill>
                        <w14:solidFill>
                          <w14:schemeClr w14:val="tx1"/>
                        </w14:solidFill>
                      </w14:textFill>
                    </w:rPr>
                    <w:t>不属于</w:t>
                  </w:r>
                  <w:r>
                    <w:rPr>
                      <w:color w:val="000000" w:themeColor="text1"/>
                      <w:szCs w:val="21"/>
                      <w14:textFill>
                        <w14:solidFill>
                          <w14:schemeClr w14:val="tx1"/>
                        </w14:solidFill>
                      </w14:textFill>
                    </w:rPr>
                    <w:t>铸造、垃圾焚烧发电、玻璃、有色、石灰、矿棉等行业</w:t>
                  </w:r>
                </w:p>
              </w:tc>
              <w:tc>
                <w:tcPr>
                  <w:tcW w:w="408" w:type="pct"/>
                  <w:tcBorders>
                    <w:tl2br w:val="nil"/>
                    <w:tr2bl w:val="nil"/>
                  </w:tcBorders>
                  <w:vAlign w:val="center"/>
                </w:tcPr>
                <w:p w14:paraId="0A1C811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相符</w:t>
                  </w:r>
                </w:p>
              </w:tc>
            </w:tr>
            <w:tr w14:paraId="785AD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tcBorders>
                    <w:tl2br w:val="nil"/>
                    <w:tr2bl w:val="nil"/>
                  </w:tcBorders>
                  <w:vAlign w:val="center"/>
                </w:tcPr>
                <w:p w14:paraId="388725FF">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健全标准规范体系，完善生态环境经济政策</w:t>
                  </w:r>
                </w:p>
              </w:tc>
              <w:tc>
                <w:tcPr>
                  <w:tcW w:w="2817" w:type="pct"/>
                  <w:tcBorders>
                    <w:tl2br w:val="nil"/>
                    <w:tr2bl w:val="nil"/>
                  </w:tcBorders>
                  <w:vAlign w:val="center"/>
                </w:tcPr>
                <w:p w14:paraId="33C975F1">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强化标准引领。推动落实大气污染物排放最新标准，重点行业逐步配套技术指南和工程技术规范，研究制定精细化治理方案。在生产、销售、进口、使用等环节严格执行VOCs含量限值标准。进口非道路移动机械和发动机应达到我国现行新生产设备排放标准。</w:t>
                  </w:r>
                </w:p>
              </w:tc>
              <w:tc>
                <w:tcPr>
                  <w:tcW w:w="1220" w:type="pct"/>
                  <w:tcBorders>
                    <w:tl2br w:val="nil"/>
                    <w:tr2bl w:val="nil"/>
                  </w:tcBorders>
                  <w:vAlign w:val="center"/>
                </w:tcPr>
                <w:p w14:paraId="52BE61E9">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无组织排放的</w:t>
                  </w:r>
                  <w:r>
                    <w:rPr>
                      <w:rFonts w:hint="eastAsia"/>
                      <w:color w:val="000000" w:themeColor="text1"/>
                      <w:szCs w:val="21"/>
                      <w14:textFill>
                        <w14:solidFill>
                          <w14:schemeClr w14:val="tx1"/>
                        </w14:solidFill>
                      </w14:textFill>
                    </w:rPr>
                    <w:t>有机废气</w:t>
                  </w:r>
                  <w:r>
                    <w:rPr>
                      <w:color w:val="000000" w:themeColor="text1"/>
                      <w:szCs w:val="21"/>
                      <w14:textFill>
                        <w14:solidFill>
                          <w14:schemeClr w14:val="tx1"/>
                        </w14:solidFill>
                      </w14:textFill>
                    </w:rPr>
                    <w:t>执行《大气污染物综合排放标准》(DB32/4041-2021)</w:t>
                  </w:r>
                  <w:r>
                    <w:rPr>
                      <w:rFonts w:hint="eastAsia"/>
                      <w:color w:val="000000" w:themeColor="text1"/>
                      <w:szCs w:val="21"/>
                      <w:lang w:eastAsia="zh-CN"/>
                      <w14:textFill>
                        <w14:solidFill>
                          <w14:schemeClr w14:val="tx1"/>
                        </w14:solidFill>
                      </w14:textFill>
                    </w:rPr>
                    <w:t>、</w:t>
                  </w:r>
                  <w:r>
                    <w:rPr>
                      <w:rFonts w:hint="default" w:ascii="Times New Roman" w:hAnsi="Times New Roman" w:eastAsia="宋体" w:cs="Times New Roman"/>
                      <w:b w:val="0"/>
                      <w:bCs w:val="0"/>
                      <w:sz w:val="21"/>
                      <w:szCs w:val="21"/>
                      <w:vertAlign w:val="baseline"/>
                      <w:lang w:val="en-US" w:eastAsia="zh-CN"/>
                    </w:rPr>
                    <w:t>《恶臭污染物排放标准》（GB14554-93）</w:t>
                  </w:r>
                  <w:r>
                    <w:rPr>
                      <w:color w:val="000000" w:themeColor="text1"/>
                      <w:szCs w:val="21"/>
                      <w14:textFill>
                        <w14:solidFill>
                          <w14:schemeClr w14:val="tx1"/>
                        </w14:solidFill>
                      </w14:textFill>
                    </w:rPr>
                    <w:t>。</w:t>
                  </w:r>
                </w:p>
              </w:tc>
              <w:tc>
                <w:tcPr>
                  <w:tcW w:w="408" w:type="pct"/>
                  <w:tcBorders>
                    <w:tl2br w:val="nil"/>
                    <w:tr2bl w:val="nil"/>
                  </w:tcBorders>
                  <w:vAlign w:val="center"/>
                </w:tcPr>
                <w:p w14:paraId="6CBF0CC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相符</w:t>
                  </w:r>
                </w:p>
              </w:tc>
            </w:tr>
          </w:tbl>
          <w:p w14:paraId="4EF1B8CC">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6、</w:t>
            </w:r>
            <w:r>
              <w:rPr>
                <w:rFonts w:hint="eastAsia"/>
                <w:b/>
                <w:bCs/>
                <w:color w:val="000000" w:themeColor="text1"/>
                <w:kern w:val="0"/>
                <w:sz w:val="24"/>
                <w14:textFill>
                  <w14:solidFill>
                    <w14:schemeClr w14:val="tx1"/>
                  </w14:solidFill>
                </w14:textFill>
              </w:rPr>
              <w:t>与大气污染相关文件相符性分析</w:t>
            </w:r>
          </w:p>
          <w:p w14:paraId="2A4B5196">
            <w:pPr>
              <w:autoSpaceDE w:val="0"/>
              <w:autoSpaceDN w:val="0"/>
              <w:adjustRightInd w:val="0"/>
              <w:snapToGrid w:val="0"/>
              <w:spacing w:line="48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表1-7  与</w:t>
            </w:r>
            <w:r>
              <w:rPr>
                <w:rFonts w:hint="eastAsia"/>
                <w:b/>
                <w:bCs/>
                <w:color w:val="000000" w:themeColor="text1"/>
                <w:kern w:val="0"/>
                <w:szCs w:val="21"/>
                <w14:textFill>
                  <w14:solidFill>
                    <w14:schemeClr w14:val="tx1"/>
                  </w14:solidFill>
                </w14:textFill>
              </w:rPr>
              <w:t>大气污染物相关文件</w:t>
            </w:r>
            <w:r>
              <w:rPr>
                <w:b/>
                <w:bCs/>
                <w:color w:val="000000" w:themeColor="text1"/>
                <w:kern w:val="0"/>
                <w:szCs w:val="21"/>
                <w14:textFill>
                  <w14:solidFill>
                    <w14:schemeClr w14:val="tx1"/>
                  </w14:solidFill>
                </w14:textFill>
              </w:rPr>
              <w:t>相符性分析</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4261"/>
              <w:gridCol w:w="2865"/>
              <w:gridCol w:w="751"/>
            </w:tblGrid>
            <w:tr w14:paraId="25D3A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tcBorders>
                    <w:tl2br w:val="nil"/>
                    <w:tr2bl w:val="nil"/>
                  </w:tcBorders>
                  <w:vAlign w:val="center"/>
                </w:tcPr>
                <w:p w14:paraId="2685BB6A">
                  <w:pPr>
                    <w:autoSpaceDE w:val="0"/>
                    <w:autoSpaceDN w:val="0"/>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文件名称</w:t>
                  </w:r>
                </w:p>
              </w:tc>
              <w:tc>
                <w:tcPr>
                  <w:tcW w:w="2304" w:type="pct"/>
                  <w:tcBorders>
                    <w:tl2br w:val="nil"/>
                    <w:tr2bl w:val="nil"/>
                  </w:tcBorders>
                  <w:vAlign w:val="center"/>
                </w:tcPr>
                <w:p w14:paraId="737395C4">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要求</w:t>
                  </w:r>
                </w:p>
              </w:tc>
              <w:tc>
                <w:tcPr>
                  <w:tcW w:w="1549" w:type="pct"/>
                  <w:tcBorders>
                    <w:tl2br w:val="nil"/>
                    <w:tr2bl w:val="nil"/>
                  </w:tcBorders>
                  <w:vAlign w:val="center"/>
                </w:tcPr>
                <w:p w14:paraId="34456C40">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本项目相关内容</w:t>
                  </w:r>
                </w:p>
              </w:tc>
              <w:tc>
                <w:tcPr>
                  <w:tcW w:w="406" w:type="pct"/>
                  <w:tcBorders>
                    <w:tl2br w:val="nil"/>
                    <w:tr2bl w:val="nil"/>
                  </w:tcBorders>
                  <w:vAlign w:val="center"/>
                </w:tcPr>
                <w:p w14:paraId="6656AA64">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14:paraId="2AC7E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pct"/>
                  <w:tcBorders>
                    <w:tl2br w:val="nil"/>
                    <w:tr2bl w:val="nil"/>
                  </w:tcBorders>
                  <w:vAlign w:val="center"/>
                </w:tcPr>
                <w:p w14:paraId="42EE8ADE">
                  <w:pPr>
                    <w:autoSpaceDE w:val="0"/>
                    <w:autoSpaceDN w:val="0"/>
                    <w:adjustRightInd w:val="0"/>
                    <w:snapToGrid w:val="0"/>
                    <w:jc w:val="center"/>
                    <w:rPr>
                      <w:color w:val="000000" w:themeColor="text1"/>
                      <w:szCs w:val="21"/>
                      <w14:textFill>
                        <w14:solidFill>
                          <w14:schemeClr w14:val="tx1"/>
                        </w14:solidFill>
                      </w14:textFill>
                    </w:rPr>
                  </w:pPr>
                  <w:r>
                    <w:rPr>
                      <w:color w:val="000000" w:themeColor="text1"/>
                      <w:kern w:val="0"/>
                      <w:szCs w:val="21"/>
                      <w:lang w:val="zh-CN"/>
                      <w14:textFill>
                        <w14:solidFill>
                          <w14:schemeClr w14:val="tx1"/>
                        </w14:solidFill>
                      </w14:textFill>
                    </w:rPr>
                    <w:t>《江苏省挥发性有机物污染防治管理办法》（省政府令第119号）2018年5月1日起施行</w:t>
                  </w:r>
                </w:p>
              </w:tc>
              <w:tc>
                <w:tcPr>
                  <w:tcW w:w="2304" w:type="pct"/>
                  <w:tcBorders>
                    <w:tl2br w:val="nil"/>
                    <w:tr2bl w:val="nil"/>
                  </w:tcBorders>
                  <w:vAlign w:val="center"/>
                </w:tcPr>
                <w:p w14:paraId="54524DC0">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二十一条：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747D9630">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无法在密闭空间进行的生产经营活动应当采取有效措施，减少挥发性有机物排放量。</w:t>
                  </w:r>
                </w:p>
              </w:tc>
              <w:tc>
                <w:tcPr>
                  <w:tcW w:w="1549" w:type="pct"/>
                  <w:tcBorders>
                    <w:tl2br w:val="nil"/>
                    <w:tr2bl w:val="nil"/>
                  </w:tcBorders>
                  <w:vAlign w:val="center"/>
                </w:tcPr>
                <w:p w14:paraId="10F7AEAB">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本项目生产过程中产生的有机废气经</w:t>
                  </w:r>
                  <w:r>
                    <w:rPr>
                      <w:rFonts w:hint="eastAsia"/>
                      <w:color w:val="000000" w:themeColor="text1"/>
                      <w:szCs w:val="21"/>
                      <w14:textFill>
                        <w14:solidFill>
                          <w14:schemeClr w14:val="tx1"/>
                        </w14:solidFill>
                      </w14:textFill>
                    </w:rPr>
                    <w:t>通风橱/万向罩收集后通过活性炭吸附装置处理</w:t>
                  </w:r>
                  <w:r>
                    <w:rPr>
                      <w:color w:val="000000" w:themeColor="text1"/>
                      <w:szCs w:val="21"/>
                      <w14:textFill>
                        <w14:solidFill>
                          <w14:schemeClr w14:val="tx1"/>
                        </w14:solidFill>
                      </w14:textFill>
                    </w:rPr>
                    <w:t>。</w:t>
                  </w:r>
                </w:p>
              </w:tc>
              <w:tc>
                <w:tcPr>
                  <w:tcW w:w="406" w:type="pct"/>
                  <w:tcBorders>
                    <w:tl2br w:val="nil"/>
                    <w:tr2bl w:val="nil"/>
                  </w:tcBorders>
                  <w:vAlign w:val="center"/>
                </w:tcPr>
                <w:p w14:paraId="08F49A16">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69D5C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pct"/>
                  <w:tcBorders>
                    <w:tl2br w:val="nil"/>
                    <w:tr2bl w:val="nil"/>
                  </w:tcBorders>
                  <w:vAlign w:val="center"/>
                </w:tcPr>
                <w:p w14:paraId="52148AF3">
                  <w:pPr>
                    <w:autoSpaceDE w:val="0"/>
                    <w:autoSpaceDN w:val="0"/>
                    <w:adjustRightInd w:val="0"/>
                    <w:snapToGri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《江苏省重点行业挥发性有机物(VOCs)污染控制指南》（苏环办[2014]128号）</w:t>
                  </w:r>
                </w:p>
              </w:tc>
              <w:tc>
                <w:tcPr>
                  <w:tcW w:w="2304" w:type="pct"/>
                  <w:tcBorders>
                    <w:tl2br w:val="nil"/>
                    <w:tr2bl w:val="nil"/>
                  </w:tcBorders>
                  <w:vAlign w:val="center"/>
                </w:tcPr>
                <w:p w14:paraId="79236032">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所有产生有机废气污染的企业，应优先采用环保型原辅料、生产工艺和装备，对相应生产单元或设施进行密闭，从源头控制VOCs的产生，减少废气污染物排放。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w:t>
                  </w:r>
                </w:p>
              </w:tc>
              <w:tc>
                <w:tcPr>
                  <w:tcW w:w="1549" w:type="pct"/>
                  <w:tcBorders>
                    <w:tl2br w:val="nil"/>
                    <w:tr2bl w:val="nil"/>
                  </w:tcBorders>
                  <w:vAlign w:val="center"/>
                </w:tcPr>
                <w:p w14:paraId="5D2E48C9">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本项目为M7320工程和技术研究和试验发展，</w:t>
                  </w:r>
                  <w:r>
                    <w:rPr>
                      <w:rFonts w:hint="eastAsia"/>
                      <w:color w:val="000000" w:themeColor="text1"/>
                      <w:szCs w:val="21"/>
                      <w14:textFill>
                        <w14:solidFill>
                          <w14:schemeClr w14:val="tx1"/>
                        </w14:solidFill>
                      </w14:textFill>
                    </w:rPr>
                    <w:t>不属于有机化工、医药化工、橡胶和塑料制品（有溶剂浸胶工艺）、溶剂型涂料表面涂装、包装印刷业。本项目采用活性炭吸附装置处理有机废气，符合文件要求。</w:t>
                  </w:r>
                </w:p>
              </w:tc>
              <w:tc>
                <w:tcPr>
                  <w:tcW w:w="406" w:type="pct"/>
                  <w:tcBorders>
                    <w:tl2br w:val="nil"/>
                    <w:tr2bl w:val="nil"/>
                  </w:tcBorders>
                  <w:vAlign w:val="center"/>
                </w:tcPr>
                <w:p w14:paraId="53AB3324">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3B0E9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pct"/>
                  <w:tcBorders>
                    <w:tl2br w:val="nil"/>
                    <w:tr2bl w:val="nil"/>
                  </w:tcBorders>
                  <w:vAlign w:val="center"/>
                </w:tcPr>
                <w:p w14:paraId="49B4B2EE">
                  <w:pPr>
                    <w:autoSpaceDE w:val="0"/>
                    <w:autoSpaceDN w:val="0"/>
                    <w:adjustRightInd w:val="0"/>
                    <w:snapToGri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《实验室废气污染控制技术规范》（DB 32/T4455-2023）</w:t>
                  </w:r>
                </w:p>
              </w:tc>
              <w:tc>
                <w:tcPr>
                  <w:tcW w:w="2304" w:type="pct"/>
                  <w:tcBorders>
                    <w:tl2br w:val="nil"/>
                    <w:tr2bl w:val="nil"/>
                  </w:tcBorders>
                  <w:vAlign w:val="center"/>
                </w:tcPr>
                <w:p w14:paraId="34413160">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实验室单位产生的废气应经过排风柜或排风罩等方式收集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按照相关工程技术规范对净化工艺和设备进行科学设计和施工</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排出室外的有机、无机废气应符合GB14554和DB32/4041的规定(国家或地方行业污染物排放标准中对实验室废气已作规定的</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按相应行业排放标准规定执行)。</w:t>
                  </w:r>
                </w:p>
                <w:p w14:paraId="440FEC58">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收集废气中NMHC初始排放速率大于或等于2kg/h的实验室单元,废气净化效率不低于80%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收集废气中NMHC初始排放速率在0.2kg/h~2kg/h(含0.2 kg/h)范围内的实验室单元</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废气净化效率不低于60%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收集废气中NMHC初始排放速率在0.02 kg/h~0.2kg/h(含0.02 kg/h)范围内的实验室单元，废气净化效率不低于50%。</w:t>
                  </w:r>
                </w:p>
              </w:tc>
              <w:tc>
                <w:tcPr>
                  <w:tcW w:w="1549" w:type="pct"/>
                  <w:tcBorders>
                    <w:tl2br w:val="nil"/>
                    <w:tr2bl w:val="nil"/>
                  </w:tcBorders>
                  <w:vAlign w:val="center"/>
                </w:tcPr>
                <w:p w14:paraId="31EAB5D9">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本项目实验室产生的废气通过通风橱\万向罩收集后通过活性炭吸附装置处理，处理效率不低于80%。废气排放满足《大气污染物综合排放标准》(DB32/4041-2021)等要求。</w:t>
                  </w:r>
                </w:p>
              </w:tc>
              <w:tc>
                <w:tcPr>
                  <w:tcW w:w="406" w:type="pct"/>
                  <w:tcBorders>
                    <w:tl2br w:val="nil"/>
                    <w:tr2bl w:val="nil"/>
                  </w:tcBorders>
                  <w:vAlign w:val="center"/>
                </w:tcPr>
                <w:p w14:paraId="144F236C">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bl>
          <w:p w14:paraId="396B1574">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7、</w:t>
            </w:r>
            <w:r>
              <w:rPr>
                <w:b/>
                <w:bCs/>
                <w:color w:val="000000" w:themeColor="text1"/>
                <w:kern w:val="0"/>
                <w:sz w:val="24"/>
                <w14:textFill>
                  <w14:solidFill>
                    <w14:schemeClr w14:val="tx1"/>
                  </w14:solidFill>
                </w14:textFill>
              </w:rPr>
              <w:t>与</w:t>
            </w:r>
            <w:r>
              <w:rPr>
                <w:rFonts w:hint="eastAsia"/>
                <w:b/>
                <w:bCs/>
                <w:color w:val="000000" w:themeColor="text1"/>
                <w:kern w:val="0"/>
                <w:sz w:val="24"/>
                <w14:textFill>
                  <w14:solidFill>
                    <w14:schemeClr w14:val="tx1"/>
                  </w14:solidFill>
                </w14:textFill>
              </w:rPr>
              <w:t>固废相关文件</w:t>
            </w:r>
            <w:r>
              <w:rPr>
                <w:b/>
                <w:bCs/>
                <w:color w:val="000000" w:themeColor="text1"/>
                <w:kern w:val="0"/>
                <w:sz w:val="24"/>
                <w14:textFill>
                  <w14:solidFill>
                    <w14:schemeClr w14:val="tx1"/>
                  </w14:solidFill>
                </w14:textFill>
              </w:rPr>
              <w:t>相符性分析</w:t>
            </w:r>
          </w:p>
          <w:p w14:paraId="5C22E419">
            <w:pPr>
              <w:autoSpaceDE w:val="0"/>
              <w:autoSpaceDN w:val="0"/>
              <w:adjustRightInd w:val="0"/>
              <w:snapToGrid w:val="0"/>
              <w:spacing w:line="48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表1-</w:t>
            </w:r>
            <w:r>
              <w:rPr>
                <w:rFonts w:hint="eastAsia"/>
                <w:b/>
                <w:bCs/>
                <w:color w:val="000000" w:themeColor="text1"/>
                <w:kern w:val="0"/>
                <w:szCs w:val="21"/>
                <w14:textFill>
                  <w14:solidFill>
                    <w14:schemeClr w14:val="tx1"/>
                  </w14:solidFill>
                </w14:textFill>
              </w:rPr>
              <w:t>8</w:t>
            </w:r>
            <w:r>
              <w:rPr>
                <w:b/>
                <w:bCs/>
                <w:color w:val="000000" w:themeColor="text1"/>
                <w:kern w:val="0"/>
                <w:szCs w:val="21"/>
                <w14:textFill>
                  <w14:solidFill>
                    <w14:schemeClr w14:val="tx1"/>
                  </w14:solidFill>
                </w14:textFill>
              </w:rPr>
              <w:t xml:space="preserve">  与</w:t>
            </w:r>
            <w:r>
              <w:rPr>
                <w:rFonts w:hint="eastAsia"/>
                <w:b/>
                <w:bCs/>
                <w:color w:val="000000" w:themeColor="text1"/>
                <w:kern w:val="0"/>
                <w:szCs w:val="21"/>
                <w14:textFill>
                  <w14:solidFill>
                    <w14:schemeClr w14:val="tx1"/>
                  </w14:solidFill>
                </w14:textFill>
              </w:rPr>
              <w:t>固废相关文件</w:t>
            </w:r>
            <w:r>
              <w:rPr>
                <w:b/>
                <w:bCs/>
                <w:color w:val="000000" w:themeColor="text1"/>
                <w:kern w:val="0"/>
                <w:szCs w:val="21"/>
                <w14:textFill>
                  <w14:solidFill>
                    <w14:schemeClr w14:val="tx1"/>
                  </w14:solidFill>
                </w14:textFill>
              </w:rPr>
              <w:t>相符性分析</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4261"/>
              <w:gridCol w:w="2865"/>
              <w:gridCol w:w="751"/>
            </w:tblGrid>
            <w:tr w14:paraId="0F77B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tcBorders>
                    <w:tl2br w:val="nil"/>
                    <w:tr2bl w:val="nil"/>
                  </w:tcBorders>
                  <w:vAlign w:val="center"/>
                </w:tcPr>
                <w:p w14:paraId="41956E92">
                  <w:pPr>
                    <w:autoSpaceDE w:val="0"/>
                    <w:autoSpaceDN w:val="0"/>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文件名称</w:t>
                  </w:r>
                </w:p>
              </w:tc>
              <w:tc>
                <w:tcPr>
                  <w:tcW w:w="2304" w:type="pct"/>
                  <w:tcBorders>
                    <w:tl2br w:val="nil"/>
                    <w:tr2bl w:val="nil"/>
                  </w:tcBorders>
                  <w:vAlign w:val="center"/>
                </w:tcPr>
                <w:p w14:paraId="1CBFA890">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要求</w:t>
                  </w:r>
                </w:p>
              </w:tc>
              <w:tc>
                <w:tcPr>
                  <w:tcW w:w="1549" w:type="pct"/>
                  <w:tcBorders>
                    <w:tl2br w:val="nil"/>
                    <w:tr2bl w:val="nil"/>
                  </w:tcBorders>
                  <w:vAlign w:val="center"/>
                </w:tcPr>
                <w:p w14:paraId="7FB267C3">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本项目相关内容</w:t>
                  </w:r>
                </w:p>
              </w:tc>
              <w:tc>
                <w:tcPr>
                  <w:tcW w:w="406" w:type="pct"/>
                  <w:tcBorders>
                    <w:tl2br w:val="nil"/>
                    <w:tr2bl w:val="nil"/>
                  </w:tcBorders>
                  <w:vAlign w:val="center"/>
                </w:tcPr>
                <w:p w14:paraId="7A43A0AB">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14:paraId="60C26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pct"/>
                  <w:tcBorders>
                    <w:tl2br w:val="nil"/>
                    <w:tr2bl w:val="nil"/>
                  </w:tcBorders>
                  <w:vAlign w:val="center"/>
                </w:tcPr>
                <w:p w14:paraId="7DE69B3E">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《关于进一步加强实验室危险废物管理工作的通知》（苏环办〔2020〕284号）</w:t>
                  </w:r>
                </w:p>
              </w:tc>
              <w:tc>
                <w:tcPr>
                  <w:tcW w:w="2304" w:type="pct"/>
                  <w:tcBorders>
                    <w:tl2br w:val="nil"/>
                    <w:tr2bl w:val="nil"/>
                  </w:tcBorders>
                  <w:vAlign w:val="center"/>
                </w:tcPr>
                <w:p w14:paraId="12DEA258">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室危险废物是指在教学、研究开发和检测活动中，化学和生物等实验室产生的具有危险特性的固体废物（不包括医疗废物，实验动物尸体及相关废弃物，危险特性尚未确定的废物，涉及生物安全和疾病防治的其他废物）。各级教育、科研、医疗卫生、检测机构等实验室及其设立单位（以下简称产废单位）是实验室危险废物全过程环境管理的责任主体。各产废单位应加强实验室危险废物基础信息管理，根据相关法律法规并对照环评审批文件，结合教学科研实际，理清产废环节，摸清危险废物产生种类、数量、危险特性、包装方式、贮存设施以及委托处置等情况，并登录省危险废物动态管理信息系统填报相关信息。</w:t>
                  </w:r>
                </w:p>
              </w:tc>
              <w:tc>
                <w:tcPr>
                  <w:tcW w:w="1549" w:type="pct"/>
                  <w:tcBorders>
                    <w:tl2br w:val="nil"/>
                    <w:tr2bl w:val="nil"/>
                  </w:tcBorders>
                  <w:vAlign w:val="center"/>
                </w:tcPr>
                <w:p w14:paraId="0206D786">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企业为本项目实验室危险废物全过程环境管理的责任主体，项目建成后按照要求进行危险废物基础信息管理，对照本次环评并结合实际运行情况，理清产废信息，摸清危险废物产生种类、数量、危险特性、包装方式，建设符合要求的危废仓库，并与有资质单位签订危废处置协议，确保危险废物妥善处置。同时企业需将危险废物相关信息填报至省危险废物动态管理信息系统。</w:t>
                  </w:r>
                </w:p>
              </w:tc>
              <w:tc>
                <w:tcPr>
                  <w:tcW w:w="406" w:type="pct"/>
                  <w:tcBorders>
                    <w:tl2br w:val="nil"/>
                    <w:tr2bl w:val="nil"/>
                  </w:tcBorders>
                  <w:vAlign w:val="center"/>
                </w:tcPr>
                <w:p w14:paraId="5B86E314">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相符</w:t>
                  </w:r>
                </w:p>
              </w:tc>
            </w:tr>
            <w:tr w14:paraId="1FF6E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pct"/>
                  <w:tcBorders>
                    <w:tl2br w:val="nil"/>
                    <w:tr2bl w:val="nil"/>
                  </w:tcBorders>
                  <w:vAlign w:val="center"/>
                </w:tcPr>
                <w:p w14:paraId="1D031C65">
                  <w:pPr>
                    <w:autoSpaceDE w:val="0"/>
                    <w:autoSpaceDN w:val="0"/>
                    <w:adjustRightInd w:val="0"/>
                    <w:snapToGri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《实验室废弃化学品收集技术规范》（GB/T 31190-2014）</w:t>
                  </w:r>
                </w:p>
              </w:tc>
              <w:tc>
                <w:tcPr>
                  <w:tcW w:w="2304" w:type="pct"/>
                  <w:tcBorders>
                    <w:tl2br w:val="nil"/>
                    <w:tr2bl w:val="nil"/>
                  </w:tcBorders>
                  <w:vAlign w:val="center"/>
                </w:tcPr>
                <w:p w14:paraId="1B65137A">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实验室废弃化学品产生者如无妥善处理废弃化学品的技术设施</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应将其产生的实验室废弃化学品收集交给具有相应处理资质的废弃化学品经营者进行转运、处理处置</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严禁擅自倾倒、排放或交未取得经营资格的单位进行处理处置。</w:t>
                  </w:r>
                </w:p>
                <w:p w14:paraId="0FA8FF6C">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实验室废弃化学品产生者应按照第4章、第7章和第8章的要求，对产生的实验室废弃化学品进行分类、收集和贮存。</w:t>
                  </w:r>
                </w:p>
                <w:p w14:paraId="615B8C61">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盛装实验室废弃化学品的包装容器应张贴规范的实验室废弃化学品标签。实验室废弃化学品的贮存设施或区域应设立醒目的警告标志。</w:t>
                  </w:r>
                </w:p>
              </w:tc>
              <w:tc>
                <w:tcPr>
                  <w:tcW w:w="1549" w:type="pct"/>
                  <w:tcBorders>
                    <w:tl2br w:val="nil"/>
                    <w:tr2bl w:val="nil"/>
                  </w:tcBorders>
                  <w:vAlign w:val="center"/>
                </w:tcPr>
                <w:p w14:paraId="10253D48">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本项目产生的实验室废液、实验室废物、废试剂瓶等作为危险废物委托有资质单位处置。本项目产生的废弃化学品按要求进行</w:t>
                  </w:r>
                  <w:r>
                    <w:rPr>
                      <w:color w:val="000000" w:themeColor="text1"/>
                      <w:szCs w:val="21"/>
                      <w14:textFill>
                        <w14:solidFill>
                          <w14:schemeClr w14:val="tx1"/>
                        </w14:solidFill>
                      </w14:textFill>
                    </w:rPr>
                    <w:t>分类、收集和贮存</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盛装实验室废弃化学品的包装容器</w:t>
                  </w:r>
                  <w:r>
                    <w:rPr>
                      <w:rFonts w:hint="eastAsia"/>
                      <w:color w:val="000000" w:themeColor="text1"/>
                      <w:szCs w:val="21"/>
                      <w14:textFill>
                        <w14:solidFill>
                          <w14:schemeClr w14:val="tx1"/>
                        </w14:solidFill>
                      </w14:textFill>
                    </w:rPr>
                    <w:t>、危废仓库按要求设置标签或者</w:t>
                  </w:r>
                  <w:r>
                    <w:rPr>
                      <w:color w:val="000000" w:themeColor="text1"/>
                      <w:szCs w:val="21"/>
                      <w14:textFill>
                        <w14:solidFill>
                          <w14:schemeClr w14:val="tx1"/>
                        </w14:solidFill>
                      </w14:textFill>
                    </w:rPr>
                    <w:t>警告标志。</w:t>
                  </w:r>
                </w:p>
              </w:tc>
              <w:tc>
                <w:tcPr>
                  <w:tcW w:w="406" w:type="pct"/>
                  <w:tcBorders>
                    <w:tl2br w:val="nil"/>
                    <w:tr2bl w:val="nil"/>
                  </w:tcBorders>
                  <w:vAlign w:val="center"/>
                </w:tcPr>
                <w:p w14:paraId="7FACB70A">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447FB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pct"/>
                  <w:tcBorders>
                    <w:tl2br w:val="nil"/>
                    <w:tr2bl w:val="nil"/>
                  </w:tcBorders>
                  <w:vAlign w:val="center"/>
                </w:tcPr>
                <w:p w14:paraId="5E839233">
                  <w:pPr>
                    <w:autoSpaceDE w:val="0"/>
                    <w:autoSpaceDN w:val="0"/>
                    <w:adjustRightInd w:val="0"/>
                    <w:snapToGrid w:val="0"/>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《危险废物贮存污染控制标准》（GB 18597-2023）</w:t>
                  </w:r>
                </w:p>
              </w:tc>
              <w:tc>
                <w:tcPr>
                  <w:tcW w:w="2304" w:type="pct"/>
                  <w:tcBorders>
                    <w:tl2br w:val="nil"/>
                    <w:tr2bl w:val="nil"/>
                  </w:tcBorders>
                  <w:vAlign w:val="center"/>
                </w:tcPr>
                <w:p w14:paraId="788C890A">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产生、收集、贮存、利用、处置危险废物的单位应建造危险废物贮存设施或设置贮存场所，并根据需要选择贮存设施类型。</w:t>
                  </w:r>
                </w:p>
                <w:p w14:paraId="42722EA8">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贮存危险废物应根据危险废物的类别、数量、形态、物理化学性质和环境风险等因素，确定贮存设施或场所类型和规模。</w:t>
                  </w:r>
                </w:p>
                <w:p w14:paraId="3174BDC5">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贮存危险废物应根据危险废物的类别、形态、物理化学性质和污染防治要求进行分类贮存，且应避免危险废物与不相容的物质或材料接触。</w:t>
                  </w:r>
                </w:p>
                <w:p w14:paraId="66A10721">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14:paraId="4A9B71A7">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危险废物贮存过程产生的液态废物和固态废物应分类收集，按其环境管理要求妥善处理。</w:t>
                  </w:r>
                </w:p>
              </w:tc>
              <w:tc>
                <w:tcPr>
                  <w:tcW w:w="1549" w:type="pct"/>
                  <w:tcBorders>
                    <w:tl2br w:val="nil"/>
                    <w:tr2bl w:val="nil"/>
                  </w:tcBorders>
                  <w:vAlign w:val="center"/>
                </w:tcPr>
                <w:p w14:paraId="4863E663">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参数危险废物，按照要求建设危废仓库、废液储罐暂存危险废物，满足本项目危废暂存要求。本项目实验室废物、废试剂瓶、废活性炭等固态废物暂存于危废仓库，实验室废液、地面清洗废液、设备清洗废液等液态废物暂存于废液储罐，满足分类收集、暂存要求。本项目危废暂存间主要废活性炭、废试剂瓶、废液等，固态危险废物产生后由现场立即用塑料缠绕膜进行缠绕打包称量后贮存至危废仓库内，液态危废暂存于密闭的废液储罐，因此不易产生有机废气，本次不定量分析。</w:t>
                  </w:r>
                </w:p>
              </w:tc>
              <w:tc>
                <w:tcPr>
                  <w:tcW w:w="406" w:type="pct"/>
                  <w:tcBorders>
                    <w:tl2br w:val="nil"/>
                    <w:tr2bl w:val="nil"/>
                  </w:tcBorders>
                  <w:vAlign w:val="center"/>
                </w:tcPr>
                <w:p w14:paraId="3B8A522F">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bl>
          <w:p w14:paraId="7282ABE0">
            <w:pPr>
              <w:spacing w:after="120" w:afterLines="50" w:line="360" w:lineRule="exact"/>
              <w:rPr>
                <w:color w:val="000000" w:themeColor="text1"/>
                <w:sz w:val="24"/>
                <w14:textFill>
                  <w14:solidFill>
                    <w14:schemeClr w14:val="tx1"/>
                  </w14:solidFill>
                </w14:textFill>
              </w:rPr>
            </w:pPr>
            <w:r>
              <w:rPr>
                <w:rFonts w:hint="eastAsia"/>
                <w:b/>
                <w:bCs/>
                <w:color w:val="000000" w:themeColor="text1"/>
                <w:kern w:val="0"/>
                <w:sz w:val="24"/>
                <w14:textFill>
                  <w14:solidFill>
                    <w14:schemeClr w14:val="tx1"/>
                  </w14:solidFill>
                </w14:textFill>
              </w:rPr>
              <w:t>8</w:t>
            </w:r>
            <w:r>
              <w:rPr>
                <w:b/>
                <w:bCs/>
                <w:color w:val="000000" w:themeColor="text1"/>
                <w:kern w:val="0"/>
                <w:sz w:val="24"/>
                <w14:textFill>
                  <w14:solidFill>
                    <w14:schemeClr w14:val="tx1"/>
                  </w14:solidFill>
                </w14:textFill>
              </w:rPr>
              <w:t>、</w:t>
            </w:r>
            <w:r>
              <w:rPr>
                <w:b/>
                <w:bCs/>
                <w:color w:val="000000" w:themeColor="text1"/>
                <w:sz w:val="24"/>
                <w14:textFill>
                  <w14:solidFill>
                    <w14:schemeClr w14:val="tx1"/>
                  </w14:solidFill>
                </w14:textFill>
              </w:rPr>
              <w:t>与“</w:t>
            </w:r>
            <w:bookmarkStart w:id="9" w:name="OLE_LINK58"/>
            <w:r>
              <w:rPr>
                <w:b/>
                <w:bCs/>
                <w:color w:val="000000" w:themeColor="text1"/>
                <w:sz w:val="24"/>
                <w14:textFill>
                  <w14:solidFill>
                    <w14:schemeClr w14:val="tx1"/>
                  </w14:solidFill>
                </w14:textFill>
              </w:rPr>
              <w:t>市生态环境局关于建设项目的审批指导意见（试行）</w:t>
            </w:r>
            <w:bookmarkEnd w:id="9"/>
            <w:r>
              <w:rPr>
                <w:b/>
                <w:bCs/>
                <w:color w:val="000000" w:themeColor="text1"/>
                <w:sz w:val="24"/>
                <w14:textFill>
                  <w14:solidFill>
                    <w14:schemeClr w14:val="tx1"/>
                  </w14:solidFill>
                </w14:textFill>
              </w:rPr>
              <w:t>”相符性分析</w:t>
            </w:r>
          </w:p>
          <w:p w14:paraId="1A0897C7">
            <w:pPr>
              <w:snapToGrid w:val="0"/>
              <w:spacing w:before="72" w:beforeLines="30" w:line="360" w:lineRule="exact"/>
              <w:jc w:val="center"/>
              <w:rPr>
                <w:b/>
                <w:bCs/>
                <w:color w:val="000000" w:themeColor="text1"/>
                <w:sz w:val="24"/>
                <w14:textFill>
                  <w14:solidFill>
                    <w14:schemeClr w14:val="tx1"/>
                  </w14:solidFill>
                </w14:textFill>
              </w:rPr>
            </w:pPr>
            <w:r>
              <w:rPr>
                <w:b/>
                <w:bCs/>
                <w:color w:val="000000" w:themeColor="text1"/>
                <w:szCs w:val="21"/>
                <w14:textFill>
                  <w14:solidFill>
                    <w14:schemeClr w14:val="tx1"/>
                  </w14:solidFill>
                </w14:textFill>
              </w:rPr>
              <w:t>表1-</w:t>
            </w:r>
            <w:r>
              <w:rPr>
                <w:rFonts w:hint="eastAsia"/>
                <w:b/>
                <w:bCs/>
                <w:color w:val="000000" w:themeColor="text1"/>
                <w:szCs w:val="21"/>
                <w14:textFill>
                  <w14:solidFill>
                    <w14:schemeClr w14:val="tx1"/>
                  </w14:solidFill>
                </w14:textFill>
              </w:rPr>
              <w:t>9</w:t>
            </w:r>
            <w:r>
              <w:rPr>
                <w:b/>
                <w:bCs/>
                <w:color w:val="000000" w:themeColor="text1"/>
                <w:szCs w:val="21"/>
                <w14:textFill>
                  <w14:solidFill>
                    <w14:schemeClr w14:val="tx1"/>
                  </w14:solidFill>
                </w14:textFill>
              </w:rPr>
              <w:t xml:space="preserve"> 与市生态环境局关于建设项目的审批指导意见（试行）对照分析</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28"/>
              <w:gridCol w:w="3854"/>
              <w:gridCol w:w="864"/>
            </w:tblGrid>
            <w:tr w14:paraId="0B018C6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49" w:hRule="atLeast"/>
                <w:tblHeader/>
                <w:jc w:val="center"/>
              </w:trPr>
              <w:tc>
                <w:tcPr>
                  <w:tcW w:w="2448" w:type="pct"/>
                  <w:vAlign w:val="center"/>
                </w:tcPr>
                <w:p w14:paraId="56B37A3E">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文件要求</w:t>
                  </w:r>
                </w:p>
              </w:tc>
              <w:tc>
                <w:tcPr>
                  <w:tcW w:w="2084" w:type="pct"/>
                  <w:vAlign w:val="center"/>
                </w:tcPr>
                <w:p w14:paraId="3E658B45">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w:t>
                  </w:r>
                </w:p>
              </w:tc>
              <w:tc>
                <w:tcPr>
                  <w:tcW w:w="467" w:type="pct"/>
                  <w:vAlign w:val="center"/>
                </w:tcPr>
                <w:p w14:paraId="589C9B60">
                  <w:pPr>
                    <w:pStyle w:val="14"/>
                    <w:spacing w:after="0" w:line="240" w:lineRule="auto"/>
                    <w:ind w:left="0" w:left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相符性</w:t>
                  </w:r>
                </w:p>
              </w:tc>
            </w:tr>
            <w:tr w14:paraId="295F0B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448" w:type="pct"/>
                  <w:vAlign w:val="center"/>
                </w:tcPr>
                <w:p w14:paraId="55739BFD">
                  <w:pPr>
                    <w:pStyle w:val="14"/>
                    <w:spacing w:after="0" w:line="240" w:lineRule="auto"/>
                    <w:ind w:left="0" w:leftChars="0"/>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严格项目总量。</w:t>
                  </w:r>
                  <w:r>
                    <w:rPr>
                      <w:color w:val="000000" w:themeColor="text1"/>
                      <w:szCs w:val="21"/>
                      <w14:textFill>
                        <w14:solidFill>
                          <w14:schemeClr w14:val="tx1"/>
                        </w14:solidFill>
                      </w14:textFill>
                    </w:rPr>
                    <w:t>实施建设项目大气污染物总量负增长原则，即重点区域内建设项目使用大气污染物总量，原则上在重点区域范围内实施总量平衡，且必须实行总量2倍减量替代。</w:t>
                  </w:r>
                </w:p>
              </w:tc>
              <w:tc>
                <w:tcPr>
                  <w:tcW w:w="2084" w:type="pct"/>
                  <w:vMerge w:val="restart"/>
                  <w:vAlign w:val="center"/>
                </w:tcPr>
                <w:p w14:paraId="4F341393">
                  <w:pPr>
                    <w:pStyle w:val="14"/>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（1）本项目位于江苏省常州市金坛区西城路118号，本项目不在国控站点3km范围内，不属于重点区域。</w:t>
                  </w:r>
                </w:p>
                <w:p w14:paraId="1BDFC000">
                  <w:pPr>
                    <w:pStyle w:val="14"/>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（2）本项目为M7320工程和技术研究和试验发展，不属于高能耗项目。本项目拟在环境影响评价文件审批前，取得主要污染物排放总量指标。</w:t>
                  </w:r>
                </w:p>
              </w:tc>
              <w:tc>
                <w:tcPr>
                  <w:tcW w:w="467" w:type="pct"/>
                  <w:vMerge w:val="restart"/>
                  <w:vAlign w:val="center"/>
                </w:tcPr>
                <w:p w14:paraId="71D5926B">
                  <w:pPr>
                    <w:pStyle w:val="14"/>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47F7B5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448" w:type="pct"/>
                  <w:vAlign w:val="center"/>
                </w:tcPr>
                <w:p w14:paraId="3E4C1E95">
                  <w:pPr>
                    <w:pStyle w:val="14"/>
                    <w:spacing w:after="0" w:line="240" w:lineRule="auto"/>
                    <w:ind w:left="0" w:leftChars="0"/>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强化环评审批。</w:t>
                  </w:r>
                  <w:r>
                    <w:rPr>
                      <w:color w:val="000000" w:themeColor="text1"/>
                      <w:szCs w:val="21"/>
                      <w14:textFill>
                        <w14:solidFill>
                          <w14:schemeClr w14:val="tx1"/>
                        </w14:solidFill>
                      </w14:textFill>
                    </w:rPr>
                    <w:t>对重点区域内新上的大气污染物排放的建设项目及全市范围内新上高能耗项目，审批部门对其环评文本应实施质量评估。</w:t>
                  </w:r>
                </w:p>
              </w:tc>
              <w:tc>
                <w:tcPr>
                  <w:tcW w:w="2084" w:type="pct"/>
                  <w:vMerge w:val="continue"/>
                  <w:vAlign w:val="center"/>
                </w:tcPr>
                <w:p w14:paraId="093E109A">
                  <w:pPr>
                    <w:pStyle w:val="14"/>
                    <w:spacing w:after="0" w:line="240" w:lineRule="auto"/>
                    <w:ind w:left="0" w:leftChars="0"/>
                    <w:jc w:val="center"/>
                    <w:rPr>
                      <w:color w:val="000000" w:themeColor="text1"/>
                      <w:szCs w:val="21"/>
                      <w14:textFill>
                        <w14:solidFill>
                          <w14:schemeClr w14:val="tx1"/>
                        </w14:solidFill>
                      </w14:textFill>
                    </w:rPr>
                  </w:pPr>
                </w:p>
              </w:tc>
              <w:tc>
                <w:tcPr>
                  <w:tcW w:w="467" w:type="pct"/>
                  <w:vMerge w:val="continue"/>
                  <w:vAlign w:val="center"/>
                </w:tcPr>
                <w:p w14:paraId="2D0F8896">
                  <w:pPr>
                    <w:pStyle w:val="14"/>
                    <w:spacing w:after="0" w:line="240" w:lineRule="auto"/>
                    <w:ind w:left="0" w:leftChars="0"/>
                    <w:jc w:val="center"/>
                    <w:rPr>
                      <w:color w:val="000000" w:themeColor="text1"/>
                      <w:szCs w:val="21"/>
                      <w14:textFill>
                        <w14:solidFill>
                          <w14:schemeClr w14:val="tx1"/>
                        </w14:solidFill>
                      </w14:textFill>
                    </w:rPr>
                  </w:pPr>
                </w:p>
              </w:tc>
            </w:tr>
            <w:tr w14:paraId="604EB4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448" w:type="pct"/>
                  <w:vAlign w:val="center"/>
                </w:tcPr>
                <w:p w14:paraId="04FB4653">
                  <w:pPr>
                    <w:pStyle w:val="14"/>
                    <w:spacing w:after="0" w:line="240" w:lineRule="auto"/>
                    <w:ind w:left="0" w:leftChars="0"/>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推进减污降碳。</w:t>
                  </w:r>
                  <w:r>
                    <w:rPr>
                      <w:color w:val="000000" w:themeColor="text1"/>
                      <w:spacing w:val="-6"/>
                      <w:szCs w:val="21"/>
                      <w14:textFill>
                        <w14:solidFill>
                          <w14:schemeClr w14:val="tx1"/>
                        </w14:solidFill>
                      </w14:textFill>
                    </w:rPr>
                    <w:t>对重点区域内新上的涉及大气污染物排放的建设项目及全市范围内新上高能耗建设项目的严格审批，区级审批部门审批前需向市生态环境局报备，审批部门方可出具审批文件。</w:t>
                  </w:r>
                </w:p>
              </w:tc>
              <w:tc>
                <w:tcPr>
                  <w:tcW w:w="2084" w:type="pct"/>
                  <w:vMerge w:val="continue"/>
                  <w:vAlign w:val="center"/>
                </w:tcPr>
                <w:p w14:paraId="36C58890">
                  <w:pPr>
                    <w:pStyle w:val="14"/>
                    <w:spacing w:after="0" w:line="240" w:lineRule="auto"/>
                    <w:ind w:left="0" w:leftChars="0"/>
                    <w:jc w:val="center"/>
                    <w:rPr>
                      <w:color w:val="000000" w:themeColor="text1"/>
                      <w:szCs w:val="21"/>
                      <w14:textFill>
                        <w14:solidFill>
                          <w14:schemeClr w14:val="tx1"/>
                        </w14:solidFill>
                      </w14:textFill>
                    </w:rPr>
                  </w:pPr>
                </w:p>
              </w:tc>
              <w:tc>
                <w:tcPr>
                  <w:tcW w:w="467" w:type="pct"/>
                  <w:vMerge w:val="continue"/>
                  <w:vAlign w:val="center"/>
                </w:tcPr>
                <w:p w14:paraId="5314CECF">
                  <w:pPr>
                    <w:pStyle w:val="14"/>
                    <w:spacing w:after="0" w:line="240" w:lineRule="auto"/>
                    <w:ind w:left="0" w:leftChars="0"/>
                    <w:jc w:val="center"/>
                    <w:rPr>
                      <w:color w:val="000000" w:themeColor="text1"/>
                      <w:szCs w:val="21"/>
                      <w14:textFill>
                        <w14:solidFill>
                          <w14:schemeClr w14:val="tx1"/>
                        </w14:solidFill>
                      </w14:textFill>
                    </w:rPr>
                  </w:pPr>
                </w:p>
              </w:tc>
            </w:tr>
          </w:tbl>
          <w:p w14:paraId="466FF336">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9</w:t>
            </w:r>
            <w:r>
              <w:rPr>
                <w:b/>
                <w:bCs/>
                <w:color w:val="000000" w:themeColor="text1"/>
                <w:kern w:val="0"/>
                <w:sz w:val="24"/>
                <w14:textFill>
                  <w14:solidFill>
                    <w14:schemeClr w14:val="tx1"/>
                  </w14:solidFill>
                </w14:textFill>
              </w:rPr>
              <w:t>、与生物安全相关政策相符分析</w:t>
            </w:r>
          </w:p>
          <w:p w14:paraId="4FD22E7D">
            <w:pPr>
              <w:pStyle w:val="4"/>
              <w:numPr>
                <w:ilvl w:val="4"/>
                <w:numId w:val="0"/>
              </w:numPr>
              <w:rPr>
                <w:color w:val="000000" w:themeColor="text1"/>
                <w14:textFill>
                  <w14:solidFill>
                    <w14:schemeClr w14:val="tx1"/>
                  </w14:solidFill>
                </w14:textFill>
              </w:rPr>
            </w:pPr>
            <w:r>
              <w:rPr>
                <w:bCs/>
                <w:color w:val="000000" w:themeColor="text1"/>
                <w:szCs w:val="21"/>
                <w14:textFill>
                  <w14:solidFill>
                    <w14:schemeClr w14:val="tx1"/>
                  </w14:solidFill>
                </w14:textFill>
              </w:rPr>
              <w:t>表1-</w:t>
            </w:r>
            <w:r>
              <w:rPr>
                <w:rFonts w:hint="eastAsia"/>
                <w:bCs/>
                <w:color w:val="000000" w:themeColor="text1"/>
                <w:szCs w:val="21"/>
                <w14:textFill>
                  <w14:solidFill>
                    <w14:schemeClr w14:val="tx1"/>
                  </w14:solidFill>
                </w14:textFill>
              </w:rPr>
              <w:t>10</w:t>
            </w:r>
            <w:r>
              <w:rPr>
                <w:bCs/>
                <w:color w:val="000000" w:themeColor="text1"/>
                <w:szCs w:val="21"/>
                <w14:textFill>
                  <w14:solidFill>
                    <w14:schemeClr w14:val="tx1"/>
                  </w14:solidFill>
                </w14:textFill>
              </w:rPr>
              <w:t xml:space="preserve"> </w:t>
            </w:r>
            <w:r>
              <w:rPr>
                <w:color w:val="000000" w:themeColor="text1"/>
                <w14:textFill>
                  <w14:solidFill>
                    <w14:schemeClr w14:val="tx1"/>
                  </w14:solidFill>
                </w14:textFill>
              </w:rPr>
              <w:t>与生物安全相关政策符合性分析</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5162"/>
              <w:gridCol w:w="2124"/>
              <w:gridCol w:w="596"/>
            </w:tblGrid>
            <w:tr w14:paraId="1BD56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40" w:type="pct"/>
                  <w:tcBorders>
                    <w:tl2br w:val="nil"/>
                    <w:tr2bl w:val="nil"/>
                  </w:tcBorders>
                  <w:vAlign w:val="center"/>
                </w:tcPr>
                <w:p w14:paraId="4D4E6360">
                  <w:pPr>
                    <w:pStyle w:val="119"/>
                    <w:snapToGrid w:val="0"/>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名称</w:t>
                  </w:r>
                </w:p>
              </w:tc>
              <w:tc>
                <w:tcPr>
                  <w:tcW w:w="2789" w:type="pct"/>
                  <w:tcBorders>
                    <w:tl2br w:val="nil"/>
                    <w:tr2bl w:val="nil"/>
                  </w:tcBorders>
                  <w:vAlign w:val="center"/>
                </w:tcPr>
                <w:p w14:paraId="53473E47">
                  <w:pPr>
                    <w:pStyle w:val="119"/>
                    <w:snapToGrid w:val="0"/>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相关要求</w:t>
                  </w:r>
                </w:p>
              </w:tc>
              <w:tc>
                <w:tcPr>
                  <w:tcW w:w="1148" w:type="pct"/>
                  <w:tcBorders>
                    <w:tl2br w:val="nil"/>
                    <w:tr2bl w:val="nil"/>
                  </w:tcBorders>
                  <w:vAlign w:val="center"/>
                </w:tcPr>
                <w:p w14:paraId="6F2D12EA">
                  <w:pPr>
                    <w:pStyle w:val="119"/>
                    <w:snapToGrid w:val="0"/>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本项目情况</w:t>
                  </w:r>
                </w:p>
              </w:tc>
              <w:tc>
                <w:tcPr>
                  <w:tcW w:w="322" w:type="pct"/>
                  <w:tcBorders>
                    <w:tl2br w:val="nil"/>
                    <w:tr2bl w:val="nil"/>
                  </w:tcBorders>
                  <w:tcMar>
                    <w:left w:w="0" w:type="dxa"/>
                    <w:right w:w="0" w:type="dxa"/>
                  </w:tcMar>
                  <w:vAlign w:val="center"/>
                </w:tcPr>
                <w:p w14:paraId="2F3B9524">
                  <w:pPr>
                    <w:pStyle w:val="119"/>
                    <w:snapToGrid w:val="0"/>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符合性</w:t>
                  </w:r>
                </w:p>
              </w:tc>
            </w:tr>
            <w:tr w14:paraId="4DFD9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tcBorders>
                    <w:tl2br w:val="nil"/>
                    <w:tr2bl w:val="nil"/>
                  </w:tcBorders>
                  <w:vAlign w:val="center"/>
                </w:tcPr>
                <w:p w14:paraId="644086DE">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《中华人民共和国生物安全法》</w:t>
                  </w:r>
                </w:p>
              </w:tc>
              <w:tc>
                <w:tcPr>
                  <w:tcW w:w="2789" w:type="pct"/>
                  <w:tcBorders>
                    <w:tl2br w:val="nil"/>
                    <w:tr2bl w:val="nil"/>
                  </w:tcBorders>
                  <w:vAlign w:val="center"/>
                </w:tcPr>
                <w:p w14:paraId="1A82E704">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第三十四条 国家加强对生物技术研究、开发与应用活动的安全管理，禁止从事危及公众健康、损害生物资源、破坏生态系统和生物多样性等危害生物安全的生物技术研究、开发与应用活动。</w:t>
                  </w:r>
                </w:p>
                <w:p w14:paraId="2AE53B4D">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第三十五条 从事生物技术研究、开发与应用活动的单位应当对本单位生物技术研究、开发与应用的安全负责，采取生物安全风险防控措施，制定生物安全培训、跟踪检查、定期报告等工作制度，强化过程管理。</w:t>
                  </w:r>
                </w:p>
                <w:p w14:paraId="3720D150">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第三十六条 国家对生物技术研究、开发活动实行分类管理。根据对公众健康、工业农业、生态环境等造成危害的风险程度，将生物技术研究、开发活动分为高风险、中风险、低风险三类。</w:t>
                  </w:r>
                </w:p>
              </w:tc>
              <w:tc>
                <w:tcPr>
                  <w:tcW w:w="1148" w:type="pct"/>
                  <w:tcBorders>
                    <w:tl2br w:val="nil"/>
                    <w:tr2bl w:val="nil"/>
                  </w:tcBorders>
                  <w:vAlign w:val="center"/>
                </w:tcPr>
                <w:p w14:paraId="010AC9D3">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本项目使用的菌种为大肠杆菌</w:t>
                  </w:r>
                  <w:r>
                    <w:rPr>
                      <w:rFonts w:hint="eastAsia" w:ascii="Times New Roman" w:hAnsi="Times New Roman"/>
                      <w:color w:val="000000" w:themeColor="text1"/>
                      <w:szCs w:val="21"/>
                      <w14:textFill>
                        <w14:solidFill>
                          <w14:schemeClr w14:val="tx1"/>
                        </w14:solidFill>
                      </w14:textFill>
                    </w:rPr>
                    <w:t>K12</w:t>
                  </w:r>
                  <w:r>
                    <w:rPr>
                      <w:rFonts w:ascii="Times New Roman" w:hAnsi="Times New Roman"/>
                      <w:color w:val="000000" w:themeColor="text1"/>
                      <w:szCs w:val="21"/>
                      <w14:textFill>
                        <w14:solidFill>
                          <w14:schemeClr w14:val="tx1"/>
                        </w14:solidFill>
                      </w14:textFill>
                    </w:rPr>
                    <w:t>，属于安全菌株，不在《人间传染的病原微生物名录》管控范围内，可直接用于生产，风险等级较低。采取了生物安全一级防护水平，同时按照国家相关规定对项目进行了建设。</w:t>
                  </w:r>
                </w:p>
              </w:tc>
              <w:tc>
                <w:tcPr>
                  <w:tcW w:w="322" w:type="pct"/>
                  <w:tcBorders>
                    <w:tl2br w:val="nil"/>
                    <w:tr2bl w:val="nil"/>
                  </w:tcBorders>
                  <w:tcMar>
                    <w:left w:w="0" w:type="dxa"/>
                    <w:right w:w="0" w:type="dxa"/>
                  </w:tcMar>
                  <w:vAlign w:val="center"/>
                </w:tcPr>
                <w:p w14:paraId="15ED5C60">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14:paraId="19B71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tcBorders>
                    <w:tl2br w:val="nil"/>
                    <w:tr2bl w:val="nil"/>
                  </w:tcBorders>
                  <w:vAlign w:val="center"/>
                </w:tcPr>
                <w:p w14:paraId="146152A3">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《实验室生物安全通用要求》（GB19489-2008）</w:t>
                  </w:r>
                </w:p>
              </w:tc>
              <w:tc>
                <w:tcPr>
                  <w:tcW w:w="2789" w:type="pct"/>
                  <w:tcBorders>
                    <w:tl2br w:val="nil"/>
                    <w:tr2bl w:val="nil"/>
                  </w:tcBorders>
                  <w:vAlign w:val="center"/>
                </w:tcPr>
                <w:p w14:paraId="74ABE19F">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根据对所操作生物因子采取的防护措施，将实验室生物安全防护水平分为一级、二级、三级和四级，一级防护水平最低，四级防护水平最高。</w:t>
                  </w:r>
                </w:p>
              </w:tc>
              <w:tc>
                <w:tcPr>
                  <w:tcW w:w="1148" w:type="pct"/>
                  <w:tcBorders>
                    <w:tl2br w:val="nil"/>
                    <w:tr2bl w:val="nil"/>
                  </w:tcBorders>
                  <w:vAlign w:val="center"/>
                </w:tcPr>
                <w:p w14:paraId="00FB89A0">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本项目使用的菌种为大肠杆菌</w:t>
                  </w:r>
                  <w:r>
                    <w:rPr>
                      <w:rFonts w:hint="eastAsia" w:ascii="Times New Roman" w:hAnsi="Times New Roman"/>
                      <w:color w:val="000000" w:themeColor="text1"/>
                      <w:szCs w:val="21"/>
                      <w14:textFill>
                        <w14:solidFill>
                          <w14:schemeClr w14:val="tx1"/>
                        </w14:solidFill>
                      </w14:textFill>
                    </w:rPr>
                    <w:t>K12</w:t>
                  </w:r>
                  <w:r>
                    <w:rPr>
                      <w:rFonts w:ascii="Times New Roman" w:hAnsi="Times New Roman"/>
                      <w:color w:val="000000" w:themeColor="text1"/>
                      <w:szCs w:val="21"/>
                      <w14:textFill>
                        <w14:solidFill>
                          <w14:schemeClr w14:val="tx1"/>
                        </w14:solidFill>
                      </w14:textFill>
                    </w:rPr>
                    <w:t>，属于安全菌株，不在《人间传染的病原微生物名录》管控范围内，可直接用于生产，风险等级较低。采取了生物安全一级防护水平，同时按照国家相关规定对项目进行了建设。</w:t>
                  </w:r>
                </w:p>
              </w:tc>
              <w:tc>
                <w:tcPr>
                  <w:tcW w:w="322" w:type="pct"/>
                  <w:tcBorders>
                    <w:tl2br w:val="nil"/>
                    <w:tr2bl w:val="nil"/>
                  </w:tcBorders>
                  <w:tcMar>
                    <w:left w:w="0" w:type="dxa"/>
                    <w:right w:w="0" w:type="dxa"/>
                  </w:tcMar>
                  <w:vAlign w:val="center"/>
                </w:tcPr>
                <w:p w14:paraId="4CDB7227">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14:paraId="50048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740" w:type="pct"/>
                  <w:tcBorders>
                    <w:tl2br w:val="nil"/>
                    <w:tr2bl w:val="nil"/>
                  </w:tcBorders>
                  <w:vAlign w:val="center"/>
                </w:tcPr>
                <w:p w14:paraId="1EFCC9E9">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《生物安全实验室建筑技术规范》（GB50346-2011）</w:t>
                  </w:r>
                </w:p>
              </w:tc>
              <w:tc>
                <w:tcPr>
                  <w:tcW w:w="2789" w:type="pct"/>
                  <w:tcBorders>
                    <w:tl2br w:val="nil"/>
                    <w:tr2bl w:val="nil"/>
                  </w:tcBorders>
                  <w:vAlign w:val="center"/>
                </w:tcPr>
                <w:p w14:paraId="62DAB39A">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根据实验室所处理对象的生物危害程度和采取的防护措施，生物安全实验室分为四级。微生物生物安全实验室可采用BSL-1、BSL-2、BSL-3、BSL-4 表示相应级别的实验室；动物生物安全实验室可采用ABSL-1、ABSL-2、ABSL-3、ABSL-4表示相应级别的实验室。</w:t>
                  </w:r>
                </w:p>
              </w:tc>
              <w:tc>
                <w:tcPr>
                  <w:tcW w:w="1148" w:type="pct"/>
                  <w:tcBorders>
                    <w:tl2br w:val="nil"/>
                    <w:tr2bl w:val="nil"/>
                  </w:tcBorders>
                  <w:vAlign w:val="center"/>
                </w:tcPr>
                <w:p w14:paraId="7B29117B">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本项目使用的菌种为大肠杆菌</w:t>
                  </w:r>
                  <w:r>
                    <w:rPr>
                      <w:rFonts w:hint="eastAsia" w:ascii="Times New Roman" w:hAnsi="Times New Roman"/>
                      <w:color w:val="000000" w:themeColor="text1"/>
                      <w:szCs w:val="21"/>
                      <w14:textFill>
                        <w14:solidFill>
                          <w14:schemeClr w14:val="tx1"/>
                        </w14:solidFill>
                      </w14:textFill>
                    </w:rPr>
                    <w:t>K12</w:t>
                  </w:r>
                  <w:r>
                    <w:rPr>
                      <w:rFonts w:ascii="Times New Roman" w:hAnsi="Times New Roman"/>
                      <w:color w:val="000000" w:themeColor="text1"/>
                      <w:szCs w:val="21"/>
                      <w14:textFill>
                        <w14:solidFill>
                          <w14:schemeClr w14:val="tx1"/>
                        </w14:solidFill>
                      </w14:textFill>
                    </w:rPr>
                    <w:t>，属于安全菌株，不在《人间传染的病原微生物名录》管控范围内，可直接用于生产，风险等级较低。本项目属于BSL-1等级生物安全实验室，采取了生物安全一级防护水平，同时按照国家相关规定对项目进行了建设。</w:t>
                  </w:r>
                </w:p>
              </w:tc>
              <w:tc>
                <w:tcPr>
                  <w:tcW w:w="322" w:type="pct"/>
                  <w:tcBorders>
                    <w:tl2br w:val="nil"/>
                    <w:tr2bl w:val="nil"/>
                  </w:tcBorders>
                  <w:tcMar>
                    <w:left w:w="0" w:type="dxa"/>
                    <w:right w:w="0" w:type="dxa"/>
                  </w:tcMar>
                  <w:vAlign w:val="center"/>
                </w:tcPr>
                <w:p w14:paraId="71908328">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14:paraId="7FBEB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tcBorders>
                    <w:tl2br w:val="nil"/>
                    <w:tr2bl w:val="nil"/>
                  </w:tcBorders>
                  <w:vAlign w:val="center"/>
                </w:tcPr>
                <w:p w14:paraId="5A10E921">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《病原微生物实验室生物安全管理条例》</w:t>
                  </w:r>
                </w:p>
              </w:tc>
              <w:tc>
                <w:tcPr>
                  <w:tcW w:w="2789" w:type="pct"/>
                  <w:tcBorders>
                    <w:tl2br w:val="nil"/>
                    <w:tr2bl w:val="nil"/>
                  </w:tcBorders>
                  <w:vAlign w:val="center"/>
                </w:tcPr>
                <w:p w14:paraId="55CC85E2">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将病原微生物分为四类，根据所操作的</w:t>
                  </w:r>
                </w:p>
                <w:p w14:paraId="22390259">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生物因子的危害程度和采取的防护措施，将生物安全防护水平相应分为四级：</w:t>
                  </w:r>
                </w:p>
                <w:p w14:paraId="001BE29C">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生物安全等级P1安全一级：进行试验研究用的物质都是已知的，所有特性都已清楚并且已证明不会导致疾病的物质。</w:t>
                  </w:r>
                </w:p>
                <w:p w14:paraId="48D118B8">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生物安全等级P2安全二级：进行试验研究用的物质是一些已知的中等程度危险性的并且与人类某些常见疾病相关的物质。</w:t>
                  </w:r>
                </w:p>
                <w:p w14:paraId="18AE1E78">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生物安全等级P3安全三级：进行试验研究的物质一般都是本土或者外来的有通过呼吸传染使人们致病或者有生命危险可能的物质。</w:t>
                  </w:r>
                </w:p>
                <w:p w14:paraId="6AD3985D">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生物安全等级P4安全四级：进行试验研究的物质是一些非常高危险性并且可以致命的有毒物质，可以通过空气传播且现今并没有有效的疫苗或者治疗方法来处理。</w:t>
                  </w:r>
                </w:p>
              </w:tc>
              <w:tc>
                <w:tcPr>
                  <w:tcW w:w="1148" w:type="pct"/>
                  <w:tcBorders>
                    <w:tl2br w:val="nil"/>
                    <w:tr2bl w:val="nil"/>
                  </w:tcBorders>
                  <w:vAlign w:val="center"/>
                </w:tcPr>
                <w:p w14:paraId="52891F85">
                  <w:pPr>
                    <w:pStyle w:val="119"/>
                    <w:snapToGrid w:val="0"/>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本项目使用的菌种为大肠杆菌</w:t>
                  </w:r>
                  <w:r>
                    <w:rPr>
                      <w:rFonts w:hint="eastAsia" w:ascii="Times New Roman" w:hAnsi="Times New Roman"/>
                      <w:color w:val="000000" w:themeColor="text1"/>
                      <w:szCs w:val="21"/>
                      <w14:textFill>
                        <w14:solidFill>
                          <w14:schemeClr w14:val="tx1"/>
                        </w14:solidFill>
                      </w14:textFill>
                    </w:rPr>
                    <w:t>K12</w:t>
                  </w:r>
                  <w:r>
                    <w:rPr>
                      <w:rFonts w:ascii="Times New Roman" w:hAnsi="Times New Roman"/>
                      <w:color w:val="000000" w:themeColor="text1"/>
                      <w:szCs w:val="21"/>
                      <w14:textFill>
                        <w14:solidFill>
                          <w14:schemeClr w14:val="tx1"/>
                        </w14:solidFill>
                      </w14:textFill>
                    </w:rPr>
                    <w:t>，属于安全菌株，不在《人间传染的病原微生物名录》管控范围内，</w:t>
                  </w:r>
                  <w:r>
                    <w:rPr>
                      <w:rFonts w:hint="eastAsia" w:ascii="Times New Roman" w:hAnsi="Times New Roman"/>
                      <w:color w:val="000000" w:themeColor="text1"/>
                      <w:szCs w:val="21"/>
                      <w14:textFill>
                        <w14:solidFill>
                          <w14:schemeClr w14:val="tx1"/>
                        </w14:solidFill>
                      </w14:textFill>
                    </w:rPr>
                    <w:t>不涉及P3、P4实验室。</w:t>
                  </w:r>
                </w:p>
              </w:tc>
              <w:tc>
                <w:tcPr>
                  <w:tcW w:w="322" w:type="pct"/>
                  <w:tcBorders>
                    <w:tl2br w:val="nil"/>
                    <w:tr2bl w:val="nil"/>
                  </w:tcBorders>
                  <w:tcMar>
                    <w:left w:w="0" w:type="dxa"/>
                    <w:right w:w="0" w:type="dxa"/>
                  </w:tcMar>
                  <w:vAlign w:val="center"/>
                </w:tcPr>
                <w:p w14:paraId="718B1558">
                  <w:pPr>
                    <w:pStyle w:val="119"/>
                    <w:snapToGrid w:val="0"/>
                    <w:spacing w:line="240" w:lineRule="auto"/>
                    <w:rPr>
                      <w:rFonts w:ascii="Times New Roman" w:hAnsi="Times New Roman"/>
                      <w:color w:val="000000" w:themeColor="text1"/>
                      <w:szCs w:val="21"/>
                      <w14:textFill>
                        <w14:solidFill>
                          <w14:schemeClr w14:val="tx1"/>
                        </w14:solidFill>
                      </w14:textFill>
                    </w:rPr>
                  </w:pPr>
                </w:p>
              </w:tc>
            </w:tr>
          </w:tbl>
          <w:p w14:paraId="537D188F">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10</w:t>
            </w:r>
            <w:r>
              <w:rPr>
                <w:b/>
                <w:bCs/>
                <w:color w:val="000000" w:themeColor="text1"/>
                <w:kern w:val="0"/>
                <w:sz w:val="24"/>
                <w14:textFill>
                  <w14:solidFill>
                    <w14:schemeClr w14:val="tx1"/>
                  </w14:solidFill>
                </w14:textFill>
              </w:rPr>
              <w:t>、与《关于加强重点行业涉新污染物建设项目环境影响评价工作的意见》（环环评〔2025〕28号）相符性分析</w:t>
            </w:r>
          </w:p>
          <w:p w14:paraId="01240EC7">
            <w:pPr>
              <w:pStyle w:val="4"/>
              <w:numPr>
                <w:ilvl w:val="4"/>
                <w:numId w:val="0"/>
              </w:numPr>
              <w:rPr>
                <w:color w:val="000000" w:themeColor="text1"/>
                <w14:textFill>
                  <w14:solidFill>
                    <w14:schemeClr w14:val="tx1"/>
                  </w14:solidFill>
                </w14:textFill>
              </w:rPr>
            </w:pPr>
            <w:r>
              <w:rPr>
                <w:color w:val="000000" w:themeColor="text1"/>
                <w14:textFill>
                  <w14:solidFill>
                    <w14:schemeClr w14:val="tx1"/>
                  </w14:solidFill>
                </w14:textFill>
              </w:rPr>
              <w:t>表1-1</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项目与（环环评〔2025〕28号）符合性分析</w:t>
            </w:r>
          </w:p>
          <w:tbl>
            <w:tblPr>
              <w:tblStyle w:val="25"/>
              <w:tblW w:w="4997"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2"/>
              <w:gridCol w:w="4280"/>
              <w:gridCol w:w="3661"/>
              <w:gridCol w:w="741"/>
            </w:tblGrid>
            <w:tr w14:paraId="78CDA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4" w:type="pct"/>
                  <w:tcBorders>
                    <w:tl2br w:val="nil"/>
                    <w:tr2bl w:val="nil"/>
                  </w:tcBorders>
                  <w:vAlign w:val="center"/>
                </w:tcPr>
                <w:p w14:paraId="5F57A030">
                  <w:pPr>
                    <w:pStyle w:val="120"/>
                    <w:widowControl w:val="0"/>
                    <w:tabs>
                      <w:tab w:val="left" w:pos="0"/>
                    </w:tabs>
                    <w:spacing w:before="0" w:after="0" w:line="240" w:lineRule="auto"/>
                    <w:ind w:right="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2314" w:type="pct"/>
                  <w:tcBorders>
                    <w:tl2br w:val="nil"/>
                    <w:tr2bl w:val="nil"/>
                  </w:tcBorders>
                  <w:vAlign w:val="center"/>
                </w:tcPr>
                <w:p w14:paraId="3FA93E9C">
                  <w:pPr>
                    <w:pStyle w:val="119"/>
                    <w:snapToGrid w:val="0"/>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相关要求</w:t>
                  </w:r>
                </w:p>
              </w:tc>
              <w:tc>
                <w:tcPr>
                  <w:tcW w:w="1979" w:type="pct"/>
                  <w:tcBorders>
                    <w:tl2br w:val="nil"/>
                    <w:tr2bl w:val="nil"/>
                  </w:tcBorders>
                  <w:vAlign w:val="center"/>
                </w:tcPr>
                <w:p w14:paraId="5AD3BE90">
                  <w:pPr>
                    <w:pStyle w:val="119"/>
                    <w:snapToGrid w:val="0"/>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本项目情况</w:t>
                  </w:r>
                </w:p>
              </w:tc>
              <w:tc>
                <w:tcPr>
                  <w:tcW w:w="401" w:type="pct"/>
                  <w:tcBorders>
                    <w:tl2br w:val="nil"/>
                    <w:tr2bl w:val="nil"/>
                  </w:tcBorders>
                  <w:vAlign w:val="center"/>
                </w:tcPr>
                <w:p w14:paraId="084276A1">
                  <w:pPr>
                    <w:pStyle w:val="120"/>
                    <w:widowControl w:val="0"/>
                    <w:tabs>
                      <w:tab w:val="left" w:pos="0"/>
                    </w:tabs>
                    <w:spacing w:before="0" w:after="0" w:line="240" w:lineRule="auto"/>
                    <w:ind w:right="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相符性</w:t>
                  </w:r>
                </w:p>
              </w:tc>
            </w:tr>
            <w:tr w14:paraId="49387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4" w:type="pct"/>
                  <w:tcBorders>
                    <w:tl2br w:val="nil"/>
                    <w:tr2bl w:val="nil"/>
                  </w:tcBorders>
                  <w:vAlign w:val="center"/>
                </w:tcPr>
                <w:p w14:paraId="04EF30E4">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2314" w:type="pct"/>
                  <w:tcBorders>
                    <w:tl2br w:val="nil"/>
                    <w:tr2bl w:val="nil"/>
                  </w:tcBorders>
                  <w:vAlign w:val="center"/>
                </w:tcPr>
                <w:p w14:paraId="67334F33">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tc>
              <w:tc>
                <w:tcPr>
                  <w:tcW w:w="1979" w:type="pct"/>
                  <w:tcBorders>
                    <w:tl2br w:val="nil"/>
                    <w:tr2bl w:val="nil"/>
                  </w:tcBorders>
                  <w:vAlign w:val="center"/>
                </w:tcPr>
                <w:p w14:paraId="36725675">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本项目涉及氨苄青霉素钠、盐酸壮观霉素、硫酸卡那霉素等抗生素，属于新污染物。本项目的目标产物主要应用领域为食品添加剂和化妆品，不属于石化、涂料、纺织印染、橡胶、农药、医药等重点行业。</w:t>
                  </w:r>
                </w:p>
              </w:tc>
              <w:tc>
                <w:tcPr>
                  <w:tcW w:w="401" w:type="pct"/>
                  <w:tcBorders>
                    <w:tl2br w:val="nil"/>
                    <w:tr2bl w:val="nil"/>
                  </w:tcBorders>
                  <w:vAlign w:val="center"/>
                </w:tcPr>
                <w:p w14:paraId="5B6B94CD">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6ED9A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4" w:type="pct"/>
                  <w:tcBorders>
                    <w:tl2br w:val="nil"/>
                    <w:tr2bl w:val="nil"/>
                  </w:tcBorders>
                  <w:vAlign w:val="center"/>
                </w:tcPr>
                <w:p w14:paraId="1602B6CF">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2314" w:type="pct"/>
                  <w:tcBorders>
                    <w:tl2br w:val="nil"/>
                    <w:tr2bl w:val="nil"/>
                  </w:tcBorders>
                  <w:vAlign w:val="center"/>
                </w:tcPr>
                <w:p w14:paraId="012BDE19">
                  <w:pPr>
                    <w:pStyle w:val="120"/>
                    <w:widowControl w:val="0"/>
                    <w:tabs>
                      <w:tab w:val="left" w:pos="0"/>
                      <w:tab w:val="left" w:pos="1220"/>
                    </w:tabs>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各级环评审批部门在受理和审批建设项目环评文件时，应落实重点管控新污染物清单、产业结构调整指导目录、《斯德哥尔摩公约》、生态环境分区管控方案和项目所在园区规划环评等有关管控要求。对照不予审批环评的项目类别（见附表），严格审核建设项目原辅材料和产品，对于以禁止生产、加工使用的新污染物作为原辅料或产品的建设项目，依法不予审批。</w:t>
                  </w:r>
                </w:p>
              </w:tc>
              <w:tc>
                <w:tcPr>
                  <w:tcW w:w="1979" w:type="pct"/>
                  <w:tcBorders>
                    <w:tl2br w:val="nil"/>
                    <w:tr2bl w:val="nil"/>
                  </w:tcBorders>
                  <w:vAlign w:val="center"/>
                </w:tcPr>
                <w:p w14:paraId="0AF40FB8">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本项目涉及氨苄青霉素钠、盐酸壮观霉素、硫酸卡那霉素等抗生素，不属于不予审批环评的项目类别。</w:t>
                  </w:r>
                </w:p>
              </w:tc>
              <w:tc>
                <w:tcPr>
                  <w:tcW w:w="401" w:type="pct"/>
                  <w:tcBorders>
                    <w:tl2br w:val="nil"/>
                    <w:tr2bl w:val="nil"/>
                  </w:tcBorders>
                  <w:vAlign w:val="center"/>
                </w:tcPr>
                <w:p w14:paraId="500BC6E2">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6491FA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4" w:type="pct"/>
                  <w:tcBorders>
                    <w:tl2br w:val="nil"/>
                    <w:tr2bl w:val="nil"/>
                  </w:tcBorders>
                  <w:vAlign w:val="center"/>
                </w:tcPr>
                <w:p w14:paraId="2E8AB2A7">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314" w:type="pct"/>
                  <w:tcBorders>
                    <w:tl2br w:val="nil"/>
                    <w:tr2bl w:val="nil"/>
                  </w:tcBorders>
                  <w:vAlign w:val="center"/>
                </w:tcPr>
                <w:p w14:paraId="19F48D35">
                  <w:pPr>
                    <w:pStyle w:val="120"/>
                    <w:widowControl w:val="0"/>
                    <w:tabs>
                      <w:tab w:val="left" w:pos="0"/>
                      <w:tab w:val="left" w:pos="1220"/>
                    </w:tabs>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（一）优化原料、工艺和治理措施，从源头减少新污染物产生。建设项目应尽</w:t>
                  </w:r>
                </w:p>
                <w:p w14:paraId="55D9EA3E">
                  <w:pPr>
                    <w:pStyle w:val="120"/>
                    <w:widowControl w:val="0"/>
                    <w:tabs>
                      <w:tab w:val="left" w:pos="0"/>
                      <w:tab w:val="left" w:pos="1220"/>
                    </w:tabs>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可能开发、使用低毒低害和无毒无害原料，减少产品中有毒有害物质含量；应采用清洁的生产工艺，提高资源利用率，从源头避免或削减新污染物产生。强化治理措施，已有污染防治技术的新污染物，应采取可行污染防治技术，加大治理力度，减轻新污染物排放对环境的影响。鼓励建设项目开展有毒有害化学物质绿色替代、新污染物减排以及污水污泥、废液废渣中新污染物治理等技术示范。</w:t>
                  </w:r>
                </w:p>
              </w:tc>
              <w:tc>
                <w:tcPr>
                  <w:tcW w:w="1979" w:type="pct"/>
                  <w:tcBorders>
                    <w:tl2br w:val="nil"/>
                    <w:tr2bl w:val="nil"/>
                  </w:tcBorders>
                  <w:vAlign w:val="center"/>
                </w:tcPr>
                <w:p w14:paraId="23FC2B03">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在标准的分子克隆实验和常规菌种培养中，使用抗生素是必要且标准化的操作。将外源DNA（如质粒）转入细菌（如大肠杆菌）后，绝大多数细菌是没有成功转化的。使用抗生素进行阳性克隆筛选 ，只让那些成功携带了目标质粒的细菌生长，确保实验材料的正确性和稳定性。</w:t>
                  </w:r>
                </w:p>
              </w:tc>
              <w:tc>
                <w:tcPr>
                  <w:tcW w:w="401" w:type="pct"/>
                  <w:tcBorders>
                    <w:tl2br w:val="nil"/>
                    <w:tr2bl w:val="nil"/>
                  </w:tcBorders>
                  <w:vAlign w:val="center"/>
                </w:tcPr>
                <w:p w14:paraId="1C0AC771">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5EC1E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4" w:type="pct"/>
                  <w:tcBorders>
                    <w:tl2br w:val="nil"/>
                    <w:tr2bl w:val="nil"/>
                  </w:tcBorders>
                  <w:vAlign w:val="center"/>
                </w:tcPr>
                <w:p w14:paraId="4F350FFD">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2314" w:type="pct"/>
                  <w:tcBorders>
                    <w:tl2br w:val="nil"/>
                    <w:tr2bl w:val="nil"/>
                  </w:tcBorders>
                  <w:vAlign w:val="center"/>
                </w:tcPr>
                <w:p w14:paraId="41B33480">
                  <w:pPr>
                    <w:pStyle w:val="120"/>
                    <w:widowControl w:val="0"/>
                    <w:tabs>
                      <w:tab w:val="left" w:pos="0"/>
                      <w:tab w:val="left" w:pos="1220"/>
                    </w:tabs>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核算新污染物产排污情况。环评文件应给出所有列入重点管控新污染物清单、有毒有害污染物名录和优先控制化学品名录的化学物质生产或使用的数量、品种、用途，涉及化学反应的，分析主副反应中新污染物的迁移转化情况；将涉及的新污染物纳入评价因子；核算各环节新污染物的产生和排放情况。改建、扩建项目还应梳理现有工程新污染物排放情况，鼓励采用靶向及非靶向检测技术对废水、废气及废渣中的新污染物进行筛查。</w:t>
                  </w:r>
                </w:p>
              </w:tc>
              <w:tc>
                <w:tcPr>
                  <w:tcW w:w="1979" w:type="pct"/>
                  <w:tcBorders>
                    <w:tl2br w:val="nil"/>
                    <w:tr2bl w:val="nil"/>
                  </w:tcBorders>
                  <w:vAlign w:val="center"/>
                </w:tcPr>
                <w:p w14:paraId="12F1F94E">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w:t>
                  </w:r>
                  <w:r>
                    <w:rPr>
                      <w:color w:val="000000" w:themeColor="text1"/>
                      <w:sz w:val="21"/>
                      <w:szCs w:val="21"/>
                      <w14:textFill>
                        <w14:solidFill>
                          <w14:schemeClr w14:val="tx1"/>
                        </w14:solidFill>
                      </w14:textFill>
                    </w:rPr>
                    <w:t>涉及氨苄青霉素钠、盐酸壮观霉素、硫酸卡那霉素等抗生素</w:t>
                  </w:r>
                  <w:r>
                    <w:rPr>
                      <w:rFonts w:hint="eastAsia"/>
                      <w:color w:val="000000" w:themeColor="text1"/>
                      <w:sz w:val="21"/>
                      <w:szCs w:val="21"/>
                      <w14:textFill>
                        <w14:solidFill>
                          <w14:schemeClr w14:val="tx1"/>
                        </w14:solidFill>
                      </w14:textFill>
                    </w:rPr>
                    <w:t>的使用，配制成抗生素培养基进行细胞的遗传转化与筛选，产生的实验室废物作为危险废物委托有资质单位处置。</w:t>
                  </w:r>
                </w:p>
              </w:tc>
              <w:tc>
                <w:tcPr>
                  <w:tcW w:w="401" w:type="pct"/>
                  <w:tcBorders>
                    <w:tl2br w:val="nil"/>
                    <w:tr2bl w:val="nil"/>
                  </w:tcBorders>
                  <w:vAlign w:val="center"/>
                </w:tcPr>
                <w:p w14:paraId="67F5E0E7">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21A01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4" w:type="pct"/>
                  <w:tcBorders>
                    <w:tl2br w:val="nil"/>
                    <w:tr2bl w:val="nil"/>
                  </w:tcBorders>
                  <w:vAlign w:val="center"/>
                </w:tcPr>
                <w:p w14:paraId="4FD20461">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314" w:type="pct"/>
                  <w:tcBorders>
                    <w:tl2br w:val="nil"/>
                    <w:tr2bl w:val="nil"/>
                  </w:tcBorders>
                  <w:vAlign w:val="center"/>
                </w:tcPr>
                <w:p w14:paraId="46FECD90">
                  <w:pPr>
                    <w:pStyle w:val="120"/>
                    <w:widowControl w:val="0"/>
                    <w:tabs>
                      <w:tab w:val="left" w:pos="0"/>
                      <w:tab w:val="left" w:pos="1220"/>
                    </w:tabs>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（三）对已发布污染物排放标准的新污染物严格排放达标要求。新建项目产生</w:t>
                  </w:r>
                </w:p>
                <w:p w14:paraId="3820DC5D">
                  <w:pPr>
                    <w:pStyle w:val="120"/>
                    <w:widowControl w:val="0"/>
                    <w:tabs>
                      <w:tab w:val="left" w:pos="0"/>
                      <w:tab w:val="left" w:pos="1220"/>
                    </w:tabs>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并排放已有排放标准新污染物的，应采取措施确保排放达标。涉及新污染物排放的改建、扩建项目，应对现有项目废气、废水排放</w:t>
                  </w:r>
                  <w:r>
                    <w:rPr>
                      <w:rFonts w:hint="eastAsia"/>
                      <w:color w:val="000000" w:themeColor="text1"/>
                      <w:sz w:val="21"/>
                      <w:szCs w:val="21"/>
                      <w14:textFill>
                        <w14:solidFill>
                          <w14:schemeClr w14:val="tx1"/>
                        </w14:solidFill>
                      </w14:textFill>
                    </w:rPr>
                    <w:t>口</w:t>
                  </w:r>
                  <w:r>
                    <w:rPr>
                      <w:color w:val="000000" w:themeColor="text1"/>
                      <w:sz w:val="21"/>
                      <w:szCs w:val="21"/>
                      <w14:textFill>
                        <w14:solidFill>
                          <w14:schemeClr w14:val="tx1"/>
                        </w14:solidFill>
                      </w14:textFill>
                    </w:rPr>
                    <w:t>新污染物排放情况进行监测，对排放不能达标的，应提出整改措施。对可能涉及新污染物的废母液、精馏残渣、抗生素菌渣、废反应基和废培养基、污泥等固体废物，应根据国家危险废物名录进行判定，未列入名录的固体废物应提出项目运行后按危险废物鉴别标准进行鉴别的</w:t>
                  </w:r>
                  <w:r>
                    <w:rPr>
                      <w:rFonts w:hint="eastAsia"/>
                      <w:color w:val="000000" w:themeColor="text1"/>
                      <w:sz w:val="21"/>
                      <w:szCs w:val="21"/>
                      <w14:textFill>
                        <w14:solidFill>
                          <w14:schemeClr w14:val="tx1"/>
                        </w14:solidFill>
                      </w14:textFill>
                    </w:rPr>
                    <w:t>要</w:t>
                  </w:r>
                  <w:r>
                    <w:rPr>
                      <w:color w:val="000000" w:themeColor="text1"/>
                      <w:sz w:val="21"/>
                      <w:szCs w:val="21"/>
                      <w14:textFill>
                        <w14:solidFill>
                          <w14:schemeClr w14:val="tx1"/>
                        </w14:solidFill>
                      </w14:textFill>
                    </w:rPr>
                    <w:t>求，属于危险废物的按照危险废物污染环境防治相关要求进行管理。对涉及新污染物的生产、贮存、运输、处置等装置、设备设施及场所，应按相关国家标准提出防腐蚀、防渗漏、防扬散等土壤和地下水污染防治措施。</w:t>
                  </w:r>
                </w:p>
              </w:tc>
              <w:tc>
                <w:tcPr>
                  <w:tcW w:w="1979" w:type="pct"/>
                  <w:tcBorders>
                    <w:tl2br w:val="nil"/>
                    <w:tr2bl w:val="nil"/>
                  </w:tcBorders>
                  <w:vAlign w:val="center"/>
                </w:tcPr>
                <w:p w14:paraId="5FB2A776">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本项目产生的实验室废物作为危险废物委托有资质单位处置。</w:t>
                  </w:r>
                </w:p>
              </w:tc>
              <w:tc>
                <w:tcPr>
                  <w:tcW w:w="401" w:type="pct"/>
                  <w:tcBorders>
                    <w:tl2br w:val="nil"/>
                    <w:tr2bl w:val="nil"/>
                  </w:tcBorders>
                  <w:vAlign w:val="center"/>
                </w:tcPr>
                <w:p w14:paraId="63CF453D">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6EB85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4" w:type="pct"/>
                  <w:tcBorders>
                    <w:tl2br w:val="nil"/>
                    <w:tr2bl w:val="nil"/>
                  </w:tcBorders>
                  <w:vAlign w:val="center"/>
                </w:tcPr>
                <w:p w14:paraId="16189168">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2314" w:type="pct"/>
                  <w:tcBorders>
                    <w:tl2br w:val="nil"/>
                    <w:tr2bl w:val="nil"/>
                  </w:tcBorders>
                  <w:vAlign w:val="center"/>
                </w:tcPr>
                <w:p w14:paraId="478EF595">
                  <w:pPr>
                    <w:pStyle w:val="120"/>
                    <w:widowControl w:val="0"/>
                    <w:tabs>
                      <w:tab w:val="left" w:pos="0"/>
                      <w:tab w:val="left" w:pos="1220"/>
                    </w:tabs>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（五）强化新污染物排放情况跟踪监测。应在涉及新污染物的建设项目环评文</w:t>
                  </w:r>
                </w:p>
                <w:p w14:paraId="527034D0">
                  <w:pPr>
                    <w:pStyle w:val="120"/>
                    <w:widowControl w:val="0"/>
                    <w:tabs>
                      <w:tab w:val="left" w:pos="0"/>
                      <w:tab w:val="left" w:pos="1220"/>
                    </w:tabs>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件中，明确提出将相应的新污染物纳入监测计划要求；对既未发布污染物排放标准，也无污染防治技术，但已有环境监测方法标准的新污染物，应加强日常监控和监测，掌握新污染物排放情况。将周边环境的相应新污染物监测纳入环境监测计划，做好跟踪监测。</w:t>
                  </w:r>
                </w:p>
              </w:tc>
              <w:tc>
                <w:tcPr>
                  <w:tcW w:w="1979" w:type="pct"/>
                  <w:tcBorders>
                    <w:tl2br w:val="nil"/>
                    <w:tr2bl w:val="nil"/>
                  </w:tcBorders>
                  <w:vAlign w:val="center"/>
                </w:tcPr>
                <w:p w14:paraId="35A6E7AE">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本项目使用的</w:t>
                  </w:r>
                  <w:r>
                    <w:rPr>
                      <w:color w:val="000000" w:themeColor="text1"/>
                      <w:sz w:val="21"/>
                      <w:szCs w:val="21"/>
                      <w14:textFill>
                        <w14:solidFill>
                          <w14:schemeClr w14:val="tx1"/>
                        </w14:solidFill>
                      </w14:textFill>
                    </w:rPr>
                    <w:t>氨苄青霉素钠、盐酸壮观霉素、硫酸卡那霉素等抗生素</w:t>
                  </w:r>
                  <w:r>
                    <w:rPr>
                      <w:rFonts w:hint="eastAsia"/>
                      <w:color w:val="000000" w:themeColor="text1"/>
                      <w:sz w:val="21"/>
                      <w:szCs w:val="21"/>
                      <w14:textFill>
                        <w14:solidFill>
                          <w14:schemeClr w14:val="tx1"/>
                        </w14:solidFill>
                      </w14:textFill>
                    </w:rPr>
                    <w:t>最终仅进入危险废物废物，无需进行监测。</w:t>
                  </w:r>
                </w:p>
              </w:tc>
              <w:tc>
                <w:tcPr>
                  <w:tcW w:w="401" w:type="pct"/>
                  <w:tcBorders>
                    <w:tl2br w:val="nil"/>
                    <w:tr2bl w:val="nil"/>
                  </w:tcBorders>
                  <w:vAlign w:val="center"/>
                </w:tcPr>
                <w:p w14:paraId="5F12C910">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7509A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4" w:type="pct"/>
                  <w:tcBorders>
                    <w:tl2br w:val="nil"/>
                    <w:tr2bl w:val="nil"/>
                  </w:tcBorders>
                  <w:vAlign w:val="center"/>
                </w:tcPr>
                <w:p w14:paraId="30D20DF3">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2314" w:type="pct"/>
                  <w:tcBorders>
                    <w:tl2br w:val="nil"/>
                    <w:tr2bl w:val="nil"/>
                  </w:tcBorders>
                  <w:vAlign w:val="center"/>
                </w:tcPr>
                <w:p w14:paraId="056DF361">
                  <w:pPr>
                    <w:pStyle w:val="120"/>
                    <w:widowControl w:val="0"/>
                    <w:tabs>
                      <w:tab w:val="left" w:pos="0"/>
                      <w:tab w:val="left" w:pos="1220"/>
                    </w:tabs>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（六）提出新化学物质环境管理登记要求。对照《中国现有化学物质名录》，</w:t>
                  </w:r>
                </w:p>
                <w:p w14:paraId="661E8A61">
                  <w:pPr>
                    <w:pStyle w:val="120"/>
                    <w:widowControl w:val="0"/>
                    <w:tabs>
                      <w:tab w:val="left" w:pos="0"/>
                      <w:tab w:val="left" w:pos="1220"/>
                    </w:tabs>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原辅材料或产品属于新化学物质的，或将实施新用途环境管理的现有化学物质，用于允许用途以外的其他工业用途的，应在环评文件中提出按相关规定办理新化学物质环境管理登记的要求。</w:t>
                  </w:r>
                </w:p>
              </w:tc>
              <w:tc>
                <w:tcPr>
                  <w:tcW w:w="1979" w:type="pct"/>
                  <w:tcBorders>
                    <w:tl2br w:val="nil"/>
                    <w:tr2bl w:val="nil"/>
                  </w:tcBorders>
                  <w:vAlign w:val="center"/>
                </w:tcPr>
                <w:p w14:paraId="3CAFA9A5">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本项目使用</w:t>
                  </w:r>
                  <w:r>
                    <w:rPr>
                      <w:color w:val="000000" w:themeColor="text1"/>
                      <w:sz w:val="21"/>
                      <w:szCs w:val="21"/>
                      <w14:textFill>
                        <w14:solidFill>
                          <w14:schemeClr w14:val="tx1"/>
                        </w14:solidFill>
                      </w14:textFill>
                    </w:rPr>
                    <w:t>氨苄青霉素钠、盐酸壮观霉素、硫酸卡那霉素等抗生素</w:t>
                  </w:r>
                  <w:r>
                    <w:rPr>
                      <w:rFonts w:hint="eastAsia"/>
                      <w:color w:val="000000" w:themeColor="text1"/>
                      <w:sz w:val="21"/>
                      <w:szCs w:val="21"/>
                      <w14:textFill>
                        <w14:solidFill>
                          <w14:schemeClr w14:val="tx1"/>
                        </w14:solidFill>
                      </w14:textFill>
                    </w:rPr>
                    <w:t>时按照进行管理登记。</w:t>
                  </w:r>
                </w:p>
              </w:tc>
              <w:tc>
                <w:tcPr>
                  <w:tcW w:w="401" w:type="pct"/>
                  <w:tcBorders>
                    <w:tl2br w:val="nil"/>
                    <w:tr2bl w:val="nil"/>
                  </w:tcBorders>
                  <w:vAlign w:val="center"/>
                </w:tcPr>
                <w:p w14:paraId="3A0BE2D4">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bl>
          <w:p w14:paraId="0E8757F2">
            <w:pPr>
              <w:autoSpaceDE w:val="0"/>
              <w:autoSpaceDN w:val="0"/>
              <w:adjustRightInd w:val="0"/>
              <w:snapToGrid w:val="0"/>
              <w:spacing w:line="480" w:lineRule="exact"/>
              <w:jc w:val="center"/>
              <w:rPr>
                <w:b/>
                <w:snapToGrid w:val="0"/>
                <w:color w:val="000000" w:themeColor="text1"/>
                <w:szCs w:val="22"/>
                <w14:textFill>
                  <w14:solidFill>
                    <w14:schemeClr w14:val="tx1"/>
                  </w14:solidFill>
                </w14:textFill>
              </w:rPr>
            </w:pPr>
            <w:r>
              <w:rPr>
                <w:b/>
                <w:snapToGrid w:val="0"/>
                <w:color w:val="000000" w:themeColor="text1"/>
                <w:szCs w:val="22"/>
                <w14:textFill>
                  <w14:solidFill>
                    <w14:schemeClr w14:val="tx1"/>
                  </w14:solidFill>
                </w14:textFill>
              </w:rPr>
              <w:t>表1-1</w:t>
            </w:r>
            <w:r>
              <w:rPr>
                <w:rFonts w:hint="eastAsia"/>
                <w:b/>
                <w:snapToGrid w:val="0"/>
                <w:color w:val="000000" w:themeColor="text1"/>
                <w:szCs w:val="22"/>
                <w14:textFill>
                  <w14:solidFill>
                    <w14:schemeClr w14:val="tx1"/>
                  </w14:solidFill>
                </w14:textFill>
              </w:rPr>
              <w:t>2</w:t>
            </w:r>
            <w:r>
              <w:rPr>
                <w:b/>
                <w:snapToGrid w:val="0"/>
                <w:color w:val="000000" w:themeColor="text1"/>
                <w:szCs w:val="22"/>
                <w14:textFill>
                  <w14:solidFill>
                    <w14:schemeClr w14:val="tx1"/>
                  </w14:solidFill>
                </w14:textFill>
              </w:rPr>
              <w:t xml:space="preserve"> 重点管控新污染物主要环境风险管控措施</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3556"/>
              <w:gridCol w:w="2655"/>
              <w:gridCol w:w="730"/>
            </w:tblGrid>
            <w:tr w14:paraId="2E501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46" w:type="pct"/>
                  <w:tcBorders>
                    <w:tl2br w:val="nil"/>
                    <w:tr2bl w:val="nil"/>
                  </w:tcBorders>
                  <w:vAlign w:val="center"/>
                </w:tcPr>
                <w:p w14:paraId="79458C18">
                  <w:pPr>
                    <w:pStyle w:val="119"/>
                    <w:snapToGrid w:val="0"/>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新污染物名称</w:t>
                  </w:r>
                </w:p>
              </w:tc>
              <w:tc>
                <w:tcPr>
                  <w:tcW w:w="1922" w:type="pct"/>
                  <w:tcBorders>
                    <w:tl2br w:val="nil"/>
                    <w:tr2bl w:val="nil"/>
                  </w:tcBorders>
                  <w:vAlign w:val="center"/>
                </w:tcPr>
                <w:p w14:paraId="7C1C62DC">
                  <w:pPr>
                    <w:pStyle w:val="119"/>
                    <w:snapToGrid w:val="0"/>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 xml:space="preserve">主要环境风险管控措施 </w:t>
                  </w:r>
                </w:p>
              </w:tc>
              <w:tc>
                <w:tcPr>
                  <w:tcW w:w="1435" w:type="pct"/>
                  <w:tcBorders>
                    <w:tl2br w:val="nil"/>
                    <w:tr2bl w:val="nil"/>
                  </w:tcBorders>
                  <w:vAlign w:val="center"/>
                </w:tcPr>
                <w:p w14:paraId="680992B9">
                  <w:pPr>
                    <w:pStyle w:val="119"/>
                    <w:snapToGrid w:val="0"/>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本项目情况</w:t>
                  </w:r>
                </w:p>
              </w:tc>
              <w:tc>
                <w:tcPr>
                  <w:tcW w:w="395" w:type="pct"/>
                  <w:tcBorders>
                    <w:tl2br w:val="nil"/>
                    <w:tr2bl w:val="nil"/>
                  </w:tcBorders>
                  <w:vAlign w:val="center"/>
                </w:tcPr>
                <w:p w14:paraId="524EA656">
                  <w:pPr>
                    <w:pStyle w:val="120"/>
                    <w:widowControl w:val="0"/>
                    <w:tabs>
                      <w:tab w:val="left" w:pos="0"/>
                    </w:tabs>
                    <w:spacing w:before="0" w:after="0" w:line="240" w:lineRule="auto"/>
                    <w:ind w:right="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相符性</w:t>
                  </w:r>
                </w:p>
              </w:tc>
            </w:tr>
            <w:tr w14:paraId="5A661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46" w:type="pct"/>
                  <w:vMerge w:val="restart"/>
                  <w:tcBorders>
                    <w:tl2br w:val="nil"/>
                    <w:tr2bl w:val="nil"/>
                  </w:tcBorders>
                  <w:vAlign w:val="center"/>
                </w:tcPr>
                <w:p w14:paraId="518F01BD">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抗生素（本项目使用氨苄青霉素钠、盐酸壮观霉素、硫酸卡那霉素）</w:t>
                  </w:r>
                </w:p>
              </w:tc>
              <w:tc>
                <w:tcPr>
                  <w:tcW w:w="1922" w:type="pct"/>
                  <w:tcBorders>
                    <w:tl2br w:val="nil"/>
                    <w:tr2bl w:val="nil"/>
                  </w:tcBorders>
                  <w:vAlign w:val="center"/>
                </w:tcPr>
                <w:p w14:paraId="764285F9">
                  <w:pPr>
                    <w:pStyle w:val="120"/>
                    <w:widowControl w:val="0"/>
                    <w:tabs>
                      <w:tab w:val="left" w:pos="0"/>
                    </w:tabs>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 严格落实零售药店凭处方销售处方药类抗菌药物，推行凭兽医处方销售使用兽用抗菌药物。</w:t>
                  </w:r>
                </w:p>
              </w:tc>
              <w:tc>
                <w:tcPr>
                  <w:tcW w:w="1435" w:type="pct"/>
                  <w:tcBorders>
                    <w:tl2br w:val="nil"/>
                    <w:tr2bl w:val="nil"/>
                  </w:tcBorders>
                  <w:vAlign w:val="center"/>
                </w:tcPr>
                <w:p w14:paraId="711AAB3F">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本项目不涉及</w:t>
                  </w:r>
                </w:p>
              </w:tc>
              <w:tc>
                <w:tcPr>
                  <w:tcW w:w="395" w:type="pct"/>
                  <w:tcBorders>
                    <w:tl2br w:val="nil"/>
                    <w:tr2bl w:val="nil"/>
                  </w:tcBorders>
                  <w:vAlign w:val="center"/>
                </w:tcPr>
                <w:p w14:paraId="27289197">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09D41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46" w:type="pct"/>
                  <w:vMerge w:val="continue"/>
                  <w:tcBorders>
                    <w:tl2br w:val="nil"/>
                    <w:tr2bl w:val="nil"/>
                  </w:tcBorders>
                  <w:vAlign w:val="center"/>
                </w:tcPr>
                <w:p w14:paraId="18BACF9E">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p>
              </w:tc>
              <w:tc>
                <w:tcPr>
                  <w:tcW w:w="1922" w:type="pct"/>
                  <w:tcBorders>
                    <w:tl2br w:val="nil"/>
                    <w:tr2bl w:val="nil"/>
                  </w:tcBorders>
                  <w:vAlign w:val="center"/>
                </w:tcPr>
                <w:p w14:paraId="51BBB1FF">
                  <w:pPr>
                    <w:pStyle w:val="120"/>
                    <w:widowControl w:val="0"/>
                    <w:tabs>
                      <w:tab w:val="left" w:pos="0"/>
                    </w:tabs>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 抗生素生产过程中产生的抗生素菌渣，根据国家危险废物名录或者危险废物鉴别标准，判定属于危险废物的，应当按照危险废物实施环境管理。</w:t>
                  </w:r>
                </w:p>
              </w:tc>
              <w:tc>
                <w:tcPr>
                  <w:tcW w:w="1435" w:type="pct"/>
                  <w:tcBorders>
                    <w:tl2br w:val="nil"/>
                    <w:tr2bl w:val="nil"/>
                  </w:tcBorders>
                  <w:vAlign w:val="center"/>
                </w:tcPr>
                <w:p w14:paraId="28A8560F">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本项目产生的菌渣、实验室废气、实验室废液菌作为危废委托有资质单位处置</w:t>
                  </w:r>
                </w:p>
              </w:tc>
              <w:tc>
                <w:tcPr>
                  <w:tcW w:w="395" w:type="pct"/>
                  <w:tcBorders>
                    <w:tl2br w:val="nil"/>
                    <w:tr2bl w:val="nil"/>
                  </w:tcBorders>
                  <w:vAlign w:val="center"/>
                </w:tcPr>
                <w:p w14:paraId="5CFA4FCB">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64889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46" w:type="pct"/>
                  <w:vMerge w:val="continue"/>
                  <w:tcBorders>
                    <w:tl2br w:val="nil"/>
                    <w:tr2bl w:val="nil"/>
                  </w:tcBorders>
                  <w:vAlign w:val="center"/>
                </w:tcPr>
                <w:p w14:paraId="27895AE9">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p>
              </w:tc>
              <w:tc>
                <w:tcPr>
                  <w:tcW w:w="1922" w:type="pct"/>
                  <w:tcBorders>
                    <w:tl2br w:val="nil"/>
                    <w:tr2bl w:val="nil"/>
                  </w:tcBorders>
                  <w:vAlign w:val="center"/>
                </w:tcPr>
                <w:p w14:paraId="5B716BC4">
                  <w:pPr>
                    <w:pStyle w:val="120"/>
                    <w:widowControl w:val="0"/>
                    <w:tabs>
                      <w:tab w:val="left" w:pos="0"/>
                    </w:tabs>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 严格落实《发酵类制药工业水污染物排放标准》（GB21903）、《化学合成类制药工业水污染物排放标准》（GB21904）相关排放管控要求。</w:t>
                  </w:r>
                </w:p>
              </w:tc>
              <w:tc>
                <w:tcPr>
                  <w:tcW w:w="1435" w:type="pct"/>
                  <w:tcBorders>
                    <w:tl2br w:val="nil"/>
                    <w:tr2bl w:val="nil"/>
                  </w:tcBorders>
                  <w:vAlign w:val="center"/>
                </w:tcPr>
                <w:p w14:paraId="29403737">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本项目仅排放生活污水，涉及到抗生素均进入危险废物。本项目的目标产物主要应用领域为食品添加剂和化妆品，不属于制药行业。</w:t>
                  </w:r>
                </w:p>
              </w:tc>
              <w:tc>
                <w:tcPr>
                  <w:tcW w:w="395" w:type="pct"/>
                  <w:tcBorders>
                    <w:tl2br w:val="nil"/>
                    <w:tr2bl w:val="nil"/>
                  </w:tcBorders>
                  <w:vAlign w:val="center"/>
                </w:tcPr>
                <w:p w14:paraId="1F92F9DF">
                  <w:pPr>
                    <w:pStyle w:val="120"/>
                    <w:widowControl w:val="0"/>
                    <w:tabs>
                      <w:tab w:val="left" w:pos="0"/>
                    </w:tabs>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14:paraId="6849A02A">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11</w:t>
            </w:r>
            <w:r>
              <w:rPr>
                <w:b/>
                <w:bCs/>
                <w:color w:val="000000" w:themeColor="text1"/>
                <w:kern w:val="0"/>
                <w:sz w:val="24"/>
                <w14:textFill>
                  <w14:solidFill>
                    <w14:schemeClr w14:val="tx1"/>
                  </w14:solidFill>
                </w14:textFill>
              </w:rPr>
              <w:t>、与与《省生态环境厅关于加强重点管控新污染物及优先控制化学品环境管理工作的通知》（苏环办〔2023〕314号）相符性分析</w:t>
            </w:r>
          </w:p>
          <w:p w14:paraId="6B92562E">
            <w:pPr>
              <w:autoSpaceDE w:val="0"/>
              <w:autoSpaceDN w:val="0"/>
              <w:adjustRightInd w:val="0"/>
              <w:snapToGrid w:val="0"/>
              <w:spacing w:line="48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表1-</w:t>
            </w:r>
            <w:r>
              <w:rPr>
                <w:rFonts w:hint="eastAsia"/>
                <w:b/>
                <w:bCs/>
                <w:color w:val="000000" w:themeColor="text1"/>
                <w:kern w:val="0"/>
                <w:szCs w:val="21"/>
                <w14:textFill>
                  <w14:solidFill>
                    <w14:schemeClr w14:val="tx1"/>
                  </w14:solidFill>
                </w14:textFill>
              </w:rPr>
              <w:t>14</w:t>
            </w:r>
            <w:r>
              <w:rPr>
                <w:b/>
                <w:bCs/>
                <w:color w:val="000000" w:themeColor="text1"/>
                <w:kern w:val="0"/>
                <w:szCs w:val="21"/>
                <w14:textFill>
                  <w14:solidFill>
                    <w14:schemeClr w14:val="tx1"/>
                  </w14:solidFill>
                </w14:textFill>
              </w:rPr>
              <w:t xml:space="preserve">  与</w:t>
            </w:r>
            <w:r>
              <w:rPr>
                <w:rFonts w:hint="eastAsia"/>
                <w:b/>
                <w:bCs/>
                <w:color w:val="000000" w:themeColor="text1"/>
                <w:kern w:val="0"/>
                <w:szCs w:val="21"/>
                <w14:textFill>
                  <w14:solidFill>
                    <w14:schemeClr w14:val="tx1"/>
                  </w14:solidFill>
                </w14:textFill>
              </w:rPr>
              <w:t>（苏环办〔2023〕314号）</w:t>
            </w:r>
            <w:r>
              <w:rPr>
                <w:b/>
                <w:bCs/>
                <w:color w:val="000000" w:themeColor="text1"/>
                <w:kern w:val="0"/>
                <w:szCs w:val="21"/>
                <w14:textFill>
                  <w14:solidFill>
                    <w14:schemeClr w14:val="tx1"/>
                  </w14:solidFill>
                </w14:textFill>
              </w:rPr>
              <w:t>的相符性分析</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35"/>
              <w:gridCol w:w="3121"/>
              <w:gridCol w:w="1388"/>
            </w:tblGrid>
            <w:tr w14:paraId="17F86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0" w:type="pct"/>
                  <w:tcBorders>
                    <w:tl2br w:val="nil"/>
                    <w:tr2bl w:val="nil"/>
                  </w:tcBorders>
                  <w:vAlign w:val="center"/>
                </w:tcPr>
                <w:p w14:paraId="68010444">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要求</w:t>
                  </w:r>
                </w:p>
              </w:tc>
              <w:tc>
                <w:tcPr>
                  <w:tcW w:w="1688" w:type="pct"/>
                  <w:tcBorders>
                    <w:tl2br w:val="nil"/>
                    <w:tr2bl w:val="nil"/>
                  </w:tcBorders>
                  <w:vAlign w:val="center"/>
                </w:tcPr>
                <w:p w14:paraId="0A0D91BA">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本项目相关内容</w:t>
                  </w:r>
                </w:p>
              </w:tc>
              <w:tc>
                <w:tcPr>
                  <w:tcW w:w="751" w:type="pct"/>
                  <w:tcBorders>
                    <w:tl2br w:val="nil"/>
                    <w:tr2bl w:val="nil"/>
                  </w:tcBorders>
                  <w:vAlign w:val="center"/>
                </w:tcPr>
                <w:p w14:paraId="459C4B0F">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14:paraId="34EC7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0" w:type="pct"/>
                  <w:tcBorders>
                    <w:tl2br w:val="nil"/>
                    <w:tr2bl w:val="nil"/>
                  </w:tcBorders>
                  <w:vAlign w:val="center"/>
                </w:tcPr>
                <w:p w14:paraId="302E8039">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按照《重点管控新污染物清单（2023年版）》要求，对列入清单的重点管控新污染物，采取相应的禁止、限制、限排、环境监测、隐患排查、环境风险评估等环境风险管控措施。涉重点管控新污染物的企业依照《环境监管重点单位名录管理办法》纳入环境监管重点单位。针对重点管控新污染物清单中环境风险管控措施的落实情况，会同有关部门每年至少组织开展一次联合执法或联合检查，依法严厉打击已淘汰持久性有机污染物等管控物质的非法生产和加工使用行为。</w:t>
                  </w:r>
                </w:p>
              </w:tc>
              <w:tc>
                <w:tcPr>
                  <w:tcW w:w="1688" w:type="pct"/>
                  <w:tcBorders>
                    <w:tl2br w:val="nil"/>
                    <w:tr2bl w:val="nil"/>
                  </w:tcBorders>
                  <w:vAlign w:val="center"/>
                </w:tcPr>
                <w:p w14:paraId="02F9E9A5">
                  <w:pPr>
                    <w:autoSpaceDE w:val="0"/>
                    <w:autoSpaceDN w:val="0"/>
                    <w:adjustRightInd w:val="0"/>
                    <w:snapToGrid w:val="0"/>
                    <w:jc w:val="center"/>
                    <w:rPr>
                      <w:color w:val="000000" w:themeColor="text1"/>
                      <w:szCs w:val="21"/>
                      <w14:textFill>
                        <w14:solidFill>
                          <w14:schemeClr w14:val="tx1"/>
                        </w14:solidFill>
                      </w14:textFill>
                    </w:rPr>
                  </w:pPr>
                  <w:r>
                    <w:rPr>
                      <w:snapToGrid w:val="0"/>
                      <w:color w:val="000000" w:themeColor="text1"/>
                      <w:kern w:val="0"/>
                      <w:szCs w:val="21"/>
                      <w14:textFill>
                        <w14:solidFill>
                          <w14:schemeClr w14:val="tx1"/>
                        </w14:solidFill>
                      </w14:textFill>
                    </w:rPr>
                    <w:t>本项目涉及氨苄青霉素钠、盐酸壮观霉素、硫酸卡那霉素等抗生素，属于新污染物</w:t>
                  </w:r>
                  <w:r>
                    <w:rPr>
                      <w:rFonts w:hint="eastAsia"/>
                      <w:snapToGrid w:val="0"/>
                      <w:color w:val="000000" w:themeColor="text1"/>
                      <w:kern w:val="0"/>
                      <w:szCs w:val="21"/>
                      <w14:textFill>
                        <w14:solidFill>
                          <w14:schemeClr w14:val="tx1"/>
                        </w14:solidFill>
                      </w14:textFill>
                    </w:rPr>
                    <w:t>，采取</w:t>
                  </w:r>
                  <w:r>
                    <w:rPr>
                      <w:color w:val="000000" w:themeColor="text1"/>
                      <w:szCs w:val="21"/>
                      <w14:textFill>
                        <w14:solidFill>
                          <w14:schemeClr w14:val="tx1"/>
                        </w14:solidFill>
                      </w14:textFill>
                    </w:rPr>
                    <w:t>相应的禁止、限制、限排、环境监测、隐患排查、环境风险评估等环境风险管控措施。</w:t>
                  </w:r>
                  <w:r>
                    <w:rPr>
                      <w:rFonts w:hint="eastAsia"/>
                      <w:color w:val="000000" w:themeColor="text1"/>
                      <w:szCs w:val="21"/>
                      <w14:textFill>
                        <w14:solidFill>
                          <w14:schemeClr w14:val="tx1"/>
                        </w14:solidFill>
                      </w14:textFill>
                    </w:rPr>
                    <w:t>项目建成后纳排污许可制度管理。</w:t>
                  </w:r>
                </w:p>
              </w:tc>
              <w:tc>
                <w:tcPr>
                  <w:tcW w:w="751" w:type="pct"/>
                  <w:tcBorders>
                    <w:tl2br w:val="nil"/>
                    <w:tr2bl w:val="nil"/>
                  </w:tcBorders>
                  <w:vAlign w:val="center"/>
                </w:tcPr>
                <w:p w14:paraId="488517BD">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bl>
          <w:p w14:paraId="6F457720">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12</w:t>
            </w:r>
            <w:r>
              <w:rPr>
                <w:b/>
                <w:bCs/>
                <w:color w:val="000000" w:themeColor="text1"/>
                <w:kern w:val="0"/>
                <w:sz w:val="24"/>
                <w14:textFill>
                  <w14:solidFill>
                    <w14:schemeClr w14:val="tx1"/>
                  </w14:solidFill>
                </w14:textFill>
              </w:rPr>
              <w:t>、与《江苏省重点行业工业企业雨水排放环境管理办法（试行）》</w:t>
            </w:r>
            <w:r>
              <w:rPr>
                <w:rFonts w:hint="eastAsia"/>
                <w:b/>
                <w:bCs/>
                <w:color w:val="000000" w:themeColor="text1"/>
                <w:kern w:val="0"/>
                <w:sz w:val="24"/>
                <w14:textFill>
                  <w14:solidFill>
                    <w14:schemeClr w14:val="tx1"/>
                  </w14:solidFill>
                </w14:textFill>
              </w:rPr>
              <w:t>（</w:t>
            </w:r>
            <w:r>
              <w:rPr>
                <w:b/>
                <w:bCs/>
                <w:color w:val="000000" w:themeColor="text1"/>
                <w:kern w:val="0"/>
                <w:sz w:val="24"/>
                <w14:textFill>
                  <w14:solidFill>
                    <w14:schemeClr w14:val="tx1"/>
                  </w14:solidFill>
                </w14:textFill>
              </w:rPr>
              <w:t>苏污防攻坚指办〔2023〕71号</w:t>
            </w:r>
            <w:r>
              <w:rPr>
                <w:rFonts w:hint="eastAsia"/>
                <w:b/>
                <w:bCs/>
                <w:color w:val="000000" w:themeColor="text1"/>
                <w:kern w:val="0"/>
                <w:sz w:val="24"/>
                <w14:textFill>
                  <w14:solidFill>
                    <w14:schemeClr w14:val="tx1"/>
                  </w14:solidFill>
                </w14:textFill>
              </w:rPr>
              <w:t>）</w:t>
            </w:r>
            <w:r>
              <w:rPr>
                <w:b/>
                <w:bCs/>
                <w:color w:val="000000" w:themeColor="text1"/>
                <w:kern w:val="0"/>
                <w:sz w:val="24"/>
                <w14:textFill>
                  <w14:solidFill>
                    <w14:schemeClr w14:val="tx1"/>
                  </w14:solidFill>
                </w14:textFill>
              </w:rPr>
              <w:t>相符性分析</w:t>
            </w:r>
          </w:p>
          <w:p w14:paraId="56F7E662">
            <w:pPr>
              <w:autoSpaceDE w:val="0"/>
              <w:autoSpaceDN w:val="0"/>
              <w:adjustRightInd w:val="0"/>
              <w:snapToGrid w:val="0"/>
              <w:spacing w:line="48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表1-</w:t>
            </w:r>
            <w:r>
              <w:rPr>
                <w:rFonts w:hint="eastAsia"/>
                <w:b/>
                <w:bCs/>
                <w:color w:val="000000" w:themeColor="text1"/>
                <w:kern w:val="0"/>
                <w:szCs w:val="21"/>
                <w14:textFill>
                  <w14:solidFill>
                    <w14:schemeClr w14:val="tx1"/>
                  </w14:solidFill>
                </w14:textFill>
              </w:rPr>
              <w:t>14</w:t>
            </w:r>
            <w:r>
              <w:rPr>
                <w:b/>
                <w:bCs/>
                <w:color w:val="000000" w:themeColor="text1"/>
                <w:kern w:val="0"/>
                <w:szCs w:val="21"/>
                <w14:textFill>
                  <w14:solidFill>
                    <w14:schemeClr w14:val="tx1"/>
                  </w14:solidFill>
                </w14:textFill>
              </w:rPr>
              <w:t xml:space="preserve">  与</w:t>
            </w:r>
            <w:r>
              <w:rPr>
                <w:rFonts w:hint="eastAsia"/>
                <w:b/>
                <w:bCs/>
                <w:color w:val="000000" w:themeColor="text1"/>
                <w:kern w:val="0"/>
                <w:szCs w:val="21"/>
                <w14:textFill>
                  <w14:solidFill>
                    <w14:schemeClr w14:val="tx1"/>
                  </w14:solidFill>
                </w14:textFill>
              </w:rPr>
              <w:t>（</w:t>
            </w:r>
            <w:r>
              <w:rPr>
                <w:b/>
                <w:bCs/>
                <w:color w:val="000000" w:themeColor="text1"/>
                <w:kern w:val="0"/>
                <w:szCs w:val="21"/>
                <w14:textFill>
                  <w14:solidFill>
                    <w14:schemeClr w14:val="tx1"/>
                  </w14:solidFill>
                </w14:textFill>
              </w:rPr>
              <w:t>苏污防攻坚指办〔2023〕71 号</w:t>
            </w:r>
            <w:r>
              <w:rPr>
                <w:rFonts w:hint="eastAsia"/>
                <w:b/>
                <w:bCs/>
                <w:color w:val="000000" w:themeColor="text1"/>
                <w:kern w:val="0"/>
                <w:szCs w:val="21"/>
                <w14:textFill>
                  <w14:solidFill>
                    <w14:schemeClr w14:val="tx1"/>
                  </w14:solidFill>
                </w14:textFill>
              </w:rPr>
              <w:t>）</w:t>
            </w:r>
            <w:r>
              <w:rPr>
                <w:b/>
                <w:bCs/>
                <w:color w:val="000000" w:themeColor="text1"/>
                <w:kern w:val="0"/>
                <w:szCs w:val="21"/>
                <w14:textFill>
                  <w14:solidFill>
                    <w14:schemeClr w14:val="tx1"/>
                  </w14:solidFill>
                </w14:textFill>
              </w:rPr>
              <w:t>的相符性分析</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34"/>
              <w:gridCol w:w="3123"/>
              <w:gridCol w:w="1389"/>
            </w:tblGrid>
            <w:tr w14:paraId="60A34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9" w:type="pct"/>
                  <w:tcBorders>
                    <w:tl2br w:val="nil"/>
                    <w:tr2bl w:val="nil"/>
                  </w:tcBorders>
                  <w:vAlign w:val="center"/>
                </w:tcPr>
                <w:p w14:paraId="7F4E1CD5">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要求</w:t>
                  </w:r>
                </w:p>
              </w:tc>
              <w:tc>
                <w:tcPr>
                  <w:tcW w:w="1688" w:type="pct"/>
                  <w:tcBorders>
                    <w:tl2br w:val="nil"/>
                    <w:tr2bl w:val="nil"/>
                  </w:tcBorders>
                  <w:vAlign w:val="center"/>
                </w:tcPr>
                <w:p w14:paraId="72B51269">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本项目相关内容</w:t>
                  </w:r>
                </w:p>
              </w:tc>
              <w:tc>
                <w:tcPr>
                  <w:tcW w:w="751" w:type="pct"/>
                  <w:tcBorders>
                    <w:tl2br w:val="nil"/>
                    <w:tr2bl w:val="nil"/>
                  </w:tcBorders>
                  <w:vAlign w:val="center"/>
                </w:tcPr>
                <w:p w14:paraId="279029E0">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14:paraId="69ECD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9" w:type="pct"/>
                  <w:tcBorders>
                    <w:tl2br w:val="nil"/>
                    <w:tr2bl w:val="nil"/>
                  </w:tcBorders>
                  <w:vAlign w:val="center"/>
                </w:tcPr>
                <w:p w14:paraId="72F02F2B">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江苏省重点行业工业企业雨水收集和排放环境管理适用本办法。本办法所称重点行业工业企业，是指化工、电镀、原料药制造、冶炼、印染行业的工业企业，以下简称“工业企业”</w:t>
                  </w:r>
                </w:p>
              </w:tc>
              <w:tc>
                <w:tcPr>
                  <w:tcW w:w="1688" w:type="pct"/>
                  <w:tcBorders>
                    <w:tl2br w:val="nil"/>
                    <w:tr2bl w:val="nil"/>
                  </w:tcBorders>
                  <w:vAlign w:val="center"/>
                </w:tcPr>
                <w:p w14:paraId="034E802F">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本项目不属于化工、电镀、</w:t>
                  </w:r>
                  <w:r>
                    <w:rPr>
                      <w:color w:val="000000" w:themeColor="text1"/>
                      <w:szCs w:val="21"/>
                      <w14:textFill>
                        <w14:solidFill>
                          <w14:schemeClr w14:val="tx1"/>
                        </w14:solidFill>
                      </w14:textFill>
                    </w:rPr>
                    <w:t>原料药制造、冶炼、印染行业</w:t>
                  </w:r>
                  <w:r>
                    <w:rPr>
                      <w:rFonts w:hint="eastAsia"/>
                      <w:color w:val="000000" w:themeColor="text1"/>
                      <w:szCs w:val="21"/>
                      <w14:textFill>
                        <w14:solidFill>
                          <w14:schemeClr w14:val="tx1"/>
                        </w14:solidFill>
                      </w14:textFill>
                    </w:rPr>
                    <w:t>等重点企业</w:t>
                  </w:r>
                </w:p>
              </w:tc>
              <w:tc>
                <w:tcPr>
                  <w:tcW w:w="751" w:type="pct"/>
                  <w:tcBorders>
                    <w:tl2br w:val="nil"/>
                    <w:tr2bl w:val="nil"/>
                  </w:tcBorders>
                  <w:vAlign w:val="center"/>
                </w:tcPr>
                <w:p w14:paraId="75982C6A">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6138A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9" w:type="pct"/>
                  <w:tcBorders>
                    <w:tl2br w:val="nil"/>
                    <w:tr2bl w:val="nil"/>
                  </w:tcBorders>
                  <w:vAlign w:val="center"/>
                </w:tcPr>
                <w:p w14:paraId="3E2EC01E">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应结合环境风险评估，制定雨水管理制度，规范雨水排放行为，绘制管网分布图，标明雨水管网、附属设施（收集池、检查井、提升泵等），以及排放口位置和水流流向，并标明厂区污染区域。本办法所称污染区域，是指企业日常生产，物料和产品装卸、存储及主要转运通道，污染治理等过程中易产生污染物遗撒或径流污染的区域。</w:t>
                  </w:r>
                </w:p>
              </w:tc>
              <w:tc>
                <w:tcPr>
                  <w:tcW w:w="1688" w:type="pct"/>
                  <w:tcBorders>
                    <w:tl2br w:val="nil"/>
                    <w:tr2bl w:val="nil"/>
                  </w:tcBorders>
                  <w:vAlign w:val="center"/>
                </w:tcPr>
                <w:p w14:paraId="228D2374">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本项目在建设过程中制定</w:t>
                  </w:r>
                  <w:r>
                    <w:rPr>
                      <w:color w:val="000000" w:themeColor="text1"/>
                      <w:szCs w:val="21"/>
                      <w14:textFill>
                        <w14:solidFill>
                          <w14:schemeClr w14:val="tx1"/>
                        </w14:solidFill>
                      </w14:textFill>
                    </w:rPr>
                    <w:t>雨水管理制度</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绘制管网分布图，标明雨水管网、附属设施，以及排放口位置和水流流向。</w:t>
                  </w:r>
                  <w:r>
                    <w:rPr>
                      <w:rFonts w:hint="eastAsia"/>
                      <w:color w:val="000000" w:themeColor="text1"/>
                      <w:szCs w:val="21"/>
                      <w14:textFill>
                        <w14:solidFill>
                          <w14:schemeClr w14:val="tx1"/>
                        </w14:solidFill>
                      </w14:textFill>
                    </w:rPr>
                    <w:t>企业物料运输及生产过程均在厂房内进行，不涉及污染物跑冒滴漏现象，无厂区污染区域，不需收集初期雨水，无需设置初期雨水池。</w:t>
                  </w:r>
                </w:p>
              </w:tc>
              <w:tc>
                <w:tcPr>
                  <w:tcW w:w="751" w:type="pct"/>
                  <w:tcBorders>
                    <w:tl2br w:val="nil"/>
                    <w:tr2bl w:val="nil"/>
                  </w:tcBorders>
                  <w:vAlign w:val="center"/>
                </w:tcPr>
                <w:p w14:paraId="1B95E9D7">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667C5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9" w:type="pct"/>
                  <w:tcBorders>
                    <w:tl2br w:val="nil"/>
                    <w:tr2bl w:val="nil"/>
                  </w:tcBorders>
                  <w:vAlign w:val="center"/>
                </w:tcPr>
                <w:p w14:paraId="55AA2C49">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应根据厂区地形、平面布置、污染区域及环境管理要求等开展雨水分区收集，建设独立雨水收集系统，实现雨水收集系统全覆盖。实施雨污分流、清污分流，严禁将生产废水和生活污水接入雨水收集系统，或出现溢流、渗漏进入雨水收集管网的现象。</w:t>
                  </w:r>
                </w:p>
              </w:tc>
              <w:tc>
                <w:tcPr>
                  <w:tcW w:w="1688" w:type="pct"/>
                  <w:tcBorders>
                    <w:tl2br w:val="nil"/>
                    <w:tr2bl w:val="nil"/>
                  </w:tcBorders>
                  <w:vAlign w:val="center"/>
                </w:tcPr>
                <w:p w14:paraId="7C71D9C3">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项目依托园区现有雨污分流系统。雨水收集系统全覆盖，雨水排口已设置截流阀。</w:t>
                  </w:r>
                </w:p>
              </w:tc>
              <w:tc>
                <w:tcPr>
                  <w:tcW w:w="751" w:type="pct"/>
                  <w:tcBorders>
                    <w:tl2br w:val="nil"/>
                    <w:tr2bl w:val="nil"/>
                  </w:tcBorders>
                  <w:vAlign w:val="center"/>
                </w:tcPr>
                <w:p w14:paraId="36BC0799">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bl>
          <w:p w14:paraId="4B69FFC9">
            <w:pPr>
              <w:pStyle w:val="9"/>
              <w:numPr>
                <w:ilvl w:val="0"/>
                <w:numId w:val="0"/>
              </w:numPr>
              <w:spacing w:line="480" w:lineRule="exact"/>
              <w:rPr>
                <w:b/>
                <w:bCs/>
                <w:color w:val="000000" w:themeColor="text1"/>
                <w:kern w:val="0"/>
                <w:sz w:val="24"/>
                <w14:textFill>
                  <w14:solidFill>
                    <w14:schemeClr w14:val="tx1"/>
                  </w14:solidFill>
                </w14:textFill>
              </w:rPr>
            </w:pPr>
          </w:p>
        </w:tc>
      </w:tr>
    </w:tbl>
    <w:p w14:paraId="11A62927">
      <w:pPr>
        <w:pStyle w:val="9"/>
        <w:numPr>
          <w:ilvl w:val="0"/>
          <w:numId w:val="0"/>
        </w:numPr>
        <w:rPr>
          <w:color w:val="000000" w:themeColor="text1"/>
          <w14:textFill>
            <w14:solidFill>
              <w14:schemeClr w14:val="tx1"/>
            </w14:solidFill>
          </w14:textFill>
        </w:rPr>
        <w:sectPr>
          <w:pgSz w:w="11906" w:h="16838"/>
          <w:pgMar w:top="1440" w:right="1080" w:bottom="1440" w:left="1080" w:header="851" w:footer="1077" w:gutter="0"/>
          <w:cols w:space="720" w:num="1"/>
          <w:docGrid w:linePitch="312" w:charSpace="0"/>
        </w:sectPr>
      </w:pPr>
    </w:p>
    <w:p w14:paraId="2E85669B">
      <w:pPr>
        <w:pStyle w:val="21"/>
        <w:numPr>
          <w:ilvl w:val="0"/>
          <w:numId w:val="5"/>
        </w:numPr>
        <w:spacing w:before="0" w:beforeAutospacing="0" w:after="0" w:afterAutospacing="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t>建设项目工程分析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9508"/>
      </w:tblGrid>
      <w:tr w14:paraId="58F5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dxa"/>
            <w:vAlign w:val="center"/>
          </w:tcPr>
          <w:p w14:paraId="4EBE0CF1">
            <w:pPr>
              <w:spacing w:line="360" w:lineRule="exact"/>
              <w:jc w:val="center"/>
              <w:rPr>
                <w:color w:val="000000" w:themeColor="text1"/>
                <w:spacing w:val="-2"/>
                <w:sz w:val="24"/>
                <w14:textFill>
                  <w14:solidFill>
                    <w14:schemeClr w14:val="tx1"/>
                  </w14:solidFill>
                </w14:textFill>
              </w:rPr>
            </w:pPr>
            <w:r>
              <w:rPr>
                <w:color w:val="000000" w:themeColor="text1"/>
                <w:sz w:val="24"/>
                <w14:textFill>
                  <w14:solidFill>
                    <w14:schemeClr w14:val="tx1"/>
                  </w14:solidFill>
                </w14:textFill>
              </w:rPr>
              <w:t>建设内容</w:t>
            </w:r>
          </w:p>
        </w:tc>
        <w:tc>
          <w:tcPr>
            <w:tcW w:w="8617" w:type="dxa"/>
            <w:vAlign w:val="center"/>
          </w:tcPr>
          <w:p w14:paraId="6C036213">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1、项目由来</w:t>
            </w:r>
          </w:p>
          <w:p w14:paraId="58D65BA7">
            <w:pPr>
              <w:spacing w:line="480" w:lineRule="exact"/>
              <w:ind w:firstLine="472" w:firstLineChars="200"/>
              <w:rPr>
                <w:color w:val="000000" w:themeColor="text1"/>
                <w:spacing w:val="-2"/>
                <w:sz w:val="24"/>
                <w14:textFill>
                  <w14:solidFill>
                    <w14:schemeClr w14:val="tx1"/>
                  </w14:solidFill>
                </w14:textFill>
              </w:rPr>
            </w:pPr>
            <w:bookmarkStart w:id="10" w:name="OLE_LINK4"/>
            <w:r>
              <w:rPr>
                <w:color w:val="000000" w:themeColor="text1"/>
                <w:spacing w:val="-2"/>
                <w:sz w:val="24"/>
                <w14:textFill>
                  <w14:solidFill>
                    <w14:schemeClr w14:val="tx1"/>
                  </w14:solidFill>
                </w14:textFill>
              </w:rPr>
              <w:t>博帝生物技术（常州）有限公司</w:t>
            </w:r>
            <w:bookmarkEnd w:id="10"/>
            <w:r>
              <w:rPr>
                <w:color w:val="000000" w:themeColor="text1"/>
                <w:spacing w:val="-2"/>
                <w:sz w:val="24"/>
                <w14:textFill>
                  <w14:solidFill>
                    <w14:schemeClr w14:val="tx1"/>
                  </w14:solidFill>
                </w14:textFill>
              </w:rPr>
              <w:t>成立于2024年02月06日，位于常州市金坛区西城路118号，租用</w:t>
            </w:r>
            <w:r>
              <w:rPr>
                <w:color w:val="000000" w:themeColor="text1"/>
                <w:sz w:val="24"/>
                <w14:textFill>
                  <w14:solidFill>
                    <w14:schemeClr w14:val="tx1"/>
                  </w14:solidFill>
                </w14:textFill>
              </w:rPr>
              <w:t>蓝色彩虹(常州)孵化器有限公司内的现有空置厂房，</w:t>
            </w:r>
            <w:r>
              <w:rPr>
                <w:color w:val="000000" w:themeColor="text1"/>
                <w:spacing w:val="-2"/>
                <w:sz w:val="24"/>
                <w14:textFill>
                  <w14:solidFill>
                    <w14:schemeClr w14:val="tx1"/>
                  </w14:solidFill>
                </w14:textFill>
              </w:rPr>
              <w:t>面积156m</w:t>
            </w:r>
            <w:r>
              <w:rPr>
                <w:color w:val="000000" w:themeColor="text1"/>
                <w:spacing w:val="-2"/>
                <w:sz w:val="24"/>
                <w:vertAlign w:val="superscript"/>
                <w14:textFill>
                  <w14:solidFill>
                    <w14:schemeClr w14:val="tx1"/>
                  </w14:solidFill>
                </w14:textFill>
              </w:rPr>
              <w:t>2</w:t>
            </w:r>
            <w:r>
              <w:rPr>
                <w:color w:val="000000" w:themeColor="text1"/>
                <w:spacing w:val="-2"/>
                <w:sz w:val="24"/>
                <w14:textFill>
                  <w14:solidFill>
                    <w14:schemeClr w14:val="tx1"/>
                  </w14:solidFill>
                </w14:textFill>
              </w:rPr>
              <w:t>，主要以代谢工程和合成生物学技术改造基因工程菌实验为主。</w:t>
            </w:r>
            <w:bookmarkStart w:id="11" w:name="OLE_LINK52"/>
          </w:p>
          <w:p w14:paraId="56C9442D">
            <w:pPr>
              <w:spacing w:line="480" w:lineRule="exact"/>
              <w:ind w:firstLine="472" w:firstLineChars="200"/>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博帝生物技术（常州）有限公司拟投资3000万元，租用厂房156m</w:t>
            </w:r>
            <w:r>
              <w:rPr>
                <w:color w:val="000000" w:themeColor="text1"/>
                <w:spacing w:val="-2"/>
                <w:sz w:val="24"/>
                <w:vertAlign w:val="superscript"/>
                <w14:textFill>
                  <w14:solidFill>
                    <w14:schemeClr w14:val="tx1"/>
                  </w14:solidFill>
                </w14:textFill>
              </w:rPr>
              <w:t>2</w:t>
            </w:r>
            <w:r>
              <w:rPr>
                <w:color w:val="000000" w:themeColor="text1"/>
                <w:spacing w:val="-2"/>
                <w:sz w:val="24"/>
                <w14:textFill>
                  <w14:solidFill>
                    <w14:schemeClr w14:val="tx1"/>
                  </w14:solidFill>
                </w14:textFill>
              </w:rPr>
              <w:t>，建设合成生物实验室，实现从上游菌种构建到下游发酵罐发酵、提取纯化的工艺开发和优化</w:t>
            </w:r>
            <w:bookmarkEnd w:id="11"/>
            <w:r>
              <w:rPr>
                <w:color w:val="000000" w:themeColor="text1"/>
                <w:spacing w:val="-2"/>
                <w:sz w:val="24"/>
                <w14:textFill>
                  <w14:solidFill>
                    <w14:schemeClr w14:val="tx1"/>
                  </w14:solidFill>
                </w14:textFill>
              </w:rPr>
              <w:t>。本项目于2024年12月20日取得了江苏金坛经济开发区经济发展局出具的江苏省投资项目备案证（备案证号：坛开经发备字[2024]286号，项目代码：</w:t>
            </w:r>
            <w:r>
              <w:rPr>
                <w:rFonts w:hint="eastAsia"/>
                <w:color w:val="000000" w:themeColor="text1"/>
                <w:sz w:val="24"/>
                <w14:textFill>
                  <w14:solidFill>
                    <w14:schemeClr w14:val="tx1"/>
                  </w14:solidFill>
                </w14:textFill>
              </w:rPr>
              <w:t>2412-320458-89-01-346613</w:t>
            </w:r>
            <w:r>
              <w:rPr>
                <w:color w:val="000000" w:themeColor="text1"/>
                <w:spacing w:val="-2"/>
                <w:sz w:val="24"/>
                <w14:textFill>
                  <w14:solidFill>
                    <w14:schemeClr w14:val="tx1"/>
                  </w14:solidFill>
                </w14:textFill>
              </w:rPr>
              <w:t>）。该项目于202</w:t>
            </w:r>
            <w:r>
              <w:rPr>
                <w:rFonts w:hint="eastAsia"/>
                <w:color w:val="000000" w:themeColor="text1"/>
                <w:spacing w:val="-2"/>
                <w:sz w:val="24"/>
                <w14:textFill>
                  <w14:solidFill>
                    <w14:schemeClr w14:val="tx1"/>
                  </w14:solidFill>
                </w14:textFill>
              </w:rPr>
              <w:t>5</w:t>
            </w:r>
            <w:r>
              <w:rPr>
                <w:color w:val="000000" w:themeColor="text1"/>
                <w:spacing w:val="-2"/>
                <w:sz w:val="24"/>
                <w14:textFill>
                  <w14:solidFill>
                    <w14:schemeClr w14:val="tx1"/>
                  </w14:solidFill>
                </w14:textFill>
              </w:rPr>
              <w:t>年</w:t>
            </w:r>
            <w:r>
              <w:rPr>
                <w:rFonts w:hint="eastAsia"/>
                <w:color w:val="000000" w:themeColor="text1"/>
                <w:spacing w:val="-2"/>
                <w:sz w:val="24"/>
                <w14:textFill>
                  <w14:solidFill>
                    <w14:schemeClr w14:val="tx1"/>
                  </w14:solidFill>
                </w14:textFill>
              </w:rPr>
              <w:t>7</w:t>
            </w:r>
            <w:r>
              <w:rPr>
                <w:color w:val="000000" w:themeColor="text1"/>
                <w:spacing w:val="-2"/>
                <w:sz w:val="24"/>
                <w14:textFill>
                  <w14:solidFill>
                    <w14:schemeClr w14:val="tx1"/>
                  </w14:solidFill>
                </w14:textFill>
              </w:rPr>
              <w:t>月</w:t>
            </w:r>
            <w:r>
              <w:rPr>
                <w:rFonts w:hint="eastAsia"/>
                <w:color w:val="000000" w:themeColor="text1"/>
                <w:spacing w:val="-2"/>
                <w:sz w:val="24"/>
                <w14:textFill>
                  <w14:solidFill>
                    <w14:schemeClr w14:val="tx1"/>
                  </w14:solidFill>
                </w14:textFill>
              </w:rPr>
              <w:t>21</w:t>
            </w:r>
            <w:r>
              <w:rPr>
                <w:color w:val="000000" w:themeColor="text1"/>
                <w:spacing w:val="-2"/>
                <w:sz w:val="24"/>
                <w14:textFill>
                  <w14:solidFill>
                    <w14:schemeClr w14:val="tx1"/>
                  </w14:solidFill>
                </w14:textFill>
              </w:rPr>
              <w:t>日取得常州市生态环境局批复，审批文号为常金环审[202</w:t>
            </w:r>
            <w:r>
              <w:rPr>
                <w:rFonts w:hint="eastAsia"/>
                <w:color w:val="000000" w:themeColor="text1"/>
                <w:spacing w:val="-2"/>
                <w:sz w:val="24"/>
                <w14:textFill>
                  <w14:solidFill>
                    <w14:schemeClr w14:val="tx1"/>
                  </w14:solidFill>
                </w14:textFill>
              </w:rPr>
              <w:t>5</w:t>
            </w:r>
            <w:r>
              <w:rPr>
                <w:color w:val="000000" w:themeColor="text1"/>
                <w:spacing w:val="-2"/>
                <w:sz w:val="24"/>
                <w14:textFill>
                  <w14:solidFill>
                    <w14:schemeClr w14:val="tx1"/>
                  </w14:solidFill>
                </w14:textFill>
              </w:rPr>
              <w:t>]</w:t>
            </w:r>
            <w:r>
              <w:rPr>
                <w:rFonts w:hint="eastAsia"/>
                <w:color w:val="000000" w:themeColor="text1"/>
                <w:spacing w:val="-2"/>
                <w:sz w:val="24"/>
                <w14:textFill>
                  <w14:solidFill>
                    <w14:schemeClr w14:val="tx1"/>
                  </w14:solidFill>
                </w14:textFill>
              </w:rPr>
              <w:t>85</w:t>
            </w:r>
            <w:r>
              <w:rPr>
                <w:color w:val="000000" w:themeColor="text1"/>
                <w:spacing w:val="-2"/>
                <w:sz w:val="24"/>
                <w14:textFill>
                  <w14:solidFill>
                    <w14:schemeClr w14:val="tx1"/>
                  </w14:solidFill>
                </w14:textFill>
              </w:rPr>
              <w:t>号。</w:t>
            </w:r>
          </w:p>
          <w:p w14:paraId="7D432409">
            <w:pPr>
              <w:spacing w:line="480" w:lineRule="exact"/>
              <w:ind w:firstLine="472" w:firstLineChars="200"/>
              <w:rPr>
                <w:color w:val="000000" w:themeColor="text1"/>
                <w:spacing w:val="-2"/>
                <w:sz w:val="24"/>
                <w14:textFill>
                  <w14:solidFill>
                    <w14:schemeClr w14:val="tx1"/>
                  </w14:solidFill>
                </w14:textFill>
              </w:rPr>
            </w:pPr>
            <w:r>
              <w:rPr>
                <w:rFonts w:hint="eastAsia"/>
                <w:color w:val="000000" w:themeColor="text1"/>
                <w:spacing w:val="-2"/>
                <w:sz w:val="24"/>
                <w:lang w:val="en-US" w:eastAsia="zh-CN"/>
                <w14:textFill>
                  <w14:solidFill>
                    <w14:schemeClr w14:val="tx1"/>
                  </w14:solidFill>
                </w14:textFill>
              </w:rPr>
              <w:t>该项目于2026年1月26日重新备案，</w:t>
            </w:r>
            <w:r>
              <w:rPr>
                <w:color w:val="000000" w:themeColor="text1"/>
                <w:spacing w:val="-2"/>
                <w:sz w:val="24"/>
                <w14:textFill>
                  <w14:solidFill>
                    <w14:schemeClr w14:val="tx1"/>
                  </w14:solidFill>
                </w14:textFill>
              </w:rPr>
              <w:t>备案证号：坛开经发备字[202</w:t>
            </w:r>
            <w:r>
              <w:rPr>
                <w:rFonts w:hint="eastAsia"/>
                <w:color w:val="000000" w:themeColor="text1"/>
                <w:spacing w:val="-2"/>
                <w:sz w:val="24"/>
                <w:lang w:val="en-US" w:eastAsia="zh-CN"/>
                <w14:textFill>
                  <w14:solidFill>
                    <w14:schemeClr w14:val="tx1"/>
                  </w14:solidFill>
                </w14:textFill>
              </w:rPr>
              <w:t>6</w:t>
            </w:r>
            <w:r>
              <w:rPr>
                <w:color w:val="000000" w:themeColor="text1"/>
                <w:spacing w:val="-2"/>
                <w:sz w:val="24"/>
                <w14:textFill>
                  <w14:solidFill>
                    <w14:schemeClr w14:val="tx1"/>
                  </w14:solidFill>
                </w14:textFill>
              </w:rPr>
              <w:t>]</w:t>
            </w:r>
            <w:r>
              <w:rPr>
                <w:rFonts w:hint="eastAsia"/>
                <w:color w:val="000000" w:themeColor="text1"/>
                <w:spacing w:val="-2"/>
                <w:sz w:val="24"/>
                <w:lang w:val="en-US" w:eastAsia="zh-CN"/>
                <w14:textFill>
                  <w14:solidFill>
                    <w14:schemeClr w14:val="tx1"/>
                  </w14:solidFill>
                </w14:textFill>
              </w:rPr>
              <w:t>21</w:t>
            </w:r>
            <w:r>
              <w:rPr>
                <w:color w:val="000000" w:themeColor="text1"/>
                <w:spacing w:val="-2"/>
                <w:sz w:val="24"/>
                <w14:textFill>
                  <w14:solidFill>
                    <w14:schemeClr w14:val="tx1"/>
                  </w14:solidFill>
                </w14:textFill>
              </w:rPr>
              <w:t>号，项目代码：</w:t>
            </w:r>
            <w:r>
              <w:rPr>
                <w:rFonts w:hint="eastAsia"/>
                <w:color w:val="000000" w:themeColor="text1"/>
                <w:sz w:val="24"/>
                <w14:textFill>
                  <w14:solidFill>
                    <w14:schemeClr w14:val="tx1"/>
                  </w14:solidFill>
                </w14:textFill>
              </w:rPr>
              <w:t>2601-320458-89-01-450141</w:t>
            </w:r>
            <w:r>
              <w:rPr>
                <w:rFonts w:hint="eastAsia"/>
                <w:color w:val="000000" w:themeColor="text1"/>
                <w:sz w:val="24"/>
                <w:lang w:eastAsia="zh-CN"/>
                <w14:textFill>
                  <w14:solidFill>
                    <w14:schemeClr w14:val="tx1"/>
                  </w14:solidFill>
                </w14:textFill>
              </w:rPr>
              <w:t>。</w:t>
            </w:r>
            <w:r>
              <w:rPr>
                <w:rFonts w:hint="eastAsia"/>
                <w:color w:val="000000" w:themeColor="text1"/>
                <w:spacing w:val="-2"/>
                <w:sz w:val="24"/>
                <w14:textFill>
                  <w14:solidFill>
                    <w14:schemeClr w14:val="tx1"/>
                  </w14:solidFill>
                </w14:textFill>
              </w:rPr>
              <w:t>重新报批后项目与原批复实验工艺相比增加提纯工艺</w:t>
            </w:r>
            <w:r>
              <w:rPr>
                <w:color w:val="000000" w:themeColor="text1"/>
                <w:spacing w:val="-2"/>
                <w:sz w:val="24"/>
                <w14:textFill>
                  <w14:solidFill>
                    <w14:schemeClr w14:val="tx1"/>
                  </w14:solidFill>
                </w14:textFill>
              </w:rPr>
              <w:t>，对照《生态环境部办公厅关于印发&lt;污染影响类建设项目重大变动清单（试行）&gt;的通知》（环办环评函[2020]688号）对项目变动内容进行分析，论证项目变动是否构成重大变动。变动内容对照分析情况见表2-1。</w:t>
            </w:r>
          </w:p>
          <w:p w14:paraId="13CA5772">
            <w:pPr>
              <w:pStyle w:val="111"/>
              <w:spacing w:line="500" w:lineRule="exact"/>
              <w:ind w:firstLine="0"/>
              <w:rPr>
                <w:snapToGrid w:val="0"/>
                <w:color w:val="000000" w:themeColor="text1"/>
                <w:sz w:val="24"/>
                <w:szCs w:val="24"/>
                <w14:textFill>
                  <w14:solidFill>
                    <w14:schemeClr w14:val="tx1"/>
                  </w14:solidFill>
                </w14:textFill>
              </w:rPr>
            </w:pPr>
            <w:r>
              <w:rPr>
                <w:snapToGrid w:val="0"/>
                <w:color w:val="000000" w:themeColor="text1"/>
                <w:sz w:val="24"/>
                <w:szCs w:val="24"/>
                <w14:textFill>
                  <w14:solidFill>
                    <w14:schemeClr w14:val="tx1"/>
                  </w14:solidFill>
                </w14:textFill>
              </w:rPr>
              <w:t>表2-1 项目变动对照分析表（环办环评函[2020]688号）</w:t>
            </w:r>
          </w:p>
          <w:tbl>
            <w:tblPr>
              <w:tblStyle w:val="25"/>
              <w:tblW w:w="4998"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5420"/>
              <w:gridCol w:w="2064"/>
              <w:gridCol w:w="971"/>
            </w:tblGrid>
            <w:tr w14:paraId="5A962AE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bottom w:val="single" w:color="auto" w:sz="12" w:space="0"/>
                  </w:tcBorders>
                  <w:vAlign w:val="center"/>
                </w:tcPr>
                <w:p w14:paraId="548972BA">
                  <w:pPr>
                    <w:pStyle w:val="112"/>
                    <w:rPr>
                      <w:b/>
                      <w:snapToGrid w:val="0"/>
                      <w:color w:val="000000" w:themeColor="text1"/>
                      <w:szCs w:val="21"/>
                      <w14:textFill>
                        <w14:solidFill>
                          <w14:schemeClr w14:val="tx1"/>
                        </w14:solidFill>
                      </w14:textFill>
                    </w:rPr>
                  </w:pPr>
                  <w:r>
                    <w:rPr>
                      <w:b/>
                      <w:snapToGrid w:val="0"/>
                      <w:color w:val="000000" w:themeColor="text1"/>
                      <w:szCs w:val="21"/>
                      <w14:textFill>
                        <w14:solidFill>
                          <w14:schemeClr w14:val="tx1"/>
                        </w14:solidFill>
                      </w14:textFill>
                    </w:rPr>
                    <w:t>类别</w:t>
                  </w:r>
                </w:p>
              </w:tc>
              <w:tc>
                <w:tcPr>
                  <w:tcW w:w="2920" w:type="pct"/>
                  <w:tcBorders>
                    <w:bottom w:val="single" w:color="auto" w:sz="12" w:space="0"/>
                  </w:tcBorders>
                  <w:vAlign w:val="center"/>
                </w:tcPr>
                <w:p w14:paraId="380319E5">
                  <w:pPr>
                    <w:pStyle w:val="112"/>
                    <w:rPr>
                      <w:b/>
                      <w:snapToGrid w:val="0"/>
                      <w:color w:val="000000" w:themeColor="text1"/>
                      <w:szCs w:val="21"/>
                      <w14:textFill>
                        <w14:solidFill>
                          <w14:schemeClr w14:val="tx1"/>
                        </w14:solidFill>
                      </w14:textFill>
                    </w:rPr>
                  </w:pPr>
                  <w:r>
                    <w:rPr>
                      <w:b/>
                      <w:snapToGrid w:val="0"/>
                      <w:color w:val="000000" w:themeColor="text1"/>
                      <w:szCs w:val="21"/>
                      <w14:textFill>
                        <w14:solidFill>
                          <w14:schemeClr w14:val="tx1"/>
                        </w14:solidFill>
                      </w14:textFill>
                    </w:rPr>
                    <w:t>变动内容</w:t>
                  </w:r>
                </w:p>
              </w:tc>
              <w:tc>
                <w:tcPr>
                  <w:tcW w:w="1112" w:type="pct"/>
                  <w:tcBorders>
                    <w:bottom w:val="single" w:color="auto" w:sz="12" w:space="0"/>
                  </w:tcBorders>
                  <w:vAlign w:val="center"/>
                </w:tcPr>
                <w:p w14:paraId="6A05353D">
                  <w:pPr>
                    <w:pStyle w:val="112"/>
                    <w:rPr>
                      <w:b/>
                      <w:snapToGrid w:val="0"/>
                      <w:color w:val="000000" w:themeColor="text1"/>
                      <w:szCs w:val="21"/>
                      <w14:textFill>
                        <w14:solidFill>
                          <w14:schemeClr w14:val="tx1"/>
                        </w14:solidFill>
                      </w14:textFill>
                    </w:rPr>
                  </w:pPr>
                  <w:r>
                    <w:rPr>
                      <w:b/>
                      <w:snapToGrid w:val="0"/>
                      <w:color w:val="000000" w:themeColor="text1"/>
                      <w:szCs w:val="21"/>
                      <w14:textFill>
                        <w14:solidFill>
                          <w14:schemeClr w14:val="tx1"/>
                        </w14:solidFill>
                      </w14:textFill>
                    </w:rPr>
                    <w:t>实际</w:t>
                  </w:r>
                </w:p>
              </w:tc>
              <w:tc>
                <w:tcPr>
                  <w:tcW w:w="523" w:type="pct"/>
                  <w:tcBorders>
                    <w:bottom w:val="single" w:color="auto" w:sz="12" w:space="0"/>
                  </w:tcBorders>
                  <w:vAlign w:val="center"/>
                </w:tcPr>
                <w:p w14:paraId="64D85733">
                  <w:pPr>
                    <w:pStyle w:val="112"/>
                    <w:rPr>
                      <w:b/>
                      <w:snapToGrid w:val="0"/>
                      <w:color w:val="000000" w:themeColor="text1"/>
                      <w:szCs w:val="21"/>
                      <w14:textFill>
                        <w14:solidFill>
                          <w14:schemeClr w14:val="tx1"/>
                        </w14:solidFill>
                      </w14:textFill>
                    </w:rPr>
                  </w:pPr>
                  <w:r>
                    <w:rPr>
                      <w:b/>
                      <w:snapToGrid w:val="0"/>
                      <w:color w:val="000000" w:themeColor="text1"/>
                      <w:szCs w:val="21"/>
                      <w14:textFill>
                        <w14:solidFill>
                          <w14:schemeClr w14:val="tx1"/>
                        </w14:solidFill>
                      </w14:textFill>
                    </w:rPr>
                    <w:t>是否重大变化</w:t>
                  </w:r>
                </w:p>
              </w:tc>
            </w:tr>
            <w:tr w14:paraId="3E4FA123">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op w:val="single" w:color="auto" w:sz="12" w:space="0"/>
                    <w:tl2br w:val="nil"/>
                    <w:tr2bl w:val="nil"/>
                  </w:tcBorders>
                  <w:vAlign w:val="center"/>
                </w:tcPr>
                <w:p w14:paraId="4DF89E8F">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性质</w:t>
                  </w:r>
                </w:p>
              </w:tc>
              <w:tc>
                <w:tcPr>
                  <w:tcW w:w="2920" w:type="pct"/>
                  <w:tcBorders>
                    <w:top w:val="single" w:color="auto" w:sz="12" w:space="0"/>
                    <w:tl2br w:val="nil"/>
                    <w:tr2bl w:val="nil"/>
                  </w:tcBorders>
                  <w:vAlign w:val="center"/>
                </w:tcPr>
                <w:p w14:paraId="55E7A818">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 xml:space="preserve"> 1、建设项目开发、使用功能发生变化的。</w:t>
                  </w:r>
                </w:p>
              </w:tc>
              <w:tc>
                <w:tcPr>
                  <w:tcW w:w="1112" w:type="pct"/>
                  <w:tcBorders>
                    <w:top w:val="single" w:color="auto" w:sz="12" w:space="0"/>
                    <w:tl2br w:val="nil"/>
                    <w:tr2bl w:val="nil"/>
                  </w:tcBorders>
                  <w:vAlign w:val="center"/>
                </w:tcPr>
                <w:p w14:paraId="332879E2">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项目开发、使用功能不变，主要</w:t>
                  </w:r>
                  <w:r>
                    <w:rPr>
                      <w:rFonts w:hint="eastAsia"/>
                      <w:snapToGrid w:val="0"/>
                      <w:color w:val="000000" w:themeColor="text1"/>
                      <w:szCs w:val="21"/>
                      <w14:textFill>
                        <w14:solidFill>
                          <w14:schemeClr w14:val="tx1"/>
                        </w14:solidFill>
                      </w14:textFill>
                    </w:rPr>
                    <w:t>建设合成生物实验室。</w:t>
                  </w:r>
                </w:p>
              </w:tc>
              <w:tc>
                <w:tcPr>
                  <w:tcW w:w="523" w:type="pct"/>
                  <w:tcBorders>
                    <w:top w:val="single" w:color="auto" w:sz="12" w:space="0"/>
                    <w:tl2br w:val="nil"/>
                    <w:tr2bl w:val="nil"/>
                  </w:tcBorders>
                  <w:vAlign w:val="center"/>
                </w:tcPr>
                <w:p w14:paraId="32D8B2C9">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否</w:t>
                  </w:r>
                </w:p>
              </w:tc>
            </w:tr>
            <w:tr w14:paraId="150A27B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restart"/>
                  <w:tcBorders>
                    <w:tl2br w:val="nil"/>
                    <w:tr2bl w:val="nil"/>
                  </w:tcBorders>
                  <w:vAlign w:val="center"/>
                </w:tcPr>
                <w:p w14:paraId="0FE58692">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规模</w:t>
                  </w:r>
                </w:p>
              </w:tc>
              <w:tc>
                <w:tcPr>
                  <w:tcW w:w="2920" w:type="pct"/>
                  <w:tcBorders>
                    <w:tl2br w:val="nil"/>
                    <w:tr2bl w:val="nil"/>
                  </w:tcBorders>
                  <w:vAlign w:val="center"/>
                </w:tcPr>
                <w:p w14:paraId="7368541F">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2、生产、处置或储存能力增大30%及以上的。</w:t>
                  </w:r>
                </w:p>
              </w:tc>
              <w:tc>
                <w:tcPr>
                  <w:tcW w:w="1112" w:type="pct"/>
                  <w:tcBorders>
                    <w:tl2br w:val="nil"/>
                    <w:tr2bl w:val="nil"/>
                  </w:tcBorders>
                  <w:vAlign w:val="center"/>
                </w:tcPr>
                <w:p w14:paraId="0470153D">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项目生产产能不变</w:t>
                  </w:r>
                  <w:r>
                    <w:rPr>
                      <w:rFonts w:hint="eastAsia"/>
                      <w:snapToGrid w:val="0"/>
                      <w:color w:val="000000" w:themeColor="text1"/>
                      <w:szCs w:val="21"/>
                      <w14:textFill>
                        <w14:solidFill>
                          <w14:schemeClr w14:val="tx1"/>
                        </w14:solidFill>
                      </w14:textFill>
                    </w:rPr>
                    <w:t>，年实验50批次</w:t>
                  </w:r>
                  <w:r>
                    <w:rPr>
                      <w:snapToGrid w:val="0"/>
                      <w:color w:val="000000" w:themeColor="text1"/>
                      <w:szCs w:val="21"/>
                      <w14:textFill>
                        <w14:solidFill>
                          <w14:schemeClr w14:val="tx1"/>
                        </w14:solidFill>
                      </w14:textFill>
                    </w:rPr>
                    <w:t>。</w:t>
                  </w:r>
                </w:p>
              </w:tc>
              <w:tc>
                <w:tcPr>
                  <w:tcW w:w="523" w:type="pct"/>
                  <w:tcBorders>
                    <w:tl2br w:val="nil"/>
                    <w:tr2bl w:val="nil"/>
                  </w:tcBorders>
                  <w:vAlign w:val="center"/>
                </w:tcPr>
                <w:p w14:paraId="5AEB6EE5">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否</w:t>
                  </w:r>
                </w:p>
              </w:tc>
            </w:tr>
            <w:tr w14:paraId="6EFE8BF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vAlign w:val="center"/>
                </w:tcPr>
                <w:p w14:paraId="41A1D611">
                  <w:pPr>
                    <w:pStyle w:val="112"/>
                    <w:rPr>
                      <w:snapToGrid w:val="0"/>
                      <w:color w:val="000000" w:themeColor="text1"/>
                      <w:szCs w:val="21"/>
                      <w14:textFill>
                        <w14:solidFill>
                          <w14:schemeClr w14:val="tx1"/>
                        </w14:solidFill>
                      </w14:textFill>
                    </w:rPr>
                  </w:pPr>
                </w:p>
              </w:tc>
              <w:tc>
                <w:tcPr>
                  <w:tcW w:w="2920" w:type="pct"/>
                  <w:tcBorders>
                    <w:tl2br w:val="nil"/>
                    <w:tr2bl w:val="nil"/>
                  </w:tcBorders>
                  <w:vAlign w:val="center"/>
                </w:tcPr>
                <w:p w14:paraId="789E346C">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3、生产、处置或储存能力增大，导致废水第一类污染物排放量增加的。</w:t>
                  </w:r>
                </w:p>
              </w:tc>
              <w:tc>
                <w:tcPr>
                  <w:tcW w:w="1112" w:type="pct"/>
                  <w:tcBorders>
                    <w:tl2br w:val="nil"/>
                    <w:tr2bl w:val="nil"/>
                  </w:tcBorders>
                  <w:vAlign w:val="center"/>
                </w:tcPr>
                <w:p w14:paraId="684E02CD">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生产产能不变，无废水第一类污染物排放</w:t>
                  </w:r>
                  <w:r>
                    <w:rPr>
                      <w:rFonts w:hint="eastAsia"/>
                      <w:snapToGrid w:val="0"/>
                      <w:color w:val="000000" w:themeColor="text1"/>
                      <w:szCs w:val="21"/>
                      <w14:textFill>
                        <w14:solidFill>
                          <w14:schemeClr w14:val="tx1"/>
                        </w14:solidFill>
                      </w14:textFill>
                    </w:rPr>
                    <w:t>。</w:t>
                  </w:r>
                </w:p>
              </w:tc>
              <w:tc>
                <w:tcPr>
                  <w:tcW w:w="523" w:type="pct"/>
                  <w:tcBorders>
                    <w:tl2br w:val="nil"/>
                    <w:tr2bl w:val="nil"/>
                  </w:tcBorders>
                  <w:vAlign w:val="center"/>
                </w:tcPr>
                <w:p w14:paraId="13CE5E26">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否</w:t>
                  </w:r>
                </w:p>
              </w:tc>
            </w:tr>
            <w:tr w14:paraId="0F20710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vAlign w:val="center"/>
                </w:tcPr>
                <w:p w14:paraId="364BF9AA">
                  <w:pPr>
                    <w:pStyle w:val="112"/>
                    <w:rPr>
                      <w:snapToGrid w:val="0"/>
                      <w:color w:val="000000" w:themeColor="text1"/>
                      <w:szCs w:val="21"/>
                      <w14:textFill>
                        <w14:solidFill>
                          <w14:schemeClr w14:val="tx1"/>
                        </w14:solidFill>
                      </w14:textFill>
                    </w:rPr>
                  </w:pPr>
                </w:p>
              </w:tc>
              <w:tc>
                <w:tcPr>
                  <w:tcW w:w="2920" w:type="pct"/>
                  <w:tcBorders>
                    <w:tl2br w:val="nil"/>
                    <w:tr2bl w:val="nil"/>
                  </w:tcBorders>
                  <w:vAlign w:val="center"/>
                </w:tcPr>
                <w:p w14:paraId="1BB5C980">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4、位于环境质量不达标区的建设项目生产、处置或储存能力增大，导致相应污染物排放量增加的（细颗粒物不达标区，相应污染物应为二氧化硫、氮氧化物、可吸入颗粒物、挥发性有机物；臭氧不达标区，相应污染物应为氮氧化物、挥发性有机物；其他大气污染物因子不达标区，相应污染物为超标污染因子）；位于达标区的建设项目生产、处置或储存能力增大，导致污染物排放量增加10%及以上的。</w:t>
                  </w:r>
                </w:p>
              </w:tc>
              <w:tc>
                <w:tcPr>
                  <w:tcW w:w="1112" w:type="pct"/>
                  <w:tcBorders>
                    <w:tl2br w:val="nil"/>
                    <w:tr2bl w:val="nil"/>
                  </w:tcBorders>
                  <w:vAlign w:val="center"/>
                </w:tcPr>
                <w:p w14:paraId="27FFE5B4">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生产能力不变</w:t>
                  </w:r>
                  <w:r>
                    <w:rPr>
                      <w:rFonts w:hint="eastAsia"/>
                      <w:snapToGrid w:val="0"/>
                      <w:color w:val="000000" w:themeColor="text1"/>
                      <w:szCs w:val="21"/>
                      <w14:textFill>
                        <w14:solidFill>
                          <w14:schemeClr w14:val="tx1"/>
                        </w14:solidFill>
                      </w14:textFill>
                    </w:rPr>
                    <w:t>，年实验50批次</w:t>
                  </w:r>
                  <w:r>
                    <w:rPr>
                      <w:snapToGrid w:val="0"/>
                      <w:color w:val="000000" w:themeColor="text1"/>
                      <w:szCs w:val="21"/>
                      <w14:textFill>
                        <w14:solidFill>
                          <w14:schemeClr w14:val="tx1"/>
                        </w14:solidFill>
                      </w14:textFill>
                    </w:rPr>
                    <w:t>。</w:t>
                  </w:r>
                </w:p>
              </w:tc>
              <w:tc>
                <w:tcPr>
                  <w:tcW w:w="523" w:type="pct"/>
                  <w:tcBorders>
                    <w:tl2br w:val="nil"/>
                    <w:tr2bl w:val="nil"/>
                  </w:tcBorders>
                  <w:vAlign w:val="center"/>
                </w:tcPr>
                <w:p w14:paraId="1F1BF8B1">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否</w:t>
                  </w:r>
                </w:p>
              </w:tc>
            </w:tr>
            <w:tr w14:paraId="252ACA3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6A9CBB09">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地点</w:t>
                  </w:r>
                </w:p>
              </w:tc>
              <w:tc>
                <w:tcPr>
                  <w:tcW w:w="2920" w:type="pct"/>
                  <w:tcBorders>
                    <w:tl2br w:val="nil"/>
                    <w:tr2bl w:val="nil"/>
                  </w:tcBorders>
                  <w:vAlign w:val="center"/>
                </w:tcPr>
                <w:p w14:paraId="19C02987">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5、重新选址；在原厂址附近调整（包括总平面布置变化）导致环境防护距离范围变化且新增敏感点的。</w:t>
                  </w:r>
                </w:p>
              </w:tc>
              <w:tc>
                <w:tcPr>
                  <w:tcW w:w="1112" w:type="pct"/>
                  <w:tcBorders>
                    <w:tl2br w:val="nil"/>
                    <w:tr2bl w:val="nil"/>
                  </w:tcBorders>
                  <w:vAlign w:val="center"/>
                </w:tcPr>
                <w:p w14:paraId="7C05F10A">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整体布局不发生变化，不新增敏感点</w:t>
                  </w:r>
                </w:p>
              </w:tc>
              <w:tc>
                <w:tcPr>
                  <w:tcW w:w="523" w:type="pct"/>
                  <w:tcBorders>
                    <w:tl2br w:val="nil"/>
                    <w:tr2bl w:val="nil"/>
                  </w:tcBorders>
                  <w:vAlign w:val="center"/>
                </w:tcPr>
                <w:p w14:paraId="0AFCF40A">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否</w:t>
                  </w:r>
                </w:p>
              </w:tc>
            </w:tr>
            <w:tr w14:paraId="76603B9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restart"/>
                  <w:tcBorders>
                    <w:tl2br w:val="nil"/>
                    <w:tr2bl w:val="nil"/>
                  </w:tcBorders>
                  <w:vAlign w:val="center"/>
                </w:tcPr>
                <w:p w14:paraId="759CB516">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生产工艺</w:t>
                  </w:r>
                </w:p>
              </w:tc>
              <w:tc>
                <w:tcPr>
                  <w:tcW w:w="2920" w:type="pct"/>
                  <w:tcBorders>
                    <w:tl2br w:val="nil"/>
                    <w:tr2bl w:val="nil"/>
                  </w:tcBorders>
                  <w:vAlign w:val="center"/>
                </w:tcPr>
                <w:p w14:paraId="17DBF8AB">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6、新增产品品种或生产工艺（含主要生产装置、设备及配套设施）、主要原辅材料、燃料变化，导致下列情形之一：</w:t>
                  </w:r>
                </w:p>
                <w:p w14:paraId="6CDF6C58">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（1）新增排放污染物种类的（毒性、挥发性降低的除外）；</w:t>
                  </w:r>
                </w:p>
                <w:p w14:paraId="524C5CF6">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（2）位于环境质量不达标区的建设项目相污染物排放量增加的；</w:t>
                  </w:r>
                </w:p>
                <w:p w14:paraId="56971FE9">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（3）废水第一类污染物排放量增加的；</w:t>
                  </w:r>
                </w:p>
                <w:p w14:paraId="7EAFFF9D">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（4）其他污染物排放量增加10%及以上的。</w:t>
                  </w:r>
                </w:p>
              </w:tc>
              <w:tc>
                <w:tcPr>
                  <w:tcW w:w="1112" w:type="pct"/>
                  <w:tcBorders>
                    <w:tl2br w:val="nil"/>
                    <w:tr2bl w:val="nil"/>
                  </w:tcBorders>
                  <w:vAlign w:val="center"/>
                </w:tcPr>
                <w:p w14:paraId="40EE1F4C">
                  <w:pPr>
                    <w:pStyle w:val="112"/>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新增实验工艺提纯，新增排放污染物种类甲醇</w:t>
                  </w:r>
                </w:p>
              </w:tc>
              <w:tc>
                <w:tcPr>
                  <w:tcW w:w="523" w:type="pct"/>
                  <w:tcBorders>
                    <w:tl2br w:val="nil"/>
                    <w:tr2bl w:val="nil"/>
                  </w:tcBorders>
                  <w:vAlign w:val="center"/>
                </w:tcPr>
                <w:p w14:paraId="0A338ACB">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是</w:t>
                  </w:r>
                </w:p>
              </w:tc>
            </w:tr>
            <w:tr w14:paraId="3F72E8FF">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vAlign w:val="center"/>
                </w:tcPr>
                <w:p w14:paraId="64DB6314">
                  <w:pPr>
                    <w:pStyle w:val="112"/>
                    <w:rPr>
                      <w:snapToGrid w:val="0"/>
                      <w:color w:val="000000" w:themeColor="text1"/>
                      <w:szCs w:val="21"/>
                      <w14:textFill>
                        <w14:solidFill>
                          <w14:schemeClr w14:val="tx1"/>
                        </w14:solidFill>
                      </w14:textFill>
                    </w:rPr>
                  </w:pPr>
                </w:p>
              </w:tc>
              <w:tc>
                <w:tcPr>
                  <w:tcW w:w="2920" w:type="pct"/>
                  <w:tcBorders>
                    <w:tl2br w:val="nil"/>
                    <w:tr2bl w:val="nil"/>
                  </w:tcBorders>
                  <w:vAlign w:val="center"/>
                </w:tcPr>
                <w:p w14:paraId="4F74D1E7">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7、物料运输、装卸、贮存方式变化，导致大气污染物无组织排放量增加10%及以上的。</w:t>
                  </w:r>
                </w:p>
              </w:tc>
              <w:tc>
                <w:tcPr>
                  <w:tcW w:w="1112" w:type="pct"/>
                  <w:tcBorders>
                    <w:tl2br w:val="nil"/>
                    <w:tr2bl w:val="nil"/>
                  </w:tcBorders>
                  <w:vAlign w:val="center"/>
                </w:tcPr>
                <w:p w14:paraId="4FA56A60">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物料运输、装卸、贮存方式未发生变化</w:t>
                  </w:r>
                </w:p>
              </w:tc>
              <w:tc>
                <w:tcPr>
                  <w:tcW w:w="523" w:type="pct"/>
                  <w:tcBorders>
                    <w:tl2br w:val="nil"/>
                    <w:tr2bl w:val="nil"/>
                  </w:tcBorders>
                  <w:vAlign w:val="center"/>
                </w:tcPr>
                <w:p w14:paraId="17EECE74">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否</w:t>
                  </w:r>
                </w:p>
              </w:tc>
            </w:tr>
            <w:tr w14:paraId="5D30F88E">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restart"/>
                  <w:tcBorders>
                    <w:tl2br w:val="nil"/>
                    <w:tr2bl w:val="nil"/>
                  </w:tcBorders>
                  <w:vAlign w:val="center"/>
                </w:tcPr>
                <w:p w14:paraId="36614299">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环境保护措施</w:t>
                  </w:r>
                </w:p>
              </w:tc>
              <w:tc>
                <w:tcPr>
                  <w:tcW w:w="2920" w:type="pct"/>
                  <w:tcBorders>
                    <w:tl2br w:val="nil"/>
                    <w:tr2bl w:val="nil"/>
                  </w:tcBorders>
                  <w:vAlign w:val="center"/>
                </w:tcPr>
                <w:p w14:paraId="4C44B7C1">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8、废气、废水污染防治措施变化，导致第6条中所列情形之一（废气无组织排放改为有组织排放、污染防治措施强化或改进的除外）或大气污染物无组织排放量增加10%以上的。</w:t>
                  </w:r>
                </w:p>
              </w:tc>
              <w:tc>
                <w:tcPr>
                  <w:tcW w:w="1112" w:type="pct"/>
                  <w:tcBorders>
                    <w:tl2br w:val="nil"/>
                    <w:tr2bl w:val="nil"/>
                  </w:tcBorders>
                  <w:vAlign w:val="center"/>
                </w:tcPr>
                <w:p w14:paraId="034A4E98">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项目废气、废水污染防治措施</w:t>
                  </w:r>
                  <w:r>
                    <w:rPr>
                      <w:rFonts w:hint="eastAsia"/>
                      <w:snapToGrid w:val="0"/>
                      <w:color w:val="000000" w:themeColor="text1"/>
                      <w:szCs w:val="21"/>
                      <w14:textFill>
                        <w14:solidFill>
                          <w14:schemeClr w14:val="tx1"/>
                        </w14:solidFill>
                      </w14:textFill>
                    </w:rPr>
                    <w:t>不发生</w:t>
                  </w:r>
                  <w:r>
                    <w:rPr>
                      <w:snapToGrid w:val="0"/>
                      <w:color w:val="000000" w:themeColor="text1"/>
                      <w:szCs w:val="21"/>
                      <w14:textFill>
                        <w14:solidFill>
                          <w14:schemeClr w14:val="tx1"/>
                        </w14:solidFill>
                      </w14:textFill>
                    </w:rPr>
                    <w:t>变化</w:t>
                  </w:r>
                </w:p>
              </w:tc>
              <w:tc>
                <w:tcPr>
                  <w:tcW w:w="523" w:type="pct"/>
                  <w:tcBorders>
                    <w:tl2br w:val="nil"/>
                    <w:tr2bl w:val="nil"/>
                  </w:tcBorders>
                  <w:vAlign w:val="center"/>
                </w:tcPr>
                <w:p w14:paraId="54B5CAC6">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否</w:t>
                  </w:r>
                </w:p>
              </w:tc>
            </w:tr>
            <w:tr w14:paraId="671A03B5">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vAlign w:val="center"/>
                </w:tcPr>
                <w:p w14:paraId="3ABC3C46">
                  <w:pPr>
                    <w:pStyle w:val="112"/>
                    <w:rPr>
                      <w:snapToGrid w:val="0"/>
                      <w:color w:val="000000" w:themeColor="text1"/>
                      <w:szCs w:val="21"/>
                      <w14:textFill>
                        <w14:solidFill>
                          <w14:schemeClr w14:val="tx1"/>
                        </w14:solidFill>
                      </w14:textFill>
                    </w:rPr>
                  </w:pPr>
                </w:p>
              </w:tc>
              <w:tc>
                <w:tcPr>
                  <w:tcW w:w="2920" w:type="pct"/>
                  <w:tcBorders>
                    <w:tl2br w:val="nil"/>
                    <w:tr2bl w:val="nil"/>
                  </w:tcBorders>
                  <w:vAlign w:val="center"/>
                </w:tcPr>
                <w:p w14:paraId="6261175A">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9、新增废水直接排放口；废水由间接排放改为直接排放；废水直接排放口位置变化，导致不利环境影响加重的。</w:t>
                  </w:r>
                </w:p>
              </w:tc>
              <w:tc>
                <w:tcPr>
                  <w:tcW w:w="1112" w:type="pct"/>
                  <w:tcBorders>
                    <w:tl2br w:val="nil"/>
                    <w:tr2bl w:val="nil"/>
                  </w:tcBorders>
                  <w:vAlign w:val="center"/>
                </w:tcPr>
                <w:p w14:paraId="41C9D44D">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无废水直接排放口</w:t>
                  </w:r>
                </w:p>
              </w:tc>
              <w:tc>
                <w:tcPr>
                  <w:tcW w:w="523" w:type="pct"/>
                  <w:tcBorders>
                    <w:tl2br w:val="nil"/>
                    <w:tr2bl w:val="nil"/>
                  </w:tcBorders>
                  <w:vAlign w:val="center"/>
                </w:tcPr>
                <w:p w14:paraId="76E26A6E">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否</w:t>
                  </w:r>
                </w:p>
              </w:tc>
            </w:tr>
            <w:tr w14:paraId="45CF487C">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vAlign w:val="center"/>
                </w:tcPr>
                <w:p w14:paraId="6C0D196F">
                  <w:pPr>
                    <w:pStyle w:val="112"/>
                    <w:rPr>
                      <w:snapToGrid w:val="0"/>
                      <w:color w:val="000000" w:themeColor="text1"/>
                      <w:szCs w:val="21"/>
                      <w14:textFill>
                        <w14:solidFill>
                          <w14:schemeClr w14:val="tx1"/>
                        </w14:solidFill>
                      </w14:textFill>
                    </w:rPr>
                  </w:pPr>
                </w:p>
              </w:tc>
              <w:tc>
                <w:tcPr>
                  <w:tcW w:w="2920" w:type="pct"/>
                  <w:tcBorders>
                    <w:tl2br w:val="nil"/>
                    <w:tr2bl w:val="nil"/>
                  </w:tcBorders>
                  <w:vAlign w:val="center"/>
                </w:tcPr>
                <w:p w14:paraId="4D9599A1">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10、新增废气主要排放口（废气无组织改为有组织排放的除外）；主要排放口排气筒高度降低10%以上的。</w:t>
                  </w:r>
                </w:p>
              </w:tc>
              <w:tc>
                <w:tcPr>
                  <w:tcW w:w="1112" w:type="pct"/>
                  <w:tcBorders>
                    <w:tl2br w:val="nil"/>
                    <w:tr2bl w:val="nil"/>
                  </w:tcBorders>
                  <w:vAlign w:val="center"/>
                </w:tcPr>
                <w:p w14:paraId="7F339B50">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不新增废气</w:t>
                  </w:r>
                  <w:r>
                    <w:rPr>
                      <w:rFonts w:hint="eastAsia"/>
                      <w:snapToGrid w:val="0"/>
                      <w:color w:val="000000" w:themeColor="text1"/>
                      <w:szCs w:val="21"/>
                      <w14:textFill>
                        <w14:solidFill>
                          <w14:schemeClr w14:val="tx1"/>
                        </w14:solidFill>
                      </w14:textFill>
                    </w:rPr>
                    <w:t>主要</w:t>
                  </w:r>
                  <w:r>
                    <w:rPr>
                      <w:snapToGrid w:val="0"/>
                      <w:color w:val="000000" w:themeColor="text1"/>
                      <w:szCs w:val="21"/>
                      <w14:textFill>
                        <w14:solidFill>
                          <w14:schemeClr w14:val="tx1"/>
                        </w14:solidFill>
                      </w14:textFill>
                    </w:rPr>
                    <w:t>排放口</w:t>
                  </w:r>
                </w:p>
              </w:tc>
              <w:tc>
                <w:tcPr>
                  <w:tcW w:w="523" w:type="pct"/>
                  <w:tcBorders>
                    <w:tl2br w:val="nil"/>
                    <w:tr2bl w:val="nil"/>
                  </w:tcBorders>
                  <w:vAlign w:val="center"/>
                </w:tcPr>
                <w:p w14:paraId="79DA467E">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否</w:t>
                  </w:r>
                </w:p>
              </w:tc>
            </w:tr>
            <w:tr w14:paraId="519F4C2D">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vAlign w:val="center"/>
                </w:tcPr>
                <w:p w14:paraId="3C1C8880">
                  <w:pPr>
                    <w:pStyle w:val="112"/>
                    <w:rPr>
                      <w:snapToGrid w:val="0"/>
                      <w:color w:val="000000" w:themeColor="text1"/>
                      <w:szCs w:val="21"/>
                      <w14:textFill>
                        <w14:solidFill>
                          <w14:schemeClr w14:val="tx1"/>
                        </w14:solidFill>
                      </w14:textFill>
                    </w:rPr>
                  </w:pPr>
                </w:p>
              </w:tc>
              <w:tc>
                <w:tcPr>
                  <w:tcW w:w="2920" w:type="pct"/>
                  <w:tcBorders>
                    <w:tl2br w:val="nil"/>
                    <w:tr2bl w:val="nil"/>
                  </w:tcBorders>
                  <w:vAlign w:val="center"/>
                </w:tcPr>
                <w:p w14:paraId="2DAD6CF8">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11、噪声、土壤或地下水污染防治措施变化，导致不利环境影响加重的。</w:t>
                  </w:r>
                </w:p>
              </w:tc>
              <w:tc>
                <w:tcPr>
                  <w:tcW w:w="1112" w:type="pct"/>
                  <w:tcBorders>
                    <w:tl2br w:val="nil"/>
                    <w:tr2bl w:val="nil"/>
                  </w:tcBorders>
                  <w:vAlign w:val="center"/>
                </w:tcPr>
                <w:p w14:paraId="713A3118">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噪声、土壤及地下水污染防治措施不变，不利环境影响不加重</w:t>
                  </w:r>
                </w:p>
              </w:tc>
              <w:tc>
                <w:tcPr>
                  <w:tcW w:w="523" w:type="pct"/>
                  <w:tcBorders>
                    <w:tl2br w:val="nil"/>
                    <w:tr2bl w:val="nil"/>
                  </w:tcBorders>
                  <w:vAlign w:val="center"/>
                </w:tcPr>
                <w:p w14:paraId="607A5F1A">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否</w:t>
                  </w:r>
                </w:p>
              </w:tc>
            </w:tr>
            <w:tr w14:paraId="4DD26E3C">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vAlign w:val="center"/>
                </w:tcPr>
                <w:p w14:paraId="673A2B1E">
                  <w:pPr>
                    <w:pStyle w:val="112"/>
                    <w:rPr>
                      <w:snapToGrid w:val="0"/>
                      <w:color w:val="000000" w:themeColor="text1"/>
                      <w:szCs w:val="21"/>
                      <w14:textFill>
                        <w14:solidFill>
                          <w14:schemeClr w14:val="tx1"/>
                        </w14:solidFill>
                      </w14:textFill>
                    </w:rPr>
                  </w:pPr>
                </w:p>
              </w:tc>
              <w:tc>
                <w:tcPr>
                  <w:tcW w:w="2920" w:type="pct"/>
                  <w:tcBorders>
                    <w:tl2br w:val="nil"/>
                    <w:tr2bl w:val="nil"/>
                  </w:tcBorders>
                  <w:vAlign w:val="center"/>
                </w:tcPr>
                <w:p w14:paraId="3D9516C2">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12、固体废物利用处置方式由委托单位利用处置改为自行利用处置的（自行利用处置设施单独开展环境影响评价的除外）；固体废物自行处置方式变化，导致不利环境影响加重的。</w:t>
                  </w:r>
                </w:p>
              </w:tc>
              <w:tc>
                <w:tcPr>
                  <w:tcW w:w="1112" w:type="pct"/>
                  <w:tcBorders>
                    <w:tl2br w:val="nil"/>
                    <w:tr2bl w:val="nil"/>
                  </w:tcBorders>
                  <w:vAlign w:val="center"/>
                </w:tcPr>
                <w:p w14:paraId="1B96E9CB">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固体废物利用处置方式不变，不利环境影响不加重</w:t>
                  </w:r>
                </w:p>
              </w:tc>
              <w:tc>
                <w:tcPr>
                  <w:tcW w:w="523" w:type="pct"/>
                  <w:tcBorders>
                    <w:tl2br w:val="nil"/>
                    <w:tr2bl w:val="nil"/>
                  </w:tcBorders>
                  <w:vAlign w:val="center"/>
                </w:tcPr>
                <w:p w14:paraId="0793D802">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否</w:t>
                  </w:r>
                </w:p>
              </w:tc>
            </w:tr>
            <w:tr w14:paraId="43B2AA97">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vAlign w:val="center"/>
                </w:tcPr>
                <w:p w14:paraId="1CDBE5C4">
                  <w:pPr>
                    <w:pStyle w:val="112"/>
                    <w:rPr>
                      <w:snapToGrid w:val="0"/>
                      <w:color w:val="000000" w:themeColor="text1"/>
                      <w:szCs w:val="21"/>
                      <w14:textFill>
                        <w14:solidFill>
                          <w14:schemeClr w14:val="tx1"/>
                        </w14:solidFill>
                      </w14:textFill>
                    </w:rPr>
                  </w:pPr>
                </w:p>
              </w:tc>
              <w:tc>
                <w:tcPr>
                  <w:tcW w:w="2920" w:type="pct"/>
                  <w:tcBorders>
                    <w:tl2br w:val="nil"/>
                    <w:tr2bl w:val="nil"/>
                  </w:tcBorders>
                  <w:vAlign w:val="center"/>
                </w:tcPr>
                <w:p w14:paraId="3B0A4E3F">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13、事故废水暂存能力或拦截设施变化，导致环境风险防范能力减弱或降低的。</w:t>
                  </w:r>
                </w:p>
              </w:tc>
              <w:tc>
                <w:tcPr>
                  <w:tcW w:w="1112" w:type="pct"/>
                  <w:tcBorders>
                    <w:tl2br w:val="nil"/>
                    <w:tr2bl w:val="nil"/>
                  </w:tcBorders>
                  <w:vAlign w:val="center"/>
                </w:tcPr>
                <w:p w14:paraId="156889A7">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事故废水暂存能力及拦截设施不变，环境风险防范能力不减弱</w:t>
                  </w:r>
                </w:p>
              </w:tc>
              <w:tc>
                <w:tcPr>
                  <w:tcW w:w="523" w:type="pct"/>
                  <w:tcBorders>
                    <w:tl2br w:val="nil"/>
                    <w:tr2bl w:val="nil"/>
                  </w:tcBorders>
                  <w:vAlign w:val="center"/>
                </w:tcPr>
                <w:p w14:paraId="66757913">
                  <w:pPr>
                    <w:pStyle w:val="112"/>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否</w:t>
                  </w:r>
                </w:p>
              </w:tc>
            </w:tr>
          </w:tbl>
          <w:p w14:paraId="384730C8">
            <w:pPr>
              <w:spacing w:line="480" w:lineRule="exact"/>
              <w:ind w:firstLine="472" w:firstLineChars="200"/>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对照上表分析，</w:t>
            </w:r>
            <w:r>
              <w:rPr>
                <w:rFonts w:hint="eastAsia"/>
                <w:color w:val="000000" w:themeColor="text1"/>
                <w:spacing w:val="-2"/>
                <w:sz w:val="24"/>
                <w14:textFill>
                  <w14:solidFill>
                    <w14:schemeClr w14:val="tx1"/>
                  </w14:solidFill>
                </w14:textFill>
              </w:rPr>
              <w:t>项目新增实验工艺提纯，新增污染物种类甲醇</w:t>
            </w:r>
            <w:r>
              <w:rPr>
                <w:color w:val="000000" w:themeColor="text1"/>
                <w:spacing w:val="-2"/>
                <w:sz w:val="24"/>
                <w14:textFill>
                  <w14:solidFill>
                    <w14:schemeClr w14:val="tx1"/>
                  </w14:solidFill>
                </w14:textFill>
              </w:rPr>
              <w:t>。根据《中华人民共和国环境保护法》《中华人民共和国环境影响评价法》《建设项目环境保护管理条例》等文件有关规定，建设项目发生重大变动的，建设单位应当依法重新报批环境影响评价文件。</w:t>
            </w:r>
          </w:p>
          <w:p w14:paraId="1E273EE7">
            <w:pPr>
              <w:spacing w:line="480" w:lineRule="exact"/>
              <w:ind w:firstLine="472" w:firstLineChars="200"/>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根据《中华人民共和国环境影响评价法》、《建设项目环境影响评价分类管理名录》及《建设项目环境影响评价分级审批规定》的规定，本项目属于“四十五、研究和试验发展——98、专业实验室、研发（试验）基地”中的“其他（不产生废气、废水、危废的除外）”，需编制环境影响报告表。为此博帝生物技术（常州）有限公司委托常州爱森环保科技有限公司承担该项目的编制工作，经过现场勘查及工程分析，依据《建设项目环境影响报告表编制技术指南（污染影响类）（试行）》的要求，编制了该项目的环境影响报告表。</w:t>
            </w:r>
          </w:p>
          <w:p w14:paraId="62A4DA04">
            <w:pPr>
              <w:autoSpaceDE w:val="0"/>
              <w:autoSpaceDN w:val="0"/>
              <w:adjustRightInd w:val="0"/>
              <w:snapToGrid w:val="0"/>
              <w:spacing w:line="480" w:lineRule="exact"/>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本项目涉及的是微生物，不涉及细胞，更不涉及生殖细胞，均不具有基因传递的功能，而转基因是具有基因整合、生殖、传递的作用，因此本项目涉及的微生物导入工序不属于转基因的范畴。综上，本项目不涉及转基因。</w:t>
            </w:r>
          </w:p>
          <w:p w14:paraId="694CAAD6">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2、主要实验内容</w:t>
            </w:r>
          </w:p>
          <w:p w14:paraId="3D42B659">
            <w:pPr>
              <w:spacing w:line="480" w:lineRule="exact"/>
              <w:ind w:firstLine="472" w:firstLineChars="200"/>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本项目</w:t>
            </w:r>
            <w:r>
              <w:rPr>
                <w:rFonts w:hint="eastAsia"/>
                <w:color w:val="000000" w:themeColor="text1"/>
                <w:spacing w:val="-2"/>
                <w:sz w:val="24"/>
                <w14:textFill>
                  <w14:solidFill>
                    <w14:schemeClr w14:val="tx1"/>
                  </w14:solidFill>
                </w14:textFill>
              </w:rPr>
              <w:t>以</w:t>
            </w:r>
            <w:r>
              <w:rPr>
                <w:color w:val="000000" w:themeColor="text1"/>
                <w:spacing w:val="-2"/>
                <w:sz w:val="24"/>
                <w14:textFill>
                  <w14:solidFill>
                    <w14:schemeClr w14:val="tx1"/>
                  </w14:solidFill>
                </w14:textFill>
              </w:rPr>
              <w:t>代谢工程和合成生物学技术改造基因工程菌实验为主</w:t>
            </w:r>
            <w:r>
              <w:rPr>
                <w:rFonts w:hint="eastAsia"/>
                <w:color w:val="000000" w:themeColor="text1"/>
                <w:spacing w:val="-2"/>
                <w:sz w:val="24"/>
                <w14:textFill>
                  <w14:solidFill>
                    <w14:schemeClr w14:val="tx1"/>
                  </w14:solidFill>
                </w14:textFill>
              </w:rPr>
              <w:t>，</w:t>
            </w:r>
            <w:r>
              <w:rPr>
                <w:color w:val="000000" w:themeColor="text1"/>
                <w:spacing w:val="-2"/>
                <w:sz w:val="24"/>
                <w14:textFill>
                  <w14:solidFill>
                    <w14:schemeClr w14:val="tx1"/>
                  </w14:solidFill>
                </w14:textFill>
              </w:rPr>
              <w:t>仅限实验室程度的试验，尚未达到中试和量产阶段。获</w:t>
            </w:r>
            <w:r>
              <w:rPr>
                <w:rFonts w:hint="eastAsia"/>
                <w:color w:val="000000" w:themeColor="text1"/>
                <w:spacing w:val="-2"/>
                <w:sz w:val="24"/>
                <w14:textFill>
                  <w14:solidFill>
                    <w14:schemeClr w14:val="tx1"/>
                  </w14:solidFill>
                </w14:textFill>
              </w:rPr>
              <w:t>取</w:t>
            </w:r>
            <w:r>
              <w:rPr>
                <w:color w:val="000000" w:themeColor="text1"/>
                <w:spacing w:val="-2"/>
                <w:sz w:val="24"/>
                <w14:textFill>
                  <w14:solidFill>
                    <w14:schemeClr w14:val="tx1"/>
                  </w14:solidFill>
                </w14:textFill>
              </w:rPr>
              <w:t>相关实验参数，</w:t>
            </w:r>
            <w:bookmarkStart w:id="12" w:name="OLE_LINK27"/>
            <w:r>
              <w:rPr>
                <w:color w:val="000000" w:themeColor="text1"/>
                <w:spacing w:val="-2"/>
                <w:sz w:val="24"/>
                <w14:textFill>
                  <w14:solidFill>
                    <w14:schemeClr w14:val="tx1"/>
                  </w14:solidFill>
                </w14:textFill>
              </w:rPr>
              <w:t>送至北京研发中心，为后续研究试验提供数据支持</w:t>
            </w:r>
            <w:bookmarkEnd w:id="12"/>
            <w:r>
              <w:rPr>
                <w:rFonts w:hint="eastAsia"/>
                <w:color w:val="000000" w:themeColor="text1"/>
                <w:spacing w:val="-2"/>
                <w:sz w:val="24"/>
                <w14:textFill>
                  <w14:solidFill>
                    <w14:schemeClr w14:val="tx1"/>
                  </w14:solidFill>
                </w14:textFill>
              </w:rPr>
              <w:t>。</w:t>
            </w:r>
            <w:r>
              <w:rPr>
                <w:color w:val="000000" w:themeColor="text1"/>
                <w:spacing w:val="-2"/>
                <w:sz w:val="24"/>
                <w14:textFill>
                  <w14:solidFill>
                    <w14:schemeClr w14:val="tx1"/>
                  </w14:solidFill>
                </w14:textFill>
              </w:rPr>
              <w:t>实验得到的目标产物作为危险废物委托有资质单位处置。</w:t>
            </w:r>
          </w:p>
          <w:p w14:paraId="435A4FAB">
            <w:pPr>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第一部分</w:t>
            </w:r>
            <w:r>
              <w:rPr>
                <w:rFonts w:hint="eastAsia"/>
                <w:bCs/>
                <w:color w:val="000000" w:themeColor="text1"/>
                <w:sz w:val="24"/>
                <w14:textFill>
                  <w14:solidFill>
                    <w14:schemeClr w14:val="tx1"/>
                  </w14:solidFill>
                </w14:textFill>
              </w:rPr>
              <w:t>为</w:t>
            </w:r>
            <w:r>
              <w:rPr>
                <w:bCs/>
                <w:color w:val="000000" w:themeColor="text1"/>
                <w:sz w:val="24"/>
                <w14:textFill>
                  <w14:solidFill>
                    <w14:schemeClr w14:val="tx1"/>
                  </w14:solidFill>
                </w14:textFill>
              </w:rPr>
              <w:t>菌种构建和培养。菌种构建涉及到分子生物学中的多项关键技术，‌包括PCR技术、‌酶切反应、‌连接反应等，‌都是构建基因工程菌不可或缺的步骤。‌通过这些步骤，‌可以将目的基因导入大肠杆菌中，‌使其表达出所需的产物。该部分工作还包括基因工程菌的筛选和验证，对获得的菌种进行保藏，‌为发酵罐发酵提供材料。</w:t>
            </w:r>
          </w:p>
          <w:p w14:paraId="7AAF3D11">
            <w:pPr>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第二部分</w:t>
            </w:r>
            <w:r>
              <w:rPr>
                <w:rFonts w:hint="eastAsia"/>
                <w:bCs/>
                <w:color w:val="000000" w:themeColor="text1"/>
                <w:sz w:val="24"/>
                <w14:textFill>
                  <w14:solidFill>
                    <w14:schemeClr w14:val="tx1"/>
                  </w14:solidFill>
                </w14:textFill>
              </w:rPr>
              <w:t>为</w:t>
            </w:r>
            <w:r>
              <w:rPr>
                <w:bCs/>
                <w:color w:val="000000" w:themeColor="text1"/>
                <w:sz w:val="24"/>
                <w14:textFill>
                  <w14:solidFill>
                    <w14:schemeClr w14:val="tx1"/>
                  </w14:solidFill>
                </w14:textFill>
              </w:rPr>
              <w:t>发酵罐发酵工艺开发。‌‌微生物发酵工艺的研究通常从实验室阶段</w:t>
            </w:r>
            <w:r>
              <w:rPr>
                <w:rFonts w:hint="eastAsia"/>
                <w:bCs/>
                <w:color w:val="000000" w:themeColor="text1"/>
                <w:sz w:val="24"/>
                <w14:textFill>
                  <w14:solidFill>
                    <w14:schemeClr w14:val="tx1"/>
                  </w14:solidFill>
                </w14:textFill>
              </w:rPr>
              <w:t>小试</w:t>
            </w:r>
            <w:r>
              <w:rPr>
                <w:bCs/>
                <w:color w:val="000000" w:themeColor="text1"/>
                <w:sz w:val="24"/>
                <w14:textFill>
                  <w14:solidFill>
                    <w14:schemeClr w14:val="tx1"/>
                  </w14:solidFill>
                </w14:textFill>
              </w:rPr>
              <w:t>开始。‌这一过程不仅是为了筛选出适宜、‌高产的菌种和找出合适的培养基配方及初步的发酵条件，‌而且是为了验证小试结果，‌进一步摸清发酵条件，‌为大规模生产提供准确的工艺参数和设计依据。</w:t>
            </w:r>
          </w:p>
          <w:p w14:paraId="2FC6AF3C">
            <w:pPr>
              <w:spacing w:line="480" w:lineRule="exact"/>
              <w:ind w:firstLine="472" w:firstLineChars="200"/>
              <w:rPr>
                <w:color w:val="000000" w:themeColor="text1"/>
                <w:spacing w:val="-2"/>
                <w:sz w:val="24"/>
                <w14:textFill>
                  <w14:solidFill>
                    <w14:schemeClr w14:val="tx1"/>
                  </w14:solidFill>
                </w14:textFill>
              </w:rPr>
            </w:pPr>
            <w:r>
              <w:rPr>
                <w:rFonts w:hint="eastAsia"/>
                <w:color w:val="000000" w:themeColor="text1"/>
                <w:spacing w:val="-2"/>
                <w:sz w:val="24"/>
                <w14:textFill>
                  <w14:solidFill>
                    <w14:schemeClr w14:val="tx1"/>
                  </w14:solidFill>
                </w14:textFill>
              </w:rPr>
              <w:t>第三部分为菌种的检测。发酵后的物料进一步提纯，得到目标产物。对其进行检验，以判断得到的目标产物是否符合要求。</w:t>
            </w:r>
          </w:p>
          <w:p w14:paraId="743D6696">
            <w:pPr>
              <w:spacing w:line="480" w:lineRule="exac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3、新增工艺工艺的必要性</w:t>
            </w:r>
          </w:p>
          <w:p w14:paraId="729587DE">
            <w:pPr>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重新报批前仅实验制得发酵液，发酵液中杂质较多，需提纯精制后便于分析检测，以判断目标产物是否符合要求。</w:t>
            </w:r>
          </w:p>
          <w:p w14:paraId="6D8A47C2">
            <w:pPr>
              <w:spacing w:line="480" w:lineRule="exact"/>
              <w:rPr>
                <w:color w:val="000000" w:themeColor="text1"/>
                <w:spacing w:val="-2"/>
                <w:sz w:val="24"/>
                <w14:textFill>
                  <w14:solidFill>
                    <w14:schemeClr w14:val="tx1"/>
                  </w14:solidFill>
                </w14:textFill>
              </w:rPr>
            </w:pPr>
            <w:r>
              <w:rPr>
                <w:rFonts w:hint="eastAsia"/>
                <w:b/>
                <w:bCs/>
                <w:color w:val="000000" w:themeColor="text1"/>
                <w:kern w:val="0"/>
                <w:sz w:val="24"/>
                <w14:textFill>
                  <w14:solidFill>
                    <w14:schemeClr w14:val="tx1"/>
                  </w14:solidFill>
                </w14:textFill>
              </w:rPr>
              <w:t>4</w:t>
            </w:r>
            <w:r>
              <w:rPr>
                <w:b/>
                <w:bCs/>
                <w:color w:val="000000" w:themeColor="text1"/>
                <w:kern w:val="0"/>
                <w:sz w:val="24"/>
                <w14:textFill>
                  <w14:solidFill>
                    <w14:schemeClr w14:val="tx1"/>
                  </w14:solidFill>
                </w14:textFill>
              </w:rPr>
              <w:t>、</w:t>
            </w:r>
            <w:r>
              <w:rPr>
                <w:rFonts w:hint="eastAsia"/>
                <w:b/>
                <w:bCs/>
                <w:color w:val="000000" w:themeColor="text1"/>
                <w:kern w:val="0"/>
                <w:sz w:val="24"/>
                <w14:textFill>
                  <w14:solidFill>
                    <w14:schemeClr w14:val="tx1"/>
                  </w14:solidFill>
                </w14:textFill>
              </w:rPr>
              <w:t>实验</w:t>
            </w:r>
            <w:r>
              <w:rPr>
                <w:b/>
                <w:bCs/>
                <w:color w:val="000000" w:themeColor="text1"/>
                <w:kern w:val="0"/>
                <w:sz w:val="24"/>
                <w14:textFill>
                  <w14:solidFill>
                    <w14:schemeClr w14:val="tx1"/>
                  </w14:solidFill>
                </w14:textFill>
              </w:rPr>
              <w:t>方案</w:t>
            </w:r>
          </w:p>
          <w:p w14:paraId="6CEFBDE8">
            <w:pPr>
              <w:spacing w:line="480" w:lineRule="exact"/>
              <w:ind w:firstLine="472" w:firstLineChars="200"/>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本项目产品方案见表2-</w:t>
            </w:r>
            <w:r>
              <w:rPr>
                <w:rFonts w:hint="eastAsia"/>
                <w:color w:val="000000" w:themeColor="text1"/>
                <w:spacing w:val="-2"/>
                <w:sz w:val="24"/>
                <w14:textFill>
                  <w14:solidFill>
                    <w14:schemeClr w14:val="tx1"/>
                  </w14:solidFill>
                </w14:textFill>
              </w:rPr>
              <w:t>2</w:t>
            </w:r>
            <w:r>
              <w:rPr>
                <w:color w:val="000000" w:themeColor="text1"/>
                <w:spacing w:val="-2"/>
                <w:sz w:val="24"/>
                <w14:textFill>
                  <w14:solidFill>
                    <w14:schemeClr w14:val="tx1"/>
                  </w14:solidFill>
                </w14:textFill>
              </w:rPr>
              <w:t>。</w:t>
            </w:r>
          </w:p>
          <w:p w14:paraId="445564CB">
            <w:pPr>
              <w:tabs>
                <w:tab w:val="left" w:pos="2127"/>
                <w:tab w:val="center" w:pos="4452"/>
                <w:tab w:val="right" w:pos="8246"/>
              </w:tabs>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  本项目产品方案</w:t>
            </w:r>
          </w:p>
          <w:tbl>
            <w:tblPr>
              <w:tblStyle w:val="100"/>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45" w:type="dxa"/>
                <w:bottom w:w="0" w:type="dxa"/>
                <w:right w:w="45" w:type="dxa"/>
              </w:tblCellMar>
            </w:tblPr>
            <w:tblGrid>
              <w:gridCol w:w="1676"/>
              <w:gridCol w:w="1381"/>
              <w:gridCol w:w="1437"/>
              <w:gridCol w:w="1706"/>
              <w:gridCol w:w="1581"/>
              <w:gridCol w:w="1505"/>
            </w:tblGrid>
            <w:tr w14:paraId="513E8B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45" w:type="dxa"/>
                  <w:bottom w:w="0" w:type="dxa"/>
                  <w:right w:w="45" w:type="dxa"/>
                </w:tblCellMar>
              </w:tblPrEx>
              <w:trPr>
                <w:trHeight w:val="340" w:hRule="atLeast"/>
                <w:jc w:val="center"/>
              </w:trPr>
              <w:tc>
                <w:tcPr>
                  <w:tcW w:w="902" w:type="pct"/>
                  <w:tcBorders>
                    <w:tl2br w:val="nil"/>
                    <w:tr2bl w:val="nil"/>
                  </w:tcBorders>
                  <w:vAlign w:val="center"/>
                </w:tcPr>
                <w:p w14:paraId="1B088ECC">
                  <w:pPr>
                    <w:widowControl/>
                    <w:adjustRightInd w:val="0"/>
                    <w:snapToGri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产品名称</w:t>
                  </w:r>
                </w:p>
              </w:tc>
              <w:tc>
                <w:tcPr>
                  <w:tcW w:w="743" w:type="pct"/>
                  <w:tcBorders>
                    <w:tl2br w:val="nil"/>
                    <w:tr2bl w:val="nil"/>
                  </w:tcBorders>
                  <w:vAlign w:val="center"/>
                </w:tcPr>
                <w:p w14:paraId="325AF3CA">
                  <w:pPr>
                    <w:widowControl/>
                    <w:adjustRightInd w:val="0"/>
                    <w:snapToGri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批次产量</w:t>
                  </w:r>
                </w:p>
                <w:p w14:paraId="66475164">
                  <w:pPr>
                    <w:widowControl/>
                    <w:adjustRightInd w:val="0"/>
                    <w:snapToGri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（kg/批次）</w:t>
                  </w:r>
                </w:p>
              </w:tc>
              <w:tc>
                <w:tcPr>
                  <w:tcW w:w="773" w:type="pct"/>
                  <w:tcBorders>
                    <w:tl2br w:val="nil"/>
                    <w:tr2bl w:val="nil"/>
                  </w:tcBorders>
                  <w:vAlign w:val="center"/>
                </w:tcPr>
                <w:p w14:paraId="590A4E55">
                  <w:pPr>
                    <w:widowControl/>
                    <w:adjustRightInd w:val="0"/>
                    <w:snapToGri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年生产批次（批次/a）</w:t>
                  </w:r>
                </w:p>
              </w:tc>
              <w:tc>
                <w:tcPr>
                  <w:tcW w:w="918" w:type="pct"/>
                  <w:tcBorders>
                    <w:tl2br w:val="nil"/>
                    <w:tr2bl w:val="nil"/>
                  </w:tcBorders>
                  <w:vAlign w:val="center"/>
                </w:tcPr>
                <w:p w14:paraId="7B6BE705">
                  <w:pPr>
                    <w:widowControl/>
                    <w:adjustRightInd w:val="0"/>
                    <w:snapToGri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单批次生产时间（h/批次）</w:t>
                  </w:r>
                </w:p>
              </w:tc>
              <w:tc>
                <w:tcPr>
                  <w:tcW w:w="851" w:type="pct"/>
                  <w:tcBorders>
                    <w:tl2br w:val="nil"/>
                    <w:tr2bl w:val="nil"/>
                  </w:tcBorders>
                  <w:vAlign w:val="center"/>
                </w:tcPr>
                <w:p w14:paraId="758AAA57">
                  <w:pPr>
                    <w:widowControl/>
                    <w:adjustRightInd w:val="0"/>
                    <w:snapToGri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年生产量（kg/a）</w:t>
                  </w:r>
                </w:p>
              </w:tc>
              <w:tc>
                <w:tcPr>
                  <w:tcW w:w="810" w:type="pct"/>
                  <w:tcBorders>
                    <w:tl2br w:val="nil"/>
                    <w:tr2bl w:val="nil"/>
                  </w:tcBorders>
                  <w:vAlign w:val="center"/>
                </w:tcPr>
                <w:p w14:paraId="63B5D1CD">
                  <w:pPr>
                    <w:widowControl/>
                    <w:adjustRightInd w:val="0"/>
                    <w:snapToGri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 xml:space="preserve"> 年生产时间（h）</w:t>
                  </w:r>
                </w:p>
              </w:tc>
            </w:tr>
            <w:tr w14:paraId="5B6516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45" w:type="dxa"/>
                  <w:bottom w:w="0" w:type="dxa"/>
                  <w:right w:w="45" w:type="dxa"/>
                </w:tblCellMar>
              </w:tblPrEx>
              <w:trPr>
                <w:trHeight w:val="340" w:hRule="atLeast"/>
                <w:jc w:val="center"/>
              </w:trPr>
              <w:tc>
                <w:tcPr>
                  <w:tcW w:w="902" w:type="pct"/>
                  <w:tcBorders>
                    <w:tl2br w:val="nil"/>
                    <w:tr2bl w:val="nil"/>
                  </w:tcBorders>
                  <w:vAlign w:val="center"/>
                </w:tcPr>
                <w:p w14:paraId="677E5C86">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色氨酸</w:t>
                  </w:r>
                </w:p>
              </w:tc>
              <w:tc>
                <w:tcPr>
                  <w:tcW w:w="743" w:type="pct"/>
                  <w:tcBorders>
                    <w:tl2br w:val="nil"/>
                    <w:tr2bl w:val="nil"/>
                  </w:tcBorders>
                  <w:vAlign w:val="center"/>
                </w:tcPr>
                <w:p w14:paraId="75B068C1">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0.1</w:t>
                  </w:r>
                </w:p>
              </w:tc>
              <w:tc>
                <w:tcPr>
                  <w:tcW w:w="773" w:type="pct"/>
                  <w:tcBorders>
                    <w:tl2br w:val="nil"/>
                    <w:tr2bl w:val="nil"/>
                  </w:tcBorders>
                  <w:vAlign w:val="center"/>
                </w:tcPr>
                <w:p w14:paraId="0BAF996B">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10</w:t>
                  </w:r>
                </w:p>
              </w:tc>
              <w:tc>
                <w:tcPr>
                  <w:tcW w:w="918" w:type="pct"/>
                  <w:tcBorders>
                    <w:tl2br w:val="nil"/>
                    <w:tr2bl w:val="nil"/>
                  </w:tcBorders>
                  <w:vAlign w:val="center"/>
                </w:tcPr>
                <w:p w14:paraId="6A9D6786">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45</w:t>
                  </w:r>
                </w:p>
              </w:tc>
              <w:tc>
                <w:tcPr>
                  <w:tcW w:w="851" w:type="pct"/>
                  <w:tcBorders>
                    <w:tl2br w:val="nil"/>
                    <w:tr2bl w:val="nil"/>
                  </w:tcBorders>
                  <w:vAlign w:val="center"/>
                </w:tcPr>
                <w:p w14:paraId="33996EB9">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w:t>
                  </w:r>
                </w:p>
              </w:tc>
              <w:tc>
                <w:tcPr>
                  <w:tcW w:w="810" w:type="pct"/>
                  <w:vMerge w:val="restart"/>
                  <w:tcBorders>
                    <w:tl2br w:val="nil"/>
                    <w:tr2bl w:val="nil"/>
                  </w:tcBorders>
                  <w:vAlign w:val="center"/>
                </w:tcPr>
                <w:p w14:paraId="20399064">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2400</w:t>
                  </w:r>
                </w:p>
              </w:tc>
            </w:tr>
            <w:tr w14:paraId="2A980D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45" w:type="dxa"/>
                  <w:bottom w:w="0" w:type="dxa"/>
                  <w:right w:w="45" w:type="dxa"/>
                </w:tblCellMar>
              </w:tblPrEx>
              <w:trPr>
                <w:trHeight w:val="340" w:hRule="atLeast"/>
                <w:jc w:val="center"/>
              </w:trPr>
              <w:tc>
                <w:tcPr>
                  <w:tcW w:w="902" w:type="pct"/>
                  <w:tcBorders>
                    <w:tl2br w:val="nil"/>
                    <w:tr2bl w:val="nil"/>
                  </w:tcBorders>
                  <w:vAlign w:val="center"/>
                </w:tcPr>
                <w:p w14:paraId="50178C94">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5-羟基色氨酸</w:t>
                  </w:r>
                </w:p>
              </w:tc>
              <w:tc>
                <w:tcPr>
                  <w:tcW w:w="743" w:type="pct"/>
                  <w:tcBorders>
                    <w:tl2br w:val="nil"/>
                    <w:tr2bl w:val="nil"/>
                  </w:tcBorders>
                  <w:vAlign w:val="center"/>
                </w:tcPr>
                <w:p w14:paraId="3278FCB5">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0.1</w:t>
                  </w:r>
                </w:p>
              </w:tc>
              <w:tc>
                <w:tcPr>
                  <w:tcW w:w="773" w:type="pct"/>
                  <w:tcBorders>
                    <w:tl2br w:val="nil"/>
                    <w:tr2bl w:val="nil"/>
                  </w:tcBorders>
                  <w:vAlign w:val="center"/>
                </w:tcPr>
                <w:p w14:paraId="668377A7">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10</w:t>
                  </w:r>
                </w:p>
              </w:tc>
              <w:tc>
                <w:tcPr>
                  <w:tcW w:w="918" w:type="pct"/>
                  <w:tcBorders>
                    <w:tl2br w:val="nil"/>
                    <w:tr2bl w:val="nil"/>
                  </w:tcBorders>
                  <w:vAlign w:val="center"/>
                </w:tcPr>
                <w:p w14:paraId="5C9241F2">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45</w:t>
                  </w:r>
                </w:p>
              </w:tc>
              <w:tc>
                <w:tcPr>
                  <w:tcW w:w="851" w:type="pct"/>
                  <w:tcBorders>
                    <w:tl2br w:val="nil"/>
                    <w:tr2bl w:val="nil"/>
                  </w:tcBorders>
                  <w:vAlign w:val="center"/>
                </w:tcPr>
                <w:p w14:paraId="71F8B98D">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w:t>
                  </w:r>
                </w:p>
              </w:tc>
              <w:tc>
                <w:tcPr>
                  <w:tcW w:w="810" w:type="pct"/>
                  <w:vMerge w:val="continue"/>
                  <w:tcBorders>
                    <w:tl2br w:val="nil"/>
                    <w:tr2bl w:val="nil"/>
                  </w:tcBorders>
                  <w:vAlign w:val="center"/>
                </w:tcPr>
                <w:p w14:paraId="6DF351DA">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r>
            <w:tr w14:paraId="25676B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45" w:type="dxa"/>
                  <w:bottom w:w="0" w:type="dxa"/>
                  <w:right w:w="45" w:type="dxa"/>
                </w:tblCellMar>
              </w:tblPrEx>
              <w:trPr>
                <w:trHeight w:val="340" w:hRule="atLeast"/>
                <w:jc w:val="center"/>
              </w:trPr>
              <w:tc>
                <w:tcPr>
                  <w:tcW w:w="902" w:type="pct"/>
                  <w:tcBorders>
                    <w:tl2br w:val="nil"/>
                    <w:tr2bl w:val="nil"/>
                  </w:tcBorders>
                  <w:vAlign w:val="center"/>
                </w:tcPr>
                <w:p w14:paraId="264365F2">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香紫苏醇</w:t>
                  </w:r>
                </w:p>
              </w:tc>
              <w:tc>
                <w:tcPr>
                  <w:tcW w:w="743" w:type="pct"/>
                  <w:tcBorders>
                    <w:tl2br w:val="nil"/>
                    <w:tr2bl w:val="nil"/>
                  </w:tcBorders>
                  <w:vAlign w:val="center"/>
                </w:tcPr>
                <w:p w14:paraId="02AAAB04">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0.03</w:t>
                  </w:r>
                </w:p>
              </w:tc>
              <w:tc>
                <w:tcPr>
                  <w:tcW w:w="773" w:type="pct"/>
                  <w:tcBorders>
                    <w:tl2br w:val="nil"/>
                    <w:tr2bl w:val="nil"/>
                  </w:tcBorders>
                  <w:vAlign w:val="center"/>
                </w:tcPr>
                <w:p w14:paraId="686F7179">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10</w:t>
                  </w:r>
                </w:p>
              </w:tc>
              <w:tc>
                <w:tcPr>
                  <w:tcW w:w="918" w:type="pct"/>
                  <w:tcBorders>
                    <w:tl2br w:val="nil"/>
                    <w:tr2bl w:val="nil"/>
                  </w:tcBorders>
                  <w:vAlign w:val="center"/>
                </w:tcPr>
                <w:p w14:paraId="16611191">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45</w:t>
                  </w:r>
                </w:p>
              </w:tc>
              <w:tc>
                <w:tcPr>
                  <w:tcW w:w="851" w:type="pct"/>
                  <w:tcBorders>
                    <w:tl2br w:val="nil"/>
                    <w:tr2bl w:val="nil"/>
                  </w:tcBorders>
                  <w:vAlign w:val="center"/>
                </w:tcPr>
                <w:p w14:paraId="24EBB3A8">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0.3</w:t>
                  </w:r>
                </w:p>
              </w:tc>
              <w:tc>
                <w:tcPr>
                  <w:tcW w:w="810" w:type="pct"/>
                  <w:vMerge w:val="continue"/>
                  <w:tcBorders>
                    <w:tl2br w:val="nil"/>
                    <w:tr2bl w:val="nil"/>
                  </w:tcBorders>
                  <w:vAlign w:val="center"/>
                </w:tcPr>
                <w:p w14:paraId="0157EE8E">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r>
            <w:tr w14:paraId="502557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45" w:type="dxa"/>
                  <w:bottom w:w="0" w:type="dxa"/>
                  <w:right w:w="45" w:type="dxa"/>
                </w:tblCellMar>
              </w:tblPrEx>
              <w:trPr>
                <w:trHeight w:val="340" w:hRule="atLeast"/>
                <w:jc w:val="center"/>
              </w:trPr>
              <w:tc>
                <w:tcPr>
                  <w:tcW w:w="902" w:type="pct"/>
                  <w:tcBorders>
                    <w:tl2br w:val="nil"/>
                    <w:tr2bl w:val="nil"/>
                  </w:tcBorders>
                  <w:vAlign w:val="center"/>
                </w:tcPr>
                <w:p w14:paraId="0B9D2DAC">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褪黑素</w:t>
                  </w:r>
                </w:p>
              </w:tc>
              <w:tc>
                <w:tcPr>
                  <w:tcW w:w="743" w:type="pct"/>
                  <w:tcBorders>
                    <w:tl2br w:val="nil"/>
                    <w:tr2bl w:val="nil"/>
                  </w:tcBorders>
                  <w:vAlign w:val="center"/>
                </w:tcPr>
                <w:p w14:paraId="27EDCFB4">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0.03</w:t>
                  </w:r>
                </w:p>
              </w:tc>
              <w:tc>
                <w:tcPr>
                  <w:tcW w:w="773" w:type="pct"/>
                  <w:tcBorders>
                    <w:tl2br w:val="nil"/>
                    <w:tr2bl w:val="nil"/>
                  </w:tcBorders>
                  <w:vAlign w:val="center"/>
                </w:tcPr>
                <w:p w14:paraId="6945EEAA">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10</w:t>
                  </w:r>
                </w:p>
              </w:tc>
              <w:tc>
                <w:tcPr>
                  <w:tcW w:w="918" w:type="pct"/>
                  <w:tcBorders>
                    <w:tl2br w:val="nil"/>
                    <w:tr2bl w:val="nil"/>
                  </w:tcBorders>
                  <w:vAlign w:val="center"/>
                </w:tcPr>
                <w:p w14:paraId="3AE1CFC7">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45</w:t>
                  </w:r>
                </w:p>
              </w:tc>
              <w:tc>
                <w:tcPr>
                  <w:tcW w:w="851" w:type="pct"/>
                  <w:tcBorders>
                    <w:tl2br w:val="nil"/>
                    <w:tr2bl w:val="nil"/>
                  </w:tcBorders>
                  <w:vAlign w:val="center"/>
                </w:tcPr>
                <w:p w14:paraId="03ECE98D">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0.3</w:t>
                  </w:r>
                </w:p>
              </w:tc>
              <w:tc>
                <w:tcPr>
                  <w:tcW w:w="810" w:type="pct"/>
                  <w:vMerge w:val="continue"/>
                  <w:tcBorders>
                    <w:tl2br w:val="nil"/>
                    <w:tr2bl w:val="nil"/>
                  </w:tcBorders>
                  <w:vAlign w:val="center"/>
                </w:tcPr>
                <w:p w14:paraId="32C87B0C">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r>
            <w:tr w14:paraId="37917E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45" w:type="dxa"/>
                  <w:bottom w:w="0" w:type="dxa"/>
                  <w:right w:w="45" w:type="dxa"/>
                </w:tblCellMar>
              </w:tblPrEx>
              <w:trPr>
                <w:trHeight w:val="340" w:hRule="atLeast"/>
                <w:jc w:val="center"/>
              </w:trPr>
              <w:tc>
                <w:tcPr>
                  <w:tcW w:w="902" w:type="pct"/>
                  <w:tcBorders>
                    <w:tl2br w:val="nil"/>
                    <w:tr2bl w:val="nil"/>
                  </w:tcBorders>
                  <w:vAlign w:val="center"/>
                </w:tcPr>
                <w:p w14:paraId="4395B373">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白藜芦醇</w:t>
                  </w:r>
                </w:p>
              </w:tc>
              <w:tc>
                <w:tcPr>
                  <w:tcW w:w="743" w:type="pct"/>
                  <w:tcBorders>
                    <w:tl2br w:val="nil"/>
                    <w:tr2bl w:val="nil"/>
                  </w:tcBorders>
                  <w:vAlign w:val="center"/>
                </w:tcPr>
                <w:p w14:paraId="611217BF">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0.03</w:t>
                  </w:r>
                </w:p>
              </w:tc>
              <w:tc>
                <w:tcPr>
                  <w:tcW w:w="773" w:type="pct"/>
                  <w:tcBorders>
                    <w:tl2br w:val="nil"/>
                    <w:tr2bl w:val="nil"/>
                  </w:tcBorders>
                  <w:vAlign w:val="center"/>
                </w:tcPr>
                <w:p w14:paraId="0E25D37B">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10</w:t>
                  </w:r>
                </w:p>
              </w:tc>
              <w:tc>
                <w:tcPr>
                  <w:tcW w:w="918" w:type="pct"/>
                  <w:tcBorders>
                    <w:tl2br w:val="nil"/>
                    <w:tr2bl w:val="nil"/>
                  </w:tcBorders>
                  <w:vAlign w:val="center"/>
                </w:tcPr>
                <w:p w14:paraId="5C2EC809">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45</w:t>
                  </w:r>
                </w:p>
              </w:tc>
              <w:tc>
                <w:tcPr>
                  <w:tcW w:w="851" w:type="pct"/>
                  <w:tcBorders>
                    <w:tl2br w:val="nil"/>
                    <w:tr2bl w:val="nil"/>
                  </w:tcBorders>
                  <w:vAlign w:val="center"/>
                </w:tcPr>
                <w:p w14:paraId="09BCDD83">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0.3</w:t>
                  </w:r>
                </w:p>
              </w:tc>
              <w:tc>
                <w:tcPr>
                  <w:tcW w:w="810" w:type="pct"/>
                  <w:vMerge w:val="continue"/>
                  <w:tcBorders>
                    <w:tl2br w:val="nil"/>
                    <w:tr2bl w:val="nil"/>
                  </w:tcBorders>
                  <w:vAlign w:val="center"/>
                </w:tcPr>
                <w:p w14:paraId="2D8A8EB5">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r>
          </w:tbl>
          <w:p w14:paraId="63A969A2">
            <w:pPr>
              <w:widowControl/>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实验得到的目标产物</w:t>
            </w:r>
            <w:r>
              <w:rPr>
                <w:color w:val="000000" w:themeColor="text1"/>
                <w:kern w:val="0"/>
                <w:szCs w:val="21"/>
                <w14:textFill>
                  <w14:solidFill>
                    <w14:schemeClr w14:val="tx1"/>
                  </w14:solidFill>
                </w14:textFill>
              </w:rPr>
              <w:t>作为危险废物委托有资质单位处置。</w:t>
            </w:r>
          </w:p>
          <w:p w14:paraId="7546605D">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5</w:t>
            </w:r>
            <w:r>
              <w:rPr>
                <w:b/>
                <w:bCs/>
                <w:color w:val="000000" w:themeColor="text1"/>
                <w:kern w:val="0"/>
                <w:sz w:val="24"/>
                <w14:textFill>
                  <w14:solidFill>
                    <w14:schemeClr w14:val="tx1"/>
                  </w14:solidFill>
                </w14:textFill>
              </w:rPr>
              <w:t>、主体、公用及公辅工程</w:t>
            </w:r>
          </w:p>
          <w:p w14:paraId="27EBBAEF">
            <w:pPr>
              <w:spacing w:line="480" w:lineRule="exact"/>
              <w:ind w:firstLine="472" w:firstLineChars="200"/>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本项目主体工程见表2-</w:t>
            </w:r>
            <w:r>
              <w:rPr>
                <w:rFonts w:hint="eastAsia"/>
                <w:color w:val="000000" w:themeColor="text1"/>
                <w:spacing w:val="-2"/>
                <w:sz w:val="24"/>
                <w14:textFill>
                  <w14:solidFill>
                    <w14:schemeClr w14:val="tx1"/>
                  </w14:solidFill>
                </w14:textFill>
              </w:rPr>
              <w:t>3</w:t>
            </w:r>
            <w:r>
              <w:rPr>
                <w:color w:val="000000" w:themeColor="text1"/>
                <w:spacing w:val="-2"/>
                <w:sz w:val="24"/>
                <w14:textFill>
                  <w14:solidFill>
                    <w14:schemeClr w14:val="tx1"/>
                  </w14:solidFill>
                </w14:textFill>
              </w:rPr>
              <w:t>。</w:t>
            </w:r>
          </w:p>
          <w:p w14:paraId="196F3313">
            <w:pPr>
              <w:tabs>
                <w:tab w:val="left" w:pos="2127"/>
                <w:tab w:val="center" w:pos="4452"/>
                <w:tab w:val="right" w:pos="8246"/>
              </w:tabs>
              <w:spacing w:line="360" w:lineRule="exact"/>
              <w:jc w:val="center"/>
              <w:rPr>
                <w:color w:val="000000" w:themeColor="text1"/>
                <w:sz w:val="24"/>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 xml:space="preserve"> 本项目主体工程一览表</w:t>
            </w:r>
          </w:p>
          <w:tbl>
            <w:tblPr>
              <w:tblStyle w:val="25"/>
              <w:tblW w:w="5000" w:type="pct"/>
              <w:jc w:val="center"/>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643"/>
              <w:gridCol w:w="563"/>
              <w:gridCol w:w="2341"/>
              <w:gridCol w:w="1298"/>
              <w:gridCol w:w="4447"/>
            </w:tblGrid>
            <w:tr w14:paraId="4C4E825D">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PrEx>
              <w:trPr>
                <w:trHeight w:val="90" w:hRule="atLeast"/>
                <w:tblHeader/>
                <w:jc w:val="center"/>
              </w:trPr>
              <w:tc>
                <w:tcPr>
                  <w:tcW w:w="346" w:type="pct"/>
                  <w:tcBorders>
                    <w:top w:val="single" w:color="auto" w:sz="12" w:space="0"/>
                  </w:tcBorders>
                  <w:vAlign w:val="center"/>
                </w:tcPr>
                <w:p w14:paraId="5A0727F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1562" w:type="pct"/>
                  <w:gridSpan w:val="2"/>
                  <w:tcBorders>
                    <w:top w:val="single" w:color="auto" w:sz="12" w:space="0"/>
                  </w:tcBorders>
                  <w:tcMar>
                    <w:top w:w="15" w:type="dxa"/>
                    <w:left w:w="15" w:type="dxa"/>
                    <w:bottom w:w="0" w:type="dxa"/>
                    <w:right w:w="15" w:type="dxa"/>
                  </w:tcMar>
                  <w:vAlign w:val="center"/>
                </w:tcPr>
                <w:p w14:paraId="5F95BE58">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建筑物名称</w:t>
                  </w:r>
                </w:p>
              </w:tc>
              <w:tc>
                <w:tcPr>
                  <w:tcW w:w="698" w:type="pct"/>
                  <w:tcBorders>
                    <w:top w:val="single" w:color="auto" w:sz="12" w:space="0"/>
                  </w:tcBorders>
                  <w:tcMar>
                    <w:top w:w="15" w:type="dxa"/>
                    <w:left w:w="15" w:type="dxa"/>
                    <w:bottom w:w="0" w:type="dxa"/>
                    <w:right w:w="15" w:type="dxa"/>
                  </w:tcMar>
                  <w:vAlign w:val="center"/>
                </w:tcPr>
                <w:p w14:paraId="0EB420F8">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设计能力</w:t>
                  </w:r>
                </w:p>
              </w:tc>
              <w:tc>
                <w:tcPr>
                  <w:tcW w:w="2392" w:type="pct"/>
                  <w:tcBorders>
                    <w:top w:val="single" w:color="auto" w:sz="12" w:space="0"/>
                  </w:tcBorders>
                  <w:tcMar>
                    <w:top w:w="15" w:type="dxa"/>
                    <w:left w:w="15" w:type="dxa"/>
                    <w:bottom w:w="0" w:type="dxa"/>
                    <w:right w:w="15" w:type="dxa"/>
                  </w:tcMar>
                  <w:vAlign w:val="center"/>
                </w:tcPr>
                <w:p w14:paraId="2F618C42">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备注</w:t>
                  </w:r>
                </w:p>
              </w:tc>
            </w:tr>
            <w:tr w14:paraId="531C09C7">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94" w:hRule="atLeast"/>
                <w:jc w:val="center"/>
              </w:trPr>
              <w:tc>
                <w:tcPr>
                  <w:tcW w:w="346" w:type="pct"/>
                  <w:vAlign w:val="center"/>
                </w:tcPr>
                <w:p w14:paraId="7AEC011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1562" w:type="pct"/>
                  <w:gridSpan w:val="2"/>
                  <w:tcMar>
                    <w:top w:w="15" w:type="dxa"/>
                    <w:left w:w="15" w:type="dxa"/>
                    <w:bottom w:w="0" w:type="dxa"/>
                    <w:right w:w="15" w:type="dxa"/>
                  </w:tcMar>
                  <w:vAlign w:val="center"/>
                </w:tcPr>
                <w:p w14:paraId="4AF227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实验室</w:t>
                  </w:r>
                </w:p>
              </w:tc>
              <w:tc>
                <w:tcPr>
                  <w:tcW w:w="698" w:type="pct"/>
                  <w:tcMar>
                    <w:top w:w="15" w:type="dxa"/>
                    <w:left w:w="15" w:type="dxa"/>
                    <w:bottom w:w="0" w:type="dxa"/>
                    <w:right w:w="15" w:type="dxa"/>
                  </w:tcMar>
                  <w:vAlign w:val="center"/>
                </w:tcPr>
                <w:p w14:paraId="46D6753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156</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p>
              </w:tc>
              <w:tc>
                <w:tcPr>
                  <w:tcW w:w="2392" w:type="pct"/>
                  <w:tcMar>
                    <w:top w:w="15" w:type="dxa"/>
                    <w:left w:w="15" w:type="dxa"/>
                    <w:bottom w:w="0" w:type="dxa"/>
                    <w:right w:w="15" w:type="dxa"/>
                  </w:tcMar>
                  <w:vAlign w:val="center"/>
                </w:tcPr>
                <w:p w14:paraId="2C5BA6D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位于9号楼2F，无</w:t>
                  </w:r>
                  <w:r>
                    <w:rPr>
                      <w:color w:val="000000" w:themeColor="text1"/>
                      <w:szCs w:val="21"/>
                      <w14:textFill>
                        <w14:solidFill>
                          <w14:schemeClr w14:val="tx1"/>
                        </w14:solidFill>
                      </w14:textFill>
                    </w:rPr>
                    <w:t>洁净要求</w:t>
                  </w:r>
                </w:p>
              </w:tc>
            </w:tr>
            <w:tr w14:paraId="12A28F59">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346" w:type="pct"/>
                  <w:vMerge w:val="restart"/>
                  <w:vAlign w:val="center"/>
                </w:tcPr>
                <w:p w14:paraId="75AFED4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贮存</w:t>
                  </w:r>
                </w:p>
                <w:p w14:paraId="792FDD9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w:t>
                  </w:r>
                </w:p>
              </w:tc>
              <w:tc>
                <w:tcPr>
                  <w:tcW w:w="1562" w:type="pct"/>
                  <w:gridSpan w:val="2"/>
                  <w:tcMar>
                    <w:top w:w="15" w:type="dxa"/>
                    <w:left w:w="15" w:type="dxa"/>
                    <w:bottom w:w="0" w:type="dxa"/>
                    <w:right w:w="15" w:type="dxa"/>
                  </w:tcMar>
                  <w:vAlign w:val="center"/>
                </w:tcPr>
                <w:p w14:paraId="3C55E23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试剂间</w:t>
                  </w:r>
                </w:p>
              </w:tc>
              <w:tc>
                <w:tcPr>
                  <w:tcW w:w="698" w:type="pct"/>
                  <w:tcMar>
                    <w:top w:w="15" w:type="dxa"/>
                    <w:left w:w="15" w:type="dxa"/>
                    <w:bottom w:w="0" w:type="dxa"/>
                    <w:right w:w="15" w:type="dxa"/>
                  </w:tcMar>
                  <w:vAlign w:val="center"/>
                </w:tcPr>
                <w:p w14:paraId="45D466D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3.75m</w:t>
                  </w:r>
                  <w:r>
                    <w:rPr>
                      <w:color w:val="000000" w:themeColor="text1"/>
                      <w:szCs w:val="21"/>
                      <w:vertAlign w:val="superscript"/>
                      <w14:textFill>
                        <w14:solidFill>
                          <w14:schemeClr w14:val="tx1"/>
                        </w14:solidFill>
                      </w14:textFill>
                    </w:rPr>
                    <w:t>2</w:t>
                  </w:r>
                </w:p>
              </w:tc>
              <w:tc>
                <w:tcPr>
                  <w:tcW w:w="2392" w:type="pct"/>
                  <w:tcMar>
                    <w:top w:w="15" w:type="dxa"/>
                    <w:left w:w="15" w:type="dxa"/>
                    <w:bottom w:w="0" w:type="dxa"/>
                    <w:right w:w="15" w:type="dxa"/>
                  </w:tcMar>
                  <w:vAlign w:val="center"/>
                </w:tcPr>
                <w:p w14:paraId="007B3B6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存放试剂</w:t>
                  </w:r>
                  <w:r>
                    <w:rPr>
                      <w:rFonts w:hint="eastAsia"/>
                      <w:color w:val="000000" w:themeColor="text1"/>
                      <w:szCs w:val="21"/>
                      <w14:textFill>
                        <w14:solidFill>
                          <w14:schemeClr w14:val="tx1"/>
                        </w14:solidFill>
                      </w14:textFill>
                    </w:rPr>
                    <w:t>，含防爆柜</w:t>
                  </w:r>
                </w:p>
              </w:tc>
            </w:tr>
            <w:tr w14:paraId="6E0DA276">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346" w:type="pct"/>
                  <w:vMerge w:val="continue"/>
                  <w:vAlign w:val="center"/>
                </w:tcPr>
                <w:p w14:paraId="01621444">
                  <w:pPr>
                    <w:jc w:val="center"/>
                    <w:rPr>
                      <w:color w:val="000000" w:themeColor="text1"/>
                      <w:szCs w:val="21"/>
                      <w14:textFill>
                        <w14:solidFill>
                          <w14:schemeClr w14:val="tx1"/>
                        </w14:solidFill>
                      </w14:textFill>
                    </w:rPr>
                  </w:pPr>
                </w:p>
              </w:tc>
              <w:tc>
                <w:tcPr>
                  <w:tcW w:w="1562" w:type="pct"/>
                  <w:gridSpan w:val="2"/>
                  <w:tcMar>
                    <w:top w:w="15" w:type="dxa"/>
                    <w:left w:w="15" w:type="dxa"/>
                    <w:bottom w:w="0" w:type="dxa"/>
                    <w:right w:w="15" w:type="dxa"/>
                  </w:tcMar>
                  <w:vAlign w:val="center"/>
                </w:tcPr>
                <w:p w14:paraId="2AB025E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冰箱</w:t>
                  </w:r>
                </w:p>
              </w:tc>
              <w:tc>
                <w:tcPr>
                  <w:tcW w:w="698" w:type="pct"/>
                  <w:tcMar>
                    <w:top w:w="15" w:type="dxa"/>
                    <w:left w:w="15" w:type="dxa"/>
                    <w:bottom w:w="0" w:type="dxa"/>
                    <w:right w:w="15" w:type="dxa"/>
                  </w:tcMar>
                  <w:vAlign w:val="center"/>
                </w:tcPr>
                <w:p w14:paraId="42AA9254">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426L、519L</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300L</w:t>
                  </w:r>
                </w:p>
              </w:tc>
              <w:tc>
                <w:tcPr>
                  <w:tcW w:w="2392" w:type="pct"/>
                  <w:tcMar>
                    <w:top w:w="15" w:type="dxa"/>
                    <w:left w:w="15" w:type="dxa"/>
                    <w:bottom w:w="0" w:type="dxa"/>
                    <w:right w:w="15" w:type="dxa"/>
                  </w:tcMar>
                  <w:vAlign w:val="center"/>
                </w:tcPr>
                <w:p w14:paraId="24BC7CD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存放试剂</w:t>
                  </w:r>
                </w:p>
              </w:tc>
            </w:tr>
            <w:tr w14:paraId="01EF4513">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346" w:type="pct"/>
                  <w:vMerge w:val="restart"/>
                  <w:vAlign w:val="center"/>
                </w:tcPr>
                <w:p w14:paraId="1C1E73B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公用</w:t>
                  </w:r>
                </w:p>
                <w:p w14:paraId="574A0E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w:t>
                  </w:r>
                </w:p>
              </w:tc>
              <w:tc>
                <w:tcPr>
                  <w:tcW w:w="1562" w:type="pct"/>
                  <w:gridSpan w:val="2"/>
                  <w:tcMar>
                    <w:top w:w="15" w:type="dxa"/>
                    <w:left w:w="15" w:type="dxa"/>
                    <w:bottom w:w="0" w:type="dxa"/>
                    <w:right w:w="15" w:type="dxa"/>
                  </w:tcMar>
                  <w:vAlign w:val="center"/>
                </w:tcPr>
                <w:p w14:paraId="4F1052E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给水系统</w:t>
                  </w:r>
                </w:p>
              </w:tc>
              <w:tc>
                <w:tcPr>
                  <w:tcW w:w="698" w:type="pct"/>
                  <w:tcMar>
                    <w:top w:w="15" w:type="dxa"/>
                    <w:left w:w="15" w:type="dxa"/>
                    <w:bottom w:w="0" w:type="dxa"/>
                    <w:right w:w="15" w:type="dxa"/>
                  </w:tcMar>
                  <w:vAlign w:val="center"/>
                </w:tcPr>
                <w:p w14:paraId="404982F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157.75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2392" w:type="pct"/>
                  <w:tcMar>
                    <w:top w:w="15" w:type="dxa"/>
                    <w:left w:w="15" w:type="dxa"/>
                    <w:bottom w:w="0" w:type="dxa"/>
                    <w:right w:w="15" w:type="dxa"/>
                  </w:tcMar>
                  <w:vAlign w:val="center"/>
                </w:tcPr>
                <w:p w14:paraId="5F3150A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区域供水管网</w:t>
                  </w:r>
                </w:p>
              </w:tc>
            </w:tr>
            <w:tr w14:paraId="03F417DB">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346" w:type="pct"/>
                  <w:vMerge w:val="continue"/>
                  <w:vAlign w:val="center"/>
                </w:tcPr>
                <w:p w14:paraId="5339A4CC">
                  <w:pPr>
                    <w:jc w:val="center"/>
                    <w:rPr>
                      <w:color w:val="000000" w:themeColor="text1"/>
                      <w:szCs w:val="21"/>
                      <w14:textFill>
                        <w14:solidFill>
                          <w14:schemeClr w14:val="tx1"/>
                        </w14:solidFill>
                      </w14:textFill>
                    </w:rPr>
                  </w:pPr>
                </w:p>
              </w:tc>
              <w:tc>
                <w:tcPr>
                  <w:tcW w:w="1562" w:type="pct"/>
                  <w:gridSpan w:val="2"/>
                  <w:tcMar>
                    <w:top w:w="15" w:type="dxa"/>
                    <w:left w:w="15" w:type="dxa"/>
                    <w:bottom w:w="0" w:type="dxa"/>
                    <w:right w:w="15" w:type="dxa"/>
                  </w:tcMar>
                  <w:vAlign w:val="center"/>
                </w:tcPr>
                <w:p w14:paraId="6573F71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w:t>
                  </w:r>
                  <w:r>
                    <w:rPr>
                      <w:color w:val="000000" w:themeColor="text1"/>
                      <w:szCs w:val="21"/>
                      <w14:textFill>
                        <w14:solidFill>
                          <w14:schemeClr w14:val="tx1"/>
                        </w14:solidFill>
                      </w14:textFill>
                    </w:rPr>
                    <w:t>水系统</w:t>
                  </w:r>
                </w:p>
              </w:tc>
              <w:tc>
                <w:tcPr>
                  <w:tcW w:w="698" w:type="pct"/>
                  <w:tcMar>
                    <w:top w:w="15" w:type="dxa"/>
                    <w:left w:w="15" w:type="dxa"/>
                    <w:bottom w:w="0" w:type="dxa"/>
                    <w:right w:w="15" w:type="dxa"/>
                  </w:tcMar>
                  <w:vAlign w:val="center"/>
                </w:tcPr>
                <w:p w14:paraId="2CDBC53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2392" w:type="pct"/>
                  <w:tcMar>
                    <w:top w:w="15" w:type="dxa"/>
                    <w:left w:w="15" w:type="dxa"/>
                    <w:bottom w:w="0" w:type="dxa"/>
                    <w:right w:w="15" w:type="dxa"/>
                  </w:tcMar>
                  <w:vAlign w:val="center"/>
                </w:tcPr>
                <w:p w14:paraId="062992D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接入金坛区第二污水处理有限公司处理</w:t>
                  </w:r>
                </w:p>
              </w:tc>
            </w:tr>
            <w:tr w14:paraId="4D69377F">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346" w:type="pct"/>
                  <w:vMerge w:val="continue"/>
                  <w:vAlign w:val="center"/>
                </w:tcPr>
                <w:p w14:paraId="4643F1CB">
                  <w:pPr>
                    <w:jc w:val="center"/>
                    <w:rPr>
                      <w:color w:val="000000" w:themeColor="text1"/>
                      <w:szCs w:val="21"/>
                      <w14:textFill>
                        <w14:solidFill>
                          <w14:schemeClr w14:val="tx1"/>
                        </w14:solidFill>
                      </w14:textFill>
                    </w:rPr>
                  </w:pPr>
                </w:p>
              </w:tc>
              <w:tc>
                <w:tcPr>
                  <w:tcW w:w="1562" w:type="pct"/>
                  <w:gridSpan w:val="2"/>
                  <w:tcMar>
                    <w:top w:w="15" w:type="dxa"/>
                    <w:left w:w="15" w:type="dxa"/>
                    <w:bottom w:w="0" w:type="dxa"/>
                    <w:right w:w="15" w:type="dxa"/>
                  </w:tcMar>
                  <w:vAlign w:val="center"/>
                </w:tcPr>
                <w:p w14:paraId="379FCC4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雨水系统</w:t>
                  </w:r>
                </w:p>
              </w:tc>
              <w:tc>
                <w:tcPr>
                  <w:tcW w:w="698" w:type="pct"/>
                  <w:tcMar>
                    <w:top w:w="15" w:type="dxa"/>
                    <w:left w:w="15" w:type="dxa"/>
                    <w:bottom w:w="0" w:type="dxa"/>
                    <w:right w:w="15" w:type="dxa"/>
                  </w:tcMar>
                  <w:vAlign w:val="center"/>
                </w:tcPr>
                <w:p w14:paraId="086D210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392" w:type="pct"/>
                  <w:tcMar>
                    <w:top w:w="15" w:type="dxa"/>
                    <w:left w:w="15" w:type="dxa"/>
                    <w:bottom w:w="0" w:type="dxa"/>
                    <w:right w:w="15" w:type="dxa"/>
                  </w:tcMar>
                  <w:vAlign w:val="center"/>
                </w:tcPr>
                <w:p w14:paraId="5D98E3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项目采取“雨、污分流制”排水体制，雨水管网和雨水排放口依托园区现有</w:t>
                  </w:r>
                </w:p>
              </w:tc>
            </w:tr>
            <w:tr w14:paraId="24E75DBF">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346" w:type="pct"/>
                  <w:vMerge w:val="continue"/>
                  <w:vAlign w:val="center"/>
                </w:tcPr>
                <w:p w14:paraId="5882EA29">
                  <w:pPr>
                    <w:jc w:val="center"/>
                    <w:rPr>
                      <w:color w:val="000000" w:themeColor="text1"/>
                      <w:szCs w:val="21"/>
                      <w14:textFill>
                        <w14:solidFill>
                          <w14:schemeClr w14:val="tx1"/>
                        </w14:solidFill>
                      </w14:textFill>
                    </w:rPr>
                  </w:pPr>
                </w:p>
              </w:tc>
              <w:tc>
                <w:tcPr>
                  <w:tcW w:w="1562" w:type="pct"/>
                  <w:gridSpan w:val="2"/>
                  <w:tcMar>
                    <w:top w:w="15" w:type="dxa"/>
                    <w:left w:w="15" w:type="dxa"/>
                    <w:bottom w:w="0" w:type="dxa"/>
                    <w:right w:w="15" w:type="dxa"/>
                  </w:tcMar>
                  <w:vAlign w:val="center"/>
                </w:tcPr>
                <w:p w14:paraId="315E1DB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供配电系统</w:t>
                  </w:r>
                </w:p>
              </w:tc>
              <w:tc>
                <w:tcPr>
                  <w:tcW w:w="698" w:type="pct"/>
                  <w:tcMar>
                    <w:top w:w="15" w:type="dxa"/>
                    <w:left w:w="15" w:type="dxa"/>
                    <w:bottom w:w="0" w:type="dxa"/>
                    <w:right w:w="15" w:type="dxa"/>
                  </w:tcMar>
                  <w:vAlign w:val="center"/>
                </w:tcPr>
                <w:p w14:paraId="02A76BE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1万度/年</w:t>
                  </w:r>
                </w:p>
              </w:tc>
              <w:tc>
                <w:tcPr>
                  <w:tcW w:w="2392" w:type="pct"/>
                  <w:tcMar>
                    <w:top w:w="15" w:type="dxa"/>
                    <w:left w:w="15" w:type="dxa"/>
                    <w:bottom w:w="0" w:type="dxa"/>
                    <w:right w:w="15" w:type="dxa"/>
                  </w:tcMar>
                  <w:vAlign w:val="center"/>
                </w:tcPr>
                <w:p w14:paraId="6BE4002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区域供电</w:t>
                  </w:r>
                </w:p>
              </w:tc>
            </w:tr>
            <w:tr w14:paraId="2E15B9C3">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346" w:type="pct"/>
                  <w:vMerge w:val="continue"/>
                  <w:vAlign w:val="center"/>
                </w:tcPr>
                <w:p w14:paraId="070F1C0E">
                  <w:pPr>
                    <w:jc w:val="center"/>
                    <w:rPr>
                      <w:color w:val="000000" w:themeColor="text1"/>
                      <w:szCs w:val="21"/>
                      <w14:textFill>
                        <w14:solidFill>
                          <w14:schemeClr w14:val="tx1"/>
                        </w14:solidFill>
                      </w14:textFill>
                    </w:rPr>
                  </w:pPr>
                </w:p>
              </w:tc>
              <w:tc>
                <w:tcPr>
                  <w:tcW w:w="1562" w:type="pct"/>
                  <w:gridSpan w:val="2"/>
                  <w:tcMar>
                    <w:top w:w="15" w:type="dxa"/>
                    <w:left w:w="15" w:type="dxa"/>
                    <w:bottom w:w="0" w:type="dxa"/>
                    <w:right w:w="15" w:type="dxa"/>
                  </w:tcMar>
                  <w:vAlign w:val="center"/>
                </w:tcPr>
                <w:p w14:paraId="65DC33F4">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纯水系统</w:t>
                  </w:r>
                </w:p>
              </w:tc>
              <w:tc>
                <w:tcPr>
                  <w:tcW w:w="698" w:type="pct"/>
                  <w:tcMar>
                    <w:top w:w="15" w:type="dxa"/>
                    <w:left w:w="15" w:type="dxa"/>
                    <w:bottom w:w="0" w:type="dxa"/>
                    <w:right w:w="15" w:type="dxa"/>
                  </w:tcMar>
                  <w:vAlign w:val="center"/>
                </w:tcPr>
                <w:p w14:paraId="3A0863D1">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10L/h</w:t>
                  </w:r>
                </w:p>
              </w:tc>
              <w:tc>
                <w:tcPr>
                  <w:tcW w:w="2392" w:type="pct"/>
                  <w:tcMar>
                    <w:top w:w="15" w:type="dxa"/>
                    <w:left w:w="15" w:type="dxa"/>
                    <w:bottom w:w="0" w:type="dxa"/>
                    <w:right w:w="15" w:type="dxa"/>
                  </w:tcMar>
                  <w:vAlign w:val="center"/>
                </w:tcPr>
                <w:p w14:paraId="3866AB12">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36DED38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346" w:type="pct"/>
                  <w:vMerge w:val="continue"/>
                  <w:vAlign w:val="center"/>
                </w:tcPr>
                <w:p w14:paraId="43D75114">
                  <w:pPr>
                    <w:jc w:val="center"/>
                    <w:rPr>
                      <w:color w:val="000000" w:themeColor="text1"/>
                      <w:szCs w:val="21"/>
                      <w14:textFill>
                        <w14:solidFill>
                          <w14:schemeClr w14:val="tx1"/>
                        </w14:solidFill>
                      </w14:textFill>
                    </w:rPr>
                  </w:pPr>
                </w:p>
              </w:tc>
              <w:tc>
                <w:tcPr>
                  <w:tcW w:w="1562" w:type="pct"/>
                  <w:gridSpan w:val="2"/>
                  <w:tcMar>
                    <w:top w:w="15" w:type="dxa"/>
                    <w:left w:w="15" w:type="dxa"/>
                    <w:bottom w:w="0" w:type="dxa"/>
                    <w:right w:w="15" w:type="dxa"/>
                  </w:tcMar>
                  <w:vAlign w:val="center"/>
                </w:tcPr>
                <w:p w14:paraId="5C9A9CA1">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压缩空气</w:t>
                  </w:r>
                </w:p>
              </w:tc>
              <w:tc>
                <w:tcPr>
                  <w:tcW w:w="698" w:type="pct"/>
                  <w:tcMar>
                    <w:top w:w="15" w:type="dxa"/>
                    <w:left w:w="15" w:type="dxa"/>
                    <w:bottom w:w="0" w:type="dxa"/>
                    <w:right w:w="15" w:type="dxa"/>
                  </w:tcMar>
                  <w:vAlign w:val="center"/>
                </w:tcPr>
                <w:p w14:paraId="1EFB76C9">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200L/min</w:t>
                  </w:r>
                </w:p>
              </w:tc>
              <w:tc>
                <w:tcPr>
                  <w:tcW w:w="2392" w:type="pct"/>
                  <w:tcMar>
                    <w:top w:w="15" w:type="dxa"/>
                    <w:left w:w="15" w:type="dxa"/>
                    <w:bottom w:w="0" w:type="dxa"/>
                    <w:right w:w="15" w:type="dxa"/>
                  </w:tcMar>
                  <w:vAlign w:val="center"/>
                </w:tcPr>
                <w:p w14:paraId="3A11A40A">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177584B4">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346" w:type="pct"/>
                  <w:vMerge w:val="continue"/>
                  <w:vAlign w:val="center"/>
                </w:tcPr>
                <w:p w14:paraId="188AA25D">
                  <w:pPr>
                    <w:jc w:val="center"/>
                    <w:rPr>
                      <w:color w:val="000000" w:themeColor="text1"/>
                      <w:szCs w:val="21"/>
                      <w14:textFill>
                        <w14:solidFill>
                          <w14:schemeClr w14:val="tx1"/>
                        </w14:solidFill>
                      </w14:textFill>
                    </w:rPr>
                  </w:pPr>
                </w:p>
              </w:tc>
              <w:tc>
                <w:tcPr>
                  <w:tcW w:w="1562" w:type="pct"/>
                  <w:gridSpan w:val="2"/>
                  <w:tcMar>
                    <w:top w:w="15" w:type="dxa"/>
                    <w:left w:w="15" w:type="dxa"/>
                    <w:bottom w:w="0" w:type="dxa"/>
                    <w:right w:w="15" w:type="dxa"/>
                  </w:tcMar>
                  <w:vAlign w:val="center"/>
                </w:tcPr>
                <w:p w14:paraId="4BBE502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灭活方式</w:t>
                  </w:r>
                </w:p>
              </w:tc>
              <w:tc>
                <w:tcPr>
                  <w:tcW w:w="698" w:type="pct"/>
                  <w:tcMar>
                    <w:top w:w="15" w:type="dxa"/>
                    <w:left w:w="15" w:type="dxa"/>
                    <w:bottom w:w="0" w:type="dxa"/>
                    <w:right w:w="15" w:type="dxa"/>
                  </w:tcMar>
                  <w:vAlign w:val="center"/>
                </w:tcPr>
                <w:p w14:paraId="5F1552D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392" w:type="pct"/>
                  <w:tcMar>
                    <w:top w:w="15" w:type="dxa"/>
                    <w:left w:w="15" w:type="dxa"/>
                    <w:bottom w:w="0" w:type="dxa"/>
                    <w:right w:w="15" w:type="dxa"/>
                  </w:tcMar>
                  <w:vAlign w:val="center"/>
                </w:tcPr>
                <w:p w14:paraId="5016D85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使用高温蒸汽对各类培养基、多余的DNA或微生物样品以及含有生物活性的危险废物进行高温灭活处理</w:t>
                  </w:r>
                </w:p>
              </w:tc>
            </w:tr>
            <w:tr w14:paraId="0C995BB5">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2" w:hRule="atLeast"/>
                <w:jc w:val="center"/>
              </w:trPr>
              <w:tc>
                <w:tcPr>
                  <w:tcW w:w="346" w:type="pct"/>
                  <w:vMerge w:val="restart"/>
                  <w:vAlign w:val="center"/>
                </w:tcPr>
                <w:p w14:paraId="1270A8B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环保工程</w:t>
                  </w:r>
                </w:p>
              </w:tc>
              <w:tc>
                <w:tcPr>
                  <w:tcW w:w="303" w:type="pct"/>
                  <w:tcMar>
                    <w:top w:w="15" w:type="dxa"/>
                    <w:left w:w="15" w:type="dxa"/>
                    <w:bottom w:w="0" w:type="dxa"/>
                    <w:right w:w="15" w:type="dxa"/>
                  </w:tcMar>
                  <w:vAlign w:val="center"/>
                </w:tcPr>
                <w:p w14:paraId="070608B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废水</w:t>
                  </w:r>
                </w:p>
              </w:tc>
              <w:tc>
                <w:tcPr>
                  <w:tcW w:w="1258" w:type="pct"/>
                  <w:tcMar>
                    <w:top w:w="15" w:type="dxa"/>
                    <w:left w:w="15" w:type="dxa"/>
                    <w:bottom w:w="0" w:type="dxa"/>
                    <w:right w:w="15" w:type="dxa"/>
                  </w:tcMar>
                  <w:vAlign w:val="center"/>
                </w:tcPr>
                <w:p w14:paraId="0D8A2FB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698" w:type="pct"/>
                  <w:tcMar>
                    <w:top w:w="15" w:type="dxa"/>
                    <w:left w:w="15" w:type="dxa"/>
                    <w:bottom w:w="0" w:type="dxa"/>
                    <w:right w:w="15" w:type="dxa"/>
                  </w:tcMar>
                  <w:vAlign w:val="center"/>
                </w:tcPr>
                <w:p w14:paraId="0954B53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2392" w:type="pct"/>
                  <w:vAlign w:val="center"/>
                </w:tcPr>
                <w:p w14:paraId="11B94BB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本次依托园</w:t>
                  </w:r>
                  <w:r>
                    <w:rPr>
                      <w:color w:val="000000" w:themeColor="text1"/>
                      <w14:textFill>
                        <w14:solidFill>
                          <w14:schemeClr w14:val="tx1"/>
                        </w14:solidFill>
                      </w14:textFill>
                    </w:rPr>
                    <w:t>区</w:t>
                  </w:r>
                  <w:r>
                    <w:rPr>
                      <w:color w:val="000000" w:themeColor="text1"/>
                      <w:szCs w:val="21"/>
                      <w14:textFill>
                        <w14:solidFill>
                          <w14:schemeClr w14:val="tx1"/>
                        </w14:solidFill>
                      </w14:textFill>
                    </w:rPr>
                    <w:t>污水管网，接</w:t>
                  </w:r>
                  <w:r>
                    <w:rPr>
                      <w:rFonts w:hint="eastAsia"/>
                      <w:color w:val="000000" w:themeColor="text1"/>
                      <w:szCs w:val="21"/>
                      <w14:textFill>
                        <w14:solidFill>
                          <w14:schemeClr w14:val="tx1"/>
                        </w14:solidFill>
                      </w14:textFill>
                    </w:rPr>
                    <w:t>管</w:t>
                  </w:r>
                  <w:r>
                    <w:rPr>
                      <w:color w:val="000000" w:themeColor="text1"/>
                      <w:szCs w:val="21"/>
                      <w14:textFill>
                        <w14:solidFill>
                          <w14:schemeClr w14:val="tx1"/>
                        </w14:solidFill>
                      </w14:textFill>
                    </w:rPr>
                    <w:t>金坛区第二污水处理有限公司进行处理</w:t>
                  </w:r>
                </w:p>
              </w:tc>
            </w:tr>
            <w:tr w14:paraId="642D97F3">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33" w:hRule="atLeast"/>
                <w:jc w:val="center"/>
              </w:trPr>
              <w:tc>
                <w:tcPr>
                  <w:tcW w:w="346" w:type="pct"/>
                  <w:vMerge w:val="continue"/>
                  <w:vAlign w:val="center"/>
                </w:tcPr>
                <w:p w14:paraId="725FEE24">
                  <w:pPr>
                    <w:jc w:val="center"/>
                    <w:rPr>
                      <w:color w:val="000000" w:themeColor="text1"/>
                      <w:szCs w:val="21"/>
                      <w14:textFill>
                        <w14:solidFill>
                          <w14:schemeClr w14:val="tx1"/>
                        </w14:solidFill>
                      </w14:textFill>
                    </w:rPr>
                  </w:pPr>
                </w:p>
              </w:tc>
              <w:tc>
                <w:tcPr>
                  <w:tcW w:w="303" w:type="pct"/>
                  <w:vMerge w:val="restart"/>
                  <w:tcMar>
                    <w:top w:w="15" w:type="dxa"/>
                    <w:left w:w="15" w:type="dxa"/>
                    <w:bottom w:w="0" w:type="dxa"/>
                    <w:right w:w="15" w:type="dxa"/>
                  </w:tcMar>
                  <w:vAlign w:val="center"/>
                </w:tcPr>
                <w:p w14:paraId="653FCE8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固废</w:t>
                  </w:r>
                </w:p>
              </w:tc>
              <w:tc>
                <w:tcPr>
                  <w:tcW w:w="1258" w:type="pct"/>
                  <w:tcMar>
                    <w:top w:w="15" w:type="dxa"/>
                    <w:left w:w="15" w:type="dxa"/>
                    <w:bottom w:w="0" w:type="dxa"/>
                    <w:right w:w="15" w:type="dxa"/>
                  </w:tcMar>
                  <w:vAlign w:val="center"/>
                </w:tcPr>
                <w:p w14:paraId="5BE380E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危废仓库</w:t>
                  </w:r>
                </w:p>
              </w:tc>
              <w:tc>
                <w:tcPr>
                  <w:tcW w:w="698" w:type="pct"/>
                  <w:tcMar>
                    <w:top w:w="15" w:type="dxa"/>
                    <w:left w:w="15" w:type="dxa"/>
                    <w:bottom w:w="0" w:type="dxa"/>
                    <w:right w:w="15" w:type="dxa"/>
                  </w:tcMar>
                  <w:vAlign w:val="center"/>
                </w:tcPr>
                <w:p w14:paraId="41D46ED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3.75m</w:t>
                  </w:r>
                  <w:r>
                    <w:rPr>
                      <w:color w:val="000000" w:themeColor="text1"/>
                      <w:szCs w:val="21"/>
                      <w:vertAlign w:val="superscript"/>
                      <w14:textFill>
                        <w14:solidFill>
                          <w14:schemeClr w14:val="tx1"/>
                        </w14:solidFill>
                      </w14:textFill>
                    </w:rPr>
                    <w:t>2</w:t>
                  </w:r>
                </w:p>
              </w:tc>
              <w:tc>
                <w:tcPr>
                  <w:tcW w:w="2392" w:type="pct"/>
                  <w:vAlign w:val="center"/>
                </w:tcPr>
                <w:p w14:paraId="0DADEB6E">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储存生产过程中产生的危险</w:t>
                  </w:r>
                  <w:r>
                    <w:rPr>
                      <w:rFonts w:hint="eastAsia"/>
                      <w:color w:val="000000" w:themeColor="text1"/>
                      <w:szCs w:val="21"/>
                      <w14:textFill>
                        <w14:solidFill>
                          <w14:schemeClr w14:val="tx1"/>
                        </w14:solidFill>
                      </w14:textFill>
                    </w:rPr>
                    <w:t>废物</w:t>
                  </w:r>
                </w:p>
              </w:tc>
            </w:tr>
            <w:tr w14:paraId="477C44CD">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33" w:hRule="atLeast"/>
                <w:jc w:val="center"/>
              </w:trPr>
              <w:tc>
                <w:tcPr>
                  <w:tcW w:w="346" w:type="pct"/>
                  <w:vMerge w:val="continue"/>
                  <w:vAlign w:val="center"/>
                </w:tcPr>
                <w:p w14:paraId="442B3FEF">
                  <w:pPr>
                    <w:jc w:val="center"/>
                    <w:rPr>
                      <w:color w:val="000000" w:themeColor="text1"/>
                      <w:szCs w:val="21"/>
                      <w14:textFill>
                        <w14:solidFill>
                          <w14:schemeClr w14:val="tx1"/>
                        </w14:solidFill>
                      </w14:textFill>
                    </w:rPr>
                  </w:pPr>
                </w:p>
              </w:tc>
              <w:tc>
                <w:tcPr>
                  <w:tcW w:w="303" w:type="pct"/>
                  <w:vMerge w:val="continue"/>
                  <w:tcMar>
                    <w:top w:w="15" w:type="dxa"/>
                    <w:left w:w="15" w:type="dxa"/>
                    <w:bottom w:w="0" w:type="dxa"/>
                    <w:right w:w="15" w:type="dxa"/>
                  </w:tcMar>
                  <w:vAlign w:val="center"/>
                </w:tcPr>
                <w:p w14:paraId="4A409AED">
                  <w:pPr>
                    <w:jc w:val="center"/>
                    <w:rPr>
                      <w:color w:val="000000" w:themeColor="text1"/>
                      <w:kern w:val="0"/>
                      <w:szCs w:val="21"/>
                      <w14:textFill>
                        <w14:solidFill>
                          <w14:schemeClr w14:val="tx1"/>
                        </w14:solidFill>
                      </w14:textFill>
                    </w:rPr>
                  </w:pPr>
                </w:p>
              </w:tc>
              <w:tc>
                <w:tcPr>
                  <w:tcW w:w="1258" w:type="pct"/>
                  <w:tcMar>
                    <w:top w:w="15" w:type="dxa"/>
                    <w:left w:w="15" w:type="dxa"/>
                    <w:bottom w:w="0" w:type="dxa"/>
                    <w:right w:w="15" w:type="dxa"/>
                  </w:tcMar>
                  <w:vAlign w:val="center"/>
                </w:tcPr>
                <w:p w14:paraId="2B844D8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废液储罐</w:t>
                  </w:r>
                </w:p>
              </w:tc>
              <w:tc>
                <w:tcPr>
                  <w:tcW w:w="698" w:type="pct"/>
                  <w:tcMar>
                    <w:top w:w="15" w:type="dxa"/>
                    <w:left w:w="15" w:type="dxa"/>
                    <w:bottom w:w="0" w:type="dxa"/>
                    <w:right w:w="15" w:type="dxa"/>
                  </w:tcMar>
                  <w:vAlign w:val="center"/>
                </w:tcPr>
                <w:p w14:paraId="0D9F800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1m</w:t>
                  </w:r>
                  <w:r>
                    <w:rPr>
                      <w:color w:val="000000" w:themeColor="text1"/>
                      <w:szCs w:val="21"/>
                      <w:vertAlign w:val="superscript"/>
                      <w14:textFill>
                        <w14:solidFill>
                          <w14:schemeClr w14:val="tx1"/>
                        </w14:solidFill>
                      </w14:textFill>
                    </w:rPr>
                    <w:t>3</w:t>
                  </w:r>
                </w:p>
              </w:tc>
              <w:tc>
                <w:tcPr>
                  <w:tcW w:w="2392" w:type="pct"/>
                  <w:vAlign w:val="center"/>
                </w:tcPr>
                <w:p w14:paraId="3AFE43D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储存生产过程中产生的废液</w:t>
                  </w:r>
                </w:p>
              </w:tc>
            </w:tr>
            <w:tr w14:paraId="55064DA6">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33" w:hRule="atLeast"/>
                <w:jc w:val="center"/>
              </w:trPr>
              <w:tc>
                <w:tcPr>
                  <w:tcW w:w="346" w:type="pct"/>
                  <w:vMerge w:val="continue"/>
                  <w:vAlign w:val="center"/>
                </w:tcPr>
                <w:p w14:paraId="056835D5">
                  <w:pPr>
                    <w:jc w:val="center"/>
                    <w:rPr>
                      <w:color w:val="000000" w:themeColor="text1"/>
                      <w:szCs w:val="21"/>
                      <w14:textFill>
                        <w14:solidFill>
                          <w14:schemeClr w14:val="tx1"/>
                        </w14:solidFill>
                      </w14:textFill>
                    </w:rPr>
                  </w:pPr>
                </w:p>
              </w:tc>
              <w:tc>
                <w:tcPr>
                  <w:tcW w:w="303" w:type="pct"/>
                  <w:vMerge w:val="continue"/>
                  <w:tcMar>
                    <w:top w:w="15" w:type="dxa"/>
                    <w:left w:w="15" w:type="dxa"/>
                    <w:bottom w:w="0" w:type="dxa"/>
                    <w:right w:w="15" w:type="dxa"/>
                  </w:tcMar>
                  <w:vAlign w:val="center"/>
                </w:tcPr>
                <w:p w14:paraId="09E5D931">
                  <w:pPr>
                    <w:jc w:val="center"/>
                    <w:rPr>
                      <w:color w:val="000000" w:themeColor="text1"/>
                      <w:kern w:val="0"/>
                      <w:szCs w:val="21"/>
                      <w14:textFill>
                        <w14:solidFill>
                          <w14:schemeClr w14:val="tx1"/>
                        </w14:solidFill>
                      </w14:textFill>
                    </w:rPr>
                  </w:pPr>
                </w:p>
              </w:tc>
              <w:tc>
                <w:tcPr>
                  <w:tcW w:w="1258" w:type="pct"/>
                  <w:tcMar>
                    <w:top w:w="15" w:type="dxa"/>
                    <w:left w:w="15" w:type="dxa"/>
                    <w:bottom w:w="0" w:type="dxa"/>
                    <w:right w:w="15" w:type="dxa"/>
                  </w:tcMar>
                  <w:vAlign w:val="center"/>
                </w:tcPr>
                <w:p w14:paraId="51C9D1B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一般固废仓库</w:t>
                  </w:r>
                </w:p>
              </w:tc>
              <w:tc>
                <w:tcPr>
                  <w:tcW w:w="698" w:type="pct"/>
                  <w:tcMar>
                    <w:top w:w="15" w:type="dxa"/>
                    <w:left w:w="15" w:type="dxa"/>
                    <w:bottom w:w="0" w:type="dxa"/>
                    <w:right w:w="15" w:type="dxa"/>
                  </w:tcMar>
                  <w:vAlign w:val="center"/>
                </w:tcPr>
                <w:p w14:paraId="46802E8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p>
              </w:tc>
              <w:tc>
                <w:tcPr>
                  <w:tcW w:w="2392" w:type="pct"/>
                  <w:vAlign w:val="center"/>
                </w:tcPr>
                <w:p w14:paraId="3E86D0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储存生产过程中产生的一般固废</w:t>
                  </w:r>
                </w:p>
              </w:tc>
            </w:tr>
            <w:tr w14:paraId="63DD8C15">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33" w:hRule="atLeast"/>
                <w:jc w:val="center"/>
              </w:trPr>
              <w:tc>
                <w:tcPr>
                  <w:tcW w:w="346" w:type="pct"/>
                  <w:vMerge w:val="continue"/>
                  <w:vAlign w:val="center"/>
                </w:tcPr>
                <w:p w14:paraId="6DDDC413">
                  <w:pPr>
                    <w:jc w:val="center"/>
                    <w:rPr>
                      <w:color w:val="000000" w:themeColor="text1"/>
                      <w:szCs w:val="21"/>
                      <w14:textFill>
                        <w14:solidFill>
                          <w14:schemeClr w14:val="tx1"/>
                        </w14:solidFill>
                      </w14:textFill>
                    </w:rPr>
                  </w:pPr>
                </w:p>
              </w:tc>
              <w:tc>
                <w:tcPr>
                  <w:tcW w:w="303" w:type="pct"/>
                  <w:vMerge w:val="continue"/>
                  <w:tcMar>
                    <w:top w:w="15" w:type="dxa"/>
                    <w:left w:w="15" w:type="dxa"/>
                    <w:bottom w:w="0" w:type="dxa"/>
                    <w:right w:w="15" w:type="dxa"/>
                  </w:tcMar>
                  <w:vAlign w:val="center"/>
                </w:tcPr>
                <w:p w14:paraId="6FB806E2">
                  <w:pPr>
                    <w:jc w:val="center"/>
                    <w:rPr>
                      <w:color w:val="000000" w:themeColor="text1"/>
                      <w:kern w:val="0"/>
                      <w:szCs w:val="21"/>
                      <w14:textFill>
                        <w14:solidFill>
                          <w14:schemeClr w14:val="tx1"/>
                        </w14:solidFill>
                      </w14:textFill>
                    </w:rPr>
                  </w:pPr>
                </w:p>
              </w:tc>
              <w:tc>
                <w:tcPr>
                  <w:tcW w:w="1258" w:type="pct"/>
                  <w:tcMar>
                    <w:top w:w="15" w:type="dxa"/>
                    <w:left w:w="15" w:type="dxa"/>
                    <w:bottom w:w="0" w:type="dxa"/>
                    <w:right w:w="15" w:type="dxa"/>
                  </w:tcMar>
                  <w:vAlign w:val="center"/>
                </w:tcPr>
                <w:p w14:paraId="01ED013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698" w:type="pct"/>
                  <w:tcMar>
                    <w:top w:w="15" w:type="dxa"/>
                    <w:left w:w="15" w:type="dxa"/>
                    <w:bottom w:w="0" w:type="dxa"/>
                    <w:right w:w="15" w:type="dxa"/>
                  </w:tcMar>
                  <w:vAlign w:val="center"/>
                </w:tcPr>
                <w:p w14:paraId="7C5471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392" w:type="pct"/>
                  <w:vAlign w:val="center"/>
                </w:tcPr>
                <w:p w14:paraId="4E88742C">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设垃圾桶若干，定期由环卫部门清运</w:t>
                  </w:r>
                </w:p>
              </w:tc>
            </w:tr>
            <w:tr w14:paraId="704785C5">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77" w:hRule="atLeast"/>
                <w:jc w:val="center"/>
              </w:trPr>
              <w:tc>
                <w:tcPr>
                  <w:tcW w:w="346" w:type="pct"/>
                  <w:vMerge w:val="continue"/>
                  <w:vAlign w:val="center"/>
                </w:tcPr>
                <w:p w14:paraId="4553E223">
                  <w:pPr>
                    <w:jc w:val="center"/>
                    <w:rPr>
                      <w:color w:val="000000" w:themeColor="text1"/>
                      <w:szCs w:val="21"/>
                      <w14:textFill>
                        <w14:solidFill>
                          <w14:schemeClr w14:val="tx1"/>
                        </w14:solidFill>
                      </w14:textFill>
                    </w:rPr>
                  </w:pPr>
                </w:p>
              </w:tc>
              <w:tc>
                <w:tcPr>
                  <w:tcW w:w="303" w:type="pct"/>
                  <w:vMerge w:val="restart"/>
                  <w:tcMar>
                    <w:top w:w="15" w:type="dxa"/>
                    <w:left w:w="15" w:type="dxa"/>
                    <w:bottom w:w="0" w:type="dxa"/>
                    <w:right w:w="15" w:type="dxa"/>
                  </w:tcMar>
                  <w:vAlign w:val="center"/>
                </w:tcPr>
                <w:p w14:paraId="3E1730C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w:t>
                  </w:r>
                </w:p>
              </w:tc>
              <w:tc>
                <w:tcPr>
                  <w:tcW w:w="1258" w:type="pct"/>
                  <w:tcMar>
                    <w:top w:w="15" w:type="dxa"/>
                    <w:left w:w="15" w:type="dxa"/>
                    <w:bottom w:w="0" w:type="dxa"/>
                    <w:right w:w="15" w:type="dxa"/>
                  </w:tcMar>
                  <w:vAlign w:val="center"/>
                </w:tcPr>
                <w:p w14:paraId="1AB6465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溶剂萃取、乙醇回收、物料配制、</w:t>
                  </w:r>
                  <w:r>
                    <w:rPr>
                      <w:rFonts w:hint="eastAsia"/>
                      <w:color w:val="000000" w:themeColor="text1"/>
                      <w:szCs w:val="21"/>
                      <w14:textFill>
                        <w14:solidFill>
                          <w14:schemeClr w14:val="tx1"/>
                        </w14:solidFill>
                      </w14:textFill>
                    </w:rPr>
                    <w:t>检验、发酵</w:t>
                  </w:r>
                  <w:r>
                    <w:rPr>
                      <w:color w:val="000000" w:themeColor="text1"/>
                      <w:szCs w:val="21"/>
                      <w14:textFill>
                        <w14:solidFill>
                          <w14:schemeClr w14:val="tx1"/>
                        </w14:solidFill>
                      </w14:textFill>
                    </w:rPr>
                    <w:t>称量废气</w:t>
                  </w:r>
                </w:p>
              </w:tc>
              <w:tc>
                <w:tcPr>
                  <w:tcW w:w="698" w:type="pct"/>
                  <w:tcMar>
                    <w:top w:w="15" w:type="dxa"/>
                    <w:left w:w="15" w:type="dxa"/>
                    <w:bottom w:w="0" w:type="dxa"/>
                    <w:right w:w="15" w:type="dxa"/>
                  </w:tcMar>
                  <w:vAlign w:val="center"/>
                </w:tcPr>
                <w:p w14:paraId="5DB626F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2392" w:type="pct"/>
                  <w:vAlign w:val="center"/>
                </w:tcPr>
                <w:p w14:paraId="3002A38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经通风橱/万向罩收集后通过活性炭吸附装置处理，在车间无组织排放</w:t>
                  </w:r>
                </w:p>
              </w:tc>
            </w:tr>
            <w:tr w14:paraId="6C9C8DFE">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77" w:hRule="atLeast"/>
                <w:jc w:val="center"/>
              </w:trPr>
              <w:tc>
                <w:tcPr>
                  <w:tcW w:w="346" w:type="pct"/>
                  <w:vMerge w:val="continue"/>
                  <w:vAlign w:val="center"/>
                </w:tcPr>
                <w:p w14:paraId="02E3C4B7">
                  <w:pPr>
                    <w:jc w:val="center"/>
                    <w:rPr>
                      <w:color w:val="000000" w:themeColor="text1"/>
                      <w14:textFill>
                        <w14:solidFill>
                          <w14:schemeClr w14:val="tx1"/>
                        </w14:solidFill>
                      </w14:textFill>
                    </w:rPr>
                  </w:pPr>
                </w:p>
              </w:tc>
              <w:tc>
                <w:tcPr>
                  <w:tcW w:w="303" w:type="pct"/>
                  <w:vMerge w:val="continue"/>
                  <w:tcMar>
                    <w:top w:w="15" w:type="dxa"/>
                    <w:left w:w="15" w:type="dxa"/>
                    <w:bottom w:w="0" w:type="dxa"/>
                    <w:right w:w="15" w:type="dxa"/>
                  </w:tcMar>
                  <w:vAlign w:val="center"/>
                </w:tcPr>
                <w:p w14:paraId="76FE548D">
                  <w:pPr>
                    <w:jc w:val="center"/>
                    <w:rPr>
                      <w:color w:val="000000" w:themeColor="text1"/>
                      <w14:textFill>
                        <w14:solidFill>
                          <w14:schemeClr w14:val="tx1"/>
                        </w14:solidFill>
                      </w14:textFill>
                    </w:rPr>
                  </w:pPr>
                </w:p>
              </w:tc>
              <w:tc>
                <w:tcPr>
                  <w:tcW w:w="1258" w:type="pct"/>
                  <w:tcMar>
                    <w:top w:w="15" w:type="dxa"/>
                    <w:left w:w="15" w:type="dxa"/>
                    <w:bottom w:w="0" w:type="dxa"/>
                    <w:right w:w="15" w:type="dxa"/>
                  </w:tcMar>
                  <w:vAlign w:val="center"/>
                </w:tcPr>
                <w:p w14:paraId="15FEAEA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消毒废气</w:t>
                  </w:r>
                </w:p>
              </w:tc>
              <w:tc>
                <w:tcPr>
                  <w:tcW w:w="698" w:type="pct"/>
                  <w:tcMar>
                    <w:top w:w="15" w:type="dxa"/>
                    <w:left w:w="15" w:type="dxa"/>
                    <w:bottom w:w="0" w:type="dxa"/>
                    <w:right w:w="15" w:type="dxa"/>
                  </w:tcMar>
                  <w:vAlign w:val="center"/>
                </w:tcPr>
                <w:p w14:paraId="667EBF7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392" w:type="pct"/>
                  <w:vAlign w:val="center"/>
                </w:tcPr>
                <w:p w14:paraId="2783212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车间无组织排放</w:t>
                  </w:r>
                </w:p>
              </w:tc>
            </w:tr>
            <w:tr w14:paraId="27BE39D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346" w:type="pct"/>
                  <w:vMerge w:val="continue"/>
                  <w:vAlign w:val="center"/>
                </w:tcPr>
                <w:p w14:paraId="4D003086">
                  <w:pPr>
                    <w:jc w:val="center"/>
                    <w:rPr>
                      <w:color w:val="000000" w:themeColor="text1"/>
                      <w:szCs w:val="21"/>
                      <w14:textFill>
                        <w14:solidFill>
                          <w14:schemeClr w14:val="tx1"/>
                        </w14:solidFill>
                      </w14:textFill>
                    </w:rPr>
                  </w:pPr>
                </w:p>
              </w:tc>
              <w:tc>
                <w:tcPr>
                  <w:tcW w:w="303" w:type="pct"/>
                  <w:vMerge w:val="restart"/>
                  <w:tcMar>
                    <w:top w:w="15" w:type="dxa"/>
                    <w:left w:w="15" w:type="dxa"/>
                    <w:bottom w:w="0" w:type="dxa"/>
                    <w:right w:w="15" w:type="dxa"/>
                  </w:tcMar>
                  <w:vAlign w:val="center"/>
                </w:tcPr>
                <w:p w14:paraId="1B526A3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风险</w:t>
                  </w:r>
                  <w:r>
                    <w:rPr>
                      <w:rFonts w:hint="eastAsia"/>
                      <w:color w:val="000000" w:themeColor="text1"/>
                      <w:kern w:val="0"/>
                      <w:szCs w:val="21"/>
                      <w14:textFill>
                        <w14:solidFill>
                          <w14:schemeClr w14:val="tx1"/>
                        </w14:solidFill>
                      </w14:textFill>
                    </w:rPr>
                    <w:t>防范措施</w:t>
                  </w:r>
                </w:p>
              </w:tc>
              <w:tc>
                <w:tcPr>
                  <w:tcW w:w="1258" w:type="pct"/>
                  <w:tcMar>
                    <w:top w:w="15" w:type="dxa"/>
                    <w:left w:w="15" w:type="dxa"/>
                    <w:bottom w:w="0" w:type="dxa"/>
                    <w:right w:w="15" w:type="dxa"/>
                  </w:tcMar>
                  <w:vAlign w:val="center"/>
                </w:tcPr>
                <w:p w14:paraId="43C151D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事故应急池</w:t>
                  </w:r>
                </w:p>
              </w:tc>
              <w:tc>
                <w:tcPr>
                  <w:tcW w:w="698" w:type="pct"/>
                  <w:tcMar>
                    <w:top w:w="15" w:type="dxa"/>
                    <w:left w:w="15" w:type="dxa"/>
                    <w:bottom w:w="0" w:type="dxa"/>
                    <w:right w:w="15" w:type="dxa"/>
                  </w:tcMar>
                  <w:vAlign w:val="center"/>
                </w:tcPr>
                <w:p w14:paraId="6A6C7B3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p>
              </w:tc>
              <w:tc>
                <w:tcPr>
                  <w:tcW w:w="2392" w:type="pct"/>
                  <w:vAlign w:val="center"/>
                </w:tcPr>
                <w:p w14:paraId="5EC0DBD4">
                  <w:pPr>
                    <w:jc w:val="center"/>
                    <w:rPr>
                      <w:color w:val="000000" w:themeColor="text1"/>
                      <w14:textFill>
                        <w14:solidFill>
                          <w14:schemeClr w14:val="tx1"/>
                        </w14:solidFill>
                      </w14:textFill>
                    </w:rPr>
                  </w:pPr>
                  <w:r>
                    <w:rPr>
                      <w:color w:val="000000" w:themeColor="text1"/>
                      <w14:textFill>
                        <w14:solidFill>
                          <w14:schemeClr w14:val="tx1"/>
                        </w14:solidFill>
                      </w14:textFill>
                    </w:rPr>
                    <w:t>依托园区，设置两个事故应急池共800m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，两个应急事故应急池互相连通，且设置阀门。园区雨水排放口已设置阀门。</w:t>
                  </w:r>
                </w:p>
              </w:tc>
            </w:tr>
            <w:tr w14:paraId="370258CF">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346" w:type="pct"/>
                  <w:vMerge w:val="continue"/>
                  <w:vAlign w:val="center"/>
                </w:tcPr>
                <w:p w14:paraId="47BDE78A">
                  <w:pPr>
                    <w:jc w:val="center"/>
                    <w:rPr>
                      <w:color w:val="000000" w:themeColor="text1"/>
                      <w:szCs w:val="21"/>
                      <w14:textFill>
                        <w14:solidFill>
                          <w14:schemeClr w14:val="tx1"/>
                        </w14:solidFill>
                      </w14:textFill>
                    </w:rPr>
                  </w:pPr>
                </w:p>
              </w:tc>
              <w:tc>
                <w:tcPr>
                  <w:tcW w:w="303" w:type="pct"/>
                  <w:vMerge w:val="continue"/>
                  <w:tcMar>
                    <w:top w:w="15" w:type="dxa"/>
                    <w:left w:w="15" w:type="dxa"/>
                    <w:bottom w:w="0" w:type="dxa"/>
                    <w:right w:w="15" w:type="dxa"/>
                  </w:tcMar>
                  <w:vAlign w:val="center"/>
                </w:tcPr>
                <w:p w14:paraId="5B686B54">
                  <w:pPr>
                    <w:jc w:val="center"/>
                    <w:rPr>
                      <w:color w:val="000000" w:themeColor="text1"/>
                      <w:kern w:val="0"/>
                      <w:szCs w:val="21"/>
                      <w14:textFill>
                        <w14:solidFill>
                          <w14:schemeClr w14:val="tx1"/>
                        </w14:solidFill>
                      </w14:textFill>
                    </w:rPr>
                  </w:pPr>
                </w:p>
              </w:tc>
              <w:tc>
                <w:tcPr>
                  <w:tcW w:w="4349" w:type="pct"/>
                  <w:gridSpan w:val="3"/>
                  <w:tcMar>
                    <w:top w:w="15" w:type="dxa"/>
                    <w:left w:w="15" w:type="dxa"/>
                    <w:bottom w:w="0" w:type="dxa"/>
                    <w:right w:w="15" w:type="dxa"/>
                  </w:tcMar>
                  <w:vAlign w:val="center"/>
                </w:tcPr>
                <w:p w14:paraId="4FEA5952">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危废</w:t>
                  </w:r>
                  <w:r>
                    <w:rPr>
                      <w:rFonts w:hint="eastAsia"/>
                      <w:color w:val="000000" w:themeColor="text1"/>
                      <w14:textFill>
                        <w14:solidFill>
                          <w14:schemeClr w14:val="tx1"/>
                        </w14:solidFill>
                      </w14:textFill>
                    </w:rPr>
                    <w:t>仓库</w:t>
                  </w:r>
                  <w:r>
                    <w:rPr>
                      <w:color w:val="000000" w:themeColor="text1"/>
                      <w14:textFill>
                        <w14:solidFill>
                          <w14:schemeClr w14:val="tx1"/>
                        </w14:solidFill>
                      </w14:textFill>
                    </w:rPr>
                    <w:t>地面</w:t>
                  </w:r>
                  <w:r>
                    <w:rPr>
                      <w:rFonts w:hint="eastAsia"/>
                      <w:color w:val="000000" w:themeColor="text1"/>
                      <w14:textFill>
                        <w14:solidFill>
                          <w14:schemeClr w14:val="tx1"/>
                        </w14:solidFill>
                      </w14:textFill>
                    </w:rPr>
                    <w:t>采取防渗措施</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废液储罐配备围堰，满足重点防渗区要求；</w:t>
                  </w:r>
                </w:p>
                <w:p w14:paraId="6C717687">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制定安全操作规章制度，加强工作人员的安全意识教育，通过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定期培训和宣传，加强自我防范意识，并熟练掌握事故发生时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应急措施和正确处理方法。</w:t>
                  </w:r>
                </w:p>
                <w:p w14:paraId="57DD0DC8">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color w:val="000000" w:themeColor="text1"/>
                      <w14:textFill>
                        <w14:solidFill>
                          <w14:schemeClr w14:val="tx1"/>
                        </w14:solidFill>
                      </w14:textFill>
                    </w:rPr>
                    <w:t>组建专职环境管理部门或设置环保管理专员专人专岗，具体负责企业内部的日常环境管理事务，做好安全和环境风险防范管理。</w:t>
                  </w:r>
                </w:p>
                <w:p w14:paraId="56668B7F">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④</w:t>
                  </w:r>
                  <w:r>
                    <w:rPr>
                      <w:color w:val="000000" w:themeColor="text1"/>
                      <w14:textFill>
                        <w14:solidFill>
                          <w14:schemeClr w14:val="tx1"/>
                        </w14:solidFill>
                      </w14:textFill>
                    </w:rPr>
                    <w:t>生物安全风险：按生物安全等级一级</w:t>
                  </w:r>
                  <w:r>
                    <w:rPr>
                      <w:rFonts w:hint="eastAsia"/>
                      <w:color w:val="000000" w:themeColor="text1"/>
                      <w14:textFill>
                        <w14:solidFill>
                          <w14:schemeClr w14:val="tx1"/>
                        </w14:solidFill>
                      </w14:textFill>
                    </w:rPr>
                    <w:t>防护水平</w:t>
                  </w:r>
                  <w:r>
                    <w:rPr>
                      <w:color w:val="000000" w:themeColor="text1"/>
                      <w14:textFill>
                        <w14:solidFill>
                          <w14:schemeClr w14:val="tx1"/>
                        </w14:solidFill>
                      </w14:textFill>
                    </w:rPr>
                    <w:t>设计，配备超净工作台和高压灭菌锅，涉及生物活性物质需要经过灭活处理后方可进行暂存处置。</w:t>
                  </w:r>
                </w:p>
              </w:tc>
            </w:tr>
          </w:tbl>
          <w:p w14:paraId="7015D696">
            <w:pPr>
              <w:spacing w:line="480" w:lineRule="exact"/>
              <w:ind w:firstLine="480" w:firstLineChars="200"/>
              <w:rPr>
                <w:b/>
                <w:color w:val="000000" w:themeColor="text1"/>
                <w:szCs w:val="21"/>
                <w14:textFill>
                  <w14:solidFill>
                    <w14:schemeClr w14:val="tx1"/>
                  </w14:solidFill>
                </w14:textFill>
              </w:rPr>
            </w:pPr>
            <w:r>
              <w:rPr>
                <w:color w:val="000000" w:themeColor="text1"/>
                <w:sz w:val="24"/>
                <w14:textFill>
                  <w14:solidFill>
                    <w14:schemeClr w14:val="tx1"/>
                  </w14:solidFill>
                </w14:textFill>
              </w:rPr>
              <w:t>依托可行性分析：本项目供水由市政给水管网提供，依托园区已建管网；生活污水依托园区已建管网和排污口，接管至金坛第二污水处理厂；雨水依托园区现有雨水管网及雨水排口；供电由园区电网提供，依托园区已建电网及变压器；事故状态下依托园区已建事故应急池和雨水排放口阀门，事故应急池已做防腐防渗措施。因此，本项目公用工程依托能够满足使用需求。</w:t>
            </w:r>
          </w:p>
          <w:p w14:paraId="10D62D15">
            <w:pPr>
              <w:autoSpaceDE w:val="0"/>
              <w:autoSpaceDN w:val="0"/>
              <w:adjustRightInd w:val="0"/>
              <w:snapToGrid w:val="0"/>
              <w:spacing w:line="480" w:lineRule="exact"/>
              <w:rPr>
                <w:b/>
                <w:color w:val="000000" w:themeColor="text1"/>
                <w:szCs w:val="21"/>
                <w14:textFill>
                  <w14:solidFill>
                    <w14:schemeClr w14:val="tx1"/>
                  </w14:solidFill>
                </w14:textFill>
              </w:rPr>
            </w:pPr>
            <w:r>
              <w:rPr>
                <w:rFonts w:hint="eastAsia"/>
                <w:b/>
                <w:bCs/>
                <w:color w:val="000000" w:themeColor="text1"/>
                <w:kern w:val="0"/>
                <w:sz w:val="24"/>
                <w14:textFill>
                  <w14:solidFill>
                    <w14:schemeClr w14:val="tx1"/>
                  </w14:solidFill>
                </w14:textFill>
              </w:rPr>
              <w:t>6、</w:t>
            </w:r>
            <w:r>
              <w:rPr>
                <w:b/>
                <w:bCs/>
                <w:color w:val="000000" w:themeColor="text1"/>
                <w:kern w:val="0"/>
                <w:sz w:val="24"/>
                <w14:textFill>
                  <w14:solidFill>
                    <w14:schemeClr w14:val="tx1"/>
                  </w14:solidFill>
                </w14:textFill>
              </w:rPr>
              <w:t>主要生产设备</w:t>
            </w:r>
          </w:p>
          <w:p w14:paraId="038C4A63">
            <w:pPr>
              <w:tabs>
                <w:tab w:val="left" w:pos="2127"/>
                <w:tab w:val="center" w:pos="4452"/>
                <w:tab w:val="right" w:pos="8246"/>
              </w:tabs>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14:textFill>
                  <w14:solidFill>
                    <w14:schemeClr w14:val="tx1"/>
                  </w14:solidFill>
                </w14:textFill>
              </w:rPr>
              <w:t xml:space="preserve">4 </w:t>
            </w:r>
            <w:r>
              <w:rPr>
                <w:b/>
                <w:color w:val="000000" w:themeColor="text1"/>
                <w:szCs w:val="21"/>
                <w14:textFill>
                  <w14:solidFill>
                    <w14:schemeClr w14:val="tx1"/>
                  </w14:solidFill>
                </w14:textFill>
              </w:rPr>
              <w:t>本项目主要生产设备一览表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739"/>
              <w:gridCol w:w="1540"/>
              <w:gridCol w:w="2681"/>
              <w:gridCol w:w="1687"/>
            </w:tblGrid>
            <w:tr w14:paraId="3F840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noWrap/>
                  <w:vAlign w:val="center"/>
                </w:tcPr>
                <w:p w14:paraId="380E5D94">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序号</w:t>
                  </w:r>
                </w:p>
              </w:tc>
              <w:tc>
                <w:tcPr>
                  <w:tcW w:w="1474" w:type="pct"/>
                  <w:tcBorders>
                    <w:tl2br w:val="nil"/>
                    <w:tr2bl w:val="nil"/>
                  </w:tcBorders>
                  <w:noWrap/>
                  <w:vAlign w:val="center"/>
                </w:tcPr>
                <w:p w14:paraId="1A28D7A7">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设备名称</w:t>
                  </w:r>
                </w:p>
              </w:tc>
              <w:tc>
                <w:tcPr>
                  <w:tcW w:w="829" w:type="pct"/>
                  <w:tcBorders>
                    <w:tl2br w:val="nil"/>
                    <w:tr2bl w:val="nil"/>
                  </w:tcBorders>
                  <w:noWrap/>
                  <w:vAlign w:val="center"/>
                </w:tcPr>
                <w:p w14:paraId="2BE5CFD3">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数量</w:t>
                  </w:r>
                  <w:r>
                    <w:rPr>
                      <w:rFonts w:hint="eastAsia"/>
                      <w:b/>
                      <w:bCs/>
                      <w:color w:val="000000" w:themeColor="text1"/>
                      <w:kern w:val="0"/>
                      <w:szCs w:val="21"/>
                      <w14:textFill>
                        <w14:solidFill>
                          <w14:schemeClr w14:val="tx1"/>
                        </w14:solidFill>
                      </w14:textFill>
                    </w:rPr>
                    <w:t>（台/套）</w:t>
                  </w:r>
                </w:p>
              </w:tc>
              <w:tc>
                <w:tcPr>
                  <w:tcW w:w="1443" w:type="pct"/>
                  <w:tcBorders>
                    <w:tl2br w:val="nil"/>
                    <w:tr2bl w:val="nil"/>
                  </w:tcBorders>
                  <w:noWrap/>
                  <w:vAlign w:val="center"/>
                </w:tcPr>
                <w:p w14:paraId="2A62A74C">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规格</w:t>
                  </w:r>
                  <w:r>
                    <w:rPr>
                      <w:rFonts w:hint="eastAsia"/>
                      <w:b/>
                      <w:bCs/>
                      <w:color w:val="000000" w:themeColor="text1"/>
                      <w:kern w:val="0"/>
                      <w:szCs w:val="21"/>
                      <w14:textFill>
                        <w14:solidFill>
                          <w14:schemeClr w14:val="tx1"/>
                        </w14:solidFill>
                      </w14:textFill>
                    </w:rPr>
                    <w:t>型号</w:t>
                  </w:r>
                </w:p>
              </w:tc>
              <w:tc>
                <w:tcPr>
                  <w:tcW w:w="908" w:type="pct"/>
                  <w:tcBorders>
                    <w:tl2br w:val="nil"/>
                    <w:tr2bl w:val="nil"/>
                  </w:tcBorders>
                  <w:noWrap/>
                  <w:vAlign w:val="center"/>
                </w:tcPr>
                <w:p w14:paraId="25B8D9B1">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用途</w:t>
                  </w:r>
                </w:p>
              </w:tc>
            </w:tr>
            <w:tr w14:paraId="3FD37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vAlign w:val="center"/>
                </w:tcPr>
                <w:p w14:paraId="483D79B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74" w:type="pct"/>
                  <w:tcBorders>
                    <w:tl2br w:val="nil"/>
                    <w:tr2bl w:val="nil"/>
                  </w:tcBorders>
                  <w:vAlign w:val="center"/>
                </w:tcPr>
                <w:p w14:paraId="7972E5E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PCR仪</w:t>
                  </w:r>
                </w:p>
              </w:tc>
              <w:tc>
                <w:tcPr>
                  <w:tcW w:w="829" w:type="pct"/>
                  <w:tcBorders>
                    <w:tl2br w:val="nil"/>
                    <w:tr2bl w:val="nil"/>
                  </w:tcBorders>
                  <w:noWrap/>
                  <w:vAlign w:val="center"/>
                </w:tcPr>
                <w:p w14:paraId="47EA9DE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tcBorders>
                    <w:tl2br w:val="nil"/>
                    <w:tr2bl w:val="nil"/>
                  </w:tcBorders>
                  <w:noWrap/>
                  <w:vAlign w:val="center"/>
                </w:tcPr>
                <w:p w14:paraId="0EB81F0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Thermo Fisher ProFlex </w:t>
                  </w:r>
                </w:p>
              </w:tc>
              <w:tc>
                <w:tcPr>
                  <w:tcW w:w="908" w:type="pct"/>
                  <w:vMerge w:val="restart"/>
                  <w:tcBorders>
                    <w:tl2br w:val="nil"/>
                    <w:tr2bl w:val="nil"/>
                  </w:tcBorders>
                  <w:noWrap/>
                  <w:vAlign w:val="center"/>
                </w:tcPr>
                <w:p w14:paraId="488C0CC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菌种构建、培养</w:t>
                  </w:r>
                </w:p>
              </w:tc>
            </w:tr>
            <w:tr w14:paraId="43578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vAlign w:val="center"/>
                </w:tcPr>
                <w:p w14:paraId="1AFD3851">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w:t>
                  </w:r>
                </w:p>
              </w:tc>
              <w:tc>
                <w:tcPr>
                  <w:tcW w:w="1474" w:type="pct"/>
                  <w:tcBorders>
                    <w:tl2br w:val="nil"/>
                    <w:tr2bl w:val="nil"/>
                  </w:tcBorders>
                  <w:vAlign w:val="center"/>
                </w:tcPr>
                <w:p w14:paraId="00A67732">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生物传感仪</w:t>
                  </w:r>
                </w:p>
              </w:tc>
              <w:tc>
                <w:tcPr>
                  <w:tcW w:w="829" w:type="pct"/>
                  <w:tcBorders>
                    <w:tl2br w:val="nil"/>
                    <w:tr2bl w:val="nil"/>
                  </w:tcBorders>
                  <w:noWrap/>
                  <w:vAlign w:val="center"/>
                </w:tcPr>
                <w:p w14:paraId="1DF9C06F">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443" w:type="pct"/>
                  <w:tcBorders>
                    <w:tl2br w:val="nil"/>
                    <w:tr2bl w:val="nil"/>
                  </w:tcBorders>
                  <w:noWrap/>
                  <w:vAlign w:val="center"/>
                </w:tcPr>
                <w:p w14:paraId="4689C7B1">
                  <w:pPr>
                    <w:widowControl/>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XF HS MINI</w:t>
                  </w:r>
                </w:p>
              </w:tc>
              <w:tc>
                <w:tcPr>
                  <w:tcW w:w="908" w:type="pct"/>
                  <w:vMerge w:val="continue"/>
                  <w:tcBorders>
                    <w:tl2br w:val="nil"/>
                    <w:tr2bl w:val="nil"/>
                  </w:tcBorders>
                  <w:noWrap/>
                  <w:vAlign w:val="center"/>
                </w:tcPr>
                <w:p w14:paraId="7FB73DEE">
                  <w:pPr>
                    <w:widowControl/>
                    <w:jc w:val="center"/>
                    <w:rPr>
                      <w:color w:val="000000" w:themeColor="text1"/>
                      <w:kern w:val="0"/>
                      <w:szCs w:val="21"/>
                      <w14:textFill>
                        <w14:solidFill>
                          <w14:schemeClr w14:val="tx1"/>
                        </w14:solidFill>
                      </w14:textFill>
                    </w:rPr>
                  </w:pPr>
                </w:p>
              </w:tc>
            </w:tr>
            <w:tr w14:paraId="04F9C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vAlign w:val="center"/>
                </w:tcPr>
                <w:p w14:paraId="2F8CC6FC">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3</w:t>
                  </w:r>
                </w:p>
              </w:tc>
              <w:tc>
                <w:tcPr>
                  <w:tcW w:w="1474" w:type="pct"/>
                  <w:tcBorders>
                    <w:tl2br w:val="nil"/>
                    <w:tr2bl w:val="nil"/>
                  </w:tcBorders>
                  <w:noWrap/>
                  <w:vAlign w:val="center"/>
                </w:tcPr>
                <w:p w14:paraId="46BA71E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移液枪</w:t>
                  </w:r>
                </w:p>
              </w:tc>
              <w:tc>
                <w:tcPr>
                  <w:tcW w:w="829" w:type="pct"/>
                  <w:tcBorders>
                    <w:tl2br w:val="nil"/>
                    <w:tr2bl w:val="nil"/>
                  </w:tcBorders>
                  <w:noWrap/>
                  <w:vAlign w:val="center"/>
                </w:tcPr>
                <w:p w14:paraId="79B0D29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p>
              </w:tc>
              <w:tc>
                <w:tcPr>
                  <w:tcW w:w="1443" w:type="pct"/>
                  <w:tcBorders>
                    <w:tl2br w:val="nil"/>
                    <w:tr2bl w:val="nil"/>
                  </w:tcBorders>
                  <w:noWrap/>
                  <w:vAlign w:val="center"/>
                </w:tcPr>
                <w:p w14:paraId="0F8C71C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E</w:t>
                  </w:r>
                  <w:r>
                    <w:rPr>
                      <w:color w:val="000000" w:themeColor="text1"/>
                      <w:kern w:val="0"/>
                      <w:szCs w:val="21"/>
                      <w14:textFill>
                        <w14:solidFill>
                          <w14:schemeClr w14:val="tx1"/>
                        </w14:solidFill>
                      </w14:textFill>
                    </w:rPr>
                    <w:t>ppendorf</w:t>
                  </w:r>
                  <w:r>
                    <w:rPr>
                      <w:rFonts w:hint="eastAsia"/>
                      <w:color w:val="000000" w:themeColor="text1"/>
                      <w:kern w:val="0"/>
                      <w:szCs w:val="21"/>
                      <w14:textFill>
                        <w14:solidFill>
                          <w14:schemeClr w14:val="tx1"/>
                        </w14:solidFill>
                      </w14:textFill>
                    </w:rPr>
                    <w:t xml:space="preserve"> R</w:t>
                  </w:r>
                  <w:r>
                    <w:rPr>
                      <w:color w:val="000000" w:themeColor="text1"/>
                      <w:kern w:val="0"/>
                      <w:szCs w:val="21"/>
                      <w14:textFill>
                        <w14:solidFill>
                          <w14:schemeClr w14:val="tx1"/>
                        </w14:solidFill>
                      </w14:textFill>
                    </w:rPr>
                    <w:t>esearch plus</w:t>
                  </w:r>
                  <w:r>
                    <w:rPr>
                      <w:rFonts w:hint="eastAsia"/>
                      <w:color w:val="000000" w:themeColor="text1"/>
                      <w:kern w:val="0"/>
                      <w:szCs w:val="21"/>
                      <w14:textFill>
                        <w14:solidFill>
                          <w14:schemeClr w14:val="tx1"/>
                        </w14:solidFill>
                      </w14:textFill>
                    </w:rPr>
                    <w:t xml:space="preserve"> </w:t>
                  </w:r>
                </w:p>
              </w:tc>
              <w:tc>
                <w:tcPr>
                  <w:tcW w:w="908" w:type="pct"/>
                  <w:vMerge w:val="continue"/>
                  <w:tcBorders>
                    <w:tl2br w:val="nil"/>
                    <w:tr2bl w:val="nil"/>
                  </w:tcBorders>
                  <w:noWrap/>
                  <w:vAlign w:val="center"/>
                </w:tcPr>
                <w:p w14:paraId="19F5C7AC">
                  <w:pPr>
                    <w:widowControl/>
                    <w:jc w:val="center"/>
                    <w:rPr>
                      <w:color w:val="000000" w:themeColor="text1"/>
                      <w:kern w:val="0"/>
                      <w:szCs w:val="21"/>
                      <w14:textFill>
                        <w14:solidFill>
                          <w14:schemeClr w14:val="tx1"/>
                        </w14:solidFill>
                      </w14:textFill>
                    </w:rPr>
                  </w:pPr>
                </w:p>
              </w:tc>
            </w:tr>
            <w:tr w14:paraId="28F9F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vAlign w:val="center"/>
                </w:tcPr>
                <w:p w14:paraId="7D2B415B">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4</w:t>
                  </w:r>
                </w:p>
              </w:tc>
              <w:tc>
                <w:tcPr>
                  <w:tcW w:w="1474" w:type="pct"/>
                  <w:tcBorders>
                    <w:tl2br w:val="nil"/>
                    <w:tr2bl w:val="nil"/>
                  </w:tcBorders>
                  <w:noWrap/>
                  <w:vAlign w:val="center"/>
                </w:tcPr>
                <w:p w14:paraId="7F77309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金属浴</w:t>
                  </w:r>
                </w:p>
              </w:tc>
              <w:tc>
                <w:tcPr>
                  <w:tcW w:w="829" w:type="pct"/>
                  <w:tcBorders>
                    <w:tl2br w:val="nil"/>
                    <w:tr2bl w:val="nil"/>
                  </w:tcBorders>
                  <w:noWrap/>
                  <w:vAlign w:val="center"/>
                </w:tcPr>
                <w:p w14:paraId="1A90573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tcBorders>
                    <w:tl2br w:val="nil"/>
                    <w:tr2bl w:val="nil"/>
                  </w:tcBorders>
                  <w:noWrap/>
                  <w:vAlign w:val="center"/>
                </w:tcPr>
                <w:p w14:paraId="2E6DC52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Coyote </w:t>
                  </w:r>
                  <w:r>
                    <w:rPr>
                      <w:rFonts w:hint="eastAsia"/>
                      <w:color w:val="000000" w:themeColor="text1"/>
                      <w:kern w:val="0"/>
                      <w:szCs w:val="21"/>
                      <w14:textFill>
                        <w14:solidFill>
                          <w14:schemeClr w14:val="tx1"/>
                        </w14:solidFill>
                      </w14:textFill>
                    </w:rPr>
                    <w:t>H</w:t>
                  </w:r>
                  <w:r>
                    <w:rPr>
                      <w:color w:val="000000" w:themeColor="text1"/>
                      <w:kern w:val="0"/>
                      <w:szCs w:val="21"/>
                      <w:vertAlign w:val="subscript"/>
                      <w14:textFill>
                        <w14:solidFill>
                          <w14:schemeClr w14:val="tx1"/>
                        </w14:solidFill>
                      </w14:textFill>
                    </w:rPr>
                    <w:t>2</w:t>
                  </w:r>
                  <w:r>
                    <w:rPr>
                      <w:rFonts w:hint="eastAsia"/>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3</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100c</w:t>
                  </w:r>
                </w:p>
              </w:tc>
              <w:tc>
                <w:tcPr>
                  <w:tcW w:w="908" w:type="pct"/>
                  <w:vMerge w:val="continue"/>
                  <w:tcBorders>
                    <w:tl2br w:val="nil"/>
                    <w:tr2bl w:val="nil"/>
                  </w:tcBorders>
                  <w:noWrap/>
                  <w:vAlign w:val="center"/>
                </w:tcPr>
                <w:p w14:paraId="44310E2F">
                  <w:pPr>
                    <w:widowControl/>
                    <w:jc w:val="center"/>
                    <w:rPr>
                      <w:color w:val="000000" w:themeColor="text1"/>
                      <w:kern w:val="0"/>
                      <w:szCs w:val="21"/>
                      <w14:textFill>
                        <w14:solidFill>
                          <w14:schemeClr w14:val="tx1"/>
                        </w14:solidFill>
                      </w14:textFill>
                    </w:rPr>
                  </w:pPr>
                </w:p>
              </w:tc>
            </w:tr>
            <w:tr w14:paraId="2AF68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vAlign w:val="center"/>
                </w:tcPr>
                <w:p w14:paraId="4B874EF3">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5</w:t>
                  </w:r>
                </w:p>
              </w:tc>
              <w:tc>
                <w:tcPr>
                  <w:tcW w:w="1474" w:type="pct"/>
                  <w:tcBorders>
                    <w:tl2br w:val="nil"/>
                    <w:tr2bl w:val="nil"/>
                  </w:tcBorders>
                  <w:noWrap/>
                  <w:vAlign w:val="center"/>
                </w:tcPr>
                <w:p w14:paraId="6967E7BA">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恒温浴槽</w:t>
                  </w:r>
                </w:p>
              </w:tc>
              <w:tc>
                <w:tcPr>
                  <w:tcW w:w="829" w:type="pct"/>
                  <w:tcBorders>
                    <w:tl2br w:val="nil"/>
                    <w:tr2bl w:val="nil"/>
                  </w:tcBorders>
                  <w:noWrap/>
                  <w:vAlign w:val="center"/>
                </w:tcPr>
                <w:p w14:paraId="1C492AB1">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443" w:type="pct"/>
                  <w:tcBorders>
                    <w:tl2br w:val="nil"/>
                    <w:tr2bl w:val="nil"/>
                  </w:tcBorders>
                  <w:noWrap/>
                  <w:vAlign w:val="center"/>
                </w:tcPr>
                <w:p w14:paraId="7B5899F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PHDC0506</w:t>
                  </w:r>
                </w:p>
              </w:tc>
              <w:tc>
                <w:tcPr>
                  <w:tcW w:w="908" w:type="pct"/>
                  <w:vMerge w:val="continue"/>
                  <w:tcBorders>
                    <w:tl2br w:val="nil"/>
                    <w:tr2bl w:val="nil"/>
                  </w:tcBorders>
                  <w:noWrap/>
                  <w:vAlign w:val="center"/>
                </w:tcPr>
                <w:p w14:paraId="2186229E">
                  <w:pPr>
                    <w:widowControl/>
                    <w:jc w:val="center"/>
                    <w:rPr>
                      <w:color w:val="000000" w:themeColor="text1"/>
                      <w:kern w:val="0"/>
                      <w:szCs w:val="21"/>
                      <w14:textFill>
                        <w14:solidFill>
                          <w14:schemeClr w14:val="tx1"/>
                        </w14:solidFill>
                      </w14:textFill>
                    </w:rPr>
                  </w:pPr>
                </w:p>
              </w:tc>
            </w:tr>
            <w:tr w14:paraId="427FF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vAlign w:val="center"/>
                </w:tcPr>
                <w:p w14:paraId="178F0688">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6</w:t>
                  </w:r>
                </w:p>
              </w:tc>
              <w:tc>
                <w:tcPr>
                  <w:tcW w:w="1474" w:type="pct"/>
                  <w:tcBorders>
                    <w:tl2br w:val="nil"/>
                    <w:tr2bl w:val="nil"/>
                  </w:tcBorders>
                  <w:noWrap/>
                  <w:vAlign w:val="center"/>
                </w:tcPr>
                <w:p w14:paraId="64FA3BB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照胶仪</w:t>
                  </w:r>
                </w:p>
              </w:tc>
              <w:tc>
                <w:tcPr>
                  <w:tcW w:w="829" w:type="pct"/>
                  <w:tcBorders>
                    <w:tl2br w:val="nil"/>
                    <w:tr2bl w:val="nil"/>
                  </w:tcBorders>
                  <w:noWrap/>
                  <w:vAlign w:val="center"/>
                </w:tcPr>
                <w:p w14:paraId="6ED0B63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tcBorders>
                    <w:tl2br w:val="nil"/>
                    <w:tr2bl w:val="nil"/>
                  </w:tcBorders>
                  <w:noWrap/>
                  <w:vAlign w:val="center"/>
                </w:tcPr>
                <w:p w14:paraId="57EA34D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LabYeah</w:t>
                  </w:r>
                  <w:r>
                    <w:rPr>
                      <w:rFonts w:hint="eastAsia"/>
                      <w:color w:val="000000" w:themeColor="text1"/>
                      <w:kern w:val="0"/>
                      <w:szCs w:val="21"/>
                      <w14:textFill>
                        <w14:solidFill>
                          <w14:schemeClr w14:val="tx1"/>
                        </w14:solidFill>
                      </w14:textFill>
                    </w:rPr>
                    <w:t xml:space="preserve"> </w:t>
                  </w:r>
                  <w:r>
                    <w:rPr>
                      <w:color w:val="000000" w:themeColor="text1"/>
                      <w:kern w:val="0"/>
                      <w:szCs w:val="21"/>
                      <w14:textFill>
                        <w14:solidFill>
                          <w14:schemeClr w14:val="tx1"/>
                        </w14:solidFill>
                      </w14:textFill>
                    </w:rPr>
                    <w:t>B2042</w:t>
                  </w:r>
                </w:p>
              </w:tc>
              <w:tc>
                <w:tcPr>
                  <w:tcW w:w="908" w:type="pct"/>
                  <w:vMerge w:val="continue"/>
                  <w:tcBorders>
                    <w:tl2br w:val="nil"/>
                    <w:tr2bl w:val="nil"/>
                  </w:tcBorders>
                  <w:noWrap/>
                  <w:vAlign w:val="center"/>
                </w:tcPr>
                <w:p w14:paraId="4EF9069F">
                  <w:pPr>
                    <w:widowControl/>
                    <w:jc w:val="center"/>
                    <w:rPr>
                      <w:color w:val="000000" w:themeColor="text1"/>
                      <w:kern w:val="0"/>
                      <w:szCs w:val="21"/>
                      <w14:textFill>
                        <w14:solidFill>
                          <w14:schemeClr w14:val="tx1"/>
                        </w14:solidFill>
                      </w14:textFill>
                    </w:rPr>
                  </w:pPr>
                </w:p>
              </w:tc>
            </w:tr>
            <w:tr w14:paraId="30C38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vAlign w:val="center"/>
                </w:tcPr>
                <w:p w14:paraId="41B32B1B">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7</w:t>
                  </w:r>
                </w:p>
              </w:tc>
              <w:tc>
                <w:tcPr>
                  <w:tcW w:w="1474" w:type="pct"/>
                  <w:tcBorders>
                    <w:tl2br w:val="nil"/>
                    <w:tr2bl w:val="nil"/>
                  </w:tcBorders>
                  <w:noWrap/>
                  <w:vAlign w:val="center"/>
                </w:tcPr>
                <w:p w14:paraId="118971B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核酸电泳仪</w:t>
                  </w:r>
                </w:p>
              </w:tc>
              <w:tc>
                <w:tcPr>
                  <w:tcW w:w="829" w:type="pct"/>
                  <w:tcBorders>
                    <w:tl2br w:val="nil"/>
                    <w:tr2bl w:val="nil"/>
                  </w:tcBorders>
                  <w:noWrap/>
                  <w:vAlign w:val="center"/>
                </w:tcPr>
                <w:p w14:paraId="60DB66B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tcBorders>
                    <w:tl2br w:val="nil"/>
                    <w:tr2bl w:val="nil"/>
                  </w:tcBorders>
                  <w:noWrap/>
                  <w:vAlign w:val="center"/>
                </w:tcPr>
                <w:p w14:paraId="5BFF9AD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LabYeah</w:t>
                  </w:r>
                  <w:r>
                    <w:rPr>
                      <w:rFonts w:hint="eastAsia"/>
                      <w:color w:val="000000" w:themeColor="text1"/>
                      <w:kern w:val="0"/>
                      <w:szCs w:val="21"/>
                      <w14:textFill>
                        <w14:solidFill>
                          <w14:schemeClr w14:val="tx1"/>
                        </w14:solidFill>
                      </w14:textFill>
                    </w:rPr>
                    <w:t xml:space="preserve"> </w:t>
                  </w:r>
                  <w:r>
                    <w:rPr>
                      <w:color w:val="000000" w:themeColor="text1"/>
                      <w:kern w:val="0"/>
                      <w:szCs w:val="21"/>
                      <w14:textFill>
                        <w14:solidFill>
                          <w14:schemeClr w14:val="tx1"/>
                        </w14:solidFill>
                      </w14:textFill>
                    </w:rPr>
                    <w:t>HET-1212</w:t>
                  </w:r>
                </w:p>
              </w:tc>
              <w:tc>
                <w:tcPr>
                  <w:tcW w:w="908" w:type="pct"/>
                  <w:vMerge w:val="continue"/>
                  <w:tcBorders>
                    <w:tl2br w:val="nil"/>
                    <w:tr2bl w:val="nil"/>
                  </w:tcBorders>
                  <w:noWrap/>
                  <w:vAlign w:val="center"/>
                </w:tcPr>
                <w:p w14:paraId="77E53F8A">
                  <w:pPr>
                    <w:widowControl/>
                    <w:jc w:val="center"/>
                    <w:rPr>
                      <w:color w:val="000000" w:themeColor="text1"/>
                      <w:kern w:val="0"/>
                      <w:szCs w:val="21"/>
                      <w14:textFill>
                        <w14:solidFill>
                          <w14:schemeClr w14:val="tx1"/>
                        </w14:solidFill>
                      </w14:textFill>
                    </w:rPr>
                  </w:pPr>
                </w:p>
              </w:tc>
            </w:tr>
            <w:tr w14:paraId="5691D4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vAlign w:val="center"/>
                </w:tcPr>
                <w:p w14:paraId="58D98B81">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8</w:t>
                  </w:r>
                </w:p>
              </w:tc>
              <w:tc>
                <w:tcPr>
                  <w:tcW w:w="1474" w:type="pct"/>
                  <w:tcBorders>
                    <w:tl2br w:val="nil"/>
                    <w:tr2bl w:val="nil"/>
                  </w:tcBorders>
                  <w:vAlign w:val="center"/>
                </w:tcPr>
                <w:p w14:paraId="2CC9B51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涡旋震荡仪</w:t>
                  </w:r>
                </w:p>
              </w:tc>
              <w:tc>
                <w:tcPr>
                  <w:tcW w:w="829" w:type="pct"/>
                  <w:tcBorders>
                    <w:tl2br w:val="nil"/>
                    <w:tr2bl w:val="nil"/>
                  </w:tcBorders>
                  <w:noWrap/>
                  <w:vAlign w:val="center"/>
                </w:tcPr>
                <w:p w14:paraId="5136374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1443" w:type="pct"/>
                  <w:tcBorders>
                    <w:tl2br w:val="nil"/>
                    <w:tr2bl w:val="nil"/>
                  </w:tcBorders>
                  <w:noWrap/>
                  <w:vAlign w:val="center"/>
                </w:tcPr>
                <w:p w14:paraId="27F2C66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Lab Compani</w:t>
                  </w:r>
                  <w:r>
                    <w:rPr>
                      <w:rFonts w:hint="eastAsia"/>
                      <w:color w:val="000000" w:themeColor="text1"/>
                      <w:kern w:val="0"/>
                      <w:szCs w:val="21"/>
                      <w14:textFill>
                        <w14:solidFill>
                          <w14:schemeClr w14:val="tx1"/>
                        </w14:solidFill>
                      </w14:textFill>
                    </w:rPr>
                    <w:t>o</w:t>
                  </w:r>
                  <w:r>
                    <w:rPr>
                      <w:color w:val="000000" w:themeColor="text1"/>
                      <w:kern w:val="0"/>
                      <w:szCs w:val="21"/>
                      <w14:textFill>
                        <w14:solidFill>
                          <w14:schemeClr w14:val="tx1"/>
                        </w14:solidFill>
                      </w14:textFill>
                    </w:rPr>
                    <w:t>n</w:t>
                  </w:r>
                  <w:r>
                    <w:rPr>
                      <w:rFonts w:hint="eastAsia"/>
                      <w:color w:val="000000" w:themeColor="text1"/>
                      <w:kern w:val="0"/>
                      <w:szCs w:val="21"/>
                      <w14:textFill>
                        <w14:solidFill>
                          <w14:schemeClr w14:val="tx1"/>
                        </w14:solidFill>
                      </w14:textFill>
                    </w:rPr>
                    <w:t xml:space="preserve"> VM-96A</w:t>
                  </w:r>
                </w:p>
              </w:tc>
              <w:tc>
                <w:tcPr>
                  <w:tcW w:w="908" w:type="pct"/>
                  <w:vMerge w:val="continue"/>
                  <w:tcBorders>
                    <w:tl2br w:val="nil"/>
                    <w:tr2bl w:val="nil"/>
                  </w:tcBorders>
                  <w:noWrap/>
                  <w:vAlign w:val="center"/>
                </w:tcPr>
                <w:p w14:paraId="27B14431">
                  <w:pPr>
                    <w:widowControl/>
                    <w:jc w:val="center"/>
                    <w:rPr>
                      <w:color w:val="000000" w:themeColor="text1"/>
                      <w:kern w:val="0"/>
                      <w:szCs w:val="21"/>
                      <w14:textFill>
                        <w14:solidFill>
                          <w14:schemeClr w14:val="tx1"/>
                        </w14:solidFill>
                      </w14:textFill>
                    </w:rPr>
                  </w:pPr>
                </w:p>
              </w:tc>
            </w:tr>
            <w:tr w14:paraId="22FE9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vAlign w:val="center"/>
                </w:tcPr>
                <w:p w14:paraId="3385D462">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9</w:t>
                  </w:r>
                </w:p>
              </w:tc>
              <w:tc>
                <w:tcPr>
                  <w:tcW w:w="1474" w:type="pct"/>
                  <w:tcBorders>
                    <w:tl2br w:val="nil"/>
                    <w:tr2bl w:val="nil"/>
                  </w:tcBorders>
                  <w:vAlign w:val="center"/>
                </w:tcPr>
                <w:p w14:paraId="30318E1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水浴锅</w:t>
                  </w:r>
                </w:p>
              </w:tc>
              <w:tc>
                <w:tcPr>
                  <w:tcW w:w="829" w:type="pct"/>
                  <w:tcBorders>
                    <w:tl2br w:val="nil"/>
                    <w:tr2bl w:val="nil"/>
                  </w:tcBorders>
                  <w:vAlign w:val="center"/>
                </w:tcPr>
                <w:p w14:paraId="7825D88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tcBorders>
                    <w:tl2br w:val="nil"/>
                    <w:tr2bl w:val="nil"/>
                  </w:tcBorders>
                  <w:vAlign w:val="center"/>
                </w:tcPr>
                <w:p w14:paraId="5EF1C09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Lab Compani</w:t>
                  </w:r>
                  <w:r>
                    <w:rPr>
                      <w:rFonts w:hint="eastAsia"/>
                      <w:color w:val="000000" w:themeColor="text1"/>
                      <w:kern w:val="0"/>
                      <w:szCs w:val="21"/>
                      <w14:textFill>
                        <w14:solidFill>
                          <w14:schemeClr w14:val="tx1"/>
                        </w14:solidFill>
                      </w14:textFill>
                    </w:rPr>
                    <w:t>o</w:t>
                  </w:r>
                  <w:r>
                    <w:rPr>
                      <w:color w:val="000000" w:themeColor="text1"/>
                      <w:kern w:val="0"/>
                      <w:szCs w:val="21"/>
                      <w14:textFill>
                        <w14:solidFill>
                          <w14:schemeClr w14:val="tx1"/>
                        </w14:solidFill>
                      </w14:textFill>
                    </w:rPr>
                    <w:t>n</w:t>
                  </w:r>
                  <w:r>
                    <w:rPr>
                      <w:rFonts w:hint="eastAsia"/>
                      <w:color w:val="000000" w:themeColor="text1"/>
                      <w:kern w:val="0"/>
                      <w:szCs w:val="21"/>
                      <w14:textFill>
                        <w14:solidFill>
                          <w14:schemeClr w14:val="tx1"/>
                        </w14:solidFill>
                      </w14:textFill>
                    </w:rPr>
                    <w:t xml:space="preserve"> BW-10H</w:t>
                  </w:r>
                </w:p>
              </w:tc>
              <w:tc>
                <w:tcPr>
                  <w:tcW w:w="908" w:type="pct"/>
                  <w:vMerge w:val="continue"/>
                  <w:tcBorders>
                    <w:tl2br w:val="nil"/>
                    <w:tr2bl w:val="nil"/>
                  </w:tcBorders>
                  <w:shd w:val="clear" w:color="000000" w:fill="auto"/>
                  <w:vAlign w:val="center"/>
                </w:tcPr>
                <w:p w14:paraId="7B7718C7">
                  <w:pPr>
                    <w:widowControl/>
                    <w:jc w:val="center"/>
                    <w:rPr>
                      <w:color w:val="000000" w:themeColor="text1"/>
                      <w:kern w:val="0"/>
                      <w:szCs w:val="21"/>
                      <w14:textFill>
                        <w14:solidFill>
                          <w14:schemeClr w14:val="tx1"/>
                        </w14:solidFill>
                      </w14:textFill>
                    </w:rPr>
                  </w:pPr>
                </w:p>
              </w:tc>
            </w:tr>
            <w:tr w14:paraId="740A9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vAlign w:val="center"/>
                </w:tcPr>
                <w:p w14:paraId="1B0E10B6">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10</w:t>
                  </w:r>
                </w:p>
              </w:tc>
              <w:tc>
                <w:tcPr>
                  <w:tcW w:w="1474" w:type="pct"/>
                  <w:tcBorders>
                    <w:tl2br w:val="nil"/>
                    <w:tr2bl w:val="nil"/>
                  </w:tcBorders>
                  <w:vAlign w:val="center"/>
                </w:tcPr>
                <w:p w14:paraId="05A3C9D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台式离心机</w:t>
                  </w:r>
                </w:p>
              </w:tc>
              <w:tc>
                <w:tcPr>
                  <w:tcW w:w="829" w:type="pct"/>
                  <w:tcBorders>
                    <w:tl2br w:val="nil"/>
                    <w:tr2bl w:val="nil"/>
                  </w:tcBorders>
                  <w:vAlign w:val="center"/>
                </w:tcPr>
                <w:p w14:paraId="77823D8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tcBorders>
                    <w:tl2br w:val="nil"/>
                    <w:tr2bl w:val="nil"/>
                  </w:tcBorders>
                  <w:vAlign w:val="center"/>
                </w:tcPr>
                <w:p w14:paraId="5A7E4AE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Bioridge TGL-18M</w:t>
                  </w:r>
                </w:p>
              </w:tc>
              <w:tc>
                <w:tcPr>
                  <w:tcW w:w="908" w:type="pct"/>
                  <w:vMerge w:val="continue"/>
                  <w:tcBorders>
                    <w:tl2br w:val="nil"/>
                    <w:tr2bl w:val="nil"/>
                  </w:tcBorders>
                  <w:shd w:val="clear" w:color="000000" w:fill="auto"/>
                  <w:vAlign w:val="center"/>
                </w:tcPr>
                <w:p w14:paraId="3A0BDC2E">
                  <w:pPr>
                    <w:widowControl/>
                    <w:jc w:val="center"/>
                    <w:rPr>
                      <w:color w:val="000000" w:themeColor="text1"/>
                      <w:kern w:val="0"/>
                      <w:szCs w:val="21"/>
                      <w14:textFill>
                        <w14:solidFill>
                          <w14:schemeClr w14:val="tx1"/>
                        </w14:solidFill>
                      </w14:textFill>
                    </w:rPr>
                  </w:pPr>
                </w:p>
              </w:tc>
            </w:tr>
            <w:tr w14:paraId="7BA72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vAlign w:val="center"/>
                </w:tcPr>
                <w:p w14:paraId="548BFF71">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11</w:t>
                  </w:r>
                </w:p>
              </w:tc>
              <w:tc>
                <w:tcPr>
                  <w:tcW w:w="1474" w:type="pct"/>
                  <w:tcBorders>
                    <w:tl2br w:val="nil"/>
                    <w:tr2bl w:val="nil"/>
                  </w:tcBorders>
                  <w:vAlign w:val="center"/>
                </w:tcPr>
                <w:p w14:paraId="19D378A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Mini离心机</w:t>
                  </w:r>
                </w:p>
              </w:tc>
              <w:tc>
                <w:tcPr>
                  <w:tcW w:w="829" w:type="pct"/>
                  <w:tcBorders>
                    <w:tl2br w:val="nil"/>
                    <w:tr2bl w:val="nil"/>
                  </w:tcBorders>
                  <w:vAlign w:val="center"/>
                </w:tcPr>
                <w:p w14:paraId="60C7858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tcBorders>
                    <w:tl2br w:val="nil"/>
                    <w:tr2bl w:val="nil"/>
                  </w:tcBorders>
                  <w:vAlign w:val="center"/>
                </w:tcPr>
                <w:p w14:paraId="6159E84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LabYeah</w:t>
                  </w:r>
                  <w:r>
                    <w:rPr>
                      <w:rFonts w:hint="eastAsia"/>
                      <w:color w:val="000000" w:themeColor="text1"/>
                      <w:kern w:val="0"/>
                      <w:szCs w:val="21"/>
                      <w14:textFill>
                        <w14:solidFill>
                          <w14:schemeClr w14:val="tx1"/>
                        </w14:solidFill>
                      </w14:textFill>
                    </w:rPr>
                    <w:t xml:space="preserve"> MC-0005K </w:t>
                  </w:r>
                </w:p>
              </w:tc>
              <w:tc>
                <w:tcPr>
                  <w:tcW w:w="908" w:type="pct"/>
                  <w:vMerge w:val="continue"/>
                  <w:tcBorders>
                    <w:tl2br w:val="nil"/>
                    <w:tr2bl w:val="nil"/>
                  </w:tcBorders>
                  <w:shd w:val="clear" w:color="000000" w:fill="auto"/>
                  <w:vAlign w:val="center"/>
                </w:tcPr>
                <w:p w14:paraId="5131B986">
                  <w:pPr>
                    <w:widowControl/>
                    <w:jc w:val="center"/>
                    <w:rPr>
                      <w:color w:val="000000" w:themeColor="text1"/>
                      <w:kern w:val="0"/>
                      <w:szCs w:val="21"/>
                      <w14:textFill>
                        <w14:solidFill>
                          <w14:schemeClr w14:val="tx1"/>
                        </w14:solidFill>
                      </w14:textFill>
                    </w:rPr>
                  </w:pPr>
                </w:p>
              </w:tc>
            </w:tr>
            <w:tr w14:paraId="13C9E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vAlign w:val="center"/>
                </w:tcPr>
                <w:p w14:paraId="5632B52D">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12</w:t>
                  </w:r>
                </w:p>
              </w:tc>
              <w:tc>
                <w:tcPr>
                  <w:tcW w:w="1474" w:type="pct"/>
                  <w:tcBorders>
                    <w:tl2br w:val="nil"/>
                    <w:tr2bl w:val="nil"/>
                  </w:tcBorders>
                  <w:vAlign w:val="center"/>
                </w:tcPr>
                <w:p w14:paraId="725D6BC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生化培养箱</w:t>
                  </w:r>
                </w:p>
              </w:tc>
              <w:tc>
                <w:tcPr>
                  <w:tcW w:w="829" w:type="pct"/>
                  <w:tcBorders>
                    <w:tl2br w:val="nil"/>
                    <w:tr2bl w:val="nil"/>
                  </w:tcBorders>
                  <w:noWrap/>
                  <w:vAlign w:val="center"/>
                </w:tcPr>
                <w:p w14:paraId="04FC380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1443" w:type="pct"/>
                  <w:tcBorders>
                    <w:tl2br w:val="nil"/>
                    <w:tr2bl w:val="nil"/>
                  </w:tcBorders>
                  <w:noWrap/>
                  <w:vAlign w:val="center"/>
                </w:tcPr>
                <w:p w14:paraId="5AFE989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爱安姆 NIB260</w:t>
                  </w:r>
                </w:p>
              </w:tc>
              <w:tc>
                <w:tcPr>
                  <w:tcW w:w="908" w:type="pct"/>
                  <w:vMerge w:val="continue"/>
                  <w:tcBorders>
                    <w:tl2br w:val="nil"/>
                    <w:tr2bl w:val="nil"/>
                  </w:tcBorders>
                  <w:noWrap/>
                  <w:vAlign w:val="center"/>
                </w:tcPr>
                <w:p w14:paraId="7430EB90">
                  <w:pPr>
                    <w:widowControl/>
                    <w:jc w:val="center"/>
                    <w:rPr>
                      <w:color w:val="000000" w:themeColor="text1"/>
                      <w:kern w:val="0"/>
                      <w:szCs w:val="21"/>
                      <w14:textFill>
                        <w14:solidFill>
                          <w14:schemeClr w14:val="tx1"/>
                        </w14:solidFill>
                      </w14:textFill>
                    </w:rPr>
                  </w:pPr>
                </w:p>
              </w:tc>
            </w:tr>
            <w:tr w14:paraId="17F3B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vAlign w:val="center"/>
                </w:tcPr>
                <w:p w14:paraId="439037B8">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13</w:t>
                  </w:r>
                </w:p>
              </w:tc>
              <w:tc>
                <w:tcPr>
                  <w:tcW w:w="1474" w:type="pct"/>
                  <w:tcBorders>
                    <w:tl2br w:val="nil"/>
                    <w:tr2bl w:val="nil"/>
                  </w:tcBorders>
                  <w:noWrap/>
                  <w:vAlign w:val="center"/>
                </w:tcPr>
                <w:p w14:paraId="0EB672D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摇床</w:t>
                  </w:r>
                </w:p>
              </w:tc>
              <w:tc>
                <w:tcPr>
                  <w:tcW w:w="829" w:type="pct"/>
                  <w:tcBorders>
                    <w:tl2br w:val="nil"/>
                    <w:tr2bl w:val="nil"/>
                  </w:tcBorders>
                  <w:noWrap/>
                  <w:vAlign w:val="center"/>
                </w:tcPr>
                <w:p w14:paraId="0860C2F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tcBorders>
                    <w:tl2br w:val="nil"/>
                    <w:tr2bl w:val="nil"/>
                  </w:tcBorders>
                  <w:noWrap/>
                  <w:vAlign w:val="center"/>
                </w:tcPr>
                <w:p w14:paraId="0324C9F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知楚</w:t>
                  </w:r>
                  <w:r>
                    <w:rPr>
                      <w:rFonts w:hint="eastAsia"/>
                      <w:color w:val="000000" w:themeColor="text1"/>
                      <w:kern w:val="0"/>
                      <w:szCs w:val="21"/>
                      <w14:textFill>
                        <w14:solidFill>
                          <w14:schemeClr w14:val="tx1"/>
                        </w14:solidFill>
                      </w14:textFill>
                    </w:rPr>
                    <w:t xml:space="preserve"> ZQTY-90</w:t>
                  </w:r>
                </w:p>
              </w:tc>
              <w:tc>
                <w:tcPr>
                  <w:tcW w:w="908" w:type="pct"/>
                  <w:vMerge w:val="continue"/>
                  <w:tcBorders>
                    <w:tl2br w:val="nil"/>
                    <w:tr2bl w:val="nil"/>
                  </w:tcBorders>
                  <w:noWrap/>
                  <w:vAlign w:val="center"/>
                </w:tcPr>
                <w:p w14:paraId="3565A83B">
                  <w:pPr>
                    <w:widowControl/>
                    <w:jc w:val="center"/>
                    <w:rPr>
                      <w:color w:val="000000" w:themeColor="text1"/>
                      <w:kern w:val="0"/>
                      <w:szCs w:val="21"/>
                      <w14:textFill>
                        <w14:solidFill>
                          <w14:schemeClr w14:val="tx1"/>
                        </w14:solidFill>
                      </w14:textFill>
                    </w:rPr>
                  </w:pPr>
                </w:p>
              </w:tc>
            </w:tr>
            <w:tr w14:paraId="59984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vAlign w:val="center"/>
                </w:tcPr>
                <w:p w14:paraId="7BD57E13">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14</w:t>
                  </w:r>
                </w:p>
              </w:tc>
              <w:tc>
                <w:tcPr>
                  <w:tcW w:w="1474" w:type="pct"/>
                  <w:tcBorders>
                    <w:tl2br w:val="nil"/>
                    <w:tr2bl w:val="nil"/>
                  </w:tcBorders>
                  <w:noWrap/>
                  <w:vAlign w:val="center"/>
                </w:tcPr>
                <w:p w14:paraId="4852A7A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摇床</w:t>
                  </w:r>
                </w:p>
              </w:tc>
              <w:tc>
                <w:tcPr>
                  <w:tcW w:w="829" w:type="pct"/>
                  <w:tcBorders>
                    <w:tl2br w:val="nil"/>
                    <w:tr2bl w:val="nil"/>
                  </w:tcBorders>
                  <w:vAlign w:val="center"/>
                </w:tcPr>
                <w:p w14:paraId="25F651D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tcBorders>
                    <w:tl2br w:val="nil"/>
                    <w:tr2bl w:val="nil"/>
                  </w:tcBorders>
                  <w:shd w:val="clear" w:color="000000" w:fill="auto"/>
                  <w:vAlign w:val="center"/>
                </w:tcPr>
                <w:p w14:paraId="75AD6F7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米欧</w:t>
                  </w:r>
                  <w:r>
                    <w:rPr>
                      <w:rFonts w:hint="eastAsia"/>
                      <w:color w:val="000000" w:themeColor="text1"/>
                      <w:kern w:val="0"/>
                      <w:szCs w:val="21"/>
                      <w14:textFill>
                        <w14:solidFill>
                          <w14:schemeClr w14:val="tx1"/>
                        </w14:solidFill>
                      </w14:textFill>
                    </w:rPr>
                    <w:t xml:space="preserve"> HS-25N</w:t>
                  </w:r>
                </w:p>
              </w:tc>
              <w:tc>
                <w:tcPr>
                  <w:tcW w:w="908" w:type="pct"/>
                  <w:vMerge w:val="continue"/>
                  <w:tcBorders>
                    <w:tl2br w:val="nil"/>
                    <w:tr2bl w:val="nil"/>
                  </w:tcBorders>
                  <w:vAlign w:val="center"/>
                </w:tcPr>
                <w:p w14:paraId="199A9023">
                  <w:pPr>
                    <w:widowControl/>
                    <w:jc w:val="center"/>
                    <w:rPr>
                      <w:color w:val="000000" w:themeColor="text1"/>
                      <w:kern w:val="0"/>
                      <w:szCs w:val="21"/>
                      <w14:textFill>
                        <w14:solidFill>
                          <w14:schemeClr w14:val="tx1"/>
                        </w14:solidFill>
                      </w14:textFill>
                    </w:rPr>
                  </w:pPr>
                </w:p>
              </w:tc>
            </w:tr>
            <w:tr w14:paraId="4C635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vAlign w:val="center"/>
                </w:tcPr>
                <w:p w14:paraId="42389793">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15</w:t>
                  </w:r>
                </w:p>
              </w:tc>
              <w:tc>
                <w:tcPr>
                  <w:tcW w:w="1474" w:type="pct"/>
                  <w:tcBorders>
                    <w:tl2br w:val="nil"/>
                    <w:tr2bl w:val="nil"/>
                  </w:tcBorders>
                  <w:noWrap/>
                  <w:vAlign w:val="center"/>
                </w:tcPr>
                <w:p w14:paraId="101BC04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灭菌锅</w:t>
                  </w:r>
                </w:p>
              </w:tc>
              <w:tc>
                <w:tcPr>
                  <w:tcW w:w="829" w:type="pct"/>
                  <w:tcBorders>
                    <w:tl2br w:val="nil"/>
                    <w:tr2bl w:val="nil"/>
                  </w:tcBorders>
                  <w:vAlign w:val="center"/>
                </w:tcPr>
                <w:p w14:paraId="13ACA13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tcBorders>
                    <w:tl2br w:val="nil"/>
                    <w:tr2bl w:val="nil"/>
                  </w:tcBorders>
                  <w:vAlign w:val="center"/>
                </w:tcPr>
                <w:p w14:paraId="60B175A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Yamato SM510C</w:t>
                  </w:r>
                </w:p>
              </w:tc>
              <w:tc>
                <w:tcPr>
                  <w:tcW w:w="908" w:type="pct"/>
                  <w:vMerge w:val="continue"/>
                  <w:tcBorders>
                    <w:tl2br w:val="nil"/>
                    <w:tr2bl w:val="nil"/>
                  </w:tcBorders>
                  <w:vAlign w:val="center"/>
                </w:tcPr>
                <w:p w14:paraId="12FB43C3">
                  <w:pPr>
                    <w:widowControl/>
                    <w:jc w:val="center"/>
                    <w:rPr>
                      <w:color w:val="000000" w:themeColor="text1"/>
                      <w:kern w:val="0"/>
                      <w:szCs w:val="21"/>
                      <w14:textFill>
                        <w14:solidFill>
                          <w14:schemeClr w14:val="tx1"/>
                        </w14:solidFill>
                      </w14:textFill>
                    </w:rPr>
                  </w:pPr>
                </w:p>
              </w:tc>
            </w:tr>
            <w:tr w14:paraId="03E3F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vAlign w:val="center"/>
                </w:tcPr>
                <w:p w14:paraId="1AFCDF5A">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16</w:t>
                  </w:r>
                </w:p>
              </w:tc>
              <w:tc>
                <w:tcPr>
                  <w:tcW w:w="1474" w:type="pct"/>
                  <w:tcBorders>
                    <w:tl2br w:val="nil"/>
                    <w:tr2bl w:val="nil"/>
                  </w:tcBorders>
                  <w:noWrap/>
                  <w:vAlign w:val="center"/>
                </w:tcPr>
                <w:p w14:paraId="721152A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电转仪</w:t>
                  </w:r>
                </w:p>
              </w:tc>
              <w:tc>
                <w:tcPr>
                  <w:tcW w:w="829" w:type="pct"/>
                  <w:tcBorders>
                    <w:tl2br w:val="nil"/>
                    <w:tr2bl w:val="nil"/>
                  </w:tcBorders>
                  <w:vAlign w:val="center"/>
                </w:tcPr>
                <w:p w14:paraId="1D9C3A5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tcBorders>
                    <w:tl2br w:val="nil"/>
                    <w:tr2bl w:val="nil"/>
                  </w:tcBorders>
                  <w:vAlign w:val="center"/>
                </w:tcPr>
                <w:p w14:paraId="0D76F0A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NanoEnTek</w:t>
                  </w:r>
                  <w:r>
                    <w:rPr>
                      <w:rFonts w:hint="eastAsia"/>
                      <w:color w:val="000000" w:themeColor="text1"/>
                      <w:kern w:val="0"/>
                      <w:szCs w:val="21"/>
                      <w14:textFill>
                        <w14:solidFill>
                          <w14:schemeClr w14:val="tx1"/>
                        </w14:solidFill>
                      </w14:textFill>
                    </w:rPr>
                    <w:t xml:space="preserve"> </w:t>
                  </w:r>
                  <w:r>
                    <w:rPr>
                      <w:color w:val="000000" w:themeColor="text1"/>
                      <w:kern w:val="0"/>
                      <w:szCs w:val="21"/>
                      <w14:textFill>
                        <w14:solidFill>
                          <w14:schemeClr w14:val="tx1"/>
                        </w14:solidFill>
                      </w14:textFill>
                    </w:rPr>
                    <w:t>ExTransfection</w:t>
                  </w:r>
                </w:p>
              </w:tc>
              <w:tc>
                <w:tcPr>
                  <w:tcW w:w="908" w:type="pct"/>
                  <w:vMerge w:val="continue"/>
                  <w:tcBorders>
                    <w:tl2br w:val="nil"/>
                    <w:tr2bl w:val="nil"/>
                  </w:tcBorders>
                  <w:vAlign w:val="center"/>
                </w:tcPr>
                <w:p w14:paraId="26FAF05D">
                  <w:pPr>
                    <w:widowControl/>
                    <w:jc w:val="center"/>
                    <w:rPr>
                      <w:color w:val="000000" w:themeColor="text1"/>
                      <w:kern w:val="0"/>
                      <w:szCs w:val="21"/>
                      <w14:textFill>
                        <w14:solidFill>
                          <w14:schemeClr w14:val="tx1"/>
                        </w14:solidFill>
                      </w14:textFill>
                    </w:rPr>
                  </w:pPr>
                </w:p>
              </w:tc>
            </w:tr>
            <w:tr w14:paraId="505BD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noWrap/>
                  <w:vAlign w:val="center"/>
                </w:tcPr>
                <w:p w14:paraId="5B2309D9">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17</w:t>
                  </w:r>
                </w:p>
              </w:tc>
              <w:tc>
                <w:tcPr>
                  <w:tcW w:w="1474" w:type="pct"/>
                  <w:tcBorders>
                    <w:tl2br w:val="nil"/>
                    <w:tr2bl w:val="nil"/>
                  </w:tcBorders>
                  <w:noWrap/>
                  <w:vAlign w:val="center"/>
                </w:tcPr>
                <w:p w14:paraId="6A3DB72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5L发酵罐</w:t>
                  </w:r>
                </w:p>
              </w:tc>
              <w:tc>
                <w:tcPr>
                  <w:tcW w:w="829" w:type="pct"/>
                  <w:tcBorders>
                    <w:tl2br w:val="nil"/>
                    <w:tr2bl w:val="nil"/>
                  </w:tcBorders>
                  <w:noWrap/>
                  <w:vAlign w:val="center"/>
                </w:tcPr>
                <w:p w14:paraId="5CA82D8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tcBorders>
                    <w:tl2br w:val="nil"/>
                    <w:tr2bl w:val="nil"/>
                  </w:tcBorders>
                  <w:noWrap/>
                  <w:vAlign w:val="center"/>
                </w:tcPr>
                <w:p w14:paraId="3AE7967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佳德精密 JD-GFM-2-</w:t>
                  </w:r>
                  <w:r>
                    <w:rPr>
                      <w:color w:val="000000" w:themeColor="text1"/>
                      <w:kern w:val="0"/>
                      <w:szCs w:val="21"/>
                      <w14:textFill>
                        <w14:solidFill>
                          <w14:schemeClr w14:val="tx1"/>
                        </w14:solidFill>
                      </w14:textFill>
                    </w:rPr>
                    <w:t>5L</w:t>
                  </w:r>
                </w:p>
              </w:tc>
              <w:tc>
                <w:tcPr>
                  <w:tcW w:w="908" w:type="pct"/>
                  <w:vMerge w:val="restart"/>
                  <w:tcBorders>
                    <w:tl2br w:val="nil"/>
                    <w:tr2bl w:val="nil"/>
                  </w:tcBorders>
                  <w:noWrap/>
                  <w:vAlign w:val="center"/>
                </w:tcPr>
                <w:p w14:paraId="618542A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发酵</w:t>
                  </w:r>
                </w:p>
              </w:tc>
            </w:tr>
            <w:tr w14:paraId="67DA6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noWrap/>
                  <w:vAlign w:val="center"/>
                </w:tcPr>
                <w:p w14:paraId="6F62BEE9">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18</w:t>
                  </w:r>
                </w:p>
              </w:tc>
              <w:tc>
                <w:tcPr>
                  <w:tcW w:w="1474" w:type="pct"/>
                  <w:tcBorders>
                    <w:tl2br w:val="nil"/>
                    <w:tr2bl w:val="nil"/>
                  </w:tcBorders>
                  <w:noWrap/>
                  <w:vAlign w:val="center"/>
                </w:tcPr>
                <w:p w14:paraId="3A42EC34">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空气过滤系统</w:t>
                  </w:r>
                </w:p>
              </w:tc>
              <w:tc>
                <w:tcPr>
                  <w:tcW w:w="829" w:type="pct"/>
                  <w:tcBorders>
                    <w:tl2br w:val="nil"/>
                    <w:tr2bl w:val="nil"/>
                  </w:tcBorders>
                  <w:noWrap/>
                  <w:vAlign w:val="center"/>
                </w:tcPr>
                <w:p w14:paraId="346C4E99">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tcBorders>
                    <w:tl2br w:val="nil"/>
                    <w:tr2bl w:val="nil"/>
                  </w:tcBorders>
                  <w:noWrap/>
                  <w:vAlign w:val="center"/>
                </w:tcPr>
                <w:p w14:paraId="3A1016E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Thermo Fisher</w:t>
                  </w:r>
                </w:p>
              </w:tc>
              <w:tc>
                <w:tcPr>
                  <w:tcW w:w="908" w:type="pct"/>
                  <w:vMerge w:val="continue"/>
                  <w:tcBorders>
                    <w:tl2br w:val="nil"/>
                    <w:tr2bl w:val="nil"/>
                  </w:tcBorders>
                  <w:noWrap/>
                  <w:vAlign w:val="center"/>
                </w:tcPr>
                <w:p w14:paraId="164B7529">
                  <w:pPr>
                    <w:widowControl/>
                    <w:jc w:val="center"/>
                    <w:rPr>
                      <w:color w:val="000000" w:themeColor="text1"/>
                      <w:kern w:val="0"/>
                      <w:szCs w:val="21"/>
                      <w14:textFill>
                        <w14:solidFill>
                          <w14:schemeClr w14:val="tx1"/>
                        </w14:solidFill>
                      </w14:textFill>
                    </w:rPr>
                  </w:pPr>
                </w:p>
              </w:tc>
            </w:tr>
            <w:tr w14:paraId="11FA4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noWrap/>
                  <w:vAlign w:val="center"/>
                </w:tcPr>
                <w:p w14:paraId="408EED12">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19</w:t>
                  </w:r>
                </w:p>
              </w:tc>
              <w:tc>
                <w:tcPr>
                  <w:tcW w:w="1474" w:type="pct"/>
                  <w:tcBorders>
                    <w:tl2br w:val="nil"/>
                    <w:tr2bl w:val="nil"/>
                  </w:tcBorders>
                  <w:noWrap/>
                  <w:vAlign w:val="center"/>
                </w:tcPr>
                <w:p w14:paraId="462996C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布氏漏斗</w:t>
                  </w:r>
                </w:p>
              </w:tc>
              <w:tc>
                <w:tcPr>
                  <w:tcW w:w="829" w:type="pct"/>
                  <w:tcBorders>
                    <w:tl2br w:val="nil"/>
                    <w:tr2bl w:val="nil"/>
                  </w:tcBorders>
                  <w:noWrap/>
                  <w:vAlign w:val="center"/>
                </w:tcPr>
                <w:p w14:paraId="4489C52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1443" w:type="pct"/>
                  <w:tcBorders>
                    <w:tl2br w:val="nil"/>
                    <w:tr2bl w:val="nil"/>
                  </w:tcBorders>
                  <w:shd w:val="clear" w:color="000000" w:fill="auto"/>
                  <w:noWrap/>
                  <w:vAlign w:val="center"/>
                </w:tcPr>
                <w:p w14:paraId="745C5A5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方安 100mm</w:t>
                  </w:r>
                </w:p>
              </w:tc>
              <w:tc>
                <w:tcPr>
                  <w:tcW w:w="908" w:type="pct"/>
                  <w:vMerge w:val="restart"/>
                  <w:tcBorders>
                    <w:tl2br w:val="nil"/>
                    <w:tr2bl w:val="nil"/>
                  </w:tcBorders>
                  <w:noWrap/>
                  <w:vAlign w:val="center"/>
                </w:tcPr>
                <w:p w14:paraId="160326F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提取</w:t>
                  </w:r>
                </w:p>
              </w:tc>
            </w:tr>
            <w:tr w14:paraId="67734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noWrap/>
                  <w:vAlign w:val="center"/>
                </w:tcPr>
                <w:p w14:paraId="34E82020">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20</w:t>
                  </w:r>
                </w:p>
              </w:tc>
              <w:tc>
                <w:tcPr>
                  <w:tcW w:w="1474" w:type="pct"/>
                  <w:tcBorders>
                    <w:tl2br w:val="nil"/>
                    <w:tr2bl w:val="nil"/>
                  </w:tcBorders>
                  <w:noWrap/>
                  <w:vAlign w:val="center"/>
                </w:tcPr>
                <w:p w14:paraId="7896ECEF">
                  <w:pPr>
                    <w:widowControl/>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有机膜小试系统</w:t>
                  </w:r>
                </w:p>
              </w:tc>
              <w:tc>
                <w:tcPr>
                  <w:tcW w:w="829" w:type="pct"/>
                  <w:tcBorders>
                    <w:tl2br w:val="nil"/>
                    <w:tr2bl w:val="nil"/>
                  </w:tcBorders>
                  <w:noWrap/>
                  <w:vAlign w:val="center"/>
                </w:tcPr>
                <w:p w14:paraId="2EDDB2FD">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443" w:type="pct"/>
                  <w:tcBorders>
                    <w:tl2br w:val="nil"/>
                    <w:tr2bl w:val="nil"/>
                  </w:tcBorders>
                  <w:shd w:val="clear" w:color="000000" w:fill="auto"/>
                  <w:noWrap/>
                  <w:vAlign w:val="center"/>
                </w:tcPr>
                <w:p w14:paraId="2C964DE7">
                  <w:pPr>
                    <w:widowControl/>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BONA-GM-1818NSA</w:t>
                  </w:r>
                </w:p>
              </w:tc>
              <w:tc>
                <w:tcPr>
                  <w:tcW w:w="908" w:type="pct"/>
                  <w:vMerge w:val="continue"/>
                  <w:tcBorders>
                    <w:tl2br w:val="nil"/>
                    <w:tr2bl w:val="nil"/>
                  </w:tcBorders>
                  <w:noWrap/>
                  <w:vAlign w:val="center"/>
                </w:tcPr>
                <w:p w14:paraId="34CDFAD7">
                  <w:pPr>
                    <w:widowControl/>
                    <w:jc w:val="center"/>
                    <w:rPr>
                      <w:color w:val="000000" w:themeColor="text1"/>
                      <w:kern w:val="0"/>
                      <w:szCs w:val="21"/>
                      <w14:textFill>
                        <w14:solidFill>
                          <w14:schemeClr w14:val="tx1"/>
                        </w14:solidFill>
                      </w14:textFill>
                    </w:rPr>
                  </w:pPr>
                </w:p>
              </w:tc>
            </w:tr>
            <w:tr w14:paraId="53432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noWrap/>
                  <w:vAlign w:val="center"/>
                </w:tcPr>
                <w:p w14:paraId="4A6934EB">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21</w:t>
                  </w:r>
                </w:p>
              </w:tc>
              <w:tc>
                <w:tcPr>
                  <w:tcW w:w="1474" w:type="pct"/>
                  <w:tcBorders>
                    <w:tl2br w:val="nil"/>
                    <w:tr2bl w:val="nil"/>
                  </w:tcBorders>
                  <w:noWrap/>
                  <w:vAlign w:val="center"/>
                </w:tcPr>
                <w:p w14:paraId="41200A7D">
                  <w:pPr>
                    <w:widowControl/>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水环真空泵</w:t>
                  </w:r>
                </w:p>
              </w:tc>
              <w:tc>
                <w:tcPr>
                  <w:tcW w:w="829" w:type="pct"/>
                  <w:tcBorders>
                    <w:tl2br w:val="nil"/>
                    <w:tr2bl w:val="nil"/>
                  </w:tcBorders>
                  <w:noWrap/>
                  <w:vAlign w:val="center"/>
                </w:tcPr>
                <w:p w14:paraId="053F459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1443" w:type="pct"/>
                  <w:tcBorders>
                    <w:tl2br w:val="nil"/>
                    <w:tr2bl w:val="nil"/>
                  </w:tcBorders>
                  <w:shd w:val="clear" w:color="000000" w:fill="auto"/>
                  <w:noWrap/>
                  <w:vAlign w:val="center"/>
                </w:tcPr>
                <w:p w14:paraId="675C6B3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力辰邦西SHZ-D（Ⅲ）</w:t>
                  </w:r>
                </w:p>
              </w:tc>
              <w:tc>
                <w:tcPr>
                  <w:tcW w:w="908" w:type="pct"/>
                  <w:vMerge w:val="continue"/>
                  <w:tcBorders>
                    <w:tl2br w:val="nil"/>
                    <w:tr2bl w:val="nil"/>
                  </w:tcBorders>
                  <w:noWrap/>
                  <w:vAlign w:val="center"/>
                </w:tcPr>
                <w:p w14:paraId="5F8A2F3D">
                  <w:pPr>
                    <w:widowControl/>
                    <w:jc w:val="center"/>
                    <w:rPr>
                      <w:color w:val="000000" w:themeColor="text1"/>
                      <w:kern w:val="0"/>
                      <w:szCs w:val="21"/>
                      <w14:textFill>
                        <w14:solidFill>
                          <w14:schemeClr w14:val="tx1"/>
                        </w14:solidFill>
                      </w14:textFill>
                    </w:rPr>
                  </w:pPr>
                </w:p>
              </w:tc>
            </w:tr>
            <w:tr w14:paraId="1787D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noWrap/>
                  <w:vAlign w:val="center"/>
                </w:tcPr>
                <w:p w14:paraId="522BD96D">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22</w:t>
                  </w:r>
                </w:p>
              </w:tc>
              <w:tc>
                <w:tcPr>
                  <w:tcW w:w="1474" w:type="pct"/>
                  <w:tcBorders>
                    <w:tl2br w:val="nil"/>
                    <w:tr2bl w:val="nil"/>
                  </w:tcBorders>
                  <w:noWrap/>
                  <w:vAlign w:val="center"/>
                </w:tcPr>
                <w:p w14:paraId="77410662">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磁力搅拌器</w:t>
                  </w:r>
                </w:p>
              </w:tc>
              <w:tc>
                <w:tcPr>
                  <w:tcW w:w="829" w:type="pct"/>
                  <w:tcBorders>
                    <w:tl2br w:val="nil"/>
                    <w:tr2bl w:val="nil"/>
                  </w:tcBorders>
                  <w:noWrap/>
                  <w:vAlign w:val="center"/>
                </w:tcPr>
                <w:p w14:paraId="149ECB0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1443" w:type="pct"/>
                  <w:tcBorders>
                    <w:tl2br w:val="nil"/>
                    <w:tr2bl w:val="nil"/>
                  </w:tcBorders>
                  <w:shd w:val="clear" w:color="000000" w:fill="auto"/>
                  <w:noWrap/>
                  <w:vAlign w:val="center"/>
                </w:tcPr>
                <w:p w14:paraId="2ADE79F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苏瑞SR-MSA-2D</w:t>
                  </w:r>
                </w:p>
              </w:tc>
              <w:tc>
                <w:tcPr>
                  <w:tcW w:w="908" w:type="pct"/>
                  <w:vMerge w:val="continue"/>
                  <w:tcBorders>
                    <w:tl2br w:val="nil"/>
                    <w:tr2bl w:val="nil"/>
                  </w:tcBorders>
                  <w:noWrap/>
                  <w:vAlign w:val="center"/>
                </w:tcPr>
                <w:p w14:paraId="33F9F710">
                  <w:pPr>
                    <w:widowControl/>
                    <w:jc w:val="center"/>
                    <w:rPr>
                      <w:color w:val="000000" w:themeColor="text1"/>
                      <w:kern w:val="0"/>
                      <w:szCs w:val="21"/>
                      <w14:textFill>
                        <w14:solidFill>
                          <w14:schemeClr w14:val="tx1"/>
                        </w14:solidFill>
                      </w14:textFill>
                    </w:rPr>
                  </w:pPr>
                </w:p>
              </w:tc>
            </w:tr>
            <w:tr w14:paraId="2B3E5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noWrap/>
                  <w:vAlign w:val="center"/>
                </w:tcPr>
                <w:p w14:paraId="52521C42">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23</w:t>
                  </w:r>
                </w:p>
              </w:tc>
              <w:tc>
                <w:tcPr>
                  <w:tcW w:w="1474" w:type="pct"/>
                  <w:tcBorders>
                    <w:tl2br w:val="nil"/>
                    <w:tr2bl w:val="nil"/>
                  </w:tcBorders>
                  <w:noWrap/>
                  <w:vAlign w:val="center"/>
                </w:tcPr>
                <w:p w14:paraId="3312FB3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电鼓风干燥箱</w:t>
                  </w:r>
                </w:p>
              </w:tc>
              <w:tc>
                <w:tcPr>
                  <w:tcW w:w="829" w:type="pct"/>
                  <w:tcBorders>
                    <w:tl2br w:val="nil"/>
                    <w:tr2bl w:val="nil"/>
                  </w:tcBorders>
                  <w:noWrap/>
                  <w:vAlign w:val="center"/>
                </w:tcPr>
                <w:p w14:paraId="7A3BAA9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tcBorders>
                    <w:tl2br w:val="nil"/>
                    <w:tr2bl w:val="nil"/>
                  </w:tcBorders>
                  <w:noWrap/>
                  <w:vAlign w:val="center"/>
                </w:tcPr>
                <w:p w14:paraId="5E0C659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赫田DHG 101-2</w:t>
                  </w:r>
                </w:p>
              </w:tc>
              <w:tc>
                <w:tcPr>
                  <w:tcW w:w="908" w:type="pct"/>
                  <w:vMerge w:val="continue"/>
                  <w:tcBorders>
                    <w:tl2br w:val="nil"/>
                    <w:tr2bl w:val="nil"/>
                  </w:tcBorders>
                  <w:noWrap/>
                  <w:vAlign w:val="center"/>
                </w:tcPr>
                <w:p w14:paraId="1CA2C3CD">
                  <w:pPr>
                    <w:widowControl/>
                    <w:jc w:val="center"/>
                    <w:rPr>
                      <w:color w:val="000000" w:themeColor="text1"/>
                      <w:kern w:val="0"/>
                      <w:szCs w:val="21"/>
                      <w14:textFill>
                        <w14:solidFill>
                          <w14:schemeClr w14:val="tx1"/>
                        </w14:solidFill>
                      </w14:textFill>
                    </w:rPr>
                  </w:pPr>
                </w:p>
              </w:tc>
            </w:tr>
            <w:tr w14:paraId="49075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noWrap/>
                  <w:vAlign w:val="center"/>
                </w:tcPr>
                <w:p w14:paraId="469B69A8">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24</w:t>
                  </w:r>
                </w:p>
              </w:tc>
              <w:tc>
                <w:tcPr>
                  <w:tcW w:w="1474" w:type="pct"/>
                  <w:tcBorders>
                    <w:tl2br w:val="nil"/>
                    <w:tr2bl w:val="nil"/>
                  </w:tcBorders>
                  <w:noWrap/>
                  <w:vAlign w:val="center"/>
                </w:tcPr>
                <w:p w14:paraId="487830D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真空干燥箱</w:t>
                  </w:r>
                </w:p>
              </w:tc>
              <w:tc>
                <w:tcPr>
                  <w:tcW w:w="829" w:type="pct"/>
                  <w:tcBorders>
                    <w:tl2br w:val="nil"/>
                    <w:tr2bl w:val="nil"/>
                  </w:tcBorders>
                  <w:noWrap/>
                  <w:vAlign w:val="center"/>
                </w:tcPr>
                <w:p w14:paraId="0698232A">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443" w:type="pct"/>
                  <w:tcBorders>
                    <w:tl2br w:val="nil"/>
                    <w:tr2bl w:val="nil"/>
                  </w:tcBorders>
                  <w:noWrap/>
                  <w:vAlign w:val="center"/>
                </w:tcPr>
                <w:p w14:paraId="7D057E2B">
                  <w:pPr>
                    <w:widowControl/>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DZF6090</w:t>
                  </w:r>
                </w:p>
              </w:tc>
              <w:tc>
                <w:tcPr>
                  <w:tcW w:w="908" w:type="pct"/>
                  <w:vMerge w:val="continue"/>
                  <w:tcBorders>
                    <w:tl2br w:val="nil"/>
                    <w:tr2bl w:val="nil"/>
                  </w:tcBorders>
                  <w:noWrap/>
                  <w:vAlign w:val="center"/>
                </w:tcPr>
                <w:p w14:paraId="6D539BFD">
                  <w:pPr>
                    <w:widowControl/>
                    <w:jc w:val="center"/>
                    <w:rPr>
                      <w:color w:val="000000" w:themeColor="text1"/>
                      <w:kern w:val="0"/>
                      <w:szCs w:val="21"/>
                      <w14:textFill>
                        <w14:solidFill>
                          <w14:schemeClr w14:val="tx1"/>
                        </w14:solidFill>
                      </w14:textFill>
                    </w:rPr>
                  </w:pPr>
                </w:p>
              </w:tc>
            </w:tr>
            <w:tr w14:paraId="5006E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noWrap/>
                  <w:vAlign w:val="center"/>
                </w:tcPr>
                <w:p w14:paraId="1194F3AE">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25</w:t>
                  </w:r>
                </w:p>
              </w:tc>
              <w:tc>
                <w:tcPr>
                  <w:tcW w:w="1474" w:type="pct"/>
                  <w:tcBorders>
                    <w:tl2br w:val="nil"/>
                    <w:tr2bl w:val="nil"/>
                  </w:tcBorders>
                  <w:noWrap/>
                  <w:vAlign w:val="center"/>
                </w:tcPr>
                <w:p w14:paraId="1A5521B2">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集热式恒温加热磁力搅拌器</w:t>
                  </w:r>
                </w:p>
              </w:tc>
              <w:tc>
                <w:tcPr>
                  <w:tcW w:w="829" w:type="pct"/>
                  <w:tcBorders>
                    <w:tl2br w:val="nil"/>
                    <w:tr2bl w:val="nil"/>
                  </w:tcBorders>
                  <w:noWrap/>
                  <w:vAlign w:val="center"/>
                </w:tcPr>
                <w:p w14:paraId="4EFA681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1443" w:type="pct"/>
                  <w:tcBorders>
                    <w:tl2br w:val="nil"/>
                    <w:tr2bl w:val="nil"/>
                  </w:tcBorders>
                  <w:shd w:val="clear" w:color="000000" w:fill="auto"/>
                  <w:noWrap/>
                  <w:vAlign w:val="center"/>
                </w:tcPr>
                <w:p w14:paraId="7777ACD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予华DF-101S</w:t>
                  </w:r>
                </w:p>
              </w:tc>
              <w:tc>
                <w:tcPr>
                  <w:tcW w:w="908" w:type="pct"/>
                  <w:vMerge w:val="continue"/>
                  <w:tcBorders>
                    <w:tl2br w:val="nil"/>
                    <w:tr2bl w:val="nil"/>
                  </w:tcBorders>
                  <w:noWrap/>
                  <w:vAlign w:val="center"/>
                </w:tcPr>
                <w:p w14:paraId="452FA62D">
                  <w:pPr>
                    <w:widowControl/>
                    <w:jc w:val="center"/>
                    <w:rPr>
                      <w:color w:val="000000" w:themeColor="text1"/>
                      <w:kern w:val="0"/>
                      <w:szCs w:val="21"/>
                      <w14:textFill>
                        <w14:solidFill>
                          <w14:schemeClr w14:val="tx1"/>
                        </w14:solidFill>
                      </w14:textFill>
                    </w:rPr>
                  </w:pPr>
                </w:p>
              </w:tc>
            </w:tr>
            <w:tr w14:paraId="37190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noWrap/>
                  <w:vAlign w:val="center"/>
                </w:tcPr>
                <w:p w14:paraId="347188D5">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26</w:t>
                  </w:r>
                </w:p>
              </w:tc>
              <w:tc>
                <w:tcPr>
                  <w:tcW w:w="1474" w:type="pct"/>
                  <w:tcBorders>
                    <w:tl2br w:val="nil"/>
                    <w:tr2bl w:val="nil"/>
                  </w:tcBorders>
                  <w:noWrap/>
                  <w:vAlign w:val="center"/>
                </w:tcPr>
                <w:p w14:paraId="029B3191">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低温恒温反应浴</w:t>
                  </w:r>
                </w:p>
              </w:tc>
              <w:tc>
                <w:tcPr>
                  <w:tcW w:w="829" w:type="pct"/>
                  <w:tcBorders>
                    <w:tl2br w:val="nil"/>
                    <w:tr2bl w:val="nil"/>
                  </w:tcBorders>
                  <w:noWrap/>
                  <w:vAlign w:val="center"/>
                </w:tcPr>
                <w:p w14:paraId="16C9478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1443" w:type="pct"/>
                  <w:tcBorders>
                    <w:tl2br w:val="nil"/>
                    <w:tr2bl w:val="nil"/>
                  </w:tcBorders>
                  <w:shd w:val="clear" w:color="000000" w:fill="auto"/>
                  <w:noWrap/>
                  <w:vAlign w:val="center"/>
                </w:tcPr>
                <w:p w14:paraId="42C9638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科兴DHFY-5\20</w:t>
                  </w:r>
                </w:p>
              </w:tc>
              <w:tc>
                <w:tcPr>
                  <w:tcW w:w="908" w:type="pct"/>
                  <w:vMerge w:val="continue"/>
                  <w:tcBorders>
                    <w:tl2br w:val="nil"/>
                    <w:tr2bl w:val="nil"/>
                  </w:tcBorders>
                  <w:noWrap/>
                  <w:vAlign w:val="center"/>
                </w:tcPr>
                <w:p w14:paraId="42FB2075">
                  <w:pPr>
                    <w:widowControl/>
                    <w:jc w:val="center"/>
                    <w:rPr>
                      <w:color w:val="000000" w:themeColor="text1"/>
                      <w:kern w:val="0"/>
                      <w:szCs w:val="21"/>
                      <w14:textFill>
                        <w14:solidFill>
                          <w14:schemeClr w14:val="tx1"/>
                        </w14:solidFill>
                      </w14:textFill>
                    </w:rPr>
                  </w:pPr>
                </w:p>
              </w:tc>
            </w:tr>
            <w:tr w14:paraId="6F2CD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noWrap/>
                  <w:vAlign w:val="center"/>
                </w:tcPr>
                <w:p w14:paraId="55E616DB">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27</w:t>
                  </w:r>
                </w:p>
              </w:tc>
              <w:tc>
                <w:tcPr>
                  <w:tcW w:w="1474" w:type="pct"/>
                  <w:tcBorders>
                    <w:tl2br w:val="nil"/>
                    <w:tr2bl w:val="nil"/>
                  </w:tcBorders>
                  <w:noWrap/>
                  <w:vAlign w:val="center"/>
                </w:tcPr>
                <w:p w14:paraId="7707A9EB">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旋转蒸发器</w:t>
                  </w:r>
                </w:p>
              </w:tc>
              <w:tc>
                <w:tcPr>
                  <w:tcW w:w="829" w:type="pct"/>
                  <w:tcBorders>
                    <w:tl2br w:val="nil"/>
                    <w:tr2bl w:val="nil"/>
                  </w:tcBorders>
                  <w:noWrap/>
                  <w:vAlign w:val="center"/>
                </w:tcPr>
                <w:p w14:paraId="7C0E9ED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1443" w:type="pct"/>
                  <w:tcBorders>
                    <w:tl2br w:val="nil"/>
                    <w:tr2bl w:val="nil"/>
                  </w:tcBorders>
                  <w:shd w:val="clear" w:color="000000" w:fill="auto"/>
                  <w:noWrap/>
                  <w:vAlign w:val="center"/>
                </w:tcPr>
                <w:p w14:paraId="57EFC14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亚荣 RE-5205A</w:t>
                  </w:r>
                </w:p>
              </w:tc>
              <w:tc>
                <w:tcPr>
                  <w:tcW w:w="908" w:type="pct"/>
                  <w:vMerge w:val="continue"/>
                  <w:tcBorders>
                    <w:tl2br w:val="nil"/>
                    <w:tr2bl w:val="nil"/>
                  </w:tcBorders>
                  <w:noWrap/>
                  <w:vAlign w:val="center"/>
                </w:tcPr>
                <w:p w14:paraId="23D64BF6">
                  <w:pPr>
                    <w:widowControl/>
                    <w:jc w:val="center"/>
                    <w:rPr>
                      <w:color w:val="000000" w:themeColor="text1"/>
                      <w:kern w:val="0"/>
                      <w:szCs w:val="21"/>
                      <w14:textFill>
                        <w14:solidFill>
                          <w14:schemeClr w14:val="tx1"/>
                        </w14:solidFill>
                      </w14:textFill>
                    </w:rPr>
                  </w:pPr>
                </w:p>
              </w:tc>
            </w:tr>
            <w:tr w14:paraId="6F987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noWrap/>
                  <w:vAlign w:val="center"/>
                </w:tcPr>
                <w:p w14:paraId="258D3EE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28</w:t>
                  </w:r>
                </w:p>
              </w:tc>
              <w:tc>
                <w:tcPr>
                  <w:tcW w:w="1474" w:type="pct"/>
                  <w:tcBorders>
                    <w:tl2br w:val="nil"/>
                    <w:tr2bl w:val="nil"/>
                  </w:tcBorders>
                  <w:noWrap/>
                  <w:vAlign w:val="center"/>
                </w:tcPr>
                <w:p w14:paraId="36B1DBEF">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玻璃层析柱</w:t>
                  </w:r>
                </w:p>
              </w:tc>
              <w:tc>
                <w:tcPr>
                  <w:tcW w:w="829" w:type="pct"/>
                  <w:tcBorders>
                    <w:tl2br w:val="nil"/>
                    <w:tr2bl w:val="nil"/>
                  </w:tcBorders>
                  <w:noWrap/>
                  <w:vAlign w:val="center"/>
                </w:tcPr>
                <w:p w14:paraId="604F416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p>
              </w:tc>
              <w:tc>
                <w:tcPr>
                  <w:tcW w:w="1443" w:type="pct"/>
                  <w:tcBorders>
                    <w:tl2br w:val="nil"/>
                    <w:tr2bl w:val="nil"/>
                  </w:tcBorders>
                  <w:shd w:val="clear" w:color="000000" w:fill="auto"/>
                  <w:noWrap/>
                  <w:vAlign w:val="center"/>
                </w:tcPr>
                <w:p w14:paraId="5B8C131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POMEX 50×600 G2</w:t>
                  </w:r>
                </w:p>
              </w:tc>
              <w:tc>
                <w:tcPr>
                  <w:tcW w:w="908" w:type="pct"/>
                  <w:vMerge w:val="continue"/>
                  <w:tcBorders>
                    <w:tl2br w:val="nil"/>
                    <w:tr2bl w:val="nil"/>
                  </w:tcBorders>
                  <w:noWrap/>
                  <w:vAlign w:val="center"/>
                </w:tcPr>
                <w:p w14:paraId="27C5F017">
                  <w:pPr>
                    <w:widowControl/>
                    <w:jc w:val="center"/>
                    <w:rPr>
                      <w:color w:val="000000" w:themeColor="text1"/>
                      <w:kern w:val="0"/>
                      <w:szCs w:val="21"/>
                      <w14:textFill>
                        <w14:solidFill>
                          <w14:schemeClr w14:val="tx1"/>
                        </w14:solidFill>
                      </w14:textFill>
                    </w:rPr>
                  </w:pPr>
                </w:p>
              </w:tc>
            </w:tr>
            <w:tr w14:paraId="4D896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noWrap/>
                  <w:vAlign w:val="center"/>
                </w:tcPr>
                <w:p w14:paraId="462C6F7E">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29</w:t>
                  </w:r>
                </w:p>
              </w:tc>
              <w:tc>
                <w:tcPr>
                  <w:tcW w:w="1474" w:type="pct"/>
                  <w:tcBorders>
                    <w:tl2br w:val="nil"/>
                    <w:tr2bl w:val="nil"/>
                  </w:tcBorders>
                  <w:noWrap/>
                  <w:vAlign w:val="center"/>
                </w:tcPr>
                <w:p w14:paraId="31BE1AE7">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蠕动泵</w:t>
                  </w:r>
                </w:p>
              </w:tc>
              <w:tc>
                <w:tcPr>
                  <w:tcW w:w="829" w:type="pct"/>
                  <w:tcBorders>
                    <w:tl2br w:val="nil"/>
                    <w:tr2bl w:val="nil"/>
                  </w:tcBorders>
                  <w:noWrap/>
                  <w:vAlign w:val="center"/>
                </w:tcPr>
                <w:p w14:paraId="651AD97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1443" w:type="pct"/>
                  <w:tcBorders>
                    <w:tl2br w:val="nil"/>
                    <w:tr2bl w:val="nil"/>
                  </w:tcBorders>
                  <w:shd w:val="clear" w:color="000000" w:fill="auto"/>
                  <w:noWrap/>
                  <w:vAlign w:val="center"/>
                </w:tcPr>
                <w:p w14:paraId="5216C53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仁为流体BS600A+YZ15B</w:t>
                  </w:r>
                </w:p>
              </w:tc>
              <w:tc>
                <w:tcPr>
                  <w:tcW w:w="908" w:type="pct"/>
                  <w:vMerge w:val="continue"/>
                  <w:tcBorders>
                    <w:tl2br w:val="nil"/>
                    <w:tr2bl w:val="nil"/>
                  </w:tcBorders>
                  <w:noWrap/>
                  <w:vAlign w:val="center"/>
                </w:tcPr>
                <w:p w14:paraId="4E988DEB">
                  <w:pPr>
                    <w:widowControl/>
                    <w:jc w:val="center"/>
                    <w:rPr>
                      <w:color w:val="000000" w:themeColor="text1"/>
                      <w:kern w:val="0"/>
                      <w:szCs w:val="21"/>
                      <w14:textFill>
                        <w14:solidFill>
                          <w14:schemeClr w14:val="tx1"/>
                        </w14:solidFill>
                      </w14:textFill>
                    </w:rPr>
                  </w:pPr>
                </w:p>
              </w:tc>
            </w:tr>
            <w:tr w14:paraId="2B9F5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noWrap/>
                  <w:vAlign w:val="center"/>
                </w:tcPr>
                <w:p w14:paraId="0063C118">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30</w:t>
                  </w:r>
                </w:p>
              </w:tc>
              <w:tc>
                <w:tcPr>
                  <w:tcW w:w="1474" w:type="pct"/>
                  <w:tcBorders>
                    <w:tl2br w:val="nil"/>
                    <w:tr2bl w:val="nil"/>
                  </w:tcBorders>
                  <w:noWrap/>
                  <w:vAlign w:val="center"/>
                </w:tcPr>
                <w:p w14:paraId="22068063">
                  <w:pPr>
                    <w:widowControl/>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高速管式离心机</w:t>
                  </w:r>
                </w:p>
              </w:tc>
              <w:tc>
                <w:tcPr>
                  <w:tcW w:w="829" w:type="pct"/>
                  <w:tcBorders>
                    <w:tl2br w:val="nil"/>
                    <w:tr2bl w:val="nil"/>
                  </w:tcBorders>
                  <w:noWrap/>
                  <w:vAlign w:val="center"/>
                </w:tcPr>
                <w:p w14:paraId="2D5D4CB4">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443" w:type="pct"/>
                  <w:tcBorders>
                    <w:tl2br w:val="nil"/>
                    <w:tr2bl w:val="nil"/>
                  </w:tcBorders>
                  <w:shd w:val="clear" w:color="000000" w:fill="auto"/>
                  <w:noWrap/>
                  <w:vAlign w:val="center"/>
                </w:tcPr>
                <w:p w14:paraId="20A5A2EB">
                  <w:pPr>
                    <w:widowControl/>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GQ75</w:t>
                  </w:r>
                </w:p>
              </w:tc>
              <w:tc>
                <w:tcPr>
                  <w:tcW w:w="908" w:type="pct"/>
                  <w:vMerge w:val="continue"/>
                  <w:tcBorders>
                    <w:tl2br w:val="nil"/>
                    <w:tr2bl w:val="nil"/>
                  </w:tcBorders>
                  <w:noWrap/>
                  <w:vAlign w:val="center"/>
                </w:tcPr>
                <w:p w14:paraId="53D6CCD0">
                  <w:pPr>
                    <w:widowControl/>
                    <w:jc w:val="center"/>
                    <w:rPr>
                      <w:color w:val="000000" w:themeColor="text1"/>
                      <w:kern w:val="0"/>
                      <w:szCs w:val="21"/>
                      <w14:textFill>
                        <w14:solidFill>
                          <w14:schemeClr w14:val="tx1"/>
                        </w14:solidFill>
                      </w14:textFill>
                    </w:rPr>
                  </w:pPr>
                </w:p>
              </w:tc>
            </w:tr>
            <w:tr w14:paraId="62AD1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noWrap/>
                  <w:vAlign w:val="center"/>
                </w:tcPr>
                <w:p w14:paraId="5A56A7F5">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31</w:t>
                  </w:r>
                </w:p>
              </w:tc>
              <w:tc>
                <w:tcPr>
                  <w:tcW w:w="1474" w:type="pct"/>
                  <w:tcBorders>
                    <w:tl2br w:val="nil"/>
                    <w:tr2bl w:val="nil"/>
                  </w:tcBorders>
                  <w:shd w:val="clear" w:color="auto" w:fill="auto"/>
                  <w:noWrap/>
                  <w:vAlign w:val="center"/>
                </w:tcPr>
                <w:p w14:paraId="1D02A733">
                  <w:pPr>
                    <w:widowControl/>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高速冷冻离心机</w:t>
                  </w:r>
                </w:p>
              </w:tc>
              <w:tc>
                <w:tcPr>
                  <w:tcW w:w="829" w:type="pct"/>
                  <w:tcBorders>
                    <w:tl2br w:val="nil"/>
                    <w:tr2bl w:val="nil"/>
                  </w:tcBorders>
                  <w:shd w:val="clear" w:color="auto" w:fill="auto"/>
                  <w:noWrap/>
                  <w:vAlign w:val="center"/>
                </w:tcPr>
                <w:p w14:paraId="777076F3">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443" w:type="pct"/>
                  <w:tcBorders>
                    <w:tl2br w:val="nil"/>
                    <w:tr2bl w:val="nil"/>
                  </w:tcBorders>
                  <w:shd w:val="clear" w:color="000000" w:fill="auto"/>
                  <w:noWrap/>
                  <w:vAlign w:val="center"/>
                </w:tcPr>
                <w:p w14:paraId="55AEDF6C">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BH2100R</w:t>
                  </w:r>
                </w:p>
              </w:tc>
              <w:tc>
                <w:tcPr>
                  <w:tcW w:w="908" w:type="pct"/>
                  <w:vMerge w:val="continue"/>
                  <w:tcBorders>
                    <w:tl2br w:val="nil"/>
                    <w:tr2bl w:val="nil"/>
                  </w:tcBorders>
                  <w:noWrap/>
                  <w:vAlign w:val="center"/>
                </w:tcPr>
                <w:p w14:paraId="03E97C3F">
                  <w:pPr>
                    <w:widowControl/>
                    <w:jc w:val="center"/>
                    <w:rPr>
                      <w:color w:val="000000" w:themeColor="text1"/>
                      <w:kern w:val="0"/>
                      <w:szCs w:val="21"/>
                      <w14:textFill>
                        <w14:solidFill>
                          <w14:schemeClr w14:val="tx1"/>
                        </w14:solidFill>
                      </w14:textFill>
                    </w:rPr>
                  </w:pPr>
                </w:p>
              </w:tc>
            </w:tr>
            <w:tr w14:paraId="6629A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tcBorders>
                    <w:tl2br w:val="nil"/>
                    <w:tr2bl w:val="nil"/>
                  </w:tcBorders>
                  <w:shd w:val="clear" w:color="auto" w:fill="auto"/>
                  <w:noWrap/>
                  <w:vAlign w:val="center"/>
                </w:tcPr>
                <w:p w14:paraId="1A8BB9E1">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32</w:t>
                  </w:r>
                </w:p>
              </w:tc>
              <w:tc>
                <w:tcPr>
                  <w:tcW w:w="1474" w:type="pct"/>
                  <w:tcBorders>
                    <w:tl2br w:val="nil"/>
                    <w:tr2bl w:val="nil"/>
                  </w:tcBorders>
                  <w:noWrap/>
                  <w:vAlign w:val="center"/>
                </w:tcPr>
                <w:p w14:paraId="4A7B3680">
                  <w:pPr>
                    <w:widowControl/>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小型三足离心机</w:t>
                  </w:r>
                </w:p>
              </w:tc>
              <w:tc>
                <w:tcPr>
                  <w:tcW w:w="829" w:type="pct"/>
                  <w:tcBorders>
                    <w:tl2br w:val="nil"/>
                    <w:tr2bl w:val="nil"/>
                  </w:tcBorders>
                  <w:noWrap/>
                  <w:vAlign w:val="center"/>
                </w:tcPr>
                <w:p w14:paraId="456F89B2">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443" w:type="pct"/>
                  <w:tcBorders>
                    <w:tl2br w:val="nil"/>
                    <w:tr2bl w:val="nil"/>
                  </w:tcBorders>
                  <w:shd w:val="clear" w:color="000000" w:fill="auto"/>
                  <w:noWrap/>
                  <w:vAlign w:val="center"/>
                </w:tcPr>
                <w:p w14:paraId="5E2D3A16">
                  <w:pPr>
                    <w:widowControl/>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PSB200</w:t>
                  </w:r>
                </w:p>
              </w:tc>
              <w:tc>
                <w:tcPr>
                  <w:tcW w:w="908" w:type="pct"/>
                  <w:vMerge w:val="continue"/>
                  <w:tcBorders>
                    <w:tl2br w:val="nil"/>
                    <w:tr2bl w:val="nil"/>
                  </w:tcBorders>
                  <w:noWrap/>
                  <w:vAlign w:val="center"/>
                </w:tcPr>
                <w:p w14:paraId="68A7A688">
                  <w:pPr>
                    <w:widowControl/>
                    <w:jc w:val="center"/>
                    <w:rPr>
                      <w:color w:val="000000" w:themeColor="text1"/>
                      <w:kern w:val="0"/>
                      <w:szCs w:val="21"/>
                      <w14:textFill>
                        <w14:solidFill>
                          <w14:schemeClr w14:val="tx1"/>
                        </w14:solidFill>
                      </w14:textFill>
                    </w:rPr>
                  </w:pPr>
                </w:p>
              </w:tc>
            </w:tr>
            <w:tr w14:paraId="32BB3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shd w:val="clear" w:color="auto" w:fill="auto"/>
                  <w:vAlign w:val="center"/>
                </w:tcPr>
                <w:p w14:paraId="2A43A503">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33</w:t>
                  </w:r>
                </w:p>
              </w:tc>
              <w:tc>
                <w:tcPr>
                  <w:tcW w:w="1474" w:type="pct"/>
                  <w:vAlign w:val="center"/>
                </w:tcPr>
                <w:p w14:paraId="001E1EE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分光光度计</w:t>
                  </w:r>
                </w:p>
              </w:tc>
              <w:tc>
                <w:tcPr>
                  <w:tcW w:w="829" w:type="pct"/>
                  <w:vAlign w:val="center"/>
                </w:tcPr>
                <w:p w14:paraId="1E949AA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shd w:val="clear" w:color="000000" w:fill="auto"/>
                  <w:vAlign w:val="center"/>
                </w:tcPr>
                <w:p w14:paraId="45FEA40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聚创 UV759</w:t>
                  </w:r>
                </w:p>
              </w:tc>
              <w:tc>
                <w:tcPr>
                  <w:tcW w:w="908" w:type="pct"/>
                  <w:vMerge w:val="restart"/>
                  <w:vAlign w:val="center"/>
                </w:tcPr>
                <w:p w14:paraId="54E6BBB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分析检测</w:t>
                  </w:r>
                </w:p>
              </w:tc>
            </w:tr>
            <w:tr w14:paraId="6BDB5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Align w:val="center"/>
                </w:tcPr>
                <w:p w14:paraId="54094A1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34</w:t>
                  </w:r>
                </w:p>
              </w:tc>
              <w:tc>
                <w:tcPr>
                  <w:tcW w:w="1474" w:type="pct"/>
                  <w:vAlign w:val="center"/>
                </w:tcPr>
                <w:p w14:paraId="036BDB7A">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电子</w:t>
                  </w:r>
                  <w:r>
                    <w:rPr>
                      <w:color w:val="000000" w:themeColor="text1"/>
                      <w:kern w:val="0"/>
                      <w:szCs w:val="21"/>
                      <w14:textFill>
                        <w14:solidFill>
                          <w14:schemeClr w14:val="tx1"/>
                        </w14:solidFill>
                      </w14:textFill>
                    </w:rPr>
                    <w:t>天平</w:t>
                  </w:r>
                </w:p>
              </w:tc>
              <w:tc>
                <w:tcPr>
                  <w:tcW w:w="829" w:type="pct"/>
                  <w:vAlign w:val="center"/>
                </w:tcPr>
                <w:p w14:paraId="5BCF949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1443" w:type="pct"/>
                  <w:vAlign w:val="center"/>
                </w:tcPr>
                <w:p w14:paraId="458514D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菁海YP2002N</w:t>
                  </w:r>
                </w:p>
              </w:tc>
              <w:tc>
                <w:tcPr>
                  <w:tcW w:w="908" w:type="pct"/>
                  <w:vMerge w:val="continue"/>
                  <w:vAlign w:val="center"/>
                </w:tcPr>
                <w:p w14:paraId="1D7D52BA">
                  <w:pPr>
                    <w:widowControl/>
                    <w:jc w:val="center"/>
                    <w:rPr>
                      <w:color w:val="000000" w:themeColor="text1"/>
                      <w:kern w:val="0"/>
                      <w:szCs w:val="21"/>
                      <w14:textFill>
                        <w14:solidFill>
                          <w14:schemeClr w14:val="tx1"/>
                        </w14:solidFill>
                      </w14:textFill>
                    </w:rPr>
                  </w:pPr>
                </w:p>
              </w:tc>
            </w:tr>
            <w:tr w14:paraId="2F9B91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Align w:val="center"/>
                </w:tcPr>
                <w:p w14:paraId="1595ECCC">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35</w:t>
                  </w:r>
                </w:p>
              </w:tc>
              <w:tc>
                <w:tcPr>
                  <w:tcW w:w="1474" w:type="pct"/>
                  <w:vAlign w:val="center"/>
                </w:tcPr>
                <w:p w14:paraId="31195C07">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 xml:space="preserve">电子分析天平 </w:t>
                  </w:r>
                </w:p>
              </w:tc>
              <w:tc>
                <w:tcPr>
                  <w:tcW w:w="829" w:type="pct"/>
                  <w:vAlign w:val="center"/>
                </w:tcPr>
                <w:p w14:paraId="3369A0E2">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443" w:type="pct"/>
                  <w:vAlign w:val="center"/>
                </w:tcPr>
                <w:p w14:paraId="4C1A235D">
                  <w:pPr>
                    <w:widowControl/>
                    <w:jc w:val="center"/>
                    <w:rPr>
                      <w:rFonts w:hint="default"/>
                      <w:color w:val="000000" w:themeColor="text1"/>
                      <w:kern w:val="0"/>
                      <w:szCs w:val="21"/>
                      <w:lang w:val="en-US"/>
                      <w14:textFill>
                        <w14:solidFill>
                          <w14:schemeClr w14:val="tx1"/>
                        </w14:solidFill>
                      </w14:textFill>
                    </w:rPr>
                  </w:pPr>
                  <w:r>
                    <w:rPr>
                      <w:rFonts w:hint="default"/>
                      <w:color w:val="000000" w:themeColor="text1"/>
                      <w:kern w:val="0"/>
                      <w:szCs w:val="21"/>
                      <w:lang w:val="en-US"/>
                      <w14:textFill>
                        <w14:solidFill>
                          <w14:schemeClr w14:val="tx1"/>
                        </w14:solidFill>
                      </w14:textFill>
                    </w:rPr>
                    <w:t>LA204E</w:t>
                  </w:r>
                </w:p>
              </w:tc>
              <w:tc>
                <w:tcPr>
                  <w:tcW w:w="908" w:type="pct"/>
                  <w:vMerge w:val="continue"/>
                  <w:vAlign w:val="center"/>
                </w:tcPr>
                <w:p w14:paraId="0E5E0726">
                  <w:pPr>
                    <w:widowControl/>
                    <w:jc w:val="center"/>
                    <w:rPr>
                      <w:color w:val="000000" w:themeColor="text1"/>
                      <w:kern w:val="0"/>
                      <w:szCs w:val="21"/>
                      <w14:textFill>
                        <w14:solidFill>
                          <w14:schemeClr w14:val="tx1"/>
                        </w14:solidFill>
                      </w14:textFill>
                    </w:rPr>
                  </w:pPr>
                </w:p>
              </w:tc>
            </w:tr>
            <w:tr w14:paraId="7BED3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Align w:val="center"/>
                </w:tcPr>
                <w:p w14:paraId="596AE895">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36</w:t>
                  </w:r>
                </w:p>
              </w:tc>
              <w:tc>
                <w:tcPr>
                  <w:tcW w:w="1474" w:type="pct"/>
                  <w:vAlign w:val="center"/>
                </w:tcPr>
                <w:p w14:paraId="756980C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PH计</w:t>
                  </w:r>
                </w:p>
              </w:tc>
              <w:tc>
                <w:tcPr>
                  <w:tcW w:w="829" w:type="pct"/>
                  <w:vAlign w:val="center"/>
                </w:tcPr>
                <w:p w14:paraId="6B7D6A2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1443" w:type="pct"/>
                  <w:vAlign w:val="center"/>
                </w:tcPr>
                <w:p w14:paraId="455DD4F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M</w:t>
                  </w:r>
                  <w:r>
                    <w:rPr>
                      <w:color w:val="000000" w:themeColor="text1"/>
                      <w:kern w:val="0"/>
                      <w:szCs w:val="21"/>
                      <w14:textFill>
                        <w14:solidFill>
                          <w14:schemeClr w14:val="tx1"/>
                        </w14:solidFill>
                      </w14:textFill>
                    </w:rPr>
                    <w:t>ettler</w:t>
                  </w:r>
                  <w:r>
                    <w:rPr>
                      <w:rFonts w:hint="eastAsia"/>
                      <w:color w:val="000000" w:themeColor="text1"/>
                      <w:kern w:val="0"/>
                      <w:szCs w:val="21"/>
                      <w14:textFill>
                        <w14:solidFill>
                          <w14:schemeClr w14:val="tx1"/>
                        </w14:solidFill>
                      </w14:textFill>
                    </w:rPr>
                    <w:t xml:space="preserve"> T</w:t>
                  </w:r>
                  <w:r>
                    <w:rPr>
                      <w:color w:val="000000" w:themeColor="text1"/>
                      <w:kern w:val="0"/>
                      <w:szCs w:val="21"/>
                      <w14:textFill>
                        <w14:solidFill>
                          <w14:schemeClr w14:val="tx1"/>
                        </w14:solidFill>
                      </w14:textFill>
                    </w:rPr>
                    <w:t>oledo</w:t>
                  </w:r>
                  <w:r>
                    <w:rPr>
                      <w:rFonts w:hint="eastAsia"/>
                      <w:color w:val="000000" w:themeColor="text1"/>
                      <w:kern w:val="0"/>
                      <w:szCs w:val="21"/>
                      <w14:textFill>
                        <w14:solidFill>
                          <w14:schemeClr w14:val="tx1"/>
                        </w14:solidFill>
                      </w14:textFill>
                    </w:rPr>
                    <w:t xml:space="preserve"> F</w:t>
                  </w:r>
                  <w:r>
                    <w:rPr>
                      <w:color w:val="000000" w:themeColor="text1"/>
                      <w:kern w:val="0"/>
                      <w:szCs w:val="21"/>
                      <w14:textFill>
                        <w14:solidFill>
                          <w14:schemeClr w14:val="tx1"/>
                        </w14:solidFill>
                      </w14:textFill>
                    </w:rPr>
                    <w:t>ive</w:t>
                  </w:r>
                  <w:r>
                    <w:rPr>
                      <w:rFonts w:hint="eastAsia"/>
                      <w:color w:val="000000" w:themeColor="text1"/>
                      <w:kern w:val="0"/>
                      <w:szCs w:val="21"/>
                      <w14:textFill>
                        <w14:solidFill>
                          <w14:schemeClr w14:val="tx1"/>
                        </w14:solidFill>
                      </w14:textFill>
                    </w:rPr>
                    <w:t xml:space="preserve"> E</w:t>
                  </w:r>
                  <w:r>
                    <w:rPr>
                      <w:color w:val="000000" w:themeColor="text1"/>
                      <w:kern w:val="0"/>
                      <w:szCs w:val="21"/>
                      <w14:textFill>
                        <w14:solidFill>
                          <w14:schemeClr w14:val="tx1"/>
                        </w14:solidFill>
                      </w14:textFill>
                    </w:rPr>
                    <w:t>asy plus</w:t>
                  </w:r>
                </w:p>
              </w:tc>
              <w:tc>
                <w:tcPr>
                  <w:tcW w:w="908" w:type="pct"/>
                  <w:vMerge w:val="continue"/>
                  <w:vAlign w:val="center"/>
                </w:tcPr>
                <w:p w14:paraId="3BC12676">
                  <w:pPr>
                    <w:widowControl/>
                    <w:jc w:val="center"/>
                    <w:rPr>
                      <w:color w:val="000000" w:themeColor="text1"/>
                      <w:kern w:val="0"/>
                      <w:szCs w:val="21"/>
                      <w14:textFill>
                        <w14:solidFill>
                          <w14:schemeClr w14:val="tx1"/>
                        </w14:solidFill>
                      </w14:textFill>
                    </w:rPr>
                  </w:pPr>
                </w:p>
              </w:tc>
            </w:tr>
            <w:tr w14:paraId="4500C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Align w:val="center"/>
                </w:tcPr>
                <w:p w14:paraId="7309B26F">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w:t>
                  </w:r>
                </w:p>
              </w:tc>
              <w:tc>
                <w:tcPr>
                  <w:tcW w:w="1474" w:type="pct"/>
                  <w:vAlign w:val="center"/>
                </w:tcPr>
                <w:p w14:paraId="7A88411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电导率仪</w:t>
                  </w:r>
                </w:p>
              </w:tc>
              <w:tc>
                <w:tcPr>
                  <w:tcW w:w="829" w:type="pct"/>
                  <w:vAlign w:val="center"/>
                </w:tcPr>
                <w:p w14:paraId="78508205">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443" w:type="pct"/>
                  <w:vAlign w:val="center"/>
                </w:tcPr>
                <w:p w14:paraId="52765A63">
                  <w:pPr>
                    <w:widowControl/>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DDS-307</w:t>
                  </w:r>
                </w:p>
              </w:tc>
              <w:tc>
                <w:tcPr>
                  <w:tcW w:w="908" w:type="pct"/>
                  <w:vMerge w:val="continue"/>
                  <w:vAlign w:val="center"/>
                </w:tcPr>
                <w:p w14:paraId="6548FD39">
                  <w:pPr>
                    <w:widowControl/>
                    <w:jc w:val="center"/>
                    <w:rPr>
                      <w:color w:val="000000" w:themeColor="text1"/>
                      <w:kern w:val="0"/>
                      <w:szCs w:val="21"/>
                      <w14:textFill>
                        <w14:solidFill>
                          <w14:schemeClr w14:val="tx1"/>
                        </w14:solidFill>
                      </w14:textFill>
                    </w:rPr>
                  </w:pPr>
                </w:p>
              </w:tc>
            </w:tr>
            <w:tr w14:paraId="478E9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Align w:val="center"/>
                </w:tcPr>
                <w:p w14:paraId="14763F03">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38</w:t>
                  </w:r>
                </w:p>
              </w:tc>
              <w:tc>
                <w:tcPr>
                  <w:tcW w:w="1474" w:type="pct"/>
                  <w:vAlign w:val="center"/>
                </w:tcPr>
                <w:p w14:paraId="642FA04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水分测定仪</w:t>
                  </w:r>
                </w:p>
              </w:tc>
              <w:tc>
                <w:tcPr>
                  <w:tcW w:w="829" w:type="pct"/>
                  <w:vAlign w:val="center"/>
                </w:tcPr>
                <w:p w14:paraId="72D99DB9">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443" w:type="pct"/>
                  <w:vAlign w:val="center"/>
                </w:tcPr>
                <w:p w14:paraId="437FE218">
                  <w:pPr>
                    <w:widowControl/>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DSH-10A</w:t>
                  </w:r>
                </w:p>
              </w:tc>
              <w:tc>
                <w:tcPr>
                  <w:tcW w:w="908" w:type="pct"/>
                  <w:vMerge w:val="continue"/>
                  <w:vAlign w:val="center"/>
                </w:tcPr>
                <w:p w14:paraId="6FD25928">
                  <w:pPr>
                    <w:widowControl/>
                    <w:jc w:val="center"/>
                    <w:rPr>
                      <w:color w:val="000000" w:themeColor="text1"/>
                      <w:kern w:val="0"/>
                      <w:szCs w:val="21"/>
                      <w14:textFill>
                        <w14:solidFill>
                          <w14:schemeClr w14:val="tx1"/>
                        </w14:solidFill>
                      </w14:textFill>
                    </w:rPr>
                  </w:pPr>
                </w:p>
              </w:tc>
            </w:tr>
            <w:tr w14:paraId="570F6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Align w:val="center"/>
                </w:tcPr>
                <w:p w14:paraId="3585C915">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39</w:t>
                  </w:r>
                </w:p>
              </w:tc>
              <w:tc>
                <w:tcPr>
                  <w:tcW w:w="1474" w:type="pct"/>
                  <w:vAlign w:val="center"/>
                </w:tcPr>
                <w:p w14:paraId="1288C037">
                  <w:pPr>
                    <w:widowControl/>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暗箱紫外分析仪</w:t>
                  </w:r>
                </w:p>
              </w:tc>
              <w:tc>
                <w:tcPr>
                  <w:tcW w:w="829" w:type="pct"/>
                  <w:vAlign w:val="center"/>
                </w:tcPr>
                <w:p w14:paraId="28565D71">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443" w:type="pct"/>
                  <w:vAlign w:val="center"/>
                </w:tcPr>
                <w:p w14:paraId="69D37BAB">
                  <w:pPr>
                    <w:widowControl/>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WFH203B</w:t>
                  </w:r>
                </w:p>
              </w:tc>
              <w:tc>
                <w:tcPr>
                  <w:tcW w:w="908" w:type="pct"/>
                  <w:vMerge w:val="continue"/>
                  <w:vAlign w:val="center"/>
                </w:tcPr>
                <w:p w14:paraId="6A3EC5BD">
                  <w:pPr>
                    <w:widowControl/>
                    <w:jc w:val="center"/>
                    <w:rPr>
                      <w:color w:val="000000" w:themeColor="text1"/>
                      <w:kern w:val="0"/>
                      <w:szCs w:val="21"/>
                      <w14:textFill>
                        <w14:solidFill>
                          <w14:schemeClr w14:val="tx1"/>
                        </w14:solidFill>
                      </w14:textFill>
                    </w:rPr>
                  </w:pPr>
                </w:p>
              </w:tc>
            </w:tr>
            <w:tr w14:paraId="026B7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Align w:val="center"/>
                </w:tcPr>
                <w:p w14:paraId="5794F86C">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40</w:t>
                  </w:r>
                </w:p>
              </w:tc>
              <w:tc>
                <w:tcPr>
                  <w:tcW w:w="1474" w:type="pct"/>
                  <w:vAlign w:val="center"/>
                </w:tcPr>
                <w:p w14:paraId="090B22BA">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高效液相色谱仪</w:t>
                  </w:r>
                </w:p>
              </w:tc>
              <w:tc>
                <w:tcPr>
                  <w:tcW w:w="829" w:type="pct"/>
                  <w:vAlign w:val="center"/>
                </w:tcPr>
                <w:p w14:paraId="0B3FE4B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1443" w:type="pct"/>
                  <w:shd w:val="clear" w:color="000000" w:fill="auto"/>
                  <w:vAlign w:val="center"/>
                </w:tcPr>
                <w:p w14:paraId="2D36A56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Shimadzu LC-20A</w:t>
                  </w:r>
                </w:p>
              </w:tc>
              <w:tc>
                <w:tcPr>
                  <w:tcW w:w="908" w:type="pct"/>
                  <w:vMerge w:val="continue"/>
                  <w:vAlign w:val="center"/>
                </w:tcPr>
                <w:p w14:paraId="24739D6F">
                  <w:pPr>
                    <w:widowControl/>
                    <w:jc w:val="center"/>
                    <w:rPr>
                      <w:color w:val="000000" w:themeColor="text1"/>
                      <w:kern w:val="0"/>
                      <w:szCs w:val="21"/>
                      <w14:textFill>
                        <w14:solidFill>
                          <w14:schemeClr w14:val="tx1"/>
                        </w14:solidFill>
                      </w14:textFill>
                    </w:rPr>
                  </w:pPr>
                </w:p>
              </w:tc>
            </w:tr>
            <w:tr w14:paraId="1C152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Align w:val="center"/>
                </w:tcPr>
                <w:p w14:paraId="6FA74789">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41</w:t>
                  </w:r>
                </w:p>
              </w:tc>
              <w:tc>
                <w:tcPr>
                  <w:tcW w:w="1474" w:type="pct"/>
                  <w:vAlign w:val="center"/>
                </w:tcPr>
                <w:p w14:paraId="7F70367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冷水机</w:t>
                  </w:r>
                </w:p>
              </w:tc>
              <w:tc>
                <w:tcPr>
                  <w:tcW w:w="829" w:type="pct"/>
                  <w:vAlign w:val="center"/>
                </w:tcPr>
                <w:p w14:paraId="0EE7B44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shd w:val="clear" w:color="000000" w:fill="auto"/>
                  <w:vAlign w:val="center"/>
                </w:tcPr>
                <w:p w14:paraId="69FBD14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同洲维普 AC1600</w:t>
                  </w:r>
                </w:p>
              </w:tc>
              <w:tc>
                <w:tcPr>
                  <w:tcW w:w="908" w:type="pct"/>
                  <w:vMerge w:val="restart"/>
                  <w:vAlign w:val="center"/>
                </w:tcPr>
                <w:p w14:paraId="7C9931B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公辅设施</w:t>
                  </w:r>
                </w:p>
              </w:tc>
            </w:tr>
            <w:tr w14:paraId="678A8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Align w:val="center"/>
                </w:tcPr>
                <w:p w14:paraId="7539FB9B">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42</w:t>
                  </w:r>
                </w:p>
              </w:tc>
              <w:tc>
                <w:tcPr>
                  <w:tcW w:w="1474" w:type="pct"/>
                  <w:vAlign w:val="center"/>
                </w:tcPr>
                <w:p w14:paraId="3F6B35B4">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制冰机</w:t>
                  </w:r>
                </w:p>
              </w:tc>
              <w:tc>
                <w:tcPr>
                  <w:tcW w:w="829" w:type="pct"/>
                  <w:vAlign w:val="center"/>
                </w:tcPr>
                <w:p w14:paraId="06B4F8CC">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443" w:type="pct"/>
                  <w:shd w:val="clear" w:color="000000" w:fill="auto"/>
                  <w:vAlign w:val="center"/>
                </w:tcPr>
                <w:p w14:paraId="3A5DCBF0">
                  <w:pPr>
                    <w:widowControl/>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YM-12F</w:t>
                  </w:r>
                </w:p>
              </w:tc>
              <w:tc>
                <w:tcPr>
                  <w:tcW w:w="908" w:type="pct"/>
                  <w:vMerge w:val="continue"/>
                  <w:vAlign w:val="center"/>
                </w:tcPr>
                <w:p w14:paraId="6DF7DC4C">
                  <w:pPr>
                    <w:widowControl/>
                    <w:jc w:val="center"/>
                    <w:rPr>
                      <w:rFonts w:hint="eastAsia"/>
                      <w:color w:val="000000" w:themeColor="text1"/>
                      <w:kern w:val="0"/>
                      <w:szCs w:val="21"/>
                      <w14:textFill>
                        <w14:solidFill>
                          <w14:schemeClr w14:val="tx1"/>
                        </w14:solidFill>
                      </w14:textFill>
                    </w:rPr>
                  </w:pPr>
                </w:p>
              </w:tc>
            </w:tr>
            <w:tr w14:paraId="550DE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Align w:val="center"/>
                </w:tcPr>
                <w:p w14:paraId="6F40D577">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43</w:t>
                  </w:r>
                </w:p>
              </w:tc>
              <w:tc>
                <w:tcPr>
                  <w:tcW w:w="1474" w:type="pct"/>
                  <w:vAlign w:val="center"/>
                </w:tcPr>
                <w:p w14:paraId="637BCA6B">
                  <w:pPr>
                    <w:widowControl/>
                    <w:tabs>
                      <w:tab w:val="left" w:pos="678"/>
                      <w:tab w:val="center" w:pos="1320"/>
                    </w:tabs>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纯水机</w:t>
                  </w:r>
                </w:p>
              </w:tc>
              <w:tc>
                <w:tcPr>
                  <w:tcW w:w="829" w:type="pct"/>
                  <w:vAlign w:val="center"/>
                </w:tcPr>
                <w:p w14:paraId="5B76C464">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443" w:type="pct"/>
                  <w:shd w:val="clear" w:color="000000" w:fill="auto"/>
                  <w:vAlign w:val="center"/>
                </w:tcPr>
                <w:p w14:paraId="2EE6BE26">
                  <w:pPr>
                    <w:widowControl/>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UPTA-10</w:t>
                  </w:r>
                </w:p>
              </w:tc>
              <w:tc>
                <w:tcPr>
                  <w:tcW w:w="908" w:type="pct"/>
                  <w:vMerge w:val="continue"/>
                  <w:vAlign w:val="center"/>
                </w:tcPr>
                <w:p w14:paraId="76D1D086">
                  <w:pPr>
                    <w:widowControl/>
                    <w:jc w:val="center"/>
                    <w:rPr>
                      <w:rFonts w:hint="eastAsia"/>
                      <w:color w:val="000000" w:themeColor="text1"/>
                      <w:kern w:val="0"/>
                      <w:szCs w:val="21"/>
                      <w14:textFill>
                        <w14:solidFill>
                          <w14:schemeClr w14:val="tx1"/>
                        </w14:solidFill>
                      </w14:textFill>
                    </w:rPr>
                  </w:pPr>
                </w:p>
              </w:tc>
            </w:tr>
            <w:tr w14:paraId="2A122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Align w:val="center"/>
                </w:tcPr>
                <w:p w14:paraId="0A0CF4AF">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44</w:t>
                  </w:r>
                </w:p>
              </w:tc>
              <w:tc>
                <w:tcPr>
                  <w:tcW w:w="1474" w:type="pct"/>
                  <w:vAlign w:val="center"/>
                </w:tcPr>
                <w:p w14:paraId="6AB5C491">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超低温冰箱</w:t>
                  </w:r>
                </w:p>
              </w:tc>
              <w:tc>
                <w:tcPr>
                  <w:tcW w:w="829" w:type="pct"/>
                  <w:vAlign w:val="center"/>
                </w:tcPr>
                <w:p w14:paraId="07395B65">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443" w:type="pct"/>
                  <w:shd w:val="clear" w:color="000000" w:fill="auto"/>
                  <w:vAlign w:val="center"/>
                </w:tcPr>
                <w:p w14:paraId="445C36F4">
                  <w:pPr>
                    <w:widowControl/>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MDF-U33A</w:t>
                  </w:r>
                </w:p>
              </w:tc>
              <w:tc>
                <w:tcPr>
                  <w:tcW w:w="908" w:type="pct"/>
                  <w:vMerge w:val="continue"/>
                  <w:vAlign w:val="center"/>
                </w:tcPr>
                <w:p w14:paraId="30FA01A0">
                  <w:pPr>
                    <w:widowControl/>
                    <w:jc w:val="center"/>
                    <w:rPr>
                      <w:rFonts w:hint="eastAsia"/>
                      <w:color w:val="000000" w:themeColor="text1"/>
                      <w:kern w:val="0"/>
                      <w:szCs w:val="21"/>
                      <w14:textFill>
                        <w14:solidFill>
                          <w14:schemeClr w14:val="tx1"/>
                        </w14:solidFill>
                      </w14:textFill>
                    </w:rPr>
                  </w:pPr>
                </w:p>
              </w:tc>
            </w:tr>
            <w:tr w14:paraId="3B098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Align w:val="center"/>
                </w:tcPr>
                <w:p w14:paraId="71E8E7A2">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45</w:t>
                  </w:r>
                </w:p>
              </w:tc>
              <w:tc>
                <w:tcPr>
                  <w:tcW w:w="1474" w:type="pct"/>
                  <w:vAlign w:val="center"/>
                </w:tcPr>
                <w:p w14:paraId="0F0B2B6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冰箱</w:t>
                  </w:r>
                </w:p>
              </w:tc>
              <w:tc>
                <w:tcPr>
                  <w:tcW w:w="829" w:type="pct"/>
                  <w:vAlign w:val="center"/>
                </w:tcPr>
                <w:p w14:paraId="3A8C406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1443" w:type="pct"/>
                  <w:vAlign w:val="center"/>
                </w:tcPr>
                <w:p w14:paraId="31901F5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美的华凌 HR-426WSP</w:t>
                  </w:r>
                </w:p>
              </w:tc>
              <w:tc>
                <w:tcPr>
                  <w:tcW w:w="908" w:type="pct"/>
                  <w:vMerge w:val="continue"/>
                  <w:vAlign w:val="center"/>
                </w:tcPr>
                <w:p w14:paraId="010F179D">
                  <w:pPr>
                    <w:widowControl/>
                    <w:jc w:val="center"/>
                    <w:rPr>
                      <w:color w:val="000000" w:themeColor="text1"/>
                      <w:kern w:val="0"/>
                      <w:szCs w:val="21"/>
                      <w14:textFill>
                        <w14:solidFill>
                          <w14:schemeClr w14:val="tx1"/>
                        </w14:solidFill>
                      </w14:textFill>
                    </w:rPr>
                  </w:pPr>
                </w:p>
              </w:tc>
            </w:tr>
            <w:tr w14:paraId="0358C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Align w:val="center"/>
                </w:tcPr>
                <w:p w14:paraId="78B40007">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46</w:t>
                  </w:r>
                </w:p>
              </w:tc>
              <w:tc>
                <w:tcPr>
                  <w:tcW w:w="1474" w:type="pct"/>
                  <w:vAlign w:val="center"/>
                </w:tcPr>
                <w:p w14:paraId="2C720F2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-20℃冰箱</w:t>
                  </w:r>
                </w:p>
              </w:tc>
              <w:tc>
                <w:tcPr>
                  <w:tcW w:w="829" w:type="pct"/>
                  <w:vAlign w:val="center"/>
                </w:tcPr>
                <w:p w14:paraId="2EBBC8F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vAlign w:val="center"/>
                </w:tcPr>
                <w:p w14:paraId="751AAE3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Haier BC/BD-519GHPT</w:t>
                  </w:r>
                </w:p>
              </w:tc>
              <w:tc>
                <w:tcPr>
                  <w:tcW w:w="908" w:type="pct"/>
                  <w:vMerge w:val="continue"/>
                  <w:vAlign w:val="center"/>
                </w:tcPr>
                <w:p w14:paraId="1B9A23B6">
                  <w:pPr>
                    <w:widowControl/>
                    <w:jc w:val="center"/>
                    <w:rPr>
                      <w:color w:val="000000" w:themeColor="text1"/>
                      <w:kern w:val="0"/>
                      <w:szCs w:val="21"/>
                      <w14:textFill>
                        <w14:solidFill>
                          <w14:schemeClr w14:val="tx1"/>
                        </w14:solidFill>
                      </w14:textFill>
                    </w:rPr>
                  </w:pPr>
                </w:p>
              </w:tc>
            </w:tr>
            <w:tr w14:paraId="187FF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Align w:val="center"/>
                </w:tcPr>
                <w:p w14:paraId="008C1A14">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47</w:t>
                  </w:r>
                </w:p>
              </w:tc>
              <w:tc>
                <w:tcPr>
                  <w:tcW w:w="1474" w:type="pct"/>
                  <w:vAlign w:val="center"/>
                </w:tcPr>
                <w:p w14:paraId="19D128A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超声波清洗</w:t>
                  </w:r>
                  <w:r>
                    <w:rPr>
                      <w:rFonts w:hint="eastAsia"/>
                      <w:color w:val="000000" w:themeColor="text1"/>
                      <w:kern w:val="0"/>
                      <w:szCs w:val="21"/>
                      <w14:textFill>
                        <w14:solidFill>
                          <w14:schemeClr w14:val="tx1"/>
                        </w14:solidFill>
                      </w14:textFill>
                    </w:rPr>
                    <w:t>机</w:t>
                  </w:r>
                </w:p>
              </w:tc>
              <w:tc>
                <w:tcPr>
                  <w:tcW w:w="829" w:type="pct"/>
                  <w:vAlign w:val="center"/>
                </w:tcPr>
                <w:p w14:paraId="0810D7F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vAlign w:val="center"/>
                </w:tcPr>
                <w:p w14:paraId="093A39E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LICHEN LC-UC-300</w:t>
                  </w:r>
                </w:p>
              </w:tc>
              <w:tc>
                <w:tcPr>
                  <w:tcW w:w="908" w:type="pct"/>
                  <w:vMerge w:val="continue"/>
                  <w:vAlign w:val="center"/>
                </w:tcPr>
                <w:p w14:paraId="19CAEA02">
                  <w:pPr>
                    <w:widowControl/>
                    <w:jc w:val="center"/>
                    <w:rPr>
                      <w:color w:val="000000" w:themeColor="text1"/>
                      <w:kern w:val="0"/>
                      <w:szCs w:val="21"/>
                      <w14:textFill>
                        <w14:solidFill>
                          <w14:schemeClr w14:val="tx1"/>
                        </w14:solidFill>
                      </w14:textFill>
                    </w:rPr>
                  </w:pPr>
                </w:p>
              </w:tc>
            </w:tr>
            <w:tr w14:paraId="190EC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Align w:val="center"/>
                </w:tcPr>
                <w:p w14:paraId="1B9F6A08">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48</w:t>
                  </w:r>
                </w:p>
              </w:tc>
              <w:tc>
                <w:tcPr>
                  <w:tcW w:w="1474" w:type="pct"/>
                  <w:vAlign w:val="center"/>
                </w:tcPr>
                <w:p w14:paraId="7FC96966">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空气压缩机</w:t>
                  </w:r>
                </w:p>
              </w:tc>
              <w:tc>
                <w:tcPr>
                  <w:tcW w:w="829" w:type="pct"/>
                  <w:vAlign w:val="center"/>
                </w:tcPr>
                <w:p w14:paraId="315139A3">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443" w:type="pct"/>
                  <w:vAlign w:val="center"/>
                </w:tcPr>
                <w:p w14:paraId="3E3E82A1">
                  <w:pPr>
                    <w:widowControl/>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SSR UP5-15</w:t>
                  </w:r>
                </w:p>
              </w:tc>
              <w:tc>
                <w:tcPr>
                  <w:tcW w:w="908" w:type="pct"/>
                  <w:vMerge w:val="continue"/>
                  <w:vAlign w:val="center"/>
                </w:tcPr>
                <w:p w14:paraId="1CC3DF0A">
                  <w:pPr>
                    <w:widowControl/>
                    <w:jc w:val="center"/>
                    <w:rPr>
                      <w:color w:val="000000" w:themeColor="text1"/>
                      <w:kern w:val="0"/>
                      <w:szCs w:val="21"/>
                      <w14:textFill>
                        <w14:solidFill>
                          <w14:schemeClr w14:val="tx1"/>
                        </w14:solidFill>
                      </w14:textFill>
                    </w:rPr>
                  </w:pPr>
                </w:p>
              </w:tc>
            </w:tr>
            <w:tr w14:paraId="4D7BD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Align w:val="center"/>
                </w:tcPr>
                <w:p w14:paraId="01222F2B">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49</w:t>
                  </w:r>
                </w:p>
              </w:tc>
              <w:tc>
                <w:tcPr>
                  <w:tcW w:w="1474" w:type="pct"/>
                  <w:vAlign w:val="center"/>
                </w:tcPr>
                <w:p w14:paraId="177829F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超净</w:t>
                  </w:r>
                  <w:r>
                    <w:rPr>
                      <w:rFonts w:hint="eastAsia"/>
                      <w:color w:val="000000" w:themeColor="text1"/>
                      <w:kern w:val="0"/>
                      <w:szCs w:val="21"/>
                      <w14:textFill>
                        <w14:solidFill>
                          <w14:schemeClr w14:val="tx1"/>
                        </w14:solidFill>
                      </w14:textFill>
                    </w:rPr>
                    <w:t>工作</w:t>
                  </w:r>
                  <w:r>
                    <w:rPr>
                      <w:color w:val="000000" w:themeColor="text1"/>
                      <w:kern w:val="0"/>
                      <w:szCs w:val="21"/>
                      <w14:textFill>
                        <w14:solidFill>
                          <w14:schemeClr w14:val="tx1"/>
                        </w14:solidFill>
                      </w14:textFill>
                    </w:rPr>
                    <w:t>台</w:t>
                  </w:r>
                </w:p>
              </w:tc>
              <w:tc>
                <w:tcPr>
                  <w:tcW w:w="829" w:type="pct"/>
                  <w:vAlign w:val="center"/>
                </w:tcPr>
                <w:p w14:paraId="77EF112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43" w:type="pct"/>
                  <w:vAlign w:val="center"/>
                </w:tcPr>
                <w:p w14:paraId="2971209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Erlab</w:t>
                  </w:r>
                  <w:r>
                    <w:rPr>
                      <w:rFonts w:hint="eastAsia"/>
                      <w:color w:val="000000" w:themeColor="text1"/>
                      <w:kern w:val="0"/>
                      <w:szCs w:val="21"/>
                      <w14:textFill>
                        <w14:solidFill>
                          <w14:schemeClr w14:val="tx1"/>
                        </w14:solidFill>
                      </w14:textFill>
                    </w:rPr>
                    <w:t xml:space="preserve"> Flow 483 Smart</w:t>
                  </w:r>
                </w:p>
              </w:tc>
              <w:tc>
                <w:tcPr>
                  <w:tcW w:w="908" w:type="pct"/>
                  <w:vMerge w:val="continue"/>
                  <w:vAlign w:val="center"/>
                </w:tcPr>
                <w:p w14:paraId="73FD0A2A">
                  <w:pPr>
                    <w:widowControl/>
                    <w:jc w:val="center"/>
                    <w:rPr>
                      <w:color w:val="000000" w:themeColor="text1"/>
                      <w:kern w:val="0"/>
                      <w:szCs w:val="21"/>
                      <w14:textFill>
                        <w14:solidFill>
                          <w14:schemeClr w14:val="tx1"/>
                        </w14:solidFill>
                      </w14:textFill>
                    </w:rPr>
                  </w:pPr>
                </w:p>
              </w:tc>
            </w:tr>
          </w:tbl>
          <w:p w14:paraId="225AE758">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7</w:t>
            </w:r>
            <w:r>
              <w:rPr>
                <w:b/>
                <w:bCs/>
                <w:color w:val="000000" w:themeColor="text1"/>
                <w:kern w:val="0"/>
                <w:sz w:val="24"/>
                <w14:textFill>
                  <w14:solidFill>
                    <w14:schemeClr w14:val="tx1"/>
                  </w14:solidFill>
                </w14:textFill>
              </w:rPr>
              <w:t>、主要原辅材料</w:t>
            </w:r>
          </w:p>
          <w:p w14:paraId="1469D8DD">
            <w:pPr>
              <w:tabs>
                <w:tab w:val="left" w:pos="2127"/>
                <w:tab w:val="center" w:pos="4452"/>
                <w:tab w:val="right" w:pos="8246"/>
              </w:tabs>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14:textFill>
                  <w14:solidFill>
                    <w14:schemeClr w14:val="tx1"/>
                  </w14:solidFill>
                </w14:textFill>
              </w:rPr>
              <w:t xml:space="preserve">5 </w:t>
            </w:r>
            <w:r>
              <w:rPr>
                <w:b/>
                <w:color w:val="000000" w:themeColor="text1"/>
                <w:szCs w:val="21"/>
                <w14:textFill>
                  <w14:solidFill>
                    <w14:schemeClr w14:val="tx1"/>
                  </w14:solidFill>
                </w14:textFill>
              </w:rPr>
              <w:t>本项目原辅料一览表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31"/>
              <w:gridCol w:w="1578"/>
              <w:gridCol w:w="2572"/>
              <w:gridCol w:w="857"/>
              <w:gridCol w:w="769"/>
              <w:gridCol w:w="1061"/>
              <w:gridCol w:w="816"/>
              <w:gridCol w:w="641"/>
              <w:gridCol w:w="660"/>
            </w:tblGrid>
            <w:tr w14:paraId="05908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6" w:hRule="atLeast"/>
                <w:tblHeader/>
                <w:jc w:val="center"/>
              </w:trPr>
              <w:tc>
                <w:tcPr>
                  <w:tcW w:w="178" w:type="pct"/>
                  <w:tcBorders>
                    <w:tl2br w:val="nil"/>
                    <w:tr2bl w:val="nil"/>
                  </w:tcBorders>
                  <w:vAlign w:val="center"/>
                </w:tcPr>
                <w:p w14:paraId="3BB14B1C">
                  <w:pPr>
                    <w:widowControl/>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序号</w:t>
                  </w:r>
                </w:p>
              </w:tc>
              <w:tc>
                <w:tcPr>
                  <w:tcW w:w="849" w:type="pct"/>
                  <w:tcBorders>
                    <w:tl2br w:val="nil"/>
                    <w:tr2bl w:val="nil"/>
                  </w:tcBorders>
                  <w:vAlign w:val="center"/>
                </w:tcPr>
                <w:p w14:paraId="1B9B4D30">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名称</w:t>
                  </w:r>
                </w:p>
              </w:tc>
              <w:tc>
                <w:tcPr>
                  <w:tcW w:w="1384" w:type="pct"/>
                  <w:tcBorders>
                    <w:tl2br w:val="nil"/>
                    <w:tr2bl w:val="nil"/>
                  </w:tcBorders>
                  <w:vAlign w:val="center"/>
                </w:tcPr>
                <w:p w14:paraId="2FECE003">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成分、含量</w:t>
                  </w:r>
                </w:p>
              </w:tc>
              <w:tc>
                <w:tcPr>
                  <w:tcW w:w="461" w:type="pct"/>
                  <w:tcBorders>
                    <w:tl2br w:val="nil"/>
                    <w:tr2bl w:val="nil"/>
                  </w:tcBorders>
                  <w:vAlign w:val="center"/>
                </w:tcPr>
                <w:p w14:paraId="2D5AA80F">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年耗量</w:t>
                  </w:r>
                </w:p>
              </w:tc>
              <w:tc>
                <w:tcPr>
                  <w:tcW w:w="414" w:type="pct"/>
                  <w:tcBorders>
                    <w:tl2br w:val="nil"/>
                    <w:tr2bl w:val="nil"/>
                  </w:tcBorders>
                  <w:vAlign w:val="center"/>
                </w:tcPr>
                <w:p w14:paraId="09EE208B">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最大储量</w:t>
                  </w:r>
                </w:p>
              </w:tc>
              <w:tc>
                <w:tcPr>
                  <w:tcW w:w="571" w:type="pct"/>
                  <w:tcBorders>
                    <w:tl2br w:val="nil"/>
                    <w:tr2bl w:val="nil"/>
                  </w:tcBorders>
                  <w:vAlign w:val="center"/>
                </w:tcPr>
                <w:p w14:paraId="0F6326DA">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包装规格</w:t>
                  </w:r>
                </w:p>
              </w:tc>
              <w:tc>
                <w:tcPr>
                  <w:tcW w:w="439" w:type="pct"/>
                  <w:tcBorders>
                    <w:tl2br w:val="nil"/>
                    <w:tr2bl w:val="nil"/>
                  </w:tcBorders>
                  <w:vAlign w:val="center"/>
                </w:tcPr>
                <w:p w14:paraId="69D62F11">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存储位置</w:t>
                  </w:r>
                </w:p>
              </w:tc>
              <w:tc>
                <w:tcPr>
                  <w:tcW w:w="345" w:type="pct"/>
                  <w:tcBorders>
                    <w:tl2br w:val="nil"/>
                    <w:tr2bl w:val="nil"/>
                  </w:tcBorders>
                  <w:vAlign w:val="center"/>
                </w:tcPr>
                <w:p w14:paraId="58D89004">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来源及运输</w:t>
                  </w:r>
                </w:p>
              </w:tc>
              <w:tc>
                <w:tcPr>
                  <w:tcW w:w="355" w:type="pct"/>
                  <w:tcBorders>
                    <w:tl2br w:val="nil"/>
                    <w:tr2bl w:val="nil"/>
                  </w:tcBorders>
                  <w:vAlign w:val="center"/>
                </w:tcPr>
                <w:p w14:paraId="0719D86D">
                  <w:pPr>
                    <w:widowControl/>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用途</w:t>
                  </w:r>
                </w:p>
              </w:tc>
            </w:tr>
            <w:tr w14:paraId="4BB60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178" w:type="pct"/>
                  <w:tcBorders>
                    <w:tl2br w:val="nil"/>
                    <w:tr2bl w:val="nil"/>
                  </w:tcBorders>
                  <w:vAlign w:val="center"/>
                </w:tcPr>
                <w:p w14:paraId="13C2E6EE">
                  <w:pPr>
                    <w:widowControl/>
                    <w:jc w:val="center"/>
                    <w:rPr>
                      <w:color w:val="000000" w:themeColor="text1"/>
                      <w:kern w:val="0"/>
                      <w:szCs w:val="21"/>
                      <w14:textFill>
                        <w14:solidFill>
                          <w14:schemeClr w14:val="tx1"/>
                        </w14:solidFill>
                      </w14:textFill>
                    </w:rPr>
                  </w:pPr>
                  <w:bookmarkStart w:id="13" w:name="OLE_LINK9" w:colFirst="0" w:colLast="2"/>
                  <w:r>
                    <w:rPr>
                      <w:color w:val="000000" w:themeColor="text1"/>
                      <w:kern w:val="0"/>
                      <w:szCs w:val="21"/>
                      <w14:textFill>
                        <w14:solidFill>
                          <w14:schemeClr w14:val="tx1"/>
                        </w14:solidFill>
                      </w14:textFill>
                    </w:rPr>
                    <w:t>1</w:t>
                  </w:r>
                </w:p>
              </w:tc>
              <w:tc>
                <w:tcPr>
                  <w:tcW w:w="849" w:type="pct"/>
                  <w:tcBorders>
                    <w:tl2br w:val="nil"/>
                    <w:tr2bl w:val="nil"/>
                  </w:tcBorders>
                  <w:vAlign w:val="center"/>
                </w:tcPr>
                <w:p w14:paraId="3721FD3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PCR扩增试剂</w:t>
                  </w:r>
                </w:p>
              </w:tc>
              <w:tc>
                <w:tcPr>
                  <w:tcW w:w="1384" w:type="pct"/>
                  <w:tcBorders>
                    <w:tl2br w:val="nil"/>
                    <w:tr2bl w:val="nil"/>
                  </w:tcBorders>
                  <w:vAlign w:val="center"/>
                </w:tcPr>
                <w:p w14:paraId="2DFD29F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引物、dNTP等</w:t>
                  </w:r>
                </w:p>
              </w:tc>
              <w:tc>
                <w:tcPr>
                  <w:tcW w:w="461" w:type="pct"/>
                  <w:tcBorders>
                    <w:tl2br w:val="nil"/>
                    <w:tr2bl w:val="nil"/>
                  </w:tcBorders>
                  <w:vAlign w:val="center"/>
                </w:tcPr>
                <w:p w14:paraId="6440890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5000个</w:t>
                  </w:r>
                </w:p>
              </w:tc>
              <w:tc>
                <w:tcPr>
                  <w:tcW w:w="414" w:type="pct"/>
                  <w:tcBorders>
                    <w:tl2br w:val="nil"/>
                    <w:tr2bl w:val="nil"/>
                  </w:tcBorders>
                  <w:vAlign w:val="center"/>
                </w:tcPr>
                <w:p w14:paraId="1AD6B62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500个</w:t>
                  </w:r>
                </w:p>
              </w:tc>
              <w:tc>
                <w:tcPr>
                  <w:tcW w:w="571" w:type="pct"/>
                  <w:tcBorders>
                    <w:tl2br w:val="nil"/>
                    <w:tr2bl w:val="nil"/>
                  </w:tcBorders>
                  <w:vAlign w:val="center"/>
                </w:tcPr>
                <w:p w14:paraId="3A15D3E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N/A</w:t>
                  </w:r>
                </w:p>
              </w:tc>
              <w:tc>
                <w:tcPr>
                  <w:tcW w:w="439" w:type="pct"/>
                  <w:tcBorders>
                    <w:tl2br w:val="nil"/>
                    <w:tr2bl w:val="nil"/>
                  </w:tcBorders>
                  <w:vAlign w:val="center"/>
                </w:tcPr>
                <w:p w14:paraId="726E019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冰箱</w:t>
                  </w:r>
                </w:p>
              </w:tc>
              <w:tc>
                <w:tcPr>
                  <w:tcW w:w="345" w:type="pct"/>
                  <w:vMerge w:val="restart"/>
                  <w:tcBorders>
                    <w:tl2br w:val="nil"/>
                    <w:tr2bl w:val="nil"/>
                  </w:tcBorders>
                  <w:vAlign w:val="center"/>
                </w:tcPr>
                <w:p w14:paraId="013F765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外购、汽运</w:t>
                  </w:r>
                </w:p>
              </w:tc>
              <w:tc>
                <w:tcPr>
                  <w:tcW w:w="355" w:type="pct"/>
                  <w:vMerge w:val="restart"/>
                  <w:tcBorders>
                    <w:tl2br w:val="nil"/>
                    <w:tr2bl w:val="nil"/>
                  </w:tcBorders>
                  <w:vAlign w:val="center"/>
                </w:tcPr>
                <w:p w14:paraId="7AACA15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菌种构建</w:t>
                  </w:r>
                </w:p>
              </w:tc>
            </w:tr>
            <w:tr w14:paraId="272B4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178" w:type="pct"/>
                  <w:tcBorders>
                    <w:tl2br w:val="nil"/>
                    <w:tr2bl w:val="nil"/>
                  </w:tcBorders>
                  <w:vAlign w:val="center"/>
                </w:tcPr>
                <w:p w14:paraId="206A963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849" w:type="pct"/>
                  <w:tcBorders>
                    <w:tl2br w:val="nil"/>
                    <w:tr2bl w:val="nil"/>
                  </w:tcBorders>
                  <w:vAlign w:val="center"/>
                </w:tcPr>
                <w:p w14:paraId="3411DCC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胶回收试剂盒</w:t>
                  </w:r>
                </w:p>
              </w:tc>
              <w:tc>
                <w:tcPr>
                  <w:tcW w:w="1384" w:type="pct"/>
                  <w:tcBorders>
                    <w:tl2br w:val="nil"/>
                    <w:tr2bl w:val="nil"/>
                  </w:tcBorders>
                  <w:vAlign w:val="center"/>
                </w:tcPr>
                <w:p w14:paraId="2C4F907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GuHCl、TE缓冲液等</w:t>
                  </w:r>
                </w:p>
              </w:tc>
              <w:tc>
                <w:tcPr>
                  <w:tcW w:w="461" w:type="pct"/>
                  <w:tcBorders>
                    <w:tl2br w:val="nil"/>
                    <w:tr2bl w:val="nil"/>
                  </w:tcBorders>
                  <w:vAlign w:val="center"/>
                </w:tcPr>
                <w:p w14:paraId="0366EF3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20盒</w:t>
                  </w:r>
                </w:p>
              </w:tc>
              <w:tc>
                <w:tcPr>
                  <w:tcW w:w="414" w:type="pct"/>
                  <w:tcBorders>
                    <w:tl2br w:val="nil"/>
                    <w:tr2bl w:val="nil"/>
                  </w:tcBorders>
                  <w:vAlign w:val="center"/>
                </w:tcPr>
                <w:p w14:paraId="1EF3E8B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2盒</w:t>
                  </w:r>
                </w:p>
              </w:tc>
              <w:tc>
                <w:tcPr>
                  <w:tcW w:w="571" w:type="pct"/>
                  <w:tcBorders>
                    <w:tl2br w:val="nil"/>
                    <w:tr2bl w:val="nil"/>
                  </w:tcBorders>
                  <w:vAlign w:val="center"/>
                </w:tcPr>
                <w:p w14:paraId="0E33CF9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200次/盒</w:t>
                  </w:r>
                </w:p>
              </w:tc>
              <w:tc>
                <w:tcPr>
                  <w:tcW w:w="439" w:type="pct"/>
                  <w:tcBorders>
                    <w:tl2br w:val="nil"/>
                    <w:tr2bl w:val="nil"/>
                  </w:tcBorders>
                  <w:vAlign w:val="center"/>
                </w:tcPr>
                <w:p w14:paraId="74AF60D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冰箱</w:t>
                  </w:r>
                </w:p>
              </w:tc>
              <w:tc>
                <w:tcPr>
                  <w:tcW w:w="345" w:type="pct"/>
                  <w:vMerge w:val="continue"/>
                  <w:tcBorders>
                    <w:tl2br w:val="nil"/>
                    <w:tr2bl w:val="nil"/>
                  </w:tcBorders>
                  <w:vAlign w:val="center"/>
                </w:tcPr>
                <w:p w14:paraId="07221C07">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4299F3D0">
                  <w:pPr>
                    <w:widowControl/>
                    <w:jc w:val="center"/>
                    <w:rPr>
                      <w:color w:val="000000" w:themeColor="text1"/>
                      <w:kern w:val="0"/>
                      <w:szCs w:val="21"/>
                      <w14:textFill>
                        <w14:solidFill>
                          <w14:schemeClr w14:val="tx1"/>
                        </w14:solidFill>
                      </w14:textFill>
                    </w:rPr>
                  </w:pPr>
                </w:p>
              </w:tc>
            </w:tr>
            <w:tr w14:paraId="3C0FC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178" w:type="pct"/>
                  <w:tcBorders>
                    <w:tl2br w:val="nil"/>
                    <w:tr2bl w:val="nil"/>
                  </w:tcBorders>
                  <w:vAlign w:val="center"/>
                </w:tcPr>
                <w:p w14:paraId="4144926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849" w:type="pct"/>
                  <w:tcBorders>
                    <w:tl2br w:val="nil"/>
                    <w:tr2bl w:val="nil"/>
                  </w:tcBorders>
                  <w:vAlign w:val="center"/>
                </w:tcPr>
                <w:p w14:paraId="7EB254C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Gibson试剂盒</w:t>
                  </w:r>
                </w:p>
              </w:tc>
              <w:tc>
                <w:tcPr>
                  <w:tcW w:w="1384" w:type="pct"/>
                  <w:tcBorders>
                    <w:tl2br w:val="nil"/>
                    <w:tr2bl w:val="nil"/>
                  </w:tcBorders>
                  <w:vAlign w:val="center"/>
                </w:tcPr>
                <w:p w14:paraId="1A6B802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Gibson Master Mix、ddH</w:t>
                  </w:r>
                  <w:r>
                    <w:rPr>
                      <w:color w:val="000000" w:themeColor="text1"/>
                      <w:kern w:val="0"/>
                      <w:szCs w:val="21"/>
                      <w:vertAlign w:val="subscript"/>
                      <w14:textFill>
                        <w14:solidFill>
                          <w14:schemeClr w14:val="tx1"/>
                        </w14:solidFill>
                      </w14:textFill>
                    </w:rPr>
                    <w:t>2</w:t>
                  </w:r>
                  <w:r>
                    <w:rPr>
                      <w:color w:val="000000" w:themeColor="text1"/>
                      <w:kern w:val="0"/>
                      <w:szCs w:val="21"/>
                      <w14:textFill>
                        <w14:solidFill>
                          <w14:schemeClr w14:val="tx1"/>
                        </w14:solidFill>
                      </w14:textFill>
                    </w:rPr>
                    <w:t>O</w:t>
                  </w:r>
                </w:p>
              </w:tc>
              <w:tc>
                <w:tcPr>
                  <w:tcW w:w="461" w:type="pct"/>
                  <w:tcBorders>
                    <w:tl2br w:val="nil"/>
                    <w:tr2bl w:val="nil"/>
                  </w:tcBorders>
                  <w:vAlign w:val="center"/>
                </w:tcPr>
                <w:p w14:paraId="29204FF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500盒</w:t>
                  </w:r>
                </w:p>
              </w:tc>
              <w:tc>
                <w:tcPr>
                  <w:tcW w:w="414" w:type="pct"/>
                  <w:tcBorders>
                    <w:tl2br w:val="nil"/>
                    <w:tr2bl w:val="nil"/>
                  </w:tcBorders>
                  <w:vAlign w:val="center"/>
                </w:tcPr>
                <w:p w14:paraId="57A914A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50盒</w:t>
                  </w:r>
                </w:p>
              </w:tc>
              <w:tc>
                <w:tcPr>
                  <w:tcW w:w="571" w:type="pct"/>
                  <w:tcBorders>
                    <w:tl2br w:val="nil"/>
                    <w:tr2bl w:val="nil"/>
                  </w:tcBorders>
                  <w:vAlign w:val="center"/>
                </w:tcPr>
                <w:p w14:paraId="0C8ABEB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10次/盒</w:t>
                  </w:r>
                </w:p>
              </w:tc>
              <w:tc>
                <w:tcPr>
                  <w:tcW w:w="439" w:type="pct"/>
                  <w:tcBorders>
                    <w:tl2br w:val="nil"/>
                    <w:tr2bl w:val="nil"/>
                  </w:tcBorders>
                  <w:vAlign w:val="center"/>
                </w:tcPr>
                <w:p w14:paraId="41C316B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冰箱</w:t>
                  </w:r>
                </w:p>
              </w:tc>
              <w:tc>
                <w:tcPr>
                  <w:tcW w:w="345" w:type="pct"/>
                  <w:vMerge w:val="continue"/>
                  <w:tcBorders>
                    <w:tl2br w:val="nil"/>
                    <w:tr2bl w:val="nil"/>
                  </w:tcBorders>
                  <w:vAlign w:val="center"/>
                </w:tcPr>
                <w:p w14:paraId="744C73ED">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3408436F">
                  <w:pPr>
                    <w:widowControl/>
                    <w:jc w:val="center"/>
                    <w:rPr>
                      <w:color w:val="000000" w:themeColor="text1"/>
                      <w:kern w:val="0"/>
                      <w:szCs w:val="21"/>
                      <w14:textFill>
                        <w14:solidFill>
                          <w14:schemeClr w14:val="tx1"/>
                        </w14:solidFill>
                      </w14:textFill>
                    </w:rPr>
                  </w:pPr>
                </w:p>
              </w:tc>
            </w:tr>
            <w:tr w14:paraId="5E9FB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178" w:type="pct"/>
                  <w:tcBorders>
                    <w:tl2br w:val="nil"/>
                    <w:tr2bl w:val="nil"/>
                  </w:tcBorders>
                  <w:vAlign w:val="center"/>
                </w:tcPr>
                <w:p w14:paraId="4486D68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849" w:type="pct"/>
                  <w:tcBorders>
                    <w:tl2br w:val="nil"/>
                    <w:tr2bl w:val="nil"/>
                  </w:tcBorders>
                  <w:vAlign w:val="center"/>
                </w:tcPr>
                <w:p w14:paraId="03E1CA9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感受态细胞试剂</w:t>
                  </w:r>
                </w:p>
              </w:tc>
              <w:tc>
                <w:tcPr>
                  <w:tcW w:w="1384" w:type="pct"/>
                  <w:tcBorders>
                    <w:tl2br w:val="nil"/>
                    <w:tr2bl w:val="nil"/>
                  </w:tcBorders>
                  <w:vAlign w:val="center"/>
                </w:tcPr>
                <w:p w14:paraId="08260E3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感受态细胞</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CaCl</w:t>
                  </w:r>
                  <w:r>
                    <w:rPr>
                      <w:color w:val="000000" w:themeColor="text1"/>
                      <w:kern w:val="0"/>
                      <w:szCs w:val="21"/>
                      <w:vertAlign w:val="subscript"/>
                      <w14:textFill>
                        <w14:solidFill>
                          <w14:schemeClr w14:val="tx1"/>
                        </w14:solidFill>
                      </w14:textFill>
                    </w:rPr>
                    <w:t>2</w:t>
                  </w:r>
                  <w:r>
                    <w:rPr>
                      <w:color w:val="000000" w:themeColor="text1"/>
                      <w:kern w:val="0"/>
                      <w:szCs w:val="21"/>
                      <w14:textFill>
                        <w14:solidFill>
                          <w14:schemeClr w14:val="tx1"/>
                        </w14:solidFill>
                      </w14:textFill>
                    </w:rPr>
                    <w:t>、甘油等</w:t>
                  </w:r>
                </w:p>
              </w:tc>
              <w:tc>
                <w:tcPr>
                  <w:tcW w:w="461" w:type="pct"/>
                  <w:tcBorders>
                    <w:tl2br w:val="nil"/>
                    <w:tr2bl w:val="nil"/>
                  </w:tcBorders>
                  <w:vAlign w:val="center"/>
                </w:tcPr>
                <w:p w14:paraId="36FC74D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5000个</w:t>
                  </w:r>
                </w:p>
              </w:tc>
              <w:tc>
                <w:tcPr>
                  <w:tcW w:w="414" w:type="pct"/>
                  <w:tcBorders>
                    <w:tl2br w:val="nil"/>
                    <w:tr2bl w:val="nil"/>
                  </w:tcBorders>
                  <w:vAlign w:val="center"/>
                </w:tcPr>
                <w:p w14:paraId="0E1BA85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500个</w:t>
                  </w:r>
                </w:p>
              </w:tc>
              <w:tc>
                <w:tcPr>
                  <w:tcW w:w="571" w:type="pct"/>
                  <w:tcBorders>
                    <w:tl2br w:val="nil"/>
                    <w:tr2bl w:val="nil"/>
                  </w:tcBorders>
                  <w:vAlign w:val="center"/>
                </w:tcPr>
                <w:p w14:paraId="5616B11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N/A</w:t>
                  </w:r>
                </w:p>
              </w:tc>
              <w:tc>
                <w:tcPr>
                  <w:tcW w:w="439" w:type="pct"/>
                  <w:tcBorders>
                    <w:tl2br w:val="nil"/>
                    <w:tr2bl w:val="nil"/>
                  </w:tcBorders>
                  <w:vAlign w:val="center"/>
                </w:tcPr>
                <w:p w14:paraId="3F9530E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冰箱</w:t>
                  </w:r>
                </w:p>
              </w:tc>
              <w:tc>
                <w:tcPr>
                  <w:tcW w:w="345" w:type="pct"/>
                  <w:vMerge w:val="continue"/>
                  <w:tcBorders>
                    <w:tl2br w:val="nil"/>
                    <w:tr2bl w:val="nil"/>
                  </w:tcBorders>
                  <w:vAlign w:val="center"/>
                </w:tcPr>
                <w:p w14:paraId="5982BEF3">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07E45BBA">
                  <w:pPr>
                    <w:widowControl/>
                    <w:jc w:val="center"/>
                    <w:rPr>
                      <w:color w:val="000000" w:themeColor="text1"/>
                      <w:kern w:val="0"/>
                      <w:szCs w:val="21"/>
                      <w14:textFill>
                        <w14:solidFill>
                          <w14:schemeClr w14:val="tx1"/>
                        </w14:solidFill>
                      </w14:textFill>
                    </w:rPr>
                  </w:pPr>
                </w:p>
              </w:tc>
            </w:tr>
            <w:tr w14:paraId="0C984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178" w:type="pct"/>
                  <w:tcBorders>
                    <w:tl2br w:val="nil"/>
                    <w:tr2bl w:val="nil"/>
                  </w:tcBorders>
                  <w:vAlign w:val="center"/>
                </w:tcPr>
                <w:p w14:paraId="2FD018B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c>
                <w:tcPr>
                  <w:tcW w:w="849" w:type="pct"/>
                  <w:tcBorders>
                    <w:tl2br w:val="nil"/>
                    <w:tr2bl w:val="nil"/>
                  </w:tcBorders>
                  <w:vAlign w:val="center"/>
                </w:tcPr>
                <w:p w14:paraId="5D51BDD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质粒小量提取试剂盒</w:t>
                  </w:r>
                </w:p>
              </w:tc>
              <w:tc>
                <w:tcPr>
                  <w:tcW w:w="1384" w:type="pct"/>
                  <w:tcBorders>
                    <w:tl2br w:val="nil"/>
                    <w:tr2bl w:val="nil"/>
                  </w:tcBorders>
                  <w:vAlign w:val="center"/>
                </w:tcPr>
                <w:p w14:paraId="23EC96E8">
                  <w:pPr>
                    <w:widowControl/>
                    <w:jc w:val="center"/>
                    <w:rPr>
                      <w:color w:val="000000" w:themeColor="text1"/>
                      <w:kern w:val="0"/>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裂解液、中和液、缓冲液</w:t>
                  </w:r>
                  <w:r>
                    <w:rPr>
                      <w:color w:val="000000" w:themeColor="text1"/>
                      <w:kern w:val="0"/>
                      <w:szCs w:val="21"/>
                      <w14:textFill>
                        <w14:solidFill>
                          <w14:schemeClr w14:val="tx1"/>
                        </w14:solidFill>
                      </w14:textFill>
                    </w:rPr>
                    <w:t>等</w:t>
                  </w:r>
                </w:p>
              </w:tc>
              <w:tc>
                <w:tcPr>
                  <w:tcW w:w="461" w:type="pct"/>
                  <w:tcBorders>
                    <w:tl2br w:val="nil"/>
                    <w:tr2bl w:val="nil"/>
                  </w:tcBorders>
                  <w:vAlign w:val="center"/>
                </w:tcPr>
                <w:p w14:paraId="466605C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100盒</w:t>
                  </w:r>
                </w:p>
              </w:tc>
              <w:tc>
                <w:tcPr>
                  <w:tcW w:w="414" w:type="pct"/>
                  <w:tcBorders>
                    <w:tl2br w:val="nil"/>
                    <w:tr2bl w:val="nil"/>
                  </w:tcBorders>
                  <w:vAlign w:val="center"/>
                </w:tcPr>
                <w:p w14:paraId="52F9097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10盒</w:t>
                  </w:r>
                </w:p>
              </w:tc>
              <w:tc>
                <w:tcPr>
                  <w:tcW w:w="571" w:type="pct"/>
                  <w:tcBorders>
                    <w:tl2br w:val="nil"/>
                    <w:tr2bl w:val="nil"/>
                  </w:tcBorders>
                  <w:vAlign w:val="center"/>
                </w:tcPr>
                <w:p w14:paraId="36ED40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200次/盒</w:t>
                  </w:r>
                </w:p>
              </w:tc>
              <w:tc>
                <w:tcPr>
                  <w:tcW w:w="439" w:type="pct"/>
                  <w:tcBorders>
                    <w:tl2br w:val="nil"/>
                    <w:tr2bl w:val="nil"/>
                  </w:tcBorders>
                  <w:vAlign w:val="center"/>
                </w:tcPr>
                <w:p w14:paraId="46DBA3C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冰箱</w:t>
                  </w:r>
                </w:p>
              </w:tc>
              <w:tc>
                <w:tcPr>
                  <w:tcW w:w="345" w:type="pct"/>
                  <w:vMerge w:val="continue"/>
                  <w:tcBorders>
                    <w:tl2br w:val="nil"/>
                    <w:tr2bl w:val="nil"/>
                  </w:tcBorders>
                  <w:vAlign w:val="center"/>
                </w:tcPr>
                <w:p w14:paraId="7327090B">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3B92DF96">
                  <w:pPr>
                    <w:widowControl/>
                    <w:jc w:val="center"/>
                    <w:rPr>
                      <w:color w:val="000000" w:themeColor="text1"/>
                      <w:kern w:val="0"/>
                      <w:szCs w:val="21"/>
                      <w14:textFill>
                        <w14:solidFill>
                          <w14:schemeClr w14:val="tx1"/>
                        </w14:solidFill>
                      </w14:textFill>
                    </w:rPr>
                  </w:pPr>
                </w:p>
              </w:tc>
            </w:tr>
            <w:tr w14:paraId="75C76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178" w:type="pct"/>
                  <w:tcBorders>
                    <w:tl2br w:val="nil"/>
                    <w:tr2bl w:val="nil"/>
                  </w:tcBorders>
                  <w:vAlign w:val="center"/>
                </w:tcPr>
                <w:p w14:paraId="493EC1D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c>
                <w:tcPr>
                  <w:tcW w:w="849" w:type="pct"/>
                  <w:tcBorders>
                    <w:tl2br w:val="nil"/>
                    <w:tr2bl w:val="nil"/>
                  </w:tcBorders>
                  <w:vAlign w:val="center"/>
                </w:tcPr>
                <w:p w14:paraId="07A01C2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大肠杆菌试剂</w:t>
                  </w:r>
                </w:p>
              </w:tc>
              <w:tc>
                <w:tcPr>
                  <w:tcW w:w="1384" w:type="pct"/>
                  <w:tcBorders>
                    <w:tl2br w:val="nil"/>
                    <w:tr2bl w:val="nil"/>
                  </w:tcBorders>
                  <w:vAlign w:val="center"/>
                </w:tcPr>
                <w:p w14:paraId="24657224">
                  <w:pPr>
                    <w:widowControl/>
                    <w:jc w:val="cente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w:t>
                  </w:r>
                </w:p>
              </w:tc>
              <w:tc>
                <w:tcPr>
                  <w:tcW w:w="461" w:type="pct"/>
                  <w:tcBorders>
                    <w:tl2br w:val="nil"/>
                    <w:tr2bl w:val="nil"/>
                  </w:tcBorders>
                  <w:vAlign w:val="center"/>
                </w:tcPr>
                <w:p w14:paraId="62D8A4B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10管</w:t>
                  </w:r>
                </w:p>
              </w:tc>
              <w:tc>
                <w:tcPr>
                  <w:tcW w:w="414" w:type="pct"/>
                  <w:tcBorders>
                    <w:tl2br w:val="nil"/>
                    <w:tr2bl w:val="nil"/>
                  </w:tcBorders>
                  <w:vAlign w:val="center"/>
                </w:tcPr>
                <w:p w14:paraId="2C34184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1管</w:t>
                  </w:r>
                </w:p>
              </w:tc>
              <w:tc>
                <w:tcPr>
                  <w:tcW w:w="571" w:type="pct"/>
                  <w:tcBorders>
                    <w:tl2br w:val="nil"/>
                    <w:tr2bl w:val="nil"/>
                  </w:tcBorders>
                  <w:vAlign w:val="center"/>
                </w:tcPr>
                <w:p w14:paraId="6594828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μ</w:t>
                  </w:r>
                  <w:r>
                    <w:rPr>
                      <w:rFonts w:hint="eastAsia"/>
                      <w:color w:val="000000" w:themeColor="text1"/>
                      <w:szCs w:val="21"/>
                      <w14:textFill>
                        <w14:solidFill>
                          <w14:schemeClr w14:val="tx1"/>
                        </w14:solidFill>
                      </w14:textFill>
                    </w:rPr>
                    <w:t>g/管</w:t>
                  </w:r>
                </w:p>
              </w:tc>
              <w:tc>
                <w:tcPr>
                  <w:tcW w:w="439" w:type="pct"/>
                  <w:tcBorders>
                    <w:tl2br w:val="nil"/>
                    <w:tr2bl w:val="nil"/>
                  </w:tcBorders>
                  <w:vAlign w:val="center"/>
                </w:tcPr>
                <w:p w14:paraId="0D5F94D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冰箱</w:t>
                  </w:r>
                </w:p>
              </w:tc>
              <w:tc>
                <w:tcPr>
                  <w:tcW w:w="345" w:type="pct"/>
                  <w:vMerge w:val="continue"/>
                  <w:tcBorders>
                    <w:tl2br w:val="nil"/>
                    <w:tr2bl w:val="nil"/>
                  </w:tcBorders>
                  <w:vAlign w:val="center"/>
                </w:tcPr>
                <w:p w14:paraId="26DDA6E4">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205847CE">
                  <w:pPr>
                    <w:widowControl/>
                    <w:jc w:val="center"/>
                    <w:rPr>
                      <w:color w:val="000000" w:themeColor="text1"/>
                      <w:kern w:val="0"/>
                      <w:szCs w:val="21"/>
                      <w14:textFill>
                        <w14:solidFill>
                          <w14:schemeClr w14:val="tx1"/>
                        </w14:solidFill>
                      </w14:textFill>
                    </w:rPr>
                  </w:pPr>
                </w:p>
              </w:tc>
            </w:tr>
            <w:tr w14:paraId="16036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178" w:type="pct"/>
                  <w:tcBorders>
                    <w:tl2br w:val="nil"/>
                    <w:tr2bl w:val="nil"/>
                  </w:tcBorders>
                  <w:vAlign w:val="center"/>
                </w:tcPr>
                <w:p w14:paraId="7EE8B9F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849" w:type="pct"/>
                  <w:tcBorders>
                    <w:tl2br w:val="nil"/>
                    <w:tr2bl w:val="nil"/>
                  </w:tcBorders>
                  <w:vAlign w:val="center"/>
                </w:tcPr>
                <w:p w14:paraId="4134038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甘油</w:t>
                  </w:r>
                </w:p>
              </w:tc>
              <w:tc>
                <w:tcPr>
                  <w:tcW w:w="1384" w:type="pct"/>
                  <w:tcBorders>
                    <w:tl2br w:val="nil"/>
                    <w:tr2bl w:val="nil"/>
                  </w:tcBorders>
                  <w:vAlign w:val="center"/>
                </w:tcPr>
                <w:p w14:paraId="03789CE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H</w:t>
                  </w:r>
                  <w:r>
                    <w:rPr>
                      <w:color w:val="000000" w:themeColor="text1"/>
                      <w:kern w:val="0"/>
                      <w:szCs w:val="21"/>
                      <w:vertAlign w:val="subscript"/>
                      <w14:textFill>
                        <w14:solidFill>
                          <w14:schemeClr w14:val="tx1"/>
                        </w14:solidFill>
                      </w14:textFill>
                    </w:rPr>
                    <w:t>8</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3</w:t>
                  </w:r>
                  <w:r>
                    <w:rPr>
                      <w:rFonts w:hint="eastAsia"/>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99%</w:t>
                  </w:r>
                </w:p>
              </w:tc>
              <w:tc>
                <w:tcPr>
                  <w:tcW w:w="461" w:type="pct"/>
                  <w:tcBorders>
                    <w:tl2br w:val="nil"/>
                    <w:tr2bl w:val="nil"/>
                  </w:tcBorders>
                  <w:vAlign w:val="center"/>
                </w:tcPr>
                <w:p w14:paraId="45270BC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10瓶</w:t>
                  </w:r>
                </w:p>
              </w:tc>
              <w:tc>
                <w:tcPr>
                  <w:tcW w:w="414" w:type="pct"/>
                  <w:tcBorders>
                    <w:tl2br w:val="nil"/>
                    <w:tr2bl w:val="nil"/>
                  </w:tcBorders>
                  <w:vAlign w:val="center"/>
                </w:tcPr>
                <w:p w14:paraId="05FA9E7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7A9D18C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500g/瓶</w:t>
                  </w:r>
                </w:p>
              </w:tc>
              <w:tc>
                <w:tcPr>
                  <w:tcW w:w="439" w:type="pct"/>
                  <w:tcBorders>
                    <w:tl2br w:val="nil"/>
                    <w:tr2bl w:val="nil"/>
                  </w:tcBorders>
                  <w:vAlign w:val="center"/>
                </w:tcPr>
                <w:p w14:paraId="77CCB8A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03D4AC39">
                  <w:pPr>
                    <w:widowControl/>
                    <w:jc w:val="center"/>
                    <w:rPr>
                      <w:color w:val="000000" w:themeColor="text1"/>
                      <w:kern w:val="0"/>
                      <w:szCs w:val="21"/>
                      <w14:textFill>
                        <w14:solidFill>
                          <w14:schemeClr w14:val="tx1"/>
                        </w14:solidFill>
                      </w14:textFill>
                    </w:rPr>
                  </w:pPr>
                </w:p>
              </w:tc>
              <w:tc>
                <w:tcPr>
                  <w:tcW w:w="355" w:type="pct"/>
                  <w:vMerge w:val="restart"/>
                  <w:tcBorders>
                    <w:tl2br w:val="nil"/>
                    <w:tr2bl w:val="nil"/>
                  </w:tcBorders>
                  <w:vAlign w:val="center"/>
                </w:tcPr>
                <w:p w14:paraId="10DFBA3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配置培养基/液</w:t>
                  </w:r>
                  <w:r>
                    <w:rPr>
                      <w:rFonts w:hint="eastAsia"/>
                      <w:color w:val="000000" w:themeColor="text1"/>
                      <w:kern w:val="0"/>
                      <w:szCs w:val="21"/>
                      <w14:textFill>
                        <w14:solidFill>
                          <w14:schemeClr w14:val="tx1"/>
                        </w14:solidFill>
                      </w14:textFill>
                    </w:rPr>
                    <w:t>、</w:t>
                  </w:r>
                </w:p>
                <w:p w14:paraId="71F66EB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抗生素</w:t>
                  </w:r>
                  <w:r>
                    <w:rPr>
                      <w:rFonts w:hint="eastAsia"/>
                      <w:color w:val="000000" w:themeColor="text1"/>
                      <w:kern w:val="0"/>
                      <w:szCs w:val="21"/>
                      <w14:textFill>
                        <w14:solidFill>
                          <w14:schemeClr w14:val="tx1"/>
                        </w14:solidFill>
                      </w14:textFill>
                    </w:rPr>
                    <w:t>培养基</w:t>
                  </w:r>
                </w:p>
              </w:tc>
            </w:tr>
            <w:tr w14:paraId="5FB7A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178" w:type="pct"/>
                  <w:tcBorders>
                    <w:tl2br w:val="nil"/>
                    <w:tr2bl w:val="nil"/>
                  </w:tcBorders>
                  <w:vAlign w:val="center"/>
                </w:tcPr>
                <w:p w14:paraId="1CBD969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w:t>
                  </w:r>
                </w:p>
              </w:tc>
              <w:tc>
                <w:tcPr>
                  <w:tcW w:w="849" w:type="pct"/>
                  <w:tcBorders>
                    <w:tl2br w:val="nil"/>
                    <w:tr2bl w:val="nil"/>
                  </w:tcBorders>
                  <w:vAlign w:val="center"/>
                </w:tcPr>
                <w:p w14:paraId="304717F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葡萄糖</w:t>
                  </w:r>
                </w:p>
              </w:tc>
              <w:tc>
                <w:tcPr>
                  <w:tcW w:w="1384" w:type="pct"/>
                  <w:tcBorders>
                    <w:tl2br w:val="nil"/>
                    <w:tr2bl w:val="nil"/>
                  </w:tcBorders>
                  <w:vAlign w:val="center"/>
                </w:tcPr>
                <w:p w14:paraId="326E406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w:t>
                  </w:r>
                  <w:r>
                    <w:rPr>
                      <w:color w:val="000000" w:themeColor="text1"/>
                      <w:kern w:val="0"/>
                      <w:szCs w:val="21"/>
                      <w:vertAlign w:val="subscript"/>
                      <w14:textFill>
                        <w14:solidFill>
                          <w14:schemeClr w14:val="tx1"/>
                        </w14:solidFill>
                      </w14:textFill>
                    </w:rPr>
                    <w:t>6</w:t>
                  </w:r>
                  <w:r>
                    <w:rPr>
                      <w:color w:val="000000" w:themeColor="text1"/>
                      <w:kern w:val="0"/>
                      <w:szCs w:val="21"/>
                      <w14:textFill>
                        <w14:solidFill>
                          <w14:schemeClr w14:val="tx1"/>
                        </w14:solidFill>
                      </w14:textFill>
                    </w:rPr>
                    <w:t>H</w:t>
                  </w:r>
                  <w:r>
                    <w:rPr>
                      <w:color w:val="000000" w:themeColor="text1"/>
                      <w:kern w:val="0"/>
                      <w:szCs w:val="21"/>
                      <w:vertAlign w:val="subscript"/>
                      <w14:textFill>
                        <w14:solidFill>
                          <w14:schemeClr w14:val="tx1"/>
                        </w14:solidFill>
                      </w14:textFill>
                    </w:rPr>
                    <w:t>12</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6</w:t>
                  </w:r>
                  <w:r>
                    <w:rPr>
                      <w:rFonts w:hint="eastAsia"/>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99%</w:t>
                  </w:r>
                </w:p>
              </w:tc>
              <w:tc>
                <w:tcPr>
                  <w:tcW w:w="461" w:type="pct"/>
                  <w:tcBorders>
                    <w:tl2br w:val="nil"/>
                    <w:tr2bl w:val="nil"/>
                  </w:tcBorders>
                  <w:vAlign w:val="center"/>
                </w:tcPr>
                <w:p w14:paraId="4AA9B70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4桶</w:t>
                  </w:r>
                </w:p>
              </w:tc>
              <w:tc>
                <w:tcPr>
                  <w:tcW w:w="414" w:type="pct"/>
                  <w:tcBorders>
                    <w:tl2br w:val="nil"/>
                    <w:tr2bl w:val="nil"/>
                  </w:tcBorders>
                  <w:vAlign w:val="center"/>
                </w:tcPr>
                <w:p w14:paraId="6BDFCBA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1桶</w:t>
                  </w:r>
                </w:p>
              </w:tc>
              <w:tc>
                <w:tcPr>
                  <w:tcW w:w="571" w:type="pct"/>
                  <w:tcBorders>
                    <w:tl2br w:val="nil"/>
                    <w:tr2bl w:val="nil"/>
                  </w:tcBorders>
                  <w:vAlign w:val="center"/>
                </w:tcPr>
                <w:p w14:paraId="0393C6E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25kg/桶</w:t>
                  </w:r>
                </w:p>
              </w:tc>
              <w:tc>
                <w:tcPr>
                  <w:tcW w:w="439" w:type="pct"/>
                  <w:tcBorders>
                    <w:tl2br w:val="nil"/>
                    <w:tr2bl w:val="nil"/>
                  </w:tcBorders>
                  <w:vAlign w:val="center"/>
                </w:tcPr>
                <w:p w14:paraId="5741E5C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1618F20A">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560A2EF1">
                  <w:pPr>
                    <w:widowControl/>
                    <w:jc w:val="center"/>
                    <w:rPr>
                      <w:color w:val="000000" w:themeColor="text1"/>
                      <w:kern w:val="0"/>
                      <w:szCs w:val="21"/>
                      <w14:textFill>
                        <w14:solidFill>
                          <w14:schemeClr w14:val="tx1"/>
                        </w14:solidFill>
                      </w14:textFill>
                    </w:rPr>
                  </w:pPr>
                </w:p>
              </w:tc>
            </w:tr>
            <w:tr w14:paraId="48BD7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249D85D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w:t>
                  </w:r>
                </w:p>
              </w:tc>
              <w:tc>
                <w:tcPr>
                  <w:tcW w:w="849" w:type="pct"/>
                  <w:tcBorders>
                    <w:tl2br w:val="nil"/>
                    <w:tr2bl w:val="nil"/>
                  </w:tcBorders>
                  <w:vAlign w:val="center"/>
                </w:tcPr>
                <w:p w14:paraId="4A243D6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蔗糖</w:t>
                  </w:r>
                </w:p>
              </w:tc>
              <w:tc>
                <w:tcPr>
                  <w:tcW w:w="1384" w:type="pct"/>
                  <w:tcBorders>
                    <w:tl2br w:val="nil"/>
                    <w:tr2bl w:val="nil"/>
                  </w:tcBorders>
                  <w:vAlign w:val="center"/>
                </w:tcPr>
                <w:p w14:paraId="6B54906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w:t>
                  </w:r>
                  <w:r>
                    <w:rPr>
                      <w:color w:val="000000" w:themeColor="text1"/>
                      <w:kern w:val="0"/>
                      <w:szCs w:val="21"/>
                      <w:vertAlign w:val="subscript"/>
                      <w14:textFill>
                        <w14:solidFill>
                          <w14:schemeClr w14:val="tx1"/>
                        </w14:solidFill>
                      </w14:textFill>
                    </w:rPr>
                    <w:t>12</w:t>
                  </w:r>
                  <w:r>
                    <w:rPr>
                      <w:color w:val="000000" w:themeColor="text1"/>
                      <w:kern w:val="0"/>
                      <w:szCs w:val="21"/>
                      <w14:textFill>
                        <w14:solidFill>
                          <w14:schemeClr w14:val="tx1"/>
                        </w14:solidFill>
                      </w14:textFill>
                    </w:rPr>
                    <w:t>H</w:t>
                  </w:r>
                  <w:r>
                    <w:rPr>
                      <w:color w:val="000000" w:themeColor="text1"/>
                      <w:kern w:val="0"/>
                      <w:szCs w:val="21"/>
                      <w:vertAlign w:val="subscript"/>
                      <w14:textFill>
                        <w14:solidFill>
                          <w14:schemeClr w14:val="tx1"/>
                        </w14:solidFill>
                      </w14:textFill>
                    </w:rPr>
                    <w:t>22</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11</w:t>
                  </w:r>
                  <w:r>
                    <w:rPr>
                      <w:rFonts w:hint="eastAsia"/>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99%</w:t>
                  </w:r>
                </w:p>
              </w:tc>
              <w:tc>
                <w:tcPr>
                  <w:tcW w:w="461" w:type="pct"/>
                  <w:tcBorders>
                    <w:tl2br w:val="nil"/>
                    <w:tr2bl w:val="nil"/>
                  </w:tcBorders>
                  <w:vAlign w:val="center"/>
                </w:tcPr>
                <w:p w14:paraId="2633ABA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10瓶</w:t>
                  </w:r>
                </w:p>
              </w:tc>
              <w:tc>
                <w:tcPr>
                  <w:tcW w:w="414" w:type="pct"/>
                  <w:tcBorders>
                    <w:tl2br w:val="nil"/>
                    <w:tr2bl w:val="nil"/>
                  </w:tcBorders>
                  <w:vAlign w:val="center"/>
                </w:tcPr>
                <w:p w14:paraId="274D44B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5A52F86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500g/瓶</w:t>
                  </w:r>
                </w:p>
              </w:tc>
              <w:tc>
                <w:tcPr>
                  <w:tcW w:w="439" w:type="pct"/>
                  <w:tcBorders>
                    <w:tl2br w:val="nil"/>
                    <w:tr2bl w:val="nil"/>
                  </w:tcBorders>
                  <w:vAlign w:val="center"/>
                </w:tcPr>
                <w:p w14:paraId="3C1056E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59E3447E">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7EC78EC7">
                  <w:pPr>
                    <w:widowControl/>
                    <w:jc w:val="center"/>
                    <w:rPr>
                      <w:color w:val="000000" w:themeColor="text1"/>
                      <w:kern w:val="0"/>
                      <w:szCs w:val="21"/>
                      <w14:textFill>
                        <w14:solidFill>
                          <w14:schemeClr w14:val="tx1"/>
                        </w14:solidFill>
                      </w14:textFill>
                    </w:rPr>
                  </w:pPr>
                </w:p>
              </w:tc>
            </w:tr>
            <w:tr w14:paraId="018A8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27612AD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w:t>
                  </w:r>
                </w:p>
              </w:tc>
              <w:tc>
                <w:tcPr>
                  <w:tcW w:w="849" w:type="pct"/>
                  <w:tcBorders>
                    <w:tl2br w:val="nil"/>
                    <w:tr2bl w:val="nil"/>
                  </w:tcBorders>
                  <w:vAlign w:val="center"/>
                </w:tcPr>
                <w:p w14:paraId="55B425C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蛋白胨</w:t>
                  </w:r>
                </w:p>
              </w:tc>
              <w:tc>
                <w:tcPr>
                  <w:tcW w:w="1384" w:type="pct"/>
                  <w:tcBorders>
                    <w:tl2br w:val="nil"/>
                    <w:tr2bl w:val="nil"/>
                  </w:tcBorders>
                  <w:vAlign w:val="center"/>
                </w:tcPr>
                <w:p w14:paraId="7B19662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蛋白质、氨基酸</w:t>
                  </w:r>
                </w:p>
              </w:tc>
              <w:tc>
                <w:tcPr>
                  <w:tcW w:w="461" w:type="pct"/>
                  <w:tcBorders>
                    <w:tl2br w:val="nil"/>
                    <w:tr2bl w:val="nil"/>
                  </w:tcBorders>
                  <w:vAlign w:val="center"/>
                </w:tcPr>
                <w:p w14:paraId="1870EED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10瓶</w:t>
                  </w:r>
                </w:p>
              </w:tc>
              <w:tc>
                <w:tcPr>
                  <w:tcW w:w="414" w:type="pct"/>
                  <w:tcBorders>
                    <w:tl2br w:val="nil"/>
                    <w:tr2bl w:val="nil"/>
                  </w:tcBorders>
                  <w:vAlign w:val="center"/>
                </w:tcPr>
                <w:p w14:paraId="3F876D9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49834E1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500g/瓶</w:t>
                  </w:r>
                </w:p>
              </w:tc>
              <w:tc>
                <w:tcPr>
                  <w:tcW w:w="439" w:type="pct"/>
                  <w:tcBorders>
                    <w:tl2br w:val="nil"/>
                    <w:tr2bl w:val="nil"/>
                  </w:tcBorders>
                  <w:vAlign w:val="center"/>
                </w:tcPr>
                <w:p w14:paraId="4D585A5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518FABF4">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0FC48763">
                  <w:pPr>
                    <w:widowControl/>
                    <w:jc w:val="center"/>
                    <w:rPr>
                      <w:color w:val="000000" w:themeColor="text1"/>
                      <w:kern w:val="0"/>
                      <w:szCs w:val="21"/>
                      <w14:textFill>
                        <w14:solidFill>
                          <w14:schemeClr w14:val="tx1"/>
                        </w14:solidFill>
                      </w14:textFill>
                    </w:rPr>
                  </w:pPr>
                </w:p>
              </w:tc>
            </w:tr>
            <w:tr w14:paraId="62279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3AB5B88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w:t>
                  </w:r>
                </w:p>
              </w:tc>
              <w:tc>
                <w:tcPr>
                  <w:tcW w:w="849" w:type="pct"/>
                  <w:tcBorders>
                    <w:tl2br w:val="nil"/>
                    <w:tr2bl w:val="nil"/>
                  </w:tcBorders>
                  <w:vAlign w:val="center"/>
                </w:tcPr>
                <w:p w14:paraId="68743D5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琼脂粉</w:t>
                  </w:r>
                </w:p>
              </w:tc>
              <w:tc>
                <w:tcPr>
                  <w:tcW w:w="1384" w:type="pct"/>
                  <w:tcBorders>
                    <w:tl2br w:val="nil"/>
                    <w:tr2bl w:val="nil"/>
                  </w:tcBorders>
                  <w:vAlign w:val="center"/>
                </w:tcPr>
                <w:p w14:paraId="4E61863F">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C</w:t>
                  </w:r>
                  <w:r>
                    <w:rPr>
                      <w:color w:val="000000" w:themeColor="text1"/>
                      <w:szCs w:val="21"/>
                      <w:vertAlign w:val="subscript"/>
                      <w14:textFill>
                        <w14:solidFill>
                          <w14:schemeClr w14:val="tx1"/>
                        </w14:solidFill>
                      </w14:textFill>
                    </w:rPr>
                    <w:t>12</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18</w:t>
                  </w: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9</w:t>
                  </w:r>
                  <w:r>
                    <w:rPr>
                      <w:rFonts w:hint="eastAsia"/>
                      <w:color w:val="000000" w:themeColor="text1"/>
                      <w:szCs w:val="21"/>
                      <w14:textFill>
                        <w14:solidFill>
                          <w14:schemeClr w14:val="tx1"/>
                        </w14:solidFill>
                      </w14:textFill>
                    </w:rPr>
                    <w:t>）n</w:t>
                  </w:r>
                  <w:r>
                    <w:rPr>
                      <w:rFonts w:hint="eastAsia"/>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99%</w:t>
                  </w:r>
                </w:p>
              </w:tc>
              <w:tc>
                <w:tcPr>
                  <w:tcW w:w="461" w:type="pct"/>
                  <w:tcBorders>
                    <w:tl2br w:val="nil"/>
                    <w:tr2bl w:val="nil"/>
                  </w:tcBorders>
                  <w:vAlign w:val="center"/>
                </w:tcPr>
                <w:p w14:paraId="0E680AB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10瓶</w:t>
                  </w:r>
                </w:p>
              </w:tc>
              <w:tc>
                <w:tcPr>
                  <w:tcW w:w="414" w:type="pct"/>
                  <w:tcBorders>
                    <w:tl2br w:val="nil"/>
                    <w:tr2bl w:val="nil"/>
                  </w:tcBorders>
                  <w:vAlign w:val="center"/>
                </w:tcPr>
                <w:p w14:paraId="486FAA3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7EE16EA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color w:val="000000" w:themeColor="text1"/>
                      <w:szCs w:val="21"/>
                      <w:vertAlign w:val="subscript"/>
                      <w14:textFill>
                        <w14:solidFill>
                          <w14:schemeClr w14:val="tx1"/>
                        </w14:solidFill>
                      </w14:textFill>
                    </w:rPr>
                    <w:t xml:space="preserve"> </w:t>
                  </w:r>
                  <w:r>
                    <w:rPr>
                      <w:color w:val="000000" w:themeColor="text1"/>
                      <w:szCs w:val="21"/>
                      <w14:textFill>
                        <w14:solidFill>
                          <w14:schemeClr w14:val="tx1"/>
                        </w14:solidFill>
                      </w14:textFill>
                    </w:rPr>
                    <w:t>kg/瓶</w:t>
                  </w:r>
                </w:p>
              </w:tc>
              <w:tc>
                <w:tcPr>
                  <w:tcW w:w="439" w:type="pct"/>
                  <w:tcBorders>
                    <w:tl2br w:val="nil"/>
                    <w:tr2bl w:val="nil"/>
                  </w:tcBorders>
                  <w:vAlign w:val="center"/>
                </w:tcPr>
                <w:p w14:paraId="295F97E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53531D1C">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36908ABF">
                  <w:pPr>
                    <w:widowControl/>
                    <w:jc w:val="center"/>
                    <w:rPr>
                      <w:color w:val="000000" w:themeColor="text1"/>
                      <w:kern w:val="0"/>
                      <w:szCs w:val="21"/>
                      <w14:textFill>
                        <w14:solidFill>
                          <w14:schemeClr w14:val="tx1"/>
                        </w14:solidFill>
                      </w14:textFill>
                    </w:rPr>
                  </w:pPr>
                </w:p>
              </w:tc>
            </w:tr>
            <w:tr w14:paraId="2FA2A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23EB183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w:t>
                  </w:r>
                </w:p>
              </w:tc>
              <w:tc>
                <w:tcPr>
                  <w:tcW w:w="849" w:type="pct"/>
                  <w:tcBorders>
                    <w:tl2br w:val="nil"/>
                    <w:tr2bl w:val="nil"/>
                  </w:tcBorders>
                  <w:vAlign w:val="center"/>
                </w:tcPr>
                <w:p w14:paraId="0D0C90E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氯化钠</w:t>
                  </w:r>
                </w:p>
              </w:tc>
              <w:tc>
                <w:tcPr>
                  <w:tcW w:w="1384" w:type="pct"/>
                  <w:tcBorders>
                    <w:tl2br w:val="nil"/>
                    <w:tr2bl w:val="nil"/>
                  </w:tcBorders>
                  <w:vAlign w:val="center"/>
                </w:tcPr>
                <w:p w14:paraId="361EE99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NaCl</w:t>
                  </w:r>
                  <w:r>
                    <w:rPr>
                      <w:rFonts w:hint="eastAsia"/>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9</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w:t>
                  </w:r>
                </w:p>
              </w:tc>
              <w:tc>
                <w:tcPr>
                  <w:tcW w:w="461" w:type="pct"/>
                  <w:tcBorders>
                    <w:tl2br w:val="nil"/>
                    <w:tr2bl w:val="nil"/>
                  </w:tcBorders>
                  <w:vAlign w:val="center"/>
                </w:tcPr>
                <w:p w14:paraId="5AF44E9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10瓶</w:t>
                  </w:r>
                </w:p>
              </w:tc>
              <w:tc>
                <w:tcPr>
                  <w:tcW w:w="414" w:type="pct"/>
                  <w:tcBorders>
                    <w:tl2br w:val="nil"/>
                    <w:tr2bl w:val="nil"/>
                  </w:tcBorders>
                  <w:vAlign w:val="center"/>
                </w:tcPr>
                <w:p w14:paraId="6978306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42E4C93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r>
                    <w:rPr>
                      <w:color w:val="000000" w:themeColor="text1"/>
                      <w:szCs w:val="21"/>
                      <w:vertAlign w:val="subscript"/>
                      <w14:textFill>
                        <w14:solidFill>
                          <w14:schemeClr w14:val="tx1"/>
                        </w14:solidFill>
                      </w14:textFill>
                    </w:rPr>
                    <w:t xml:space="preserve"> </w:t>
                  </w:r>
                  <w:r>
                    <w:rPr>
                      <w:color w:val="000000" w:themeColor="text1"/>
                      <w:szCs w:val="21"/>
                      <w14:textFill>
                        <w14:solidFill>
                          <w14:schemeClr w14:val="tx1"/>
                        </w14:solidFill>
                      </w14:textFill>
                    </w:rPr>
                    <w:t>g/瓶</w:t>
                  </w:r>
                </w:p>
              </w:tc>
              <w:tc>
                <w:tcPr>
                  <w:tcW w:w="439" w:type="pct"/>
                  <w:tcBorders>
                    <w:tl2br w:val="nil"/>
                    <w:tr2bl w:val="nil"/>
                  </w:tcBorders>
                  <w:vAlign w:val="center"/>
                </w:tcPr>
                <w:p w14:paraId="5E07090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4EF17202">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1FAFA03A">
                  <w:pPr>
                    <w:widowControl/>
                    <w:jc w:val="center"/>
                    <w:rPr>
                      <w:color w:val="000000" w:themeColor="text1"/>
                      <w:kern w:val="0"/>
                      <w:szCs w:val="21"/>
                      <w14:textFill>
                        <w14:solidFill>
                          <w14:schemeClr w14:val="tx1"/>
                        </w14:solidFill>
                      </w14:textFill>
                    </w:rPr>
                  </w:pPr>
                </w:p>
              </w:tc>
            </w:tr>
            <w:tr w14:paraId="06A85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0D138EE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w:t>
                  </w:r>
                </w:p>
              </w:tc>
              <w:tc>
                <w:tcPr>
                  <w:tcW w:w="849" w:type="pct"/>
                  <w:tcBorders>
                    <w:tl2br w:val="nil"/>
                    <w:tr2bl w:val="nil"/>
                  </w:tcBorders>
                  <w:vAlign w:val="center"/>
                </w:tcPr>
                <w:p w14:paraId="425CD0C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酵母提取物</w:t>
                  </w:r>
                </w:p>
              </w:tc>
              <w:tc>
                <w:tcPr>
                  <w:tcW w:w="1384" w:type="pct"/>
                  <w:tcBorders>
                    <w:tl2br w:val="nil"/>
                    <w:tr2bl w:val="nil"/>
                  </w:tcBorders>
                  <w:vAlign w:val="center"/>
                </w:tcPr>
                <w:p w14:paraId="7DC3803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蛋白质、氨基酸</w:t>
                  </w:r>
                </w:p>
              </w:tc>
              <w:tc>
                <w:tcPr>
                  <w:tcW w:w="461" w:type="pct"/>
                  <w:tcBorders>
                    <w:tl2br w:val="nil"/>
                    <w:tr2bl w:val="nil"/>
                  </w:tcBorders>
                  <w:vAlign w:val="center"/>
                </w:tcPr>
                <w:p w14:paraId="5019E6B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10瓶</w:t>
                  </w:r>
                </w:p>
              </w:tc>
              <w:tc>
                <w:tcPr>
                  <w:tcW w:w="414" w:type="pct"/>
                  <w:tcBorders>
                    <w:tl2br w:val="nil"/>
                    <w:tr2bl w:val="nil"/>
                  </w:tcBorders>
                  <w:vAlign w:val="center"/>
                </w:tcPr>
                <w:p w14:paraId="0CB3D6C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6A42D51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500g/瓶</w:t>
                  </w:r>
                </w:p>
              </w:tc>
              <w:tc>
                <w:tcPr>
                  <w:tcW w:w="439" w:type="pct"/>
                  <w:tcBorders>
                    <w:tl2br w:val="nil"/>
                    <w:tr2bl w:val="nil"/>
                  </w:tcBorders>
                  <w:vAlign w:val="center"/>
                </w:tcPr>
                <w:p w14:paraId="20F60D4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1A67430B">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0683BAF7">
                  <w:pPr>
                    <w:widowControl/>
                    <w:jc w:val="center"/>
                    <w:rPr>
                      <w:color w:val="000000" w:themeColor="text1"/>
                      <w:kern w:val="0"/>
                      <w:szCs w:val="21"/>
                      <w14:textFill>
                        <w14:solidFill>
                          <w14:schemeClr w14:val="tx1"/>
                        </w14:solidFill>
                      </w14:textFill>
                    </w:rPr>
                  </w:pPr>
                </w:p>
              </w:tc>
            </w:tr>
            <w:tr w14:paraId="25545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024C599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14</w:t>
                  </w:r>
                </w:p>
              </w:tc>
              <w:tc>
                <w:tcPr>
                  <w:tcW w:w="849" w:type="pct"/>
                  <w:tcBorders>
                    <w:tl2br w:val="nil"/>
                    <w:tr2bl w:val="nil"/>
                  </w:tcBorders>
                  <w:vAlign w:val="center"/>
                </w:tcPr>
                <w:p w14:paraId="4615125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氨苄青霉素钠</w:t>
                  </w:r>
                </w:p>
              </w:tc>
              <w:tc>
                <w:tcPr>
                  <w:tcW w:w="1384" w:type="pct"/>
                  <w:tcBorders>
                    <w:tl2br w:val="nil"/>
                    <w:tr2bl w:val="nil"/>
                  </w:tcBorders>
                  <w:vAlign w:val="center"/>
                </w:tcPr>
                <w:p w14:paraId="316DD82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w:t>
                  </w:r>
                  <w:r>
                    <w:rPr>
                      <w:color w:val="000000" w:themeColor="text1"/>
                      <w:kern w:val="0"/>
                      <w:szCs w:val="21"/>
                      <w:vertAlign w:val="subscript"/>
                      <w14:textFill>
                        <w14:solidFill>
                          <w14:schemeClr w14:val="tx1"/>
                        </w14:solidFill>
                      </w14:textFill>
                    </w:rPr>
                    <w:t>16</w:t>
                  </w:r>
                  <w:r>
                    <w:rPr>
                      <w:color w:val="000000" w:themeColor="text1"/>
                      <w:kern w:val="0"/>
                      <w:szCs w:val="21"/>
                      <w14:textFill>
                        <w14:solidFill>
                          <w14:schemeClr w14:val="tx1"/>
                        </w14:solidFill>
                      </w14:textFill>
                    </w:rPr>
                    <w:t>H</w:t>
                  </w:r>
                  <w:r>
                    <w:rPr>
                      <w:color w:val="000000" w:themeColor="text1"/>
                      <w:kern w:val="0"/>
                      <w:szCs w:val="21"/>
                      <w:vertAlign w:val="subscript"/>
                      <w14:textFill>
                        <w14:solidFill>
                          <w14:schemeClr w14:val="tx1"/>
                        </w14:solidFill>
                      </w14:textFill>
                    </w:rPr>
                    <w:t>18</w:t>
                  </w:r>
                  <w:r>
                    <w:rPr>
                      <w:color w:val="000000" w:themeColor="text1"/>
                      <w:kern w:val="0"/>
                      <w:szCs w:val="21"/>
                      <w14:textFill>
                        <w14:solidFill>
                          <w14:schemeClr w14:val="tx1"/>
                        </w14:solidFill>
                      </w14:textFill>
                    </w:rPr>
                    <w:t>N</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NaO</w:t>
                  </w:r>
                  <w:r>
                    <w:rPr>
                      <w:color w:val="000000" w:themeColor="text1"/>
                      <w:kern w:val="0"/>
                      <w:szCs w:val="21"/>
                      <w:vertAlign w:val="subscript"/>
                      <w14:textFill>
                        <w14:solidFill>
                          <w14:schemeClr w14:val="tx1"/>
                        </w14:solidFill>
                      </w14:textFill>
                    </w:rPr>
                    <w:t>4</w:t>
                  </w:r>
                  <w:r>
                    <w:rPr>
                      <w:color w:val="000000" w:themeColor="text1"/>
                      <w:kern w:val="0"/>
                      <w:szCs w:val="21"/>
                      <w14:textFill>
                        <w14:solidFill>
                          <w14:schemeClr w14:val="tx1"/>
                        </w14:solidFill>
                      </w14:textFill>
                    </w:rPr>
                    <w:t>S</w:t>
                  </w:r>
                  <w:r>
                    <w:rPr>
                      <w:rFonts w:hint="eastAsia"/>
                      <w:color w:val="000000" w:themeColor="text1"/>
                      <w:kern w:val="0"/>
                      <w:szCs w:val="21"/>
                      <w14:textFill>
                        <w14:solidFill>
                          <w14:schemeClr w14:val="tx1"/>
                        </w14:solidFill>
                      </w14:textFill>
                    </w:rPr>
                    <w:t>≥85%</w:t>
                  </w:r>
                </w:p>
              </w:tc>
              <w:tc>
                <w:tcPr>
                  <w:tcW w:w="461" w:type="pct"/>
                  <w:tcBorders>
                    <w:tl2br w:val="nil"/>
                    <w:tr2bl w:val="nil"/>
                  </w:tcBorders>
                  <w:vAlign w:val="center"/>
                </w:tcPr>
                <w:p w14:paraId="5E09DEE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10瓶</w:t>
                  </w:r>
                </w:p>
              </w:tc>
              <w:tc>
                <w:tcPr>
                  <w:tcW w:w="414" w:type="pct"/>
                  <w:tcBorders>
                    <w:tl2br w:val="nil"/>
                    <w:tr2bl w:val="nil"/>
                  </w:tcBorders>
                  <w:vAlign w:val="center"/>
                </w:tcPr>
                <w:p w14:paraId="3BBA21F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6EB68BF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r>
                    <w:rPr>
                      <w:color w:val="000000" w:themeColor="text1"/>
                      <w:szCs w:val="21"/>
                      <w:vertAlign w:val="subscript"/>
                      <w14:textFill>
                        <w14:solidFill>
                          <w14:schemeClr w14:val="tx1"/>
                        </w14:solidFill>
                      </w14:textFill>
                    </w:rPr>
                    <w:t xml:space="preserve"> </w:t>
                  </w:r>
                  <w:r>
                    <w:rPr>
                      <w:color w:val="000000" w:themeColor="text1"/>
                      <w:szCs w:val="21"/>
                      <w14:textFill>
                        <w14:solidFill>
                          <w14:schemeClr w14:val="tx1"/>
                        </w14:solidFill>
                      </w14:textFill>
                    </w:rPr>
                    <w:t>g/瓶</w:t>
                  </w:r>
                </w:p>
              </w:tc>
              <w:tc>
                <w:tcPr>
                  <w:tcW w:w="439" w:type="pct"/>
                  <w:tcBorders>
                    <w:tl2br w:val="nil"/>
                    <w:tr2bl w:val="nil"/>
                  </w:tcBorders>
                  <w:vAlign w:val="center"/>
                </w:tcPr>
                <w:p w14:paraId="6C25B27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冰箱</w:t>
                  </w:r>
                </w:p>
              </w:tc>
              <w:tc>
                <w:tcPr>
                  <w:tcW w:w="345" w:type="pct"/>
                  <w:vMerge w:val="continue"/>
                  <w:tcBorders>
                    <w:tl2br w:val="nil"/>
                    <w:tr2bl w:val="nil"/>
                  </w:tcBorders>
                  <w:vAlign w:val="center"/>
                </w:tcPr>
                <w:p w14:paraId="7D3C70BE">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12BE306C">
                  <w:pPr>
                    <w:widowControl/>
                    <w:jc w:val="center"/>
                    <w:rPr>
                      <w:color w:val="000000" w:themeColor="text1"/>
                      <w:kern w:val="0"/>
                      <w:szCs w:val="21"/>
                      <w14:textFill>
                        <w14:solidFill>
                          <w14:schemeClr w14:val="tx1"/>
                        </w14:solidFill>
                      </w14:textFill>
                    </w:rPr>
                  </w:pPr>
                </w:p>
              </w:tc>
            </w:tr>
            <w:tr w14:paraId="30132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304352C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w:t>
                  </w:r>
                </w:p>
              </w:tc>
              <w:tc>
                <w:tcPr>
                  <w:tcW w:w="849" w:type="pct"/>
                  <w:tcBorders>
                    <w:tl2br w:val="nil"/>
                    <w:tr2bl w:val="nil"/>
                  </w:tcBorders>
                  <w:vAlign w:val="center"/>
                </w:tcPr>
                <w:p w14:paraId="21CBD71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盐酸壮观霉素</w:t>
                  </w:r>
                </w:p>
              </w:tc>
              <w:tc>
                <w:tcPr>
                  <w:tcW w:w="1384" w:type="pct"/>
                  <w:tcBorders>
                    <w:tl2br w:val="nil"/>
                    <w:tr2bl w:val="nil"/>
                  </w:tcBorders>
                  <w:vAlign w:val="center"/>
                </w:tcPr>
                <w:p w14:paraId="240760A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w:t>
                  </w:r>
                  <w:r>
                    <w:rPr>
                      <w:color w:val="000000" w:themeColor="text1"/>
                      <w:kern w:val="0"/>
                      <w:szCs w:val="21"/>
                      <w:vertAlign w:val="subscript"/>
                      <w14:textFill>
                        <w14:solidFill>
                          <w14:schemeClr w14:val="tx1"/>
                        </w14:solidFill>
                      </w14:textFill>
                    </w:rPr>
                    <w:t>14</w:t>
                  </w:r>
                  <w:r>
                    <w:rPr>
                      <w:color w:val="000000" w:themeColor="text1"/>
                      <w:kern w:val="0"/>
                      <w:szCs w:val="21"/>
                      <w14:textFill>
                        <w14:solidFill>
                          <w14:schemeClr w14:val="tx1"/>
                        </w14:solidFill>
                      </w14:textFill>
                    </w:rPr>
                    <w:t>H</w:t>
                  </w:r>
                  <w:r>
                    <w:rPr>
                      <w:color w:val="000000" w:themeColor="text1"/>
                      <w:kern w:val="0"/>
                      <w:szCs w:val="21"/>
                      <w:vertAlign w:val="subscript"/>
                      <w14:textFill>
                        <w14:solidFill>
                          <w14:schemeClr w14:val="tx1"/>
                        </w14:solidFill>
                      </w14:textFill>
                    </w:rPr>
                    <w:t>24</w:t>
                  </w:r>
                  <w:r>
                    <w:rPr>
                      <w:color w:val="000000" w:themeColor="text1"/>
                      <w:kern w:val="0"/>
                      <w:szCs w:val="21"/>
                      <w14:textFill>
                        <w14:solidFill>
                          <w14:schemeClr w14:val="tx1"/>
                        </w14:solidFill>
                      </w14:textFill>
                    </w:rPr>
                    <w:t>N</w:t>
                  </w:r>
                  <w:r>
                    <w:rPr>
                      <w:color w:val="000000" w:themeColor="text1"/>
                      <w:kern w:val="0"/>
                      <w:szCs w:val="21"/>
                      <w:vertAlign w:val="subscript"/>
                      <w14:textFill>
                        <w14:solidFill>
                          <w14:schemeClr w14:val="tx1"/>
                        </w14:solidFill>
                      </w14:textFill>
                    </w:rPr>
                    <w:t>2</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7</w:t>
                  </w:r>
                  <w:r>
                    <w:rPr>
                      <w:color w:val="000000" w:themeColor="text1"/>
                      <w:kern w:val="0"/>
                      <w:szCs w:val="21"/>
                      <w14:textFill>
                        <w14:solidFill>
                          <w14:schemeClr w14:val="tx1"/>
                        </w14:solidFill>
                      </w14:textFill>
                    </w:rPr>
                    <w:t>·2HCl·5H</w:t>
                  </w:r>
                  <w:r>
                    <w:rPr>
                      <w:color w:val="000000" w:themeColor="text1"/>
                      <w:kern w:val="0"/>
                      <w:szCs w:val="21"/>
                      <w:vertAlign w:val="subscript"/>
                      <w14:textFill>
                        <w14:solidFill>
                          <w14:schemeClr w14:val="tx1"/>
                        </w14:solidFill>
                      </w14:textFill>
                    </w:rPr>
                    <w:t>2</w:t>
                  </w:r>
                  <w:r>
                    <w:rPr>
                      <w:color w:val="000000" w:themeColor="text1"/>
                      <w:kern w:val="0"/>
                      <w:szCs w:val="21"/>
                      <w14:textFill>
                        <w14:solidFill>
                          <w14:schemeClr w14:val="tx1"/>
                        </w14:solidFill>
                      </w14:textFill>
                    </w:rPr>
                    <w:t>O</w:t>
                  </w:r>
                  <w:r>
                    <w:rPr>
                      <w:rFonts w:hint="eastAsia"/>
                      <w:color w:val="000000" w:themeColor="text1"/>
                      <w:kern w:val="0"/>
                      <w:szCs w:val="21"/>
                      <w14:textFill>
                        <w14:solidFill>
                          <w14:schemeClr w14:val="tx1"/>
                        </w14:solidFill>
                      </w14:textFill>
                    </w:rPr>
                    <w:t>≥75%</w:t>
                  </w:r>
                </w:p>
              </w:tc>
              <w:tc>
                <w:tcPr>
                  <w:tcW w:w="461" w:type="pct"/>
                  <w:tcBorders>
                    <w:tl2br w:val="nil"/>
                    <w:tr2bl w:val="nil"/>
                  </w:tcBorders>
                  <w:vAlign w:val="center"/>
                </w:tcPr>
                <w:p w14:paraId="4A14A61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10瓶</w:t>
                  </w:r>
                </w:p>
              </w:tc>
              <w:tc>
                <w:tcPr>
                  <w:tcW w:w="414" w:type="pct"/>
                  <w:tcBorders>
                    <w:tl2br w:val="nil"/>
                    <w:tr2bl w:val="nil"/>
                  </w:tcBorders>
                  <w:vAlign w:val="center"/>
                </w:tcPr>
                <w:p w14:paraId="153480A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1A380DF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r>
                    <w:rPr>
                      <w:color w:val="000000" w:themeColor="text1"/>
                      <w:szCs w:val="21"/>
                      <w:vertAlign w:val="subscript"/>
                      <w14:textFill>
                        <w14:solidFill>
                          <w14:schemeClr w14:val="tx1"/>
                        </w14:solidFill>
                      </w14:textFill>
                    </w:rPr>
                    <w:t xml:space="preserve"> </w:t>
                  </w:r>
                  <w:r>
                    <w:rPr>
                      <w:color w:val="000000" w:themeColor="text1"/>
                      <w:szCs w:val="21"/>
                      <w14:textFill>
                        <w14:solidFill>
                          <w14:schemeClr w14:val="tx1"/>
                        </w14:solidFill>
                      </w14:textFill>
                    </w:rPr>
                    <w:t>g/瓶</w:t>
                  </w:r>
                </w:p>
              </w:tc>
              <w:tc>
                <w:tcPr>
                  <w:tcW w:w="439" w:type="pct"/>
                  <w:tcBorders>
                    <w:tl2br w:val="nil"/>
                    <w:tr2bl w:val="nil"/>
                  </w:tcBorders>
                  <w:vAlign w:val="center"/>
                </w:tcPr>
                <w:p w14:paraId="737B7B6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冰箱</w:t>
                  </w:r>
                </w:p>
              </w:tc>
              <w:tc>
                <w:tcPr>
                  <w:tcW w:w="345" w:type="pct"/>
                  <w:vMerge w:val="continue"/>
                  <w:tcBorders>
                    <w:tl2br w:val="nil"/>
                    <w:tr2bl w:val="nil"/>
                  </w:tcBorders>
                  <w:vAlign w:val="center"/>
                </w:tcPr>
                <w:p w14:paraId="633A796E">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55516EC4">
                  <w:pPr>
                    <w:widowControl/>
                    <w:jc w:val="center"/>
                    <w:rPr>
                      <w:color w:val="000000" w:themeColor="text1"/>
                      <w:kern w:val="0"/>
                      <w:szCs w:val="21"/>
                      <w14:textFill>
                        <w14:solidFill>
                          <w14:schemeClr w14:val="tx1"/>
                        </w14:solidFill>
                      </w14:textFill>
                    </w:rPr>
                  </w:pPr>
                </w:p>
              </w:tc>
            </w:tr>
            <w:tr w14:paraId="132A4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6ADB2C5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16</w:t>
                  </w:r>
                </w:p>
              </w:tc>
              <w:tc>
                <w:tcPr>
                  <w:tcW w:w="849" w:type="pct"/>
                  <w:tcBorders>
                    <w:tl2br w:val="nil"/>
                    <w:tr2bl w:val="nil"/>
                  </w:tcBorders>
                  <w:vAlign w:val="center"/>
                </w:tcPr>
                <w:p w14:paraId="75413AE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硫酸卡那霉素</w:t>
                  </w:r>
                </w:p>
              </w:tc>
              <w:tc>
                <w:tcPr>
                  <w:tcW w:w="1384" w:type="pct"/>
                  <w:tcBorders>
                    <w:tl2br w:val="nil"/>
                    <w:tr2bl w:val="nil"/>
                  </w:tcBorders>
                  <w:vAlign w:val="center"/>
                </w:tcPr>
                <w:p w14:paraId="627EAC2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w:t>
                  </w:r>
                  <w:r>
                    <w:rPr>
                      <w:color w:val="000000" w:themeColor="text1"/>
                      <w:kern w:val="0"/>
                      <w:szCs w:val="21"/>
                      <w:vertAlign w:val="subscript"/>
                      <w14:textFill>
                        <w14:solidFill>
                          <w14:schemeClr w14:val="tx1"/>
                        </w14:solidFill>
                      </w14:textFill>
                    </w:rPr>
                    <w:t>18</w:t>
                  </w:r>
                  <w:r>
                    <w:rPr>
                      <w:color w:val="000000" w:themeColor="text1"/>
                      <w:kern w:val="0"/>
                      <w:szCs w:val="21"/>
                      <w14:textFill>
                        <w14:solidFill>
                          <w14:schemeClr w14:val="tx1"/>
                        </w14:solidFill>
                      </w14:textFill>
                    </w:rPr>
                    <w:t>H</w:t>
                  </w:r>
                  <w:r>
                    <w:rPr>
                      <w:color w:val="000000" w:themeColor="text1"/>
                      <w:kern w:val="0"/>
                      <w:szCs w:val="21"/>
                      <w:vertAlign w:val="subscript"/>
                      <w14:textFill>
                        <w14:solidFill>
                          <w14:schemeClr w14:val="tx1"/>
                        </w14:solidFill>
                      </w14:textFill>
                    </w:rPr>
                    <w:t>38</w:t>
                  </w:r>
                  <w:r>
                    <w:rPr>
                      <w:color w:val="000000" w:themeColor="text1"/>
                      <w:kern w:val="0"/>
                      <w:szCs w:val="21"/>
                      <w14:textFill>
                        <w14:solidFill>
                          <w14:schemeClr w14:val="tx1"/>
                        </w14:solidFill>
                      </w14:textFill>
                    </w:rPr>
                    <w:t>N</w:t>
                  </w:r>
                  <w:r>
                    <w:rPr>
                      <w:color w:val="000000" w:themeColor="text1"/>
                      <w:kern w:val="0"/>
                      <w:szCs w:val="21"/>
                      <w:vertAlign w:val="subscript"/>
                      <w14:textFill>
                        <w14:solidFill>
                          <w14:schemeClr w14:val="tx1"/>
                        </w14:solidFill>
                      </w14:textFill>
                    </w:rPr>
                    <w:t>4</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15</w:t>
                  </w:r>
                  <w:r>
                    <w:rPr>
                      <w:color w:val="000000" w:themeColor="text1"/>
                      <w:kern w:val="0"/>
                      <w:szCs w:val="21"/>
                      <w14:textFill>
                        <w14:solidFill>
                          <w14:schemeClr w14:val="tx1"/>
                        </w14:solidFill>
                      </w14:textFill>
                    </w:rPr>
                    <w:t>S</w:t>
                  </w:r>
                  <w:r>
                    <w:rPr>
                      <w:rFonts w:hint="eastAsia"/>
                      <w:color w:val="000000" w:themeColor="text1"/>
                      <w:kern w:val="0"/>
                      <w:szCs w:val="21"/>
                      <w14:textFill>
                        <w14:solidFill>
                          <w14:schemeClr w14:val="tx1"/>
                        </w14:solidFill>
                      </w14:textFill>
                    </w:rPr>
                    <w:t>≥75%</w:t>
                  </w:r>
                </w:p>
              </w:tc>
              <w:tc>
                <w:tcPr>
                  <w:tcW w:w="461" w:type="pct"/>
                  <w:tcBorders>
                    <w:tl2br w:val="nil"/>
                    <w:tr2bl w:val="nil"/>
                  </w:tcBorders>
                  <w:vAlign w:val="center"/>
                </w:tcPr>
                <w:p w14:paraId="30A033F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10瓶</w:t>
                  </w:r>
                </w:p>
              </w:tc>
              <w:tc>
                <w:tcPr>
                  <w:tcW w:w="414" w:type="pct"/>
                  <w:tcBorders>
                    <w:tl2br w:val="nil"/>
                    <w:tr2bl w:val="nil"/>
                  </w:tcBorders>
                  <w:vAlign w:val="center"/>
                </w:tcPr>
                <w:p w14:paraId="0CF6104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56DB383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r>
                    <w:rPr>
                      <w:color w:val="000000" w:themeColor="text1"/>
                      <w:szCs w:val="21"/>
                      <w:vertAlign w:val="subscript"/>
                      <w14:textFill>
                        <w14:solidFill>
                          <w14:schemeClr w14:val="tx1"/>
                        </w14:solidFill>
                      </w14:textFill>
                    </w:rPr>
                    <w:t xml:space="preserve"> </w:t>
                  </w:r>
                  <w:r>
                    <w:rPr>
                      <w:color w:val="000000" w:themeColor="text1"/>
                      <w:szCs w:val="21"/>
                      <w14:textFill>
                        <w14:solidFill>
                          <w14:schemeClr w14:val="tx1"/>
                        </w14:solidFill>
                      </w14:textFill>
                    </w:rPr>
                    <w:t>g/瓶</w:t>
                  </w:r>
                </w:p>
              </w:tc>
              <w:tc>
                <w:tcPr>
                  <w:tcW w:w="439" w:type="pct"/>
                  <w:tcBorders>
                    <w:tl2br w:val="nil"/>
                    <w:tr2bl w:val="nil"/>
                  </w:tcBorders>
                  <w:vAlign w:val="center"/>
                </w:tcPr>
                <w:p w14:paraId="3307F68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冰箱</w:t>
                  </w:r>
                </w:p>
              </w:tc>
              <w:tc>
                <w:tcPr>
                  <w:tcW w:w="345" w:type="pct"/>
                  <w:vMerge w:val="continue"/>
                  <w:tcBorders>
                    <w:tl2br w:val="nil"/>
                    <w:tr2bl w:val="nil"/>
                  </w:tcBorders>
                  <w:vAlign w:val="center"/>
                </w:tcPr>
                <w:p w14:paraId="5388CE57">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4260B5C6">
                  <w:pPr>
                    <w:widowControl/>
                    <w:jc w:val="center"/>
                    <w:rPr>
                      <w:color w:val="000000" w:themeColor="text1"/>
                      <w:kern w:val="0"/>
                      <w:szCs w:val="21"/>
                      <w14:textFill>
                        <w14:solidFill>
                          <w14:schemeClr w14:val="tx1"/>
                        </w14:solidFill>
                      </w14:textFill>
                    </w:rPr>
                  </w:pPr>
                </w:p>
              </w:tc>
            </w:tr>
            <w:tr w14:paraId="7C644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vAlign w:val="center"/>
                </w:tcPr>
                <w:p w14:paraId="6C32707F">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17</w:t>
                  </w:r>
                </w:p>
              </w:tc>
              <w:tc>
                <w:tcPr>
                  <w:tcW w:w="849" w:type="pct"/>
                  <w:tcBorders>
                    <w:tl2br w:val="nil"/>
                    <w:tr2bl w:val="nil"/>
                  </w:tcBorders>
                  <w:vAlign w:val="center"/>
                </w:tcPr>
                <w:p w14:paraId="661297E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蛋白胨</w:t>
                  </w:r>
                </w:p>
              </w:tc>
              <w:tc>
                <w:tcPr>
                  <w:tcW w:w="1384" w:type="pct"/>
                  <w:tcBorders>
                    <w:tl2br w:val="nil"/>
                    <w:tr2bl w:val="nil"/>
                  </w:tcBorders>
                  <w:vAlign w:val="center"/>
                </w:tcPr>
                <w:p w14:paraId="725A0B6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蛋白质、氨基酸</w:t>
                  </w:r>
                </w:p>
              </w:tc>
              <w:tc>
                <w:tcPr>
                  <w:tcW w:w="461" w:type="pct"/>
                  <w:tcBorders>
                    <w:tl2br w:val="nil"/>
                    <w:tr2bl w:val="nil"/>
                  </w:tcBorders>
                  <w:vAlign w:val="center"/>
                </w:tcPr>
                <w:p w14:paraId="03752945">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0.75kg</w:t>
                  </w:r>
                </w:p>
              </w:tc>
              <w:tc>
                <w:tcPr>
                  <w:tcW w:w="414" w:type="pct"/>
                  <w:tcBorders>
                    <w:tl2br w:val="nil"/>
                    <w:tr2bl w:val="nil"/>
                  </w:tcBorders>
                  <w:vAlign w:val="center"/>
                </w:tcPr>
                <w:p w14:paraId="40BCF96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2瓶</w:t>
                  </w:r>
                </w:p>
              </w:tc>
              <w:tc>
                <w:tcPr>
                  <w:tcW w:w="571" w:type="pct"/>
                  <w:tcBorders>
                    <w:tl2br w:val="nil"/>
                    <w:tr2bl w:val="nil"/>
                  </w:tcBorders>
                  <w:vAlign w:val="center"/>
                </w:tcPr>
                <w:p w14:paraId="2CB9E81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250g/瓶</w:t>
                  </w:r>
                </w:p>
              </w:tc>
              <w:tc>
                <w:tcPr>
                  <w:tcW w:w="439" w:type="pct"/>
                  <w:tcBorders>
                    <w:tl2br w:val="nil"/>
                    <w:tr2bl w:val="nil"/>
                  </w:tcBorders>
                  <w:vAlign w:val="center"/>
                </w:tcPr>
                <w:p w14:paraId="7309D99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5BECDC14">
                  <w:pPr>
                    <w:widowControl/>
                    <w:jc w:val="center"/>
                    <w:rPr>
                      <w:color w:val="000000" w:themeColor="text1"/>
                      <w:kern w:val="0"/>
                      <w:szCs w:val="21"/>
                      <w14:textFill>
                        <w14:solidFill>
                          <w14:schemeClr w14:val="tx1"/>
                        </w14:solidFill>
                      </w14:textFill>
                    </w:rPr>
                  </w:pPr>
                </w:p>
              </w:tc>
              <w:tc>
                <w:tcPr>
                  <w:tcW w:w="355" w:type="pct"/>
                  <w:vMerge w:val="restart"/>
                  <w:tcBorders>
                    <w:tl2br w:val="nil"/>
                    <w:tr2bl w:val="nil"/>
                  </w:tcBorders>
                  <w:vAlign w:val="center"/>
                </w:tcPr>
                <w:p w14:paraId="28C3D8E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菌种发酵</w:t>
                  </w:r>
                </w:p>
              </w:tc>
            </w:tr>
            <w:tr w14:paraId="5AB94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shd w:val="clear" w:color="auto" w:fill="auto"/>
                  <w:vAlign w:val="center"/>
                </w:tcPr>
                <w:p w14:paraId="2ED17136">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18</w:t>
                  </w:r>
                </w:p>
              </w:tc>
              <w:tc>
                <w:tcPr>
                  <w:tcW w:w="849" w:type="pct"/>
                  <w:tcBorders>
                    <w:tl2br w:val="nil"/>
                    <w:tr2bl w:val="nil"/>
                  </w:tcBorders>
                  <w:vAlign w:val="center"/>
                </w:tcPr>
                <w:p w14:paraId="33F0E2B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氯化钠</w:t>
                  </w:r>
                </w:p>
              </w:tc>
              <w:tc>
                <w:tcPr>
                  <w:tcW w:w="1384" w:type="pct"/>
                  <w:tcBorders>
                    <w:tl2br w:val="nil"/>
                    <w:tr2bl w:val="nil"/>
                  </w:tcBorders>
                  <w:vAlign w:val="center"/>
                </w:tcPr>
                <w:p w14:paraId="3B371007">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NaCl ≥99.5%</w:t>
                  </w:r>
                </w:p>
              </w:tc>
              <w:tc>
                <w:tcPr>
                  <w:tcW w:w="461" w:type="pct"/>
                  <w:tcBorders>
                    <w:tl2br w:val="nil"/>
                    <w:tr2bl w:val="nil"/>
                  </w:tcBorders>
                  <w:vAlign w:val="center"/>
                </w:tcPr>
                <w:p w14:paraId="4A6EAC31">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0.05kg</w:t>
                  </w:r>
                </w:p>
              </w:tc>
              <w:tc>
                <w:tcPr>
                  <w:tcW w:w="414" w:type="pct"/>
                  <w:tcBorders>
                    <w:tl2br w:val="nil"/>
                    <w:tr2bl w:val="nil"/>
                  </w:tcBorders>
                  <w:vAlign w:val="center"/>
                </w:tcPr>
                <w:p w14:paraId="12D0B0D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6B1DD8B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500g/瓶</w:t>
                  </w:r>
                </w:p>
              </w:tc>
              <w:tc>
                <w:tcPr>
                  <w:tcW w:w="439" w:type="pct"/>
                  <w:tcBorders>
                    <w:tl2br w:val="nil"/>
                    <w:tr2bl w:val="nil"/>
                  </w:tcBorders>
                  <w:vAlign w:val="center"/>
                </w:tcPr>
                <w:p w14:paraId="730EBFE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17E63886">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76133A87">
                  <w:pPr>
                    <w:widowControl/>
                    <w:jc w:val="center"/>
                    <w:rPr>
                      <w:color w:val="000000" w:themeColor="text1"/>
                      <w:kern w:val="0"/>
                      <w:szCs w:val="21"/>
                      <w14:textFill>
                        <w14:solidFill>
                          <w14:schemeClr w14:val="tx1"/>
                        </w14:solidFill>
                      </w14:textFill>
                    </w:rPr>
                  </w:pPr>
                </w:p>
              </w:tc>
            </w:tr>
            <w:tr w14:paraId="08E31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shd w:val="clear" w:color="auto" w:fill="auto"/>
                  <w:vAlign w:val="center"/>
                </w:tcPr>
                <w:p w14:paraId="103FEDF2">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19</w:t>
                  </w:r>
                </w:p>
              </w:tc>
              <w:tc>
                <w:tcPr>
                  <w:tcW w:w="849" w:type="pct"/>
                  <w:tcBorders>
                    <w:tl2br w:val="nil"/>
                    <w:tr2bl w:val="nil"/>
                  </w:tcBorders>
                  <w:vAlign w:val="center"/>
                </w:tcPr>
                <w:p w14:paraId="7F98237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酵母粉</w:t>
                  </w:r>
                </w:p>
              </w:tc>
              <w:tc>
                <w:tcPr>
                  <w:tcW w:w="1384" w:type="pct"/>
                  <w:tcBorders>
                    <w:tl2br w:val="nil"/>
                    <w:tr2bl w:val="nil"/>
                  </w:tcBorders>
                  <w:vAlign w:val="center"/>
                </w:tcPr>
                <w:p w14:paraId="0A969D07">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氨基氮、维生素</w:t>
                  </w:r>
                </w:p>
              </w:tc>
              <w:tc>
                <w:tcPr>
                  <w:tcW w:w="461" w:type="pct"/>
                  <w:tcBorders>
                    <w:tl2br w:val="nil"/>
                    <w:tr2bl w:val="nil"/>
                  </w:tcBorders>
                  <w:vAlign w:val="center"/>
                </w:tcPr>
                <w:p w14:paraId="4F12B995">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0.05kg</w:t>
                  </w:r>
                </w:p>
              </w:tc>
              <w:tc>
                <w:tcPr>
                  <w:tcW w:w="414" w:type="pct"/>
                  <w:tcBorders>
                    <w:tl2br w:val="nil"/>
                    <w:tr2bl w:val="nil"/>
                  </w:tcBorders>
                  <w:vAlign w:val="center"/>
                </w:tcPr>
                <w:p w14:paraId="1C66712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210EDD5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500g/瓶</w:t>
                  </w:r>
                </w:p>
              </w:tc>
              <w:tc>
                <w:tcPr>
                  <w:tcW w:w="439" w:type="pct"/>
                  <w:tcBorders>
                    <w:tl2br w:val="nil"/>
                    <w:tr2bl w:val="nil"/>
                  </w:tcBorders>
                  <w:vAlign w:val="center"/>
                </w:tcPr>
                <w:p w14:paraId="524D86E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033E20C5">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017BE3E9">
                  <w:pPr>
                    <w:widowControl/>
                    <w:jc w:val="center"/>
                    <w:rPr>
                      <w:color w:val="000000" w:themeColor="text1"/>
                      <w:kern w:val="0"/>
                      <w:szCs w:val="21"/>
                      <w14:textFill>
                        <w14:solidFill>
                          <w14:schemeClr w14:val="tx1"/>
                        </w14:solidFill>
                      </w14:textFill>
                    </w:rPr>
                  </w:pPr>
                </w:p>
              </w:tc>
            </w:tr>
            <w:tr w14:paraId="6A042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shd w:val="clear" w:color="auto" w:fill="auto"/>
                  <w:vAlign w:val="center"/>
                </w:tcPr>
                <w:p w14:paraId="0B6626A8">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20</w:t>
                  </w:r>
                </w:p>
              </w:tc>
              <w:tc>
                <w:tcPr>
                  <w:tcW w:w="849" w:type="pct"/>
                  <w:tcBorders>
                    <w:tl2br w:val="nil"/>
                    <w:tr2bl w:val="nil"/>
                  </w:tcBorders>
                  <w:vAlign w:val="center"/>
                </w:tcPr>
                <w:p w14:paraId="68E5BD0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甘油</w:t>
                  </w:r>
                </w:p>
              </w:tc>
              <w:tc>
                <w:tcPr>
                  <w:tcW w:w="1384" w:type="pct"/>
                  <w:tcBorders>
                    <w:tl2br w:val="nil"/>
                    <w:tr2bl w:val="nil"/>
                  </w:tcBorders>
                  <w:vAlign w:val="center"/>
                </w:tcPr>
                <w:p w14:paraId="509171D7">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C</w:t>
                  </w:r>
                  <w:r>
                    <w:rPr>
                      <w:rFonts w:hint="eastAsia"/>
                      <w:color w:val="000000" w:themeColor="text1"/>
                      <w:kern w:val="0"/>
                      <w:szCs w:val="21"/>
                      <w:vertAlign w:val="subscript"/>
                      <w14:textFill>
                        <w14:solidFill>
                          <w14:schemeClr w14:val="tx1"/>
                        </w14:solidFill>
                      </w14:textFill>
                    </w:rPr>
                    <w:t>3</w:t>
                  </w:r>
                  <w:r>
                    <w:rPr>
                      <w:rFonts w:hint="eastAsia"/>
                      <w:color w:val="000000" w:themeColor="text1"/>
                      <w:kern w:val="0"/>
                      <w:szCs w:val="21"/>
                      <w14:textFill>
                        <w14:solidFill>
                          <w14:schemeClr w14:val="tx1"/>
                        </w14:solidFill>
                      </w14:textFill>
                    </w:rPr>
                    <w:t>H</w:t>
                  </w:r>
                  <w:r>
                    <w:rPr>
                      <w:rFonts w:hint="eastAsia"/>
                      <w:color w:val="000000" w:themeColor="text1"/>
                      <w:kern w:val="0"/>
                      <w:szCs w:val="21"/>
                      <w:vertAlign w:val="subscript"/>
                      <w14:textFill>
                        <w14:solidFill>
                          <w14:schemeClr w14:val="tx1"/>
                        </w14:solidFill>
                      </w14:textFill>
                    </w:rPr>
                    <w:t>8</w:t>
                  </w:r>
                  <w:r>
                    <w:rPr>
                      <w:rFonts w:hint="eastAsia"/>
                      <w:color w:val="000000" w:themeColor="text1"/>
                      <w:kern w:val="0"/>
                      <w:szCs w:val="21"/>
                      <w14:textFill>
                        <w14:solidFill>
                          <w14:schemeClr w14:val="tx1"/>
                        </w14:solidFill>
                      </w14:textFill>
                    </w:rPr>
                    <w:t>O</w:t>
                  </w:r>
                  <w:r>
                    <w:rPr>
                      <w:rFonts w:hint="eastAsia"/>
                      <w:color w:val="000000" w:themeColor="text1"/>
                      <w:kern w:val="0"/>
                      <w:szCs w:val="21"/>
                      <w:vertAlign w:val="subscript"/>
                      <w14:textFill>
                        <w14:solidFill>
                          <w14:schemeClr w14:val="tx1"/>
                        </w14:solidFill>
                      </w14:textFill>
                    </w:rPr>
                    <w:t>3</w:t>
                  </w:r>
                  <w:r>
                    <w:rPr>
                      <w:rFonts w:hint="eastAsia"/>
                      <w:color w:val="000000" w:themeColor="text1"/>
                      <w:kern w:val="0"/>
                      <w:szCs w:val="21"/>
                      <w14:textFill>
                        <w14:solidFill>
                          <w14:schemeClr w14:val="tx1"/>
                        </w14:solidFill>
                      </w14:textFill>
                    </w:rPr>
                    <w:t xml:space="preserve"> ≥99.5%</w:t>
                  </w:r>
                </w:p>
              </w:tc>
              <w:tc>
                <w:tcPr>
                  <w:tcW w:w="461" w:type="pct"/>
                  <w:tcBorders>
                    <w:tl2br w:val="nil"/>
                    <w:tr2bl w:val="nil"/>
                  </w:tcBorders>
                  <w:vAlign w:val="center"/>
                </w:tcPr>
                <w:p w14:paraId="76C92F47">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45kg</w:t>
                  </w:r>
                </w:p>
              </w:tc>
              <w:tc>
                <w:tcPr>
                  <w:tcW w:w="414" w:type="pct"/>
                  <w:tcBorders>
                    <w:tl2br w:val="nil"/>
                    <w:tr2bl w:val="nil"/>
                  </w:tcBorders>
                  <w:vAlign w:val="center"/>
                </w:tcPr>
                <w:p w14:paraId="1F279F6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10瓶</w:t>
                  </w:r>
                </w:p>
              </w:tc>
              <w:tc>
                <w:tcPr>
                  <w:tcW w:w="571" w:type="pct"/>
                  <w:tcBorders>
                    <w:tl2br w:val="nil"/>
                    <w:tr2bl w:val="nil"/>
                  </w:tcBorders>
                  <w:vAlign w:val="center"/>
                </w:tcPr>
                <w:p w14:paraId="4E1AAF0C">
                  <w:pPr>
                    <w:jc w:val="center"/>
                    <w:rPr>
                      <w:rFonts w:eastAsiaTheme="minorEastAsia"/>
                      <w:color w:val="000000" w:themeColor="text1"/>
                      <w:szCs w:val="21"/>
                      <w14:textFill>
                        <w14:solidFill>
                          <w14:schemeClr w14:val="tx1"/>
                        </w14:solidFill>
                      </w14:textFill>
                      <w14:ligatures w14:val="standardContextual"/>
                    </w:rPr>
                  </w:pPr>
                  <w:r>
                    <w:rPr>
                      <w:rFonts w:hint="eastAsia" w:eastAsiaTheme="minorEastAsia"/>
                      <w:color w:val="000000" w:themeColor="text1"/>
                      <w:szCs w:val="21"/>
                      <w14:textFill>
                        <w14:solidFill>
                          <w14:schemeClr w14:val="tx1"/>
                        </w14:solidFill>
                      </w14:textFill>
                      <w14:ligatures w14:val="standardContextual"/>
                    </w:rPr>
                    <w:t>1L/瓶</w:t>
                  </w:r>
                </w:p>
              </w:tc>
              <w:tc>
                <w:tcPr>
                  <w:tcW w:w="439" w:type="pct"/>
                  <w:tcBorders>
                    <w:tl2br w:val="nil"/>
                    <w:tr2bl w:val="nil"/>
                  </w:tcBorders>
                  <w:vAlign w:val="center"/>
                </w:tcPr>
                <w:p w14:paraId="70BA328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323156B6">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29D84CB9">
                  <w:pPr>
                    <w:widowControl/>
                    <w:jc w:val="center"/>
                    <w:rPr>
                      <w:color w:val="000000" w:themeColor="text1"/>
                      <w:kern w:val="0"/>
                      <w:szCs w:val="21"/>
                      <w14:textFill>
                        <w14:solidFill>
                          <w14:schemeClr w14:val="tx1"/>
                        </w14:solidFill>
                      </w14:textFill>
                    </w:rPr>
                  </w:pPr>
                </w:p>
              </w:tc>
            </w:tr>
            <w:tr w14:paraId="1823B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shd w:val="clear" w:color="auto" w:fill="auto"/>
                  <w:vAlign w:val="center"/>
                </w:tcPr>
                <w:p w14:paraId="3D9C1063">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21</w:t>
                  </w:r>
                </w:p>
              </w:tc>
              <w:tc>
                <w:tcPr>
                  <w:tcW w:w="849" w:type="pct"/>
                  <w:tcBorders>
                    <w:tl2br w:val="nil"/>
                    <w:tr2bl w:val="nil"/>
                  </w:tcBorders>
                  <w:vAlign w:val="center"/>
                </w:tcPr>
                <w:p w14:paraId="272D6AC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葡萄糖</w:t>
                  </w:r>
                </w:p>
              </w:tc>
              <w:tc>
                <w:tcPr>
                  <w:tcW w:w="1384" w:type="pct"/>
                  <w:tcBorders>
                    <w:tl2br w:val="nil"/>
                    <w:tr2bl w:val="nil"/>
                  </w:tcBorders>
                  <w:vAlign w:val="center"/>
                </w:tcPr>
                <w:p w14:paraId="146517DA">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w:t>
                  </w:r>
                  <w:r>
                    <w:rPr>
                      <w:color w:val="000000" w:themeColor="text1"/>
                      <w:kern w:val="0"/>
                      <w:szCs w:val="21"/>
                      <w:vertAlign w:val="subscript"/>
                      <w14:textFill>
                        <w14:solidFill>
                          <w14:schemeClr w14:val="tx1"/>
                        </w14:solidFill>
                      </w14:textFill>
                    </w:rPr>
                    <w:t>6</w:t>
                  </w:r>
                  <w:r>
                    <w:rPr>
                      <w:color w:val="000000" w:themeColor="text1"/>
                      <w:kern w:val="0"/>
                      <w:szCs w:val="21"/>
                      <w14:textFill>
                        <w14:solidFill>
                          <w14:schemeClr w14:val="tx1"/>
                        </w14:solidFill>
                      </w14:textFill>
                    </w:rPr>
                    <w:t>H</w:t>
                  </w:r>
                  <w:r>
                    <w:rPr>
                      <w:color w:val="000000" w:themeColor="text1"/>
                      <w:kern w:val="0"/>
                      <w:szCs w:val="21"/>
                      <w:vertAlign w:val="subscript"/>
                      <w14:textFill>
                        <w14:solidFill>
                          <w14:schemeClr w14:val="tx1"/>
                        </w14:solidFill>
                      </w14:textFill>
                    </w:rPr>
                    <w:t>12</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6</w:t>
                  </w:r>
                  <w:r>
                    <w:rPr>
                      <w:rFonts w:hint="eastAsia"/>
                      <w:color w:val="000000" w:themeColor="text1"/>
                      <w:kern w:val="0"/>
                      <w:szCs w:val="21"/>
                      <w:vertAlign w:val="subscript"/>
                      <w14:textFill>
                        <w14:solidFill>
                          <w14:schemeClr w14:val="tx1"/>
                        </w14:solidFill>
                      </w14:textFill>
                    </w:rPr>
                    <w:t xml:space="preserve"> </w:t>
                  </w:r>
                  <w:r>
                    <w:rPr>
                      <w:rFonts w:hint="eastAsia"/>
                      <w:color w:val="000000" w:themeColor="text1"/>
                      <w:kern w:val="0"/>
                      <w:szCs w:val="21"/>
                      <w14:textFill>
                        <w14:solidFill>
                          <w14:schemeClr w14:val="tx1"/>
                        </w14:solidFill>
                      </w14:textFill>
                    </w:rPr>
                    <w:t>≥99.5%</w:t>
                  </w:r>
                </w:p>
              </w:tc>
              <w:tc>
                <w:tcPr>
                  <w:tcW w:w="461" w:type="pct"/>
                  <w:tcBorders>
                    <w:tl2br w:val="nil"/>
                    <w:tr2bl w:val="nil"/>
                  </w:tcBorders>
                  <w:vAlign w:val="center"/>
                </w:tcPr>
                <w:p w14:paraId="0550C058">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22.5kg</w:t>
                  </w:r>
                </w:p>
              </w:tc>
              <w:tc>
                <w:tcPr>
                  <w:tcW w:w="414" w:type="pct"/>
                  <w:tcBorders>
                    <w:tl2br w:val="nil"/>
                    <w:tr2bl w:val="nil"/>
                  </w:tcBorders>
                  <w:vAlign w:val="center"/>
                </w:tcPr>
                <w:p w14:paraId="05EFA1A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1桶</w:t>
                  </w:r>
                </w:p>
              </w:tc>
              <w:tc>
                <w:tcPr>
                  <w:tcW w:w="571" w:type="pct"/>
                  <w:tcBorders>
                    <w:tl2br w:val="nil"/>
                    <w:tr2bl w:val="nil"/>
                  </w:tcBorders>
                  <w:vAlign w:val="center"/>
                </w:tcPr>
                <w:p w14:paraId="5519213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25kg/桶</w:t>
                  </w:r>
                </w:p>
              </w:tc>
              <w:tc>
                <w:tcPr>
                  <w:tcW w:w="439" w:type="pct"/>
                  <w:tcBorders>
                    <w:tl2br w:val="nil"/>
                    <w:tr2bl w:val="nil"/>
                  </w:tcBorders>
                  <w:vAlign w:val="center"/>
                </w:tcPr>
                <w:p w14:paraId="401B1E0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6B5AF7F5">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1BE76BEA">
                  <w:pPr>
                    <w:widowControl/>
                    <w:jc w:val="center"/>
                    <w:rPr>
                      <w:color w:val="000000" w:themeColor="text1"/>
                      <w:kern w:val="0"/>
                      <w:szCs w:val="21"/>
                      <w14:textFill>
                        <w14:solidFill>
                          <w14:schemeClr w14:val="tx1"/>
                        </w14:solidFill>
                      </w14:textFill>
                    </w:rPr>
                  </w:pPr>
                </w:p>
              </w:tc>
            </w:tr>
            <w:tr w14:paraId="7557D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shd w:val="clear" w:color="auto" w:fill="auto"/>
                  <w:vAlign w:val="center"/>
                </w:tcPr>
                <w:p w14:paraId="2D517A8B">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22</w:t>
                  </w:r>
                </w:p>
              </w:tc>
              <w:tc>
                <w:tcPr>
                  <w:tcW w:w="849" w:type="pct"/>
                  <w:tcBorders>
                    <w:tl2br w:val="nil"/>
                    <w:tr2bl w:val="nil"/>
                  </w:tcBorders>
                  <w:vAlign w:val="center"/>
                </w:tcPr>
                <w:p w14:paraId="29D6F77F">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磷酸氢二钾</w:t>
                  </w:r>
                </w:p>
              </w:tc>
              <w:tc>
                <w:tcPr>
                  <w:tcW w:w="1384" w:type="pct"/>
                  <w:tcBorders>
                    <w:tl2br w:val="nil"/>
                    <w:tr2bl w:val="nil"/>
                  </w:tcBorders>
                  <w:vAlign w:val="center"/>
                </w:tcPr>
                <w:p w14:paraId="36E1842D">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 K</w:t>
                  </w:r>
                  <w:r>
                    <w:rPr>
                      <w:rFonts w:hint="eastAsia"/>
                      <w:color w:val="000000" w:themeColor="text1"/>
                      <w:kern w:val="0"/>
                      <w:szCs w:val="21"/>
                      <w:vertAlign w:val="subscript"/>
                      <w14:textFill>
                        <w14:solidFill>
                          <w14:schemeClr w14:val="tx1"/>
                        </w14:solidFill>
                      </w14:textFill>
                    </w:rPr>
                    <w:t>2</w:t>
                  </w:r>
                  <w:r>
                    <w:rPr>
                      <w:color w:val="000000" w:themeColor="text1"/>
                      <w:kern w:val="0"/>
                      <w:szCs w:val="21"/>
                      <w14:textFill>
                        <w14:solidFill>
                          <w14:schemeClr w14:val="tx1"/>
                        </w14:solidFill>
                      </w14:textFill>
                    </w:rPr>
                    <w:t>H</w:t>
                  </w:r>
                  <w:r>
                    <w:rPr>
                      <w:rFonts w:hint="eastAsia"/>
                      <w:color w:val="000000" w:themeColor="text1"/>
                      <w:kern w:val="0"/>
                      <w:szCs w:val="21"/>
                      <w14:textFill>
                        <w14:solidFill>
                          <w14:schemeClr w14:val="tx1"/>
                        </w14:solidFill>
                      </w14:textFill>
                    </w:rPr>
                    <w:t>P</w:t>
                  </w:r>
                  <w:r>
                    <w:rPr>
                      <w:color w:val="000000" w:themeColor="text1"/>
                      <w:kern w:val="0"/>
                      <w:szCs w:val="21"/>
                      <w14:textFill>
                        <w14:solidFill>
                          <w14:schemeClr w14:val="tx1"/>
                        </w14:solidFill>
                      </w14:textFill>
                    </w:rPr>
                    <w:t>O</w:t>
                  </w:r>
                  <w:r>
                    <w:rPr>
                      <w:rFonts w:hint="eastAsia"/>
                      <w:color w:val="000000" w:themeColor="text1"/>
                      <w:kern w:val="0"/>
                      <w:szCs w:val="21"/>
                      <w:vertAlign w:val="subscript"/>
                      <w14:textFill>
                        <w14:solidFill>
                          <w14:schemeClr w14:val="tx1"/>
                        </w14:solidFill>
                      </w14:textFill>
                    </w:rPr>
                    <w:t xml:space="preserve">4 </w:t>
                  </w:r>
                  <w:r>
                    <w:rPr>
                      <w:rFonts w:hint="eastAsia"/>
                      <w:color w:val="000000" w:themeColor="text1"/>
                      <w:kern w:val="0"/>
                      <w:szCs w:val="21"/>
                      <w14:textFill>
                        <w14:solidFill>
                          <w14:schemeClr w14:val="tx1"/>
                        </w14:solidFill>
                      </w14:textFill>
                    </w:rPr>
                    <w:t>≥99%</w:t>
                  </w:r>
                </w:p>
              </w:tc>
              <w:tc>
                <w:tcPr>
                  <w:tcW w:w="461" w:type="pct"/>
                  <w:tcBorders>
                    <w:tl2br w:val="nil"/>
                    <w:tr2bl w:val="nil"/>
                  </w:tcBorders>
                  <w:vAlign w:val="center"/>
                </w:tcPr>
                <w:p w14:paraId="04987F4E">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1.5kg</w:t>
                  </w:r>
                </w:p>
              </w:tc>
              <w:tc>
                <w:tcPr>
                  <w:tcW w:w="414" w:type="pct"/>
                  <w:tcBorders>
                    <w:tl2br w:val="nil"/>
                    <w:tr2bl w:val="nil"/>
                  </w:tcBorders>
                  <w:vAlign w:val="center"/>
                </w:tcPr>
                <w:p w14:paraId="6958755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019AE95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1kg/瓶</w:t>
                  </w:r>
                </w:p>
              </w:tc>
              <w:tc>
                <w:tcPr>
                  <w:tcW w:w="439" w:type="pct"/>
                  <w:tcBorders>
                    <w:tl2br w:val="nil"/>
                    <w:tr2bl w:val="nil"/>
                  </w:tcBorders>
                  <w:vAlign w:val="center"/>
                </w:tcPr>
                <w:p w14:paraId="2EF795A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6B355E6B">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79741508">
                  <w:pPr>
                    <w:widowControl/>
                    <w:jc w:val="center"/>
                    <w:rPr>
                      <w:color w:val="000000" w:themeColor="text1"/>
                      <w:kern w:val="0"/>
                      <w:szCs w:val="21"/>
                      <w14:textFill>
                        <w14:solidFill>
                          <w14:schemeClr w14:val="tx1"/>
                        </w14:solidFill>
                      </w14:textFill>
                    </w:rPr>
                  </w:pPr>
                </w:p>
              </w:tc>
            </w:tr>
            <w:tr w14:paraId="007EB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shd w:val="clear" w:color="auto" w:fill="auto"/>
                  <w:vAlign w:val="center"/>
                </w:tcPr>
                <w:p w14:paraId="46683CCC">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23</w:t>
                  </w:r>
                </w:p>
              </w:tc>
              <w:tc>
                <w:tcPr>
                  <w:tcW w:w="849" w:type="pct"/>
                  <w:tcBorders>
                    <w:tl2br w:val="nil"/>
                    <w:tr2bl w:val="nil"/>
                  </w:tcBorders>
                  <w:vAlign w:val="center"/>
                </w:tcPr>
                <w:p w14:paraId="27F13567">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磷酸二氢钾</w:t>
                  </w:r>
                </w:p>
              </w:tc>
              <w:tc>
                <w:tcPr>
                  <w:tcW w:w="1384" w:type="pct"/>
                  <w:tcBorders>
                    <w:tl2br w:val="nil"/>
                    <w:tr2bl w:val="nil"/>
                  </w:tcBorders>
                  <w:vAlign w:val="center"/>
                </w:tcPr>
                <w:p w14:paraId="6B9A7B58">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 K</w:t>
                  </w:r>
                  <w:r>
                    <w:rPr>
                      <w:color w:val="000000" w:themeColor="text1"/>
                      <w:kern w:val="0"/>
                      <w:szCs w:val="21"/>
                      <w14:textFill>
                        <w14:solidFill>
                          <w14:schemeClr w14:val="tx1"/>
                        </w14:solidFill>
                      </w14:textFill>
                    </w:rPr>
                    <w:t>H</w:t>
                  </w:r>
                  <w:r>
                    <w:rPr>
                      <w:rFonts w:hint="eastAsia"/>
                      <w:color w:val="000000" w:themeColor="text1"/>
                      <w:kern w:val="0"/>
                      <w:szCs w:val="21"/>
                      <w:vertAlign w:val="subscript"/>
                      <w14:textFill>
                        <w14:solidFill>
                          <w14:schemeClr w14:val="tx1"/>
                        </w14:solidFill>
                      </w14:textFill>
                    </w:rPr>
                    <w:t>2</w:t>
                  </w:r>
                  <w:r>
                    <w:rPr>
                      <w:rFonts w:hint="eastAsia"/>
                      <w:color w:val="000000" w:themeColor="text1"/>
                      <w:kern w:val="0"/>
                      <w:szCs w:val="21"/>
                      <w14:textFill>
                        <w14:solidFill>
                          <w14:schemeClr w14:val="tx1"/>
                        </w14:solidFill>
                      </w14:textFill>
                    </w:rPr>
                    <w:t>P</w:t>
                  </w:r>
                  <w:r>
                    <w:rPr>
                      <w:color w:val="000000" w:themeColor="text1"/>
                      <w:kern w:val="0"/>
                      <w:szCs w:val="21"/>
                      <w14:textFill>
                        <w14:solidFill>
                          <w14:schemeClr w14:val="tx1"/>
                        </w14:solidFill>
                      </w14:textFill>
                    </w:rPr>
                    <w:t>O</w:t>
                  </w:r>
                  <w:r>
                    <w:rPr>
                      <w:rFonts w:hint="eastAsia"/>
                      <w:color w:val="000000" w:themeColor="text1"/>
                      <w:kern w:val="0"/>
                      <w:szCs w:val="21"/>
                      <w:vertAlign w:val="subscript"/>
                      <w14:textFill>
                        <w14:solidFill>
                          <w14:schemeClr w14:val="tx1"/>
                        </w14:solidFill>
                      </w14:textFill>
                    </w:rPr>
                    <w:t xml:space="preserve">4 </w:t>
                  </w:r>
                  <w:r>
                    <w:rPr>
                      <w:rFonts w:hint="eastAsia"/>
                      <w:color w:val="000000" w:themeColor="text1"/>
                      <w:kern w:val="0"/>
                      <w:szCs w:val="21"/>
                      <w14:textFill>
                        <w14:solidFill>
                          <w14:schemeClr w14:val="tx1"/>
                        </w14:solidFill>
                      </w14:textFill>
                    </w:rPr>
                    <w:t>≥99%</w:t>
                  </w:r>
                </w:p>
              </w:tc>
              <w:tc>
                <w:tcPr>
                  <w:tcW w:w="461" w:type="pct"/>
                  <w:tcBorders>
                    <w:tl2br w:val="nil"/>
                    <w:tr2bl w:val="nil"/>
                  </w:tcBorders>
                  <w:vAlign w:val="center"/>
                </w:tcPr>
                <w:p w14:paraId="207AD163">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1.5kg</w:t>
                  </w:r>
                </w:p>
              </w:tc>
              <w:tc>
                <w:tcPr>
                  <w:tcW w:w="414" w:type="pct"/>
                  <w:tcBorders>
                    <w:tl2br w:val="nil"/>
                    <w:tr2bl w:val="nil"/>
                  </w:tcBorders>
                  <w:vAlign w:val="center"/>
                </w:tcPr>
                <w:p w14:paraId="22BF848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284C066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1kg/瓶</w:t>
                  </w:r>
                </w:p>
              </w:tc>
              <w:tc>
                <w:tcPr>
                  <w:tcW w:w="439" w:type="pct"/>
                  <w:tcBorders>
                    <w:tl2br w:val="nil"/>
                    <w:tr2bl w:val="nil"/>
                  </w:tcBorders>
                  <w:vAlign w:val="center"/>
                </w:tcPr>
                <w:p w14:paraId="079EBC0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6FA0B9ED">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0409A154">
                  <w:pPr>
                    <w:widowControl/>
                    <w:jc w:val="center"/>
                    <w:rPr>
                      <w:color w:val="000000" w:themeColor="text1"/>
                      <w:kern w:val="0"/>
                      <w:szCs w:val="21"/>
                      <w14:textFill>
                        <w14:solidFill>
                          <w14:schemeClr w14:val="tx1"/>
                        </w14:solidFill>
                      </w14:textFill>
                    </w:rPr>
                  </w:pPr>
                </w:p>
              </w:tc>
            </w:tr>
            <w:tr w14:paraId="086BF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8" w:type="pct"/>
                  <w:tcBorders>
                    <w:tl2br w:val="nil"/>
                    <w:tr2bl w:val="nil"/>
                  </w:tcBorders>
                  <w:shd w:val="clear" w:color="auto" w:fill="auto"/>
                  <w:vAlign w:val="center"/>
                </w:tcPr>
                <w:p w14:paraId="18B66631">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24</w:t>
                  </w:r>
                </w:p>
              </w:tc>
              <w:tc>
                <w:tcPr>
                  <w:tcW w:w="849" w:type="pct"/>
                  <w:tcBorders>
                    <w:tl2br w:val="nil"/>
                    <w:tr2bl w:val="nil"/>
                  </w:tcBorders>
                  <w:vAlign w:val="center"/>
                </w:tcPr>
                <w:p w14:paraId="287B2B1D">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硫酸镁</w:t>
                  </w:r>
                </w:p>
              </w:tc>
              <w:tc>
                <w:tcPr>
                  <w:tcW w:w="1384" w:type="pct"/>
                  <w:tcBorders>
                    <w:tl2br w:val="nil"/>
                    <w:tr2bl w:val="nil"/>
                  </w:tcBorders>
                  <w:vAlign w:val="center"/>
                </w:tcPr>
                <w:p w14:paraId="1831B731">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MgSO</w:t>
                  </w:r>
                  <w:r>
                    <w:rPr>
                      <w:color w:val="000000" w:themeColor="text1"/>
                      <w:kern w:val="0"/>
                      <w:szCs w:val="21"/>
                      <w:vertAlign w:val="subscript"/>
                      <w14:textFill>
                        <w14:solidFill>
                          <w14:schemeClr w14:val="tx1"/>
                        </w14:solidFill>
                      </w14:textFill>
                    </w:rPr>
                    <w:t>4</w:t>
                  </w:r>
                  <w:r>
                    <w:rPr>
                      <w:color w:val="000000" w:themeColor="text1"/>
                      <w:kern w:val="0"/>
                      <w:szCs w:val="21"/>
                      <w14:textFill>
                        <w14:solidFill>
                          <w14:schemeClr w14:val="tx1"/>
                        </w14:solidFill>
                      </w14:textFill>
                    </w:rPr>
                    <w:t>·7H</w:t>
                  </w:r>
                  <w:r>
                    <w:rPr>
                      <w:color w:val="000000" w:themeColor="text1"/>
                      <w:kern w:val="0"/>
                      <w:szCs w:val="21"/>
                      <w:vertAlign w:val="subscript"/>
                      <w14:textFill>
                        <w14:solidFill>
                          <w14:schemeClr w14:val="tx1"/>
                        </w14:solidFill>
                      </w14:textFill>
                    </w:rPr>
                    <w:t>2</w:t>
                  </w:r>
                  <w:r>
                    <w:rPr>
                      <w:color w:val="000000" w:themeColor="text1"/>
                      <w:kern w:val="0"/>
                      <w:szCs w:val="21"/>
                      <w14:textFill>
                        <w14:solidFill>
                          <w14:schemeClr w14:val="tx1"/>
                        </w14:solidFill>
                      </w14:textFill>
                    </w:rPr>
                    <w:t>O</w:t>
                  </w:r>
                  <w:r>
                    <w:rPr>
                      <w:rFonts w:hint="eastAsia"/>
                      <w:color w:val="000000" w:themeColor="text1"/>
                      <w:kern w:val="0"/>
                      <w:szCs w:val="21"/>
                      <w14:textFill>
                        <w14:solidFill>
                          <w14:schemeClr w14:val="tx1"/>
                        </w14:solidFill>
                      </w14:textFill>
                    </w:rPr>
                    <w:t xml:space="preserve"> ≥99.5%</w:t>
                  </w:r>
                </w:p>
              </w:tc>
              <w:tc>
                <w:tcPr>
                  <w:tcW w:w="461" w:type="pct"/>
                  <w:tcBorders>
                    <w:tl2br w:val="nil"/>
                    <w:tr2bl w:val="nil"/>
                  </w:tcBorders>
                  <w:vAlign w:val="center"/>
                </w:tcPr>
                <w:p w14:paraId="464D7EBF">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1.5kg</w:t>
                  </w:r>
                </w:p>
              </w:tc>
              <w:tc>
                <w:tcPr>
                  <w:tcW w:w="414" w:type="pct"/>
                  <w:tcBorders>
                    <w:tl2br w:val="nil"/>
                    <w:tr2bl w:val="nil"/>
                  </w:tcBorders>
                  <w:vAlign w:val="center"/>
                </w:tcPr>
                <w:p w14:paraId="2604407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0C29D39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500g/瓶</w:t>
                  </w:r>
                </w:p>
              </w:tc>
              <w:tc>
                <w:tcPr>
                  <w:tcW w:w="439" w:type="pct"/>
                  <w:tcBorders>
                    <w:tl2br w:val="nil"/>
                    <w:tr2bl w:val="nil"/>
                  </w:tcBorders>
                  <w:vAlign w:val="center"/>
                </w:tcPr>
                <w:p w14:paraId="3BA666A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79BDBE21">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7F33FC88">
                  <w:pPr>
                    <w:widowControl/>
                    <w:jc w:val="center"/>
                    <w:rPr>
                      <w:color w:val="000000" w:themeColor="text1"/>
                      <w:kern w:val="0"/>
                      <w:szCs w:val="21"/>
                      <w14:textFill>
                        <w14:solidFill>
                          <w14:schemeClr w14:val="tx1"/>
                        </w14:solidFill>
                      </w14:textFill>
                    </w:rPr>
                  </w:pPr>
                </w:p>
              </w:tc>
            </w:tr>
            <w:tr w14:paraId="3CAAC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shd w:val="clear" w:color="auto" w:fill="auto"/>
                  <w:vAlign w:val="center"/>
                </w:tcPr>
                <w:p w14:paraId="316475F4">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25</w:t>
                  </w:r>
                </w:p>
              </w:tc>
              <w:tc>
                <w:tcPr>
                  <w:tcW w:w="849" w:type="pct"/>
                  <w:tcBorders>
                    <w:tl2br w:val="nil"/>
                    <w:tr2bl w:val="nil"/>
                  </w:tcBorders>
                  <w:vAlign w:val="center"/>
                </w:tcPr>
                <w:p w14:paraId="760DD213">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氯化钙</w:t>
                  </w:r>
                </w:p>
              </w:tc>
              <w:tc>
                <w:tcPr>
                  <w:tcW w:w="1384" w:type="pct"/>
                  <w:tcBorders>
                    <w:tl2br w:val="nil"/>
                    <w:tr2bl w:val="nil"/>
                  </w:tcBorders>
                  <w:vAlign w:val="center"/>
                </w:tcPr>
                <w:p w14:paraId="0B412B33">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CaCl</w:t>
                  </w:r>
                  <w:r>
                    <w:rPr>
                      <w:rFonts w:hint="eastAsia"/>
                      <w:color w:val="000000" w:themeColor="text1"/>
                      <w:kern w:val="0"/>
                      <w:szCs w:val="21"/>
                      <w:vertAlign w:val="subscript"/>
                      <w14:textFill>
                        <w14:solidFill>
                          <w14:schemeClr w14:val="tx1"/>
                        </w14:solidFill>
                      </w14:textFill>
                    </w:rPr>
                    <w:t>2</w:t>
                  </w:r>
                  <w:r>
                    <w:rPr>
                      <w:rFonts w:hint="eastAsia"/>
                      <w:color w:val="000000" w:themeColor="text1"/>
                      <w:kern w:val="0"/>
                      <w:szCs w:val="21"/>
                      <w14:textFill>
                        <w14:solidFill>
                          <w14:schemeClr w14:val="tx1"/>
                        </w14:solidFill>
                      </w14:textFill>
                    </w:rPr>
                    <w:t xml:space="preserve"> ≥96%</w:t>
                  </w:r>
                </w:p>
              </w:tc>
              <w:tc>
                <w:tcPr>
                  <w:tcW w:w="461" w:type="pct"/>
                  <w:tcBorders>
                    <w:tl2br w:val="nil"/>
                    <w:tr2bl w:val="nil"/>
                  </w:tcBorders>
                  <w:vAlign w:val="center"/>
                </w:tcPr>
                <w:p w14:paraId="5E230696">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0.5kg</w:t>
                  </w:r>
                </w:p>
              </w:tc>
              <w:tc>
                <w:tcPr>
                  <w:tcW w:w="414" w:type="pct"/>
                  <w:tcBorders>
                    <w:tl2br w:val="nil"/>
                    <w:tr2bl w:val="nil"/>
                  </w:tcBorders>
                  <w:vAlign w:val="center"/>
                </w:tcPr>
                <w:p w14:paraId="00C0982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779942E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500g/瓶</w:t>
                  </w:r>
                </w:p>
              </w:tc>
              <w:tc>
                <w:tcPr>
                  <w:tcW w:w="439" w:type="pct"/>
                  <w:tcBorders>
                    <w:tl2br w:val="nil"/>
                    <w:tr2bl w:val="nil"/>
                  </w:tcBorders>
                  <w:vAlign w:val="center"/>
                </w:tcPr>
                <w:p w14:paraId="4DA900C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679065CD">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299E658E">
                  <w:pPr>
                    <w:widowControl/>
                    <w:jc w:val="center"/>
                    <w:rPr>
                      <w:color w:val="000000" w:themeColor="text1"/>
                      <w:kern w:val="0"/>
                      <w:szCs w:val="21"/>
                      <w14:textFill>
                        <w14:solidFill>
                          <w14:schemeClr w14:val="tx1"/>
                        </w14:solidFill>
                      </w14:textFill>
                    </w:rPr>
                  </w:pPr>
                </w:p>
              </w:tc>
            </w:tr>
            <w:tr w14:paraId="24FD6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shd w:val="clear" w:color="auto" w:fill="auto"/>
                  <w:vAlign w:val="center"/>
                </w:tcPr>
                <w:p w14:paraId="7F2C7EB7">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26</w:t>
                  </w:r>
                </w:p>
              </w:tc>
              <w:tc>
                <w:tcPr>
                  <w:tcW w:w="849" w:type="pct"/>
                  <w:tcBorders>
                    <w:tl2br w:val="nil"/>
                    <w:tr2bl w:val="nil"/>
                  </w:tcBorders>
                  <w:vAlign w:val="center"/>
                </w:tcPr>
                <w:p w14:paraId="690638D3">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氯化钠</w:t>
                  </w:r>
                </w:p>
              </w:tc>
              <w:tc>
                <w:tcPr>
                  <w:tcW w:w="1384" w:type="pct"/>
                  <w:tcBorders>
                    <w:tl2br w:val="nil"/>
                    <w:tr2bl w:val="nil"/>
                  </w:tcBorders>
                  <w:vAlign w:val="center"/>
                </w:tcPr>
                <w:p w14:paraId="2EBEEAB8">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NaCl</w:t>
                  </w:r>
                  <w:r>
                    <w:rPr>
                      <w:rFonts w:hint="eastAsia"/>
                      <w:color w:val="000000" w:themeColor="text1"/>
                      <w:kern w:val="0"/>
                      <w:szCs w:val="21"/>
                      <w14:textFill>
                        <w14:solidFill>
                          <w14:schemeClr w14:val="tx1"/>
                        </w14:solidFill>
                      </w14:textFill>
                    </w:rPr>
                    <w:t xml:space="preserve"> ≥95%</w:t>
                  </w:r>
                </w:p>
              </w:tc>
              <w:tc>
                <w:tcPr>
                  <w:tcW w:w="461" w:type="pct"/>
                  <w:tcBorders>
                    <w:tl2br w:val="nil"/>
                    <w:tr2bl w:val="nil"/>
                  </w:tcBorders>
                  <w:vAlign w:val="center"/>
                </w:tcPr>
                <w:p w14:paraId="6D3F562E">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0.25kg</w:t>
                  </w:r>
                </w:p>
              </w:tc>
              <w:tc>
                <w:tcPr>
                  <w:tcW w:w="414" w:type="pct"/>
                  <w:tcBorders>
                    <w:tl2br w:val="nil"/>
                    <w:tr2bl w:val="nil"/>
                  </w:tcBorders>
                  <w:vAlign w:val="center"/>
                </w:tcPr>
                <w:p w14:paraId="31DA0B8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14F9651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r>
                    <w:rPr>
                      <w:color w:val="000000" w:themeColor="text1"/>
                      <w:szCs w:val="21"/>
                      <w:vertAlign w:val="subscript"/>
                      <w14:textFill>
                        <w14:solidFill>
                          <w14:schemeClr w14:val="tx1"/>
                        </w14:solidFill>
                      </w14:textFill>
                    </w:rPr>
                    <w:t xml:space="preserve"> </w:t>
                  </w:r>
                  <w:r>
                    <w:rPr>
                      <w:color w:val="000000" w:themeColor="text1"/>
                      <w:szCs w:val="21"/>
                      <w14:textFill>
                        <w14:solidFill>
                          <w14:schemeClr w14:val="tx1"/>
                        </w14:solidFill>
                      </w14:textFill>
                    </w:rPr>
                    <w:t>g/瓶</w:t>
                  </w:r>
                </w:p>
              </w:tc>
              <w:tc>
                <w:tcPr>
                  <w:tcW w:w="439" w:type="pct"/>
                  <w:tcBorders>
                    <w:tl2br w:val="nil"/>
                    <w:tr2bl w:val="nil"/>
                  </w:tcBorders>
                  <w:vAlign w:val="center"/>
                </w:tcPr>
                <w:p w14:paraId="3EA88A9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62D964CC">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48FCCAD0">
                  <w:pPr>
                    <w:widowControl/>
                    <w:jc w:val="center"/>
                    <w:rPr>
                      <w:color w:val="000000" w:themeColor="text1"/>
                      <w:kern w:val="0"/>
                      <w:szCs w:val="21"/>
                      <w14:textFill>
                        <w14:solidFill>
                          <w14:schemeClr w14:val="tx1"/>
                        </w14:solidFill>
                      </w14:textFill>
                    </w:rPr>
                  </w:pPr>
                </w:p>
              </w:tc>
            </w:tr>
            <w:tr w14:paraId="64B7B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shd w:val="clear" w:color="auto" w:fill="auto"/>
                  <w:vAlign w:val="center"/>
                </w:tcPr>
                <w:p w14:paraId="292CA3D1">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27</w:t>
                  </w:r>
                </w:p>
              </w:tc>
              <w:tc>
                <w:tcPr>
                  <w:tcW w:w="849" w:type="pct"/>
                  <w:tcBorders>
                    <w:tl2br w:val="nil"/>
                    <w:tr2bl w:val="nil"/>
                  </w:tcBorders>
                  <w:vAlign w:val="center"/>
                </w:tcPr>
                <w:p w14:paraId="309540C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硫酸铵</w:t>
                  </w:r>
                </w:p>
              </w:tc>
              <w:tc>
                <w:tcPr>
                  <w:tcW w:w="1384" w:type="pct"/>
                  <w:tcBorders>
                    <w:tl2br w:val="nil"/>
                    <w:tr2bl w:val="nil"/>
                  </w:tcBorders>
                  <w:vAlign w:val="center"/>
                </w:tcPr>
                <w:p w14:paraId="68E1C59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H</w:t>
                  </w:r>
                  <w:r>
                    <w:rPr>
                      <w:color w:val="000000" w:themeColor="text1"/>
                      <w:kern w:val="0"/>
                      <w:szCs w:val="21"/>
                      <w:vertAlign w:val="subscript"/>
                      <w14:textFill>
                        <w14:solidFill>
                          <w14:schemeClr w14:val="tx1"/>
                        </w14:solidFill>
                      </w14:textFill>
                    </w:rPr>
                    <w:t>8</w:t>
                  </w:r>
                  <w:r>
                    <w:rPr>
                      <w:color w:val="000000" w:themeColor="text1"/>
                      <w:kern w:val="0"/>
                      <w:szCs w:val="21"/>
                      <w14:textFill>
                        <w14:solidFill>
                          <w14:schemeClr w14:val="tx1"/>
                        </w14:solidFill>
                      </w14:textFill>
                    </w:rPr>
                    <w:t>N</w:t>
                  </w:r>
                  <w:r>
                    <w:rPr>
                      <w:color w:val="000000" w:themeColor="text1"/>
                      <w:kern w:val="0"/>
                      <w:szCs w:val="21"/>
                      <w:vertAlign w:val="subscript"/>
                      <w14:textFill>
                        <w14:solidFill>
                          <w14:schemeClr w14:val="tx1"/>
                        </w14:solidFill>
                      </w14:textFill>
                    </w:rPr>
                    <w:t>2</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4</w:t>
                  </w:r>
                  <w:r>
                    <w:rPr>
                      <w:color w:val="000000" w:themeColor="text1"/>
                      <w:kern w:val="0"/>
                      <w:szCs w:val="21"/>
                      <w14:textFill>
                        <w14:solidFill>
                          <w14:schemeClr w14:val="tx1"/>
                        </w14:solidFill>
                      </w14:textFill>
                    </w:rPr>
                    <w:t>S</w:t>
                  </w:r>
                  <w:r>
                    <w:rPr>
                      <w:rFonts w:hint="eastAsia"/>
                      <w:color w:val="000000" w:themeColor="text1"/>
                      <w:kern w:val="0"/>
                      <w:szCs w:val="21"/>
                      <w14:textFill>
                        <w14:solidFill>
                          <w14:schemeClr w14:val="tx1"/>
                        </w14:solidFill>
                      </w14:textFill>
                    </w:rPr>
                    <w:t xml:space="preserve"> ≥98%</w:t>
                  </w:r>
                </w:p>
              </w:tc>
              <w:tc>
                <w:tcPr>
                  <w:tcW w:w="461" w:type="pct"/>
                  <w:tcBorders>
                    <w:tl2br w:val="nil"/>
                    <w:tr2bl w:val="nil"/>
                  </w:tcBorders>
                  <w:vAlign w:val="center"/>
                </w:tcPr>
                <w:p w14:paraId="38660267">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5.75kg</w:t>
                  </w:r>
                </w:p>
              </w:tc>
              <w:tc>
                <w:tcPr>
                  <w:tcW w:w="414" w:type="pct"/>
                  <w:tcBorders>
                    <w:tl2br w:val="nil"/>
                    <w:tr2bl w:val="nil"/>
                  </w:tcBorders>
                  <w:vAlign w:val="center"/>
                </w:tcPr>
                <w:p w14:paraId="3C770D5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2瓶</w:t>
                  </w:r>
                </w:p>
              </w:tc>
              <w:tc>
                <w:tcPr>
                  <w:tcW w:w="571" w:type="pct"/>
                  <w:tcBorders>
                    <w:tl2br w:val="nil"/>
                    <w:tr2bl w:val="nil"/>
                  </w:tcBorders>
                  <w:vAlign w:val="center"/>
                </w:tcPr>
                <w:p w14:paraId="3E48DB3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r>
                    <w:rPr>
                      <w:color w:val="000000" w:themeColor="text1"/>
                      <w:szCs w:val="21"/>
                      <w:vertAlign w:val="subscript"/>
                      <w14:textFill>
                        <w14:solidFill>
                          <w14:schemeClr w14:val="tx1"/>
                        </w14:solidFill>
                      </w14:textFill>
                    </w:rPr>
                    <w:t xml:space="preserve"> </w:t>
                  </w:r>
                  <w:r>
                    <w:rPr>
                      <w:color w:val="000000" w:themeColor="text1"/>
                      <w:szCs w:val="21"/>
                      <w14:textFill>
                        <w14:solidFill>
                          <w14:schemeClr w14:val="tx1"/>
                        </w14:solidFill>
                      </w14:textFill>
                    </w:rPr>
                    <w:t>g/瓶</w:t>
                  </w:r>
                </w:p>
              </w:tc>
              <w:tc>
                <w:tcPr>
                  <w:tcW w:w="439" w:type="pct"/>
                  <w:tcBorders>
                    <w:tl2br w:val="nil"/>
                    <w:tr2bl w:val="nil"/>
                  </w:tcBorders>
                  <w:vAlign w:val="center"/>
                </w:tcPr>
                <w:p w14:paraId="0C0DACF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03B02744">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17DF1866">
                  <w:pPr>
                    <w:widowControl/>
                    <w:jc w:val="center"/>
                    <w:rPr>
                      <w:color w:val="000000" w:themeColor="text1"/>
                      <w:kern w:val="0"/>
                      <w:szCs w:val="21"/>
                      <w14:textFill>
                        <w14:solidFill>
                          <w14:schemeClr w14:val="tx1"/>
                        </w14:solidFill>
                      </w14:textFill>
                    </w:rPr>
                  </w:pPr>
                </w:p>
              </w:tc>
            </w:tr>
            <w:tr w14:paraId="5B660D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shd w:val="clear" w:color="auto" w:fill="auto"/>
                  <w:vAlign w:val="center"/>
                </w:tcPr>
                <w:p w14:paraId="77534E8A">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28</w:t>
                  </w:r>
                </w:p>
              </w:tc>
              <w:tc>
                <w:tcPr>
                  <w:tcW w:w="849" w:type="pct"/>
                  <w:tcBorders>
                    <w:tl2br w:val="nil"/>
                    <w:tr2bl w:val="nil"/>
                  </w:tcBorders>
                  <w:vAlign w:val="center"/>
                </w:tcPr>
                <w:p w14:paraId="51F9007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消泡剂</w:t>
                  </w:r>
                </w:p>
              </w:tc>
              <w:tc>
                <w:tcPr>
                  <w:tcW w:w="1384" w:type="pct"/>
                  <w:tcBorders>
                    <w:tl2br w:val="nil"/>
                    <w:tr2bl w:val="nil"/>
                  </w:tcBorders>
                  <w:vAlign w:val="center"/>
                </w:tcPr>
                <w:p w14:paraId="5892AFB6">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PDMS、矿物油、高碳醇等</w:t>
                  </w:r>
                </w:p>
              </w:tc>
              <w:tc>
                <w:tcPr>
                  <w:tcW w:w="461" w:type="pct"/>
                  <w:tcBorders>
                    <w:tl2br w:val="nil"/>
                    <w:tr2bl w:val="nil"/>
                  </w:tcBorders>
                  <w:vAlign w:val="center"/>
                </w:tcPr>
                <w:p w14:paraId="0E6BCFF5">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0.05kg</w:t>
                  </w:r>
                </w:p>
              </w:tc>
              <w:tc>
                <w:tcPr>
                  <w:tcW w:w="414" w:type="pct"/>
                  <w:tcBorders>
                    <w:tl2br w:val="nil"/>
                    <w:tr2bl w:val="nil"/>
                  </w:tcBorders>
                  <w:vAlign w:val="center"/>
                </w:tcPr>
                <w:p w14:paraId="5915A0A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2DC003E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r>
                    <w:rPr>
                      <w:color w:val="000000" w:themeColor="text1"/>
                      <w:szCs w:val="21"/>
                      <w:vertAlign w:val="subscript"/>
                      <w14:textFill>
                        <w14:solidFill>
                          <w14:schemeClr w14:val="tx1"/>
                        </w14:solidFill>
                      </w14:textFill>
                    </w:rPr>
                    <w:t xml:space="preserve"> </w:t>
                  </w:r>
                  <w:r>
                    <w:rPr>
                      <w:color w:val="000000" w:themeColor="text1"/>
                      <w:szCs w:val="21"/>
                      <w14:textFill>
                        <w14:solidFill>
                          <w14:schemeClr w14:val="tx1"/>
                        </w14:solidFill>
                      </w14:textFill>
                    </w:rPr>
                    <w:t>g/瓶</w:t>
                  </w:r>
                </w:p>
              </w:tc>
              <w:tc>
                <w:tcPr>
                  <w:tcW w:w="439" w:type="pct"/>
                  <w:tcBorders>
                    <w:tl2br w:val="nil"/>
                    <w:tr2bl w:val="nil"/>
                  </w:tcBorders>
                  <w:vAlign w:val="center"/>
                </w:tcPr>
                <w:p w14:paraId="3A6360D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11878F86">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1899B29E">
                  <w:pPr>
                    <w:widowControl/>
                    <w:jc w:val="center"/>
                    <w:rPr>
                      <w:color w:val="000000" w:themeColor="text1"/>
                      <w:kern w:val="0"/>
                      <w:szCs w:val="21"/>
                      <w14:textFill>
                        <w14:solidFill>
                          <w14:schemeClr w14:val="tx1"/>
                        </w14:solidFill>
                      </w14:textFill>
                    </w:rPr>
                  </w:pPr>
                </w:p>
              </w:tc>
            </w:tr>
            <w:tr w14:paraId="2828F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tcBorders>
                    <w:tl2br w:val="nil"/>
                    <w:tr2bl w:val="nil"/>
                  </w:tcBorders>
                  <w:shd w:val="clear" w:color="auto" w:fill="auto"/>
                  <w:vAlign w:val="center"/>
                </w:tcPr>
                <w:p w14:paraId="7531DFBE">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29</w:t>
                  </w:r>
                </w:p>
              </w:tc>
              <w:tc>
                <w:tcPr>
                  <w:tcW w:w="849" w:type="pct"/>
                  <w:tcBorders>
                    <w:tl2br w:val="nil"/>
                    <w:tr2bl w:val="nil"/>
                  </w:tcBorders>
                  <w:vAlign w:val="center"/>
                </w:tcPr>
                <w:p w14:paraId="15616C4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玉米浆粉</w:t>
                  </w:r>
                </w:p>
              </w:tc>
              <w:tc>
                <w:tcPr>
                  <w:tcW w:w="1384" w:type="pct"/>
                  <w:tcBorders>
                    <w:tl2br w:val="nil"/>
                    <w:tr2bl w:val="nil"/>
                  </w:tcBorders>
                  <w:vAlign w:val="center"/>
                </w:tcPr>
                <w:p w14:paraId="55834A70">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蛋白质、糖、有机酸等</w:t>
                  </w:r>
                </w:p>
              </w:tc>
              <w:tc>
                <w:tcPr>
                  <w:tcW w:w="461" w:type="pct"/>
                  <w:tcBorders>
                    <w:tl2br w:val="nil"/>
                    <w:tr2bl w:val="nil"/>
                  </w:tcBorders>
                  <w:vAlign w:val="center"/>
                </w:tcPr>
                <w:p w14:paraId="28CB8D72">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0.5kg</w:t>
                  </w:r>
                </w:p>
              </w:tc>
              <w:tc>
                <w:tcPr>
                  <w:tcW w:w="414" w:type="pct"/>
                  <w:tcBorders>
                    <w:tl2br w:val="nil"/>
                    <w:tr2bl w:val="nil"/>
                  </w:tcBorders>
                  <w:vAlign w:val="center"/>
                </w:tcPr>
                <w:p w14:paraId="23FE115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tcBorders>
                    <w:tl2br w:val="nil"/>
                    <w:tr2bl w:val="nil"/>
                  </w:tcBorders>
                  <w:vAlign w:val="center"/>
                </w:tcPr>
                <w:p w14:paraId="64EB7E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r>
                    <w:rPr>
                      <w:color w:val="000000" w:themeColor="text1"/>
                      <w:szCs w:val="21"/>
                      <w:vertAlign w:val="subscript"/>
                      <w14:textFill>
                        <w14:solidFill>
                          <w14:schemeClr w14:val="tx1"/>
                        </w14:solidFill>
                      </w14:textFill>
                    </w:rPr>
                    <w:t xml:space="preserve"> </w:t>
                  </w:r>
                  <w:r>
                    <w:rPr>
                      <w:color w:val="000000" w:themeColor="text1"/>
                      <w:szCs w:val="21"/>
                      <w14:textFill>
                        <w14:solidFill>
                          <w14:schemeClr w14:val="tx1"/>
                        </w14:solidFill>
                      </w14:textFill>
                    </w:rPr>
                    <w:t>g/瓶</w:t>
                  </w:r>
                </w:p>
              </w:tc>
              <w:tc>
                <w:tcPr>
                  <w:tcW w:w="439" w:type="pct"/>
                  <w:tcBorders>
                    <w:tl2br w:val="nil"/>
                    <w:tr2bl w:val="nil"/>
                  </w:tcBorders>
                  <w:vAlign w:val="center"/>
                </w:tcPr>
                <w:p w14:paraId="396E925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tcBorders>
                    <w:tl2br w:val="nil"/>
                    <w:tr2bl w:val="nil"/>
                  </w:tcBorders>
                  <w:vAlign w:val="center"/>
                </w:tcPr>
                <w:p w14:paraId="61F1EED2">
                  <w:pPr>
                    <w:widowControl/>
                    <w:jc w:val="center"/>
                    <w:rPr>
                      <w:color w:val="000000" w:themeColor="text1"/>
                      <w:kern w:val="0"/>
                      <w:szCs w:val="21"/>
                      <w14:textFill>
                        <w14:solidFill>
                          <w14:schemeClr w14:val="tx1"/>
                        </w14:solidFill>
                      </w14:textFill>
                    </w:rPr>
                  </w:pPr>
                </w:p>
              </w:tc>
              <w:tc>
                <w:tcPr>
                  <w:tcW w:w="355" w:type="pct"/>
                  <w:vMerge w:val="continue"/>
                  <w:tcBorders>
                    <w:tl2br w:val="nil"/>
                    <w:tr2bl w:val="nil"/>
                  </w:tcBorders>
                  <w:vAlign w:val="center"/>
                </w:tcPr>
                <w:p w14:paraId="1963E3DB">
                  <w:pPr>
                    <w:widowControl/>
                    <w:jc w:val="center"/>
                    <w:rPr>
                      <w:color w:val="000000" w:themeColor="text1"/>
                      <w:kern w:val="0"/>
                      <w:szCs w:val="21"/>
                      <w14:textFill>
                        <w14:solidFill>
                          <w14:schemeClr w14:val="tx1"/>
                        </w14:solidFill>
                      </w14:textFill>
                    </w:rPr>
                  </w:pPr>
                </w:p>
              </w:tc>
            </w:tr>
            <w:bookmarkEnd w:id="13"/>
            <w:tr w14:paraId="5B6D2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47511754">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30</w:t>
                  </w:r>
                </w:p>
              </w:tc>
              <w:tc>
                <w:tcPr>
                  <w:tcW w:w="849" w:type="pct"/>
                  <w:vAlign w:val="center"/>
                </w:tcPr>
                <w:p w14:paraId="0CF8D74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氢氧化钠</w:t>
                  </w:r>
                </w:p>
              </w:tc>
              <w:tc>
                <w:tcPr>
                  <w:tcW w:w="1384" w:type="pct"/>
                  <w:vAlign w:val="center"/>
                </w:tcPr>
                <w:p w14:paraId="41673F2B">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NaOH≥99%</w:t>
                  </w:r>
                </w:p>
              </w:tc>
              <w:tc>
                <w:tcPr>
                  <w:tcW w:w="461" w:type="pct"/>
                  <w:vAlign w:val="center"/>
                </w:tcPr>
                <w:p w14:paraId="30EF2AF1">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0.05kg</w:t>
                  </w:r>
                </w:p>
              </w:tc>
              <w:tc>
                <w:tcPr>
                  <w:tcW w:w="414" w:type="pct"/>
                  <w:vAlign w:val="center"/>
                </w:tcPr>
                <w:p w14:paraId="624F1C9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vAlign w:val="center"/>
                </w:tcPr>
                <w:p w14:paraId="1009B4A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r>
                    <w:rPr>
                      <w:color w:val="000000" w:themeColor="text1"/>
                      <w:szCs w:val="21"/>
                      <w:vertAlign w:val="subscript"/>
                      <w14:textFill>
                        <w14:solidFill>
                          <w14:schemeClr w14:val="tx1"/>
                        </w14:solidFill>
                      </w14:textFill>
                    </w:rPr>
                    <w:t xml:space="preserve"> </w:t>
                  </w:r>
                  <w:r>
                    <w:rPr>
                      <w:color w:val="000000" w:themeColor="text1"/>
                      <w:szCs w:val="21"/>
                      <w14:textFill>
                        <w14:solidFill>
                          <w14:schemeClr w14:val="tx1"/>
                        </w14:solidFill>
                      </w14:textFill>
                    </w:rPr>
                    <w:t>g/瓶</w:t>
                  </w:r>
                </w:p>
              </w:tc>
              <w:tc>
                <w:tcPr>
                  <w:tcW w:w="439" w:type="pct"/>
                  <w:vAlign w:val="center"/>
                </w:tcPr>
                <w:p w14:paraId="5F649A6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vAlign w:val="center"/>
                </w:tcPr>
                <w:p w14:paraId="31832CB1">
                  <w:pPr>
                    <w:widowControl/>
                    <w:jc w:val="center"/>
                    <w:rPr>
                      <w:color w:val="000000" w:themeColor="text1"/>
                      <w:kern w:val="0"/>
                      <w:szCs w:val="21"/>
                      <w14:textFill>
                        <w14:solidFill>
                          <w14:schemeClr w14:val="tx1"/>
                        </w14:solidFill>
                      </w14:textFill>
                    </w:rPr>
                  </w:pPr>
                </w:p>
              </w:tc>
              <w:tc>
                <w:tcPr>
                  <w:tcW w:w="355" w:type="pct"/>
                  <w:vMerge w:val="continue"/>
                  <w:vAlign w:val="center"/>
                </w:tcPr>
                <w:p w14:paraId="105657A6">
                  <w:pPr>
                    <w:widowControl/>
                    <w:jc w:val="center"/>
                    <w:rPr>
                      <w:color w:val="000000" w:themeColor="text1"/>
                      <w:kern w:val="0"/>
                      <w:szCs w:val="21"/>
                      <w14:textFill>
                        <w14:solidFill>
                          <w14:schemeClr w14:val="tx1"/>
                        </w14:solidFill>
                      </w14:textFill>
                    </w:rPr>
                  </w:pPr>
                </w:p>
              </w:tc>
            </w:tr>
            <w:tr w14:paraId="7F394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0604A7B4">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31</w:t>
                  </w:r>
                </w:p>
              </w:tc>
              <w:tc>
                <w:tcPr>
                  <w:tcW w:w="849" w:type="pct"/>
                  <w:vAlign w:val="center"/>
                </w:tcPr>
                <w:p w14:paraId="7BA25C2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无水乙醇</w:t>
                  </w:r>
                </w:p>
              </w:tc>
              <w:tc>
                <w:tcPr>
                  <w:tcW w:w="1384" w:type="pct"/>
                  <w:vAlign w:val="center"/>
                </w:tcPr>
                <w:p w14:paraId="1EB589F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C</w:t>
                  </w:r>
                  <w:r>
                    <w:rPr>
                      <w:rFonts w:hint="eastAsia"/>
                      <w:color w:val="000000" w:themeColor="text1"/>
                      <w:kern w:val="0"/>
                      <w:szCs w:val="21"/>
                      <w:vertAlign w:val="subscript"/>
                      <w14:textFill>
                        <w14:solidFill>
                          <w14:schemeClr w14:val="tx1"/>
                        </w14:solidFill>
                      </w14:textFill>
                    </w:rPr>
                    <w:t>2</w:t>
                  </w:r>
                  <w:r>
                    <w:rPr>
                      <w:rFonts w:hint="eastAsia"/>
                      <w:color w:val="000000" w:themeColor="text1"/>
                      <w:kern w:val="0"/>
                      <w:szCs w:val="21"/>
                      <w14:textFill>
                        <w14:solidFill>
                          <w14:schemeClr w14:val="tx1"/>
                        </w14:solidFill>
                      </w14:textFill>
                    </w:rPr>
                    <w:t>H</w:t>
                  </w:r>
                  <w:r>
                    <w:rPr>
                      <w:rFonts w:hint="eastAsia"/>
                      <w:color w:val="000000" w:themeColor="text1"/>
                      <w:kern w:val="0"/>
                      <w:szCs w:val="21"/>
                      <w:vertAlign w:val="subscript"/>
                      <w14:textFill>
                        <w14:solidFill>
                          <w14:schemeClr w14:val="tx1"/>
                        </w14:solidFill>
                      </w14:textFill>
                    </w:rPr>
                    <w:t>5</w:t>
                  </w:r>
                  <w:r>
                    <w:rPr>
                      <w:rFonts w:hint="eastAsia"/>
                      <w:color w:val="000000" w:themeColor="text1"/>
                      <w:kern w:val="0"/>
                      <w:szCs w:val="21"/>
                      <w14:textFill>
                        <w14:solidFill>
                          <w14:schemeClr w14:val="tx1"/>
                        </w14:solidFill>
                      </w14:textFill>
                    </w:rPr>
                    <w:t>OH≥99.7%</w:t>
                  </w:r>
                </w:p>
              </w:tc>
              <w:tc>
                <w:tcPr>
                  <w:tcW w:w="461" w:type="pct"/>
                  <w:vAlign w:val="center"/>
                </w:tcPr>
                <w:p w14:paraId="357A040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54kg</w:t>
                  </w:r>
                </w:p>
              </w:tc>
              <w:tc>
                <w:tcPr>
                  <w:tcW w:w="414" w:type="pct"/>
                  <w:vAlign w:val="center"/>
                </w:tcPr>
                <w:p w14:paraId="24F91E5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1桶</w:t>
                  </w:r>
                </w:p>
              </w:tc>
              <w:tc>
                <w:tcPr>
                  <w:tcW w:w="571" w:type="pct"/>
                  <w:vAlign w:val="center"/>
                </w:tcPr>
                <w:p w14:paraId="040EBAD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4L/桶</w:t>
                  </w:r>
                </w:p>
              </w:tc>
              <w:tc>
                <w:tcPr>
                  <w:tcW w:w="439" w:type="pct"/>
                  <w:vAlign w:val="center"/>
                </w:tcPr>
                <w:p w14:paraId="44238B6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vAlign w:val="center"/>
                </w:tcPr>
                <w:p w14:paraId="22A79D1A">
                  <w:pPr>
                    <w:widowControl/>
                    <w:jc w:val="center"/>
                    <w:rPr>
                      <w:color w:val="000000" w:themeColor="text1"/>
                      <w:kern w:val="0"/>
                      <w:szCs w:val="21"/>
                      <w14:textFill>
                        <w14:solidFill>
                          <w14:schemeClr w14:val="tx1"/>
                        </w14:solidFill>
                      </w14:textFill>
                    </w:rPr>
                  </w:pPr>
                </w:p>
              </w:tc>
              <w:tc>
                <w:tcPr>
                  <w:tcW w:w="355" w:type="pct"/>
                  <w:vMerge w:val="restart"/>
                  <w:vAlign w:val="center"/>
                </w:tcPr>
                <w:p w14:paraId="1342A82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提纯</w:t>
                  </w:r>
                </w:p>
              </w:tc>
            </w:tr>
            <w:tr w14:paraId="49F01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52994018">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32</w:t>
                  </w:r>
                </w:p>
              </w:tc>
              <w:tc>
                <w:tcPr>
                  <w:tcW w:w="849" w:type="pct"/>
                  <w:vAlign w:val="center"/>
                </w:tcPr>
                <w:p w14:paraId="5C3CC60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氢氧化钠</w:t>
                  </w:r>
                </w:p>
              </w:tc>
              <w:tc>
                <w:tcPr>
                  <w:tcW w:w="1384" w:type="pct"/>
                  <w:vAlign w:val="center"/>
                </w:tcPr>
                <w:p w14:paraId="2286480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NaOH≥99%</w:t>
                  </w:r>
                </w:p>
              </w:tc>
              <w:tc>
                <w:tcPr>
                  <w:tcW w:w="461" w:type="pct"/>
                  <w:vAlign w:val="center"/>
                </w:tcPr>
                <w:p w14:paraId="1484DDB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0.54kg</w:t>
                  </w:r>
                </w:p>
              </w:tc>
              <w:tc>
                <w:tcPr>
                  <w:tcW w:w="414" w:type="pct"/>
                  <w:vAlign w:val="center"/>
                </w:tcPr>
                <w:p w14:paraId="483AE51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vAlign w:val="center"/>
                </w:tcPr>
                <w:p w14:paraId="16745A6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r>
                    <w:rPr>
                      <w:color w:val="000000" w:themeColor="text1"/>
                      <w:szCs w:val="21"/>
                      <w:vertAlign w:val="subscript"/>
                      <w14:textFill>
                        <w14:solidFill>
                          <w14:schemeClr w14:val="tx1"/>
                        </w14:solidFill>
                      </w14:textFill>
                    </w:rPr>
                    <w:t xml:space="preserve"> </w:t>
                  </w:r>
                  <w:r>
                    <w:rPr>
                      <w:color w:val="000000" w:themeColor="text1"/>
                      <w:szCs w:val="21"/>
                      <w14:textFill>
                        <w14:solidFill>
                          <w14:schemeClr w14:val="tx1"/>
                        </w14:solidFill>
                      </w14:textFill>
                    </w:rPr>
                    <w:t>g/瓶</w:t>
                  </w:r>
                </w:p>
              </w:tc>
              <w:tc>
                <w:tcPr>
                  <w:tcW w:w="439" w:type="pct"/>
                  <w:vAlign w:val="center"/>
                </w:tcPr>
                <w:p w14:paraId="08BC3B1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vAlign w:val="center"/>
                </w:tcPr>
                <w:p w14:paraId="3832D05F">
                  <w:pPr>
                    <w:widowControl/>
                    <w:jc w:val="center"/>
                    <w:rPr>
                      <w:color w:val="000000" w:themeColor="text1"/>
                      <w:kern w:val="0"/>
                      <w:szCs w:val="21"/>
                      <w14:textFill>
                        <w14:solidFill>
                          <w14:schemeClr w14:val="tx1"/>
                        </w14:solidFill>
                      </w14:textFill>
                    </w:rPr>
                  </w:pPr>
                </w:p>
              </w:tc>
              <w:tc>
                <w:tcPr>
                  <w:tcW w:w="355" w:type="pct"/>
                  <w:vMerge w:val="continue"/>
                  <w:vAlign w:val="center"/>
                </w:tcPr>
                <w:p w14:paraId="10709425">
                  <w:pPr>
                    <w:widowControl/>
                    <w:jc w:val="center"/>
                    <w:rPr>
                      <w:color w:val="000000" w:themeColor="text1"/>
                      <w:kern w:val="0"/>
                      <w:szCs w:val="21"/>
                      <w14:textFill>
                        <w14:solidFill>
                          <w14:schemeClr w14:val="tx1"/>
                        </w14:solidFill>
                      </w14:textFill>
                    </w:rPr>
                  </w:pPr>
                </w:p>
              </w:tc>
            </w:tr>
            <w:tr w14:paraId="4EE36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1B67181C">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33</w:t>
                  </w:r>
                </w:p>
              </w:tc>
              <w:tc>
                <w:tcPr>
                  <w:tcW w:w="849" w:type="pct"/>
                  <w:vAlign w:val="center"/>
                </w:tcPr>
                <w:p w14:paraId="5D14AA1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色谱纯乙腈</w:t>
                  </w:r>
                </w:p>
              </w:tc>
              <w:tc>
                <w:tcPr>
                  <w:tcW w:w="1384" w:type="pct"/>
                  <w:vAlign w:val="center"/>
                </w:tcPr>
                <w:p w14:paraId="7CCDE58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w:t>
                  </w:r>
                  <w:r>
                    <w:rPr>
                      <w:color w:val="000000" w:themeColor="text1"/>
                      <w:kern w:val="0"/>
                      <w:szCs w:val="21"/>
                      <w:vertAlign w:val="subscript"/>
                      <w14:textFill>
                        <w14:solidFill>
                          <w14:schemeClr w14:val="tx1"/>
                        </w14:solidFill>
                      </w14:textFill>
                    </w:rPr>
                    <w:t>2</w:t>
                  </w:r>
                  <w:r>
                    <w:rPr>
                      <w:color w:val="000000" w:themeColor="text1"/>
                      <w:kern w:val="0"/>
                      <w:szCs w:val="21"/>
                      <w14:textFill>
                        <w14:solidFill>
                          <w14:schemeClr w14:val="tx1"/>
                        </w14:solidFill>
                      </w14:textFill>
                    </w:rPr>
                    <w:t>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r>
                    <w:rPr>
                      <w:rFonts w:hint="eastAsia"/>
                      <w:color w:val="000000" w:themeColor="text1"/>
                      <w:kern w:val="0"/>
                      <w:szCs w:val="21"/>
                      <w14:textFill>
                        <w14:solidFill>
                          <w14:schemeClr w14:val="tx1"/>
                        </w14:solidFill>
                      </w14:textFill>
                    </w:rPr>
                    <w:t>≥99.9%</w:t>
                  </w:r>
                </w:p>
              </w:tc>
              <w:tc>
                <w:tcPr>
                  <w:tcW w:w="461" w:type="pct"/>
                  <w:vAlign w:val="center"/>
                </w:tcPr>
                <w:p w14:paraId="01EA8C1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5L</w:t>
                  </w:r>
                </w:p>
              </w:tc>
              <w:tc>
                <w:tcPr>
                  <w:tcW w:w="414" w:type="pct"/>
                  <w:vAlign w:val="center"/>
                </w:tcPr>
                <w:p w14:paraId="1E0C019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vAlign w:val="center"/>
                </w:tcPr>
                <w:p w14:paraId="4DA5545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L/瓶</w:t>
                  </w:r>
                </w:p>
              </w:tc>
              <w:tc>
                <w:tcPr>
                  <w:tcW w:w="439" w:type="pct"/>
                  <w:vAlign w:val="center"/>
                </w:tcPr>
                <w:p w14:paraId="5AA1B30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vAlign w:val="center"/>
                </w:tcPr>
                <w:p w14:paraId="085EAF9A">
                  <w:pPr>
                    <w:widowControl/>
                    <w:jc w:val="center"/>
                    <w:rPr>
                      <w:color w:val="000000" w:themeColor="text1"/>
                      <w:kern w:val="0"/>
                      <w:szCs w:val="21"/>
                      <w14:textFill>
                        <w14:solidFill>
                          <w14:schemeClr w14:val="tx1"/>
                        </w14:solidFill>
                      </w14:textFill>
                    </w:rPr>
                  </w:pPr>
                </w:p>
              </w:tc>
              <w:tc>
                <w:tcPr>
                  <w:tcW w:w="355" w:type="pct"/>
                  <w:vMerge w:val="restart"/>
                  <w:vAlign w:val="center"/>
                </w:tcPr>
                <w:p w14:paraId="33834B1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分析检测</w:t>
                  </w:r>
                </w:p>
              </w:tc>
            </w:tr>
            <w:tr w14:paraId="08A34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05E97C17">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34</w:t>
                  </w:r>
                </w:p>
              </w:tc>
              <w:tc>
                <w:tcPr>
                  <w:tcW w:w="849" w:type="pct"/>
                  <w:vAlign w:val="center"/>
                </w:tcPr>
                <w:p w14:paraId="694A262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色谱纯甲醇</w:t>
                  </w:r>
                </w:p>
              </w:tc>
              <w:tc>
                <w:tcPr>
                  <w:tcW w:w="1384" w:type="pct"/>
                  <w:vAlign w:val="center"/>
                </w:tcPr>
                <w:p w14:paraId="5CA61E3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CH</w:t>
                  </w:r>
                  <w:r>
                    <w:rPr>
                      <w:color w:val="000000" w:themeColor="text1"/>
                      <w:kern w:val="0"/>
                      <w:szCs w:val="21"/>
                      <w:vertAlign w:val="subscript"/>
                      <w14:textFill>
                        <w14:solidFill>
                          <w14:schemeClr w14:val="tx1"/>
                        </w14:solidFill>
                      </w14:textFill>
                    </w:rPr>
                    <w:t>4</w:t>
                  </w:r>
                  <w:r>
                    <w:rPr>
                      <w:color w:val="000000" w:themeColor="text1"/>
                      <w:kern w:val="0"/>
                      <w:szCs w:val="21"/>
                      <w14:textFill>
                        <w14:solidFill>
                          <w14:schemeClr w14:val="tx1"/>
                        </w14:solidFill>
                      </w14:textFill>
                    </w:rPr>
                    <w:t>O</w:t>
                  </w:r>
                  <w:r>
                    <w:rPr>
                      <w:rFonts w:hint="eastAsia"/>
                      <w:color w:val="000000" w:themeColor="text1"/>
                      <w:kern w:val="0"/>
                      <w:szCs w:val="21"/>
                      <w14:textFill>
                        <w14:solidFill>
                          <w14:schemeClr w14:val="tx1"/>
                        </w14:solidFill>
                      </w14:textFill>
                    </w:rPr>
                    <w:t>≥99.9%</w:t>
                  </w:r>
                </w:p>
              </w:tc>
              <w:tc>
                <w:tcPr>
                  <w:tcW w:w="461" w:type="pct"/>
                  <w:vAlign w:val="center"/>
                </w:tcPr>
                <w:p w14:paraId="6BE2672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5L</w:t>
                  </w:r>
                </w:p>
              </w:tc>
              <w:tc>
                <w:tcPr>
                  <w:tcW w:w="414" w:type="pct"/>
                  <w:vAlign w:val="center"/>
                </w:tcPr>
                <w:p w14:paraId="679CBD2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vAlign w:val="center"/>
                </w:tcPr>
                <w:p w14:paraId="0310730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L/瓶</w:t>
                  </w:r>
                </w:p>
              </w:tc>
              <w:tc>
                <w:tcPr>
                  <w:tcW w:w="439" w:type="pct"/>
                  <w:vAlign w:val="center"/>
                </w:tcPr>
                <w:p w14:paraId="2919BDC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vAlign w:val="center"/>
                </w:tcPr>
                <w:p w14:paraId="5B92DDF4">
                  <w:pPr>
                    <w:widowControl/>
                    <w:jc w:val="center"/>
                    <w:rPr>
                      <w:color w:val="000000" w:themeColor="text1"/>
                      <w:kern w:val="0"/>
                      <w:szCs w:val="21"/>
                      <w14:textFill>
                        <w14:solidFill>
                          <w14:schemeClr w14:val="tx1"/>
                        </w14:solidFill>
                      </w14:textFill>
                    </w:rPr>
                  </w:pPr>
                </w:p>
              </w:tc>
              <w:tc>
                <w:tcPr>
                  <w:tcW w:w="355" w:type="pct"/>
                  <w:vMerge w:val="continue"/>
                  <w:vAlign w:val="center"/>
                </w:tcPr>
                <w:p w14:paraId="2C59B5E1">
                  <w:pPr>
                    <w:widowControl/>
                    <w:jc w:val="center"/>
                    <w:rPr>
                      <w:color w:val="000000" w:themeColor="text1"/>
                      <w:kern w:val="0"/>
                      <w:szCs w:val="21"/>
                      <w14:textFill>
                        <w14:solidFill>
                          <w14:schemeClr w14:val="tx1"/>
                        </w14:solidFill>
                      </w14:textFill>
                    </w:rPr>
                  </w:pPr>
                </w:p>
              </w:tc>
            </w:tr>
            <w:tr w14:paraId="5DD74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7A5683F2">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35</w:t>
                  </w:r>
                </w:p>
              </w:tc>
              <w:tc>
                <w:tcPr>
                  <w:tcW w:w="849" w:type="pct"/>
                  <w:vAlign w:val="center"/>
                </w:tcPr>
                <w:p w14:paraId="6410DB7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75%乙醇</w:t>
                  </w:r>
                </w:p>
              </w:tc>
              <w:tc>
                <w:tcPr>
                  <w:tcW w:w="1384" w:type="pct"/>
                  <w:vAlign w:val="center"/>
                </w:tcPr>
                <w:p w14:paraId="75C13EE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C</w:t>
                  </w:r>
                  <w:r>
                    <w:rPr>
                      <w:rFonts w:hint="eastAsia"/>
                      <w:color w:val="000000" w:themeColor="text1"/>
                      <w:kern w:val="0"/>
                      <w:szCs w:val="21"/>
                      <w:vertAlign w:val="subscript"/>
                      <w14:textFill>
                        <w14:solidFill>
                          <w14:schemeClr w14:val="tx1"/>
                        </w14:solidFill>
                      </w14:textFill>
                    </w:rPr>
                    <w:t>2</w:t>
                  </w:r>
                  <w:r>
                    <w:rPr>
                      <w:rFonts w:hint="eastAsia"/>
                      <w:color w:val="000000" w:themeColor="text1"/>
                      <w:kern w:val="0"/>
                      <w:szCs w:val="21"/>
                      <w14:textFill>
                        <w14:solidFill>
                          <w14:schemeClr w14:val="tx1"/>
                        </w14:solidFill>
                      </w14:textFill>
                    </w:rPr>
                    <w:t>H</w:t>
                  </w:r>
                  <w:r>
                    <w:rPr>
                      <w:rFonts w:hint="eastAsia"/>
                      <w:color w:val="000000" w:themeColor="text1"/>
                      <w:kern w:val="0"/>
                      <w:szCs w:val="21"/>
                      <w:vertAlign w:val="subscript"/>
                      <w14:textFill>
                        <w14:solidFill>
                          <w14:schemeClr w14:val="tx1"/>
                        </w14:solidFill>
                      </w14:textFill>
                    </w:rPr>
                    <w:t>5</w:t>
                  </w:r>
                  <w:r>
                    <w:rPr>
                      <w:rFonts w:hint="eastAsia"/>
                      <w:color w:val="000000" w:themeColor="text1"/>
                      <w:kern w:val="0"/>
                      <w:szCs w:val="21"/>
                      <w14:textFill>
                        <w14:solidFill>
                          <w14:schemeClr w14:val="tx1"/>
                        </w14:solidFill>
                      </w14:textFill>
                    </w:rPr>
                    <w:t>OH75%</w:t>
                  </w:r>
                </w:p>
              </w:tc>
              <w:tc>
                <w:tcPr>
                  <w:tcW w:w="461" w:type="pct"/>
                  <w:vAlign w:val="center"/>
                </w:tcPr>
                <w:p w14:paraId="1197CEE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2L</w:t>
                  </w:r>
                </w:p>
              </w:tc>
              <w:tc>
                <w:tcPr>
                  <w:tcW w:w="414" w:type="pct"/>
                  <w:vAlign w:val="center"/>
                </w:tcPr>
                <w:p w14:paraId="07E8845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1瓶</w:t>
                  </w:r>
                </w:p>
              </w:tc>
              <w:tc>
                <w:tcPr>
                  <w:tcW w:w="571" w:type="pct"/>
                  <w:vAlign w:val="center"/>
                </w:tcPr>
                <w:p w14:paraId="7E2A38C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L/瓶</w:t>
                  </w:r>
                </w:p>
              </w:tc>
              <w:tc>
                <w:tcPr>
                  <w:tcW w:w="439" w:type="pct"/>
                  <w:vAlign w:val="center"/>
                </w:tcPr>
                <w:p w14:paraId="34D0FA1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w:t>
                  </w:r>
                </w:p>
              </w:tc>
              <w:tc>
                <w:tcPr>
                  <w:tcW w:w="345" w:type="pct"/>
                  <w:vMerge w:val="continue"/>
                  <w:vAlign w:val="center"/>
                </w:tcPr>
                <w:p w14:paraId="50172F6D">
                  <w:pPr>
                    <w:widowControl/>
                    <w:jc w:val="center"/>
                    <w:rPr>
                      <w:color w:val="000000" w:themeColor="text1"/>
                      <w:kern w:val="0"/>
                      <w:szCs w:val="21"/>
                      <w14:textFill>
                        <w14:solidFill>
                          <w14:schemeClr w14:val="tx1"/>
                        </w14:solidFill>
                      </w14:textFill>
                    </w:rPr>
                  </w:pPr>
                </w:p>
              </w:tc>
              <w:tc>
                <w:tcPr>
                  <w:tcW w:w="355" w:type="pct"/>
                  <w:vAlign w:val="center"/>
                </w:tcPr>
                <w:p w14:paraId="2483581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消毒</w:t>
                  </w:r>
                </w:p>
              </w:tc>
            </w:tr>
            <w:tr w14:paraId="783BC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27FDF137">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36</w:t>
                  </w:r>
                </w:p>
              </w:tc>
              <w:tc>
                <w:tcPr>
                  <w:tcW w:w="849" w:type="pct"/>
                  <w:vAlign w:val="center"/>
                </w:tcPr>
                <w:p w14:paraId="541B926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移液枪枪头</w:t>
                  </w:r>
                </w:p>
              </w:tc>
              <w:tc>
                <w:tcPr>
                  <w:tcW w:w="1384" w:type="pct"/>
                  <w:vAlign w:val="center"/>
                </w:tcPr>
                <w:p w14:paraId="40CBBDC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N/A</w:t>
                  </w:r>
                </w:p>
              </w:tc>
              <w:tc>
                <w:tcPr>
                  <w:tcW w:w="461" w:type="pct"/>
                  <w:vAlign w:val="center"/>
                </w:tcPr>
                <w:p w14:paraId="633C3EA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100包</w:t>
                  </w:r>
                </w:p>
              </w:tc>
              <w:tc>
                <w:tcPr>
                  <w:tcW w:w="414" w:type="pct"/>
                  <w:vAlign w:val="center"/>
                </w:tcPr>
                <w:p w14:paraId="193C71D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10包</w:t>
                  </w:r>
                </w:p>
              </w:tc>
              <w:tc>
                <w:tcPr>
                  <w:tcW w:w="571" w:type="pct"/>
                  <w:vAlign w:val="center"/>
                </w:tcPr>
                <w:p w14:paraId="3EE7675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39" w:type="pct"/>
                  <w:vAlign w:val="center"/>
                </w:tcPr>
                <w:p w14:paraId="4E75786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实验柜</w:t>
                  </w:r>
                </w:p>
              </w:tc>
              <w:tc>
                <w:tcPr>
                  <w:tcW w:w="345" w:type="pct"/>
                  <w:vMerge w:val="continue"/>
                  <w:vAlign w:val="center"/>
                </w:tcPr>
                <w:p w14:paraId="0B9A1AC3">
                  <w:pPr>
                    <w:widowControl/>
                    <w:jc w:val="center"/>
                    <w:rPr>
                      <w:color w:val="000000" w:themeColor="text1"/>
                      <w:kern w:val="0"/>
                      <w:szCs w:val="21"/>
                      <w14:textFill>
                        <w14:solidFill>
                          <w14:schemeClr w14:val="tx1"/>
                        </w14:solidFill>
                      </w14:textFill>
                    </w:rPr>
                  </w:pPr>
                </w:p>
              </w:tc>
              <w:tc>
                <w:tcPr>
                  <w:tcW w:w="355" w:type="pct"/>
                  <w:vMerge w:val="restart"/>
                  <w:vAlign w:val="center"/>
                </w:tcPr>
                <w:p w14:paraId="3201558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常用生物耗材</w:t>
                  </w:r>
                </w:p>
              </w:tc>
            </w:tr>
            <w:tr w14:paraId="2A290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28CA0244">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37</w:t>
                  </w:r>
                </w:p>
              </w:tc>
              <w:tc>
                <w:tcPr>
                  <w:tcW w:w="849" w:type="pct"/>
                  <w:vAlign w:val="center"/>
                </w:tcPr>
                <w:p w14:paraId="68C5B37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0.2ml PCR八连排管</w:t>
                  </w:r>
                </w:p>
              </w:tc>
              <w:tc>
                <w:tcPr>
                  <w:tcW w:w="1384" w:type="pct"/>
                  <w:vAlign w:val="center"/>
                </w:tcPr>
                <w:p w14:paraId="038277A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N/A</w:t>
                  </w:r>
                </w:p>
              </w:tc>
              <w:tc>
                <w:tcPr>
                  <w:tcW w:w="461" w:type="pct"/>
                  <w:vAlign w:val="center"/>
                </w:tcPr>
                <w:p w14:paraId="3F352DF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20箱</w:t>
                  </w:r>
                </w:p>
              </w:tc>
              <w:tc>
                <w:tcPr>
                  <w:tcW w:w="414" w:type="pct"/>
                  <w:vAlign w:val="center"/>
                </w:tcPr>
                <w:p w14:paraId="76303C1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2箱</w:t>
                  </w:r>
                </w:p>
              </w:tc>
              <w:tc>
                <w:tcPr>
                  <w:tcW w:w="571" w:type="pct"/>
                  <w:vAlign w:val="center"/>
                </w:tcPr>
                <w:p w14:paraId="337DE10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10盒/箱</w:t>
                  </w:r>
                </w:p>
              </w:tc>
              <w:tc>
                <w:tcPr>
                  <w:tcW w:w="439" w:type="pct"/>
                  <w:vAlign w:val="center"/>
                </w:tcPr>
                <w:p w14:paraId="7F2F671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实验柜</w:t>
                  </w:r>
                </w:p>
              </w:tc>
              <w:tc>
                <w:tcPr>
                  <w:tcW w:w="345" w:type="pct"/>
                  <w:vMerge w:val="continue"/>
                  <w:vAlign w:val="center"/>
                </w:tcPr>
                <w:p w14:paraId="5892E679">
                  <w:pPr>
                    <w:widowControl/>
                    <w:jc w:val="center"/>
                    <w:rPr>
                      <w:color w:val="000000" w:themeColor="text1"/>
                      <w:kern w:val="0"/>
                      <w:szCs w:val="21"/>
                      <w14:textFill>
                        <w14:solidFill>
                          <w14:schemeClr w14:val="tx1"/>
                        </w14:solidFill>
                      </w14:textFill>
                    </w:rPr>
                  </w:pPr>
                </w:p>
              </w:tc>
              <w:tc>
                <w:tcPr>
                  <w:tcW w:w="355" w:type="pct"/>
                  <w:vMerge w:val="continue"/>
                  <w:vAlign w:val="center"/>
                </w:tcPr>
                <w:p w14:paraId="16A09962">
                  <w:pPr>
                    <w:widowControl/>
                    <w:jc w:val="center"/>
                    <w:rPr>
                      <w:color w:val="000000" w:themeColor="text1"/>
                      <w:kern w:val="0"/>
                      <w:szCs w:val="21"/>
                      <w14:textFill>
                        <w14:solidFill>
                          <w14:schemeClr w14:val="tx1"/>
                        </w14:solidFill>
                      </w14:textFill>
                    </w:rPr>
                  </w:pPr>
                </w:p>
              </w:tc>
            </w:tr>
            <w:tr w14:paraId="3C175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0406634F">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38</w:t>
                  </w:r>
                </w:p>
              </w:tc>
              <w:tc>
                <w:tcPr>
                  <w:tcW w:w="849" w:type="pct"/>
                  <w:vAlign w:val="center"/>
                </w:tcPr>
                <w:p w14:paraId="041C76C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离心管</w:t>
                  </w:r>
                </w:p>
              </w:tc>
              <w:tc>
                <w:tcPr>
                  <w:tcW w:w="1384" w:type="pct"/>
                  <w:vAlign w:val="center"/>
                </w:tcPr>
                <w:p w14:paraId="5304DEF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N/A</w:t>
                  </w:r>
                </w:p>
              </w:tc>
              <w:tc>
                <w:tcPr>
                  <w:tcW w:w="461" w:type="pct"/>
                  <w:vAlign w:val="center"/>
                </w:tcPr>
                <w:p w14:paraId="7CEBB36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100包</w:t>
                  </w:r>
                </w:p>
              </w:tc>
              <w:tc>
                <w:tcPr>
                  <w:tcW w:w="414" w:type="pct"/>
                  <w:vAlign w:val="center"/>
                </w:tcPr>
                <w:p w14:paraId="794E5D4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10包</w:t>
                  </w:r>
                </w:p>
              </w:tc>
              <w:tc>
                <w:tcPr>
                  <w:tcW w:w="571" w:type="pct"/>
                  <w:vAlign w:val="center"/>
                </w:tcPr>
                <w:p w14:paraId="4E5DEF3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39" w:type="pct"/>
                  <w:vAlign w:val="center"/>
                </w:tcPr>
                <w:p w14:paraId="04AF239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实验柜</w:t>
                  </w:r>
                </w:p>
              </w:tc>
              <w:tc>
                <w:tcPr>
                  <w:tcW w:w="345" w:type="pct"/>
                  <w:vMerge w:val="continue"/>
                  <w:vAlign w:val="center"/>
                </w:tcPr>
                <w:p w14:paraId="4DF629EE">
                  <w:pPr>
                    <w:widowControl/>
                    <w:jc w:val="center"/>
                    <w:rPr>
                      <w:color w:val="000000" w:themeColor="text1"/>
                      <w:kern w:val="0"/>
                      <w:szCs w:val="21"/>
                      <w14:textFill>
                        <w14:solidFill>
                          <w14:schemeClr w14:val="tx1"/>
                        </w14:solidFill>
                      </w14:textFill>
                    </w:rPr>
                  </w:pPr>
                </w:p>
              </w:tc>
              <w:tc>
                <w:tcPr>
                  <w:tcW w:w="355" w:type="pct"/>
                  <w:vMerge w:val="continue"/>
                  <w:vAlign w:val="center"/>
                </w:tcPr>
                <w:p w14:paraId="77B37EE0">
                  <w:pPr>
                    <w:widowControl/>
                    <w:jc w:val="center"/>
                    <w:rPr>
                      <w:color w:val="000000" w:themeColor="text1"/>
                      <w:kern w:val="0"/>
                      <w:szCs w:val="21"/>
                      <w14:textFill>
                        <w14:solidFill>
                          <w14:schemeClr w14:val="tx1"/>
                        </w14:solidFill>
                      </w14:textFill>
                    </w:rPr>
                  </w:pPr>
                </w:p>
              </w:tc>
            </w:tr>
            <w:tr w14:paraId="64CB9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671A33FD">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39</w:t>
                  </w:r>
                </w:p>
              </w:tc>
              <w:tc>
                <w:tcPr>
                  <w:tcW w:w="849" w:type="pct"/>
                  <w:vAlign w:val="center"/>
                </w:tcPr>
                <w:p w14:paraId="73496C3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细菌培养管</w:t>
                  </w:r>
                </w:p>
              </w:tc>
              <w:tc>
                <w:tcPr>
                  <w:tcW w:w="1384" w:type="pct"/>
                  <w:vAlign w:val="center"/>
                </w:tcPr>
                <w:p w14:paraId="62CA5F9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N/A</w:t>
                  </w:r>
                </w:p>
              </w:tc>
              <w:tc>
                <w:tcPr>
                  <w:tcW w:w="461" w:type="pct"/>
                  <w:vAlign w:val="center"/>
                </w:tcPr>
                <w:p w14:paraId="08C2E2D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10箱</w:t>
                  </w:r>
                </w:p>
              </w:tc>
              <w:tc>
                <w:tcPr>
                  <w:tcW w:w="414" w:type="pct"/>
                  <w:vAlign w:val="center"/>
                </w:tcPr>
                <w:p w14:paraId="37849BD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1箱</w:t>
                  </w:r>
                </w:p>
              </w:tc>
              <w:tc>
                <w:tcPr>
                  <w:tcW w:w="571" w:type="pct"/>
                  <w:vAlign w:val="center"/>
                </w:tcPr>
                <w:p w14:paraId="755C0D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500支/箱</w:t>
                  </w:r>
                </w:p>
              </w:tc>
              <w:tc>
                <w:tcPr>
                  <w:tcW w:w="439" w:type="pct"/>
                  <w:vAlign w:val="center"/>
                </w:tcPr>
                <w:p w14:paraId="67764C2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实验柜</w:t>
                  </w:r>
                </w:p>
              </w:tc>
              <w:tc>
                <w:tcPr>
                  <w:tcW w:w="345" w:type="pct"/>
                  <w:vMerge w:val="continue"/>
                  <w:vAlign w:val="center"/>
                </w:tcPr>
                <w:p w14:paraId="4053B18F">
                  <w:pPr>
                    <w:widowControl/>
                    <w:jc w:val="center"/>
                    <w:rPr>
                      <w:color w:val="000000" w:themeColor="text1"/>
                      <w:kern w:val="0"/>
                      <w:szCs w:val="21"/>
                      <w14:textFill>
                        <w14:solidFill>
                          <w14:schemeClr w14:val="tx1"/>
                        </w14:solidFill>
                      </w14:textFill>
                    </w:rPr>
                  </w:pPr>
                </w:p>
              </w:tc>
              <w:tc>
                <w:tcPr>
                  <w:tcW w:w="355" w:type="pct"/>
                  <w:vMerge w:val="continue"/>
                  <w:vAlign w:val="center"/>
                </w:tcPr>
                <w:p w14:paraId="65CF826E">
                  <w:pPr>
                    <w:widowControl/>
                    <w:jc w:val="center"/>
                    <w:rPr>
                      <w:color w:val="000000" w:themeColor="text1"/>
                      <w:kern w:val="0"/>
                      <w:szCs w:val="21"/>
                      <w14:textFill>
                        <w14:solidFill>
                          <w14:schemeClr w14:val="tx1"/>
                        </w14:solidFill>
                      </w14:textFill>
                    </w:rPr>
                  </w:pPr>
                </w:p>
              </w:tc>
            </w:tr>
            <w:tr w14:paraId="7BC60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71FC2A43">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40</w:t>
                  </w:r>
                </w:p>
              </w:tc>
              <w:tc>
                <w:tcPr>
                  <w:tcW w:w="849" w:type="pct"/>
                  <w:vAlign w:val="center"/>
                </w:tcPr>
                <w:p w14:paraId="71EE31D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2ml冻存管</w:t>
                  </w:r>
                </w:p>
              </w:tc>
              <w:tc>
                <w:tcPr>
                  <w:tcW w:w="1384" w:type="pct"/>
                  <w:vAlign w:val="center"/>
                </w:tcPr>
                <w:p w14:paraId="59FBF04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N/A</w:t>
                  </w:r>
                </w:p>
              </w:tc>
              <w:tc>
                <w:tcPr>
                  <w:tcW w:w="461" w:type="pct"/>
                  <w:vAlign w:val="center"/>
                </w:tcPr>
                <w:p w14:paraId="313DE3E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10包</w:t>
                  </w:r>
                </w:p>
              </w:tc>
              <w:tc>
                <w:tcPr>
                  <w:tcW w:w="414" w:type="pct"/>
                  <w:vAlign w:val="center"/>
                </w:tcPr>
                <w:p w14:paraId="2E5C13E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1包</w:t>
                  </w:r>
                </w:p>
              </w:tc>
              <w:tc>
                <w:tcPr>
                  <w:tcW w:w="571" w:type="pct"/>
                  <w:vAlign w:val="center"/>
                </w:tcPr>
                <w:p w14:paraId="1D73F3E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500个/包</w:t>
                  </w:r>
                </w:p>
              </w:tc>
              <w:tc>
                <w:tcPr>
                  <w:tcW w:w="439" w:type="pct"/>
                  <w:vAlign w:val="center"/>
                </w:tcPr>
                <w:p w14:paraId="0461029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实验柜</w:t>
                  </w:r>
                </w:p>
              </w:tc>
              <w:tc>
                <w:tcPr>
                  <w:tcW w:w="345" w:type="pct"/>
                  <w:vMerge w:val="continue"/>
                  <w:vAlign w:val="center"/>
                </w:tcPr>
                <w:p w14:paraId="18AC551C">
                  <w:pPr>
                    <w:widowControl/>
                    <w:jc w:val="center"/>
                    <w:rPr>
                      <w:color w:val="000000" w:themeColor="text1"/>
                      <w:kern w:val="0"/>
                      <w:szCs w:val="21"/>
                      <w14:textFill>
                        <w14:solidFill>
                          <w14:schemeClr w14:val="tx1"/>
                        </w14:solidFill>
                      </w14:textFill>
                    </w:rPr>
                  </w:pPr>
                </w:p>
              </w:tc>
              <w:tc>
                <w:tcPr>
                  <w:tcW w:w="355" w:type="pct"/>
                  <w:vMerge w:val="continue"/>
                  <w:vAlign w:val="center"/>
                </w:tcPr>
                <w:p w14:paraId="2649E43F">
                  <w:pPr>
                    <w:widowControl/>
                    <w:jc w:val="center"/>
                    <w:rPr>
                      <w:color w:val="000000" w:themeColor="text1"/>
                      <w:kern w:val="0"/>
                      <w:szCs w:val="21"/>
                      <w14:textFill>
                        <w14:solidFill>
                          <w14:schemeClr w14:val="tx1"/>
                        </w14:solidFill>
                      </w14:textFill>
                    </w:rPr>
                  </w:pPr>
                </w:p>
              </w:tc>
            </w:tr>
            <w:tr w14:paraId="2C19C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77E97605">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41</w:t>
                  </w:r>
                </w:p>
              </w:tc>
              <w:tc>
                <w:tcPr>
                  <w:tcW w:w="849" w:type="pct"/>
                  <w:vAlign w:val="center"/>
                </w:tcPr>
                <w:p w14:paraId="52618CE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90mm培养皿</w:t>
                  </w:r>
                </w:p>
              </w:tc>
              <w:tc>
                <w:tcPr>
                  <w:tcW w:w="1384" w:type="pct"/>
                  <w:vAlign w:val="center"/>
                </w:tcPr>
                <w:p w14:paraId="0368950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N/A</w:t>
                  </w:r>
                </w:p>
              </w:tc>
              <w:tc>
                <w:tcPr>
                  <w:tcW w:w="461" w:type="pct"/>
                  <w:vAlign w:val="center"/>
                </w:tcPr>
                <w:p w14:paraId="5E2AE09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100箱</w:t>
                  </w:r>
                </w:p>
              </w:tc>
              <w:tc>
                <w:tcPr>
                  <w:tcW w:w="414" w:type="pct"/>
                  <w:vAlign w:val="center"/>
                </w:tcPr>
                <w:p w14:paraId="2DF7355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10箱</w:t>
                  </w:r>
                </w:p>
              </w:tc>
              <w:tc>
                <w:tcPr>
                  <w:tcW w:w="571" w:type="pct"/>
                  <w:vAlign w:val="center"/>
                </w:tcPr>
                <w:p w14:paraId="7FC6D3D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500套/箱</w:t>
                  </w:r>
                </w:p>
              </w:tc>
              <w:tc>
                <w:tcPr>
                  <w:tcW w:w="439" w:type="pct"/>
                  <w:vAlign w:val="center"/>
                </w:tcPr>
                <w:p w14:paraId="09BA2C5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实验柜</w:t>
                  </w:r>
                </w:p>
              </w:tc>
              <w:tc>
                <w:tcPr>
                  <w:tcW w:w="345" w:type="pct"/>
                  <w:vMerge w:val="continue"/>
                  <w:vAlign w:val="center"/>
                </w:tcPr>
                <w:p w14:paraId="4643A680">
                  <w:pPr>
                    <w:widowControl/>
                    <w:jc w:val="center"/>
                    <w:rPr>
                      <w:color w:val="000000" w:themeColor="text1"/>
                      <w:kern w:val="0"/>
                      <w:szCs w:val="21"/>
                      <w14:textFill>
                        <w14:solidFill>
                          <w14:schemeClr w14:val="tx1"/>
                        </w14:solidFill>
                      </w14:textFill>
                    </w:rPr>
                  </w:pPr>
                </w:p>
              </w:tc>
              <w:tc>
                <w:tcPr>
                  <w:tcW w:w="355" w:type="pct"/>
                  <w:vMerge w:val="continue"/>
                  <w:vAlign w:val="center"/>
                </w:tcPr>
                <w:p w14:paraId="2C574C60">
                  <w:pPr>
                    <w:widowControl/>
                    <w:jc w:val="center"/>
                    <w:rPr>
                      <w:color w:val="000000" w:themeColor="text1"/>
                      <w:kern w:val="0"/>
                      <w:szCs w:val="21"/>
                      <w14:textFill>
                        <w14:solidFill>
                          <w14:schemeClr w14:val="tx1"/>
                        </w14:solidFill>
                      </w14:textFill>
                    </w:rPr>
                  </w:pPr>
                </w:p>
              </w:tc>
            </w:tr>
            <w:tr w14:paraId="27A62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74798EB9">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42</w:t>
                  </w:r>
                </w:p>
              </w:tc>
              <w:tc>
                <w:tcPr>
                  <w:tcW w:w="849" w:type="pct"/>
                  <w:vAlign w:val="center"/>
                </w:tcPr>
                <w:p w14:paraId="7665385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2ml液相小瓶</w:t>
                  </w:r>
                </w:p>
              </w:tc>
              <w:tc>
                <w:tcPr>
                  <w:tcW w:w="1384" w:type="pct"/>
                  <w:vAlign w:val="center"/>
                </w:tcPr>
                <w:p w14:paraId="242EE8B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N/A</w:t>
                  </w:r>
                </w:p>
              </w:tc>
              <w:tc>
                <w:tcPr>
                  <w:tcW w:w="461" w:type="pct"/>
                  <w:vAlign w:val="center"/>
                </w:tcPr>
                <w:p w14:paraId="36A2E4F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100盒</w:t>
                  </w:r>
                </w:p>
              </w:tc>
              <w:tc>
                <w:tcPr>
                  <w:tcW w:w="414" w:type="pct"/>
                  <w:vAlign w:val="center"/>
                </w:tcPr>
                <w:p w14:paraId="22359BF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10盒</w:t>
                  </w:r>
                </w:p>
              </w:tc>
              <w:tc>
                <w:tcPr>
                  <w:tcW w:w="571" w:type="pct"/>
                  <w:vAlign w:val="center"/>
                </w:tcPr>
                <w:p w14:paraId="7DACFED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200个/盒</w:t>
                  </w:r>
                </w:p>
              </w:tc>
              <w:tc>
                <w:tcPr>
                  <w:tcW w:w="439" w:type="pct"/>
                  <w:vAlign w:val="center"/>
                </w:tcPr>
                <w:p w14:paraId="70BA3D9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实验柜</w:t>
                  </w:r>
                </w:p>
              </w:tc>
              <w:tc>
                <w:tcPr>
                  <w:tcW w:w="345" w:type="pct"/>
                  <w:vMerge w:val="continue"/>
                  <w:vAlign w:val="center"/>
                </w:tcPr>
                <w:p w14:paraId="33DA0434">
                  <w:pPr>
                    <w:widowControl/>
                    <w:jc w:val="center"/>
                    <w:rPr>
                      <w:color w:val="000000" w:themeColor="text1"/>
                      <w:kern w:val="0"/>
                      <w:szCs w:val="21"/>
                      <w14:textFill>
                        <w14:solidFill>
                          <w14:schemeClr w14:val="tx1"/>
                        </w14:solidFill>
                      </w14:textFill>
                    </w:rPr>
                  </w:pPr>
                </w:p>
              </w:tc>
              <w:tc>
                <w:tcPr>
                  <w:tcW w:w="355" w:type="pct"/>
                  <w:vMerge w:val="continue"/>
                  <w:vAlign w:val="center"/>
                </w:tcPr>
                <w:p w14:paraId="4DE00ED7">
                  <w:pPr>
                    <w:widowControl/>
                    <w:jc w:val="center"/>
                    <w:rPr>
                      <w:color w:val="000000" w:themeColor="text1"/>
                      <w:kern w:val="0"/>
                      <w:szCs w:val="21"/>
                      <w14:textFill>
                        <w14:solidFill>
                          <w14:schemeClr w14:val="tx1"/>
                        </w14:solidFill>
                      </w14:textFill>
                    </w:rPr>
                  </w:pPr>
                </w:p>
              </w:tc>
            </w:tr>
            <w:tr w14:paraId="4C164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2B406D22">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43</w:t>
                  </w:r>
                </w:p>
              </w:tc>
              <w:tc>
                <w:tcPr>
                  <w:tcW w:w="849" w:type="pct"/>
                  <w:vAlign w:val="center"/>
                </w:tcPr>
                <w:p w14:paraId="61A7747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无菌注射器</w:t>
                  </w:r>
                </w:p>
              </w:tc>
              <w:tc>
                <w:tcPr>
                  <w:tcW w:w="1384" w:type="pct"/>
                  <w:vAlign w:val="center"/>
                </w:tcPr>
                <w:p w14:paraId="702CAFA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N/A</w:t>
                  </w:r>
                </w:p>
              </w:tc>
              <w:tc>
                <w:tcPr>
                  <w:tcW w:w="461" w:type="pct"/>
                  <w:vAlign w:val="center"/>
                </w:tcPr>
                <w:p w14:paraId="7D5BAE7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100包</w:t>
                  </w:r>
                </w:p>
              </w:tc>
              <w:tc>
                <w:tcPr>
                  <w:tcW w:w="414" w:type="pct"/>
                  <w:vAlign w:val="center"/>
                </w:tcPr>
                <w:p w14:paraId="41414E4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10包</w:t>
                  </w:r>
                </w:p>
              </w:tc>
              <w:tc>
                <w:tcPr>
                  <w:tcW w:w="571" w:type="pct"/>
                  <w:vAlign w:val="center"/>
                </w:tcPr>
                <w:p w14:paraId="01647FB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100支/包</w:t>
                  </w:r>
                </w:p>
              </w:tc>
              <w:tc>
                <w:tcPr>
                  <w:tcW w:w="439" w:type="pct"/>
                  <w:vAlign w:val="center"/>
                </w:tcPr>
                <w:p w14:paraId="0784505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实验柜</w:t>
                  </w:r>
                </w:p>
              </w:tc>
              <w:tc>
                <w:tcPr>
                  <w:tcW w:w="345" w:type="pct"/>
                  <w:vMerge w:val="continue"/>
                  <w:vAlign w:val="center"/>
                </w:tcPr>
                <w:p w14:paraId="7A0C0B86">
                  <w:pPr>
                    <w:widowControl/>
                    <w:jc w:val="center"/>
                    <w:rPr>
                      <w:color w:val="000000" w:themeColor="text1"/>
                      <w:kern w:val="0"/>
                      <w:szCs w:val="21"/>
                      <w14:textFill>
                        <w14:solidFill>
                          <w14:schemeClr w14:val="tx1"/>
                        </w14:solidFill>
                      </w14:textFill>
                    </w:rPr>
                  </w:pPr>
                </w:p>
              </w:tc>
              <w:tc>
                <w:tcPr>
                  <w:tcW w:w="355" w:type="pct"/>
                  <w:vMerge w:val="continue"/>
                  <w:vAlign w:val="center"/>
                </w:tcPr>
                <w:p w14:paraId="3B23162B">
                  <w:pPr>
                    <w:widowControl/>
                    <w:jc w:val="center"/>
                    <w:rPr>
                      <w:color w:val="000000" w:themeColor="text1"/>
                      <w:kern w:val="0"/>
                      <w:szCs w:val="21"/>
                      <w14:textFill>
                        <w14:solidFill>
                          <w14:schemeClr w14:val="tx1"/>
                        </w14:solidFill>
                      </w14:textFill>
                    </w:rPr>
                  </w:pPr>
                </w:p>
              </w:tc>
            </w:tr>
            <w:tr w14:paraId="37EBD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0D1010EC">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44</w:t>
                  </w:r>
                </w:p>
              </w:tc>
              <w:tc>
                <w:tcPr>
                  <w:tcW w:w="849" w:type="pct"/>
                  <w:vAlign w:val="center"/>
                </w:tcPr>
                <w:p w14:paraId="3C65F22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Millipore 0.22μm滤膜</w:t>
                  </w:r>
                </w:p>
              </w:tc>
              <w:tc>
                <w:tcPr>
                  <w:tcW w:w="1384" w:type="pct"/>
                  <w:vAlign w:val="center"/>
                </w:tcPr>
                <w:p w14:paraId="2E07491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N/A</w:t>
                  </w:r>
                </w:p>
              </w:tc>
              <w:tc>
                <w:tcPr>
                  <w:tcW w:w="461" w:type="pct"/>
                  <w:vAlign w:val="center"/>
                </w:tcPr>
                <w:p w14:paraId="688AB98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100盒</w:t>
                  </w:r>
                </w:p>
              </w:tc>
              <w:tc>
                <w:tcPr>
                  <w:tcW w:w="414" w:type="pct"/>
                  <w:vAlign w:val="center"/>
                </w:tcPr>
                <w:p w14:paraId="2CFD9F7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10盒</w:t>
                  </w:r>
                </w:p>
              </w:tc>
              <w:tc>
                <w:tcPr>
                  <w:tcW w:w="571" w:type="pct"/>
                  <w:vAlign w:val="center"/>
                </w:tcPr>
                <w:p w14:paraId="18DC072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100个/盒</w:t>
                  </w:r>
                </w:p>
              </w:tc>
              <w:tc>
                <w:tcPr>
                  <w:tcW w:w="439" w:type="pct"/>
                  <w:vAlign w:val="center"/>
                </w:tcPr>
                <w:p w14:paraId="4C0C2CD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实验柜</w:t>
                  </w:r>
                </w:p>
              </w:tc>
              <w:tc>
                <w:tcPr>
                  <w:tcW w:w="345" w:type="pct"/>
                  <w:vMerge w:val="continue"/>
                  <w:vAlign w:val="center"/>
                </w:tcPr>
                <w:p w14:paraId="0A21896E">
                  <w:pPr>
                    <w:widowControl/>
                    <w:jc w:val="center"/>
                    <w:rPr>
                      <w:color w:val="000000" w:themeColor="text1"/>
                      <w:kern w:val="0"/>
                      <w:szCs w:val="21"/>
                      <w14:textFill>
                        <w14:solidFill>
                          <w14:schemeClr w14:val="tx1"/>
                        </w14:solidFill>
                      </w14:textFill>
                    </w:rPr>
                  </w:pPr>
                </w:p>
              </w:tc>
              <w:tc>
                <w:tcPr>
                  <w:tcW w:w="355" w:type="pct"/>
                  <w:vMerge w:val="continue"/>
                  <w:vAlign w:val="center"/>
                </w:tcPr>
                <w:p w14:paraId="43A1F975">
                  <w:pPr>
                    <w:widowControl/>
                    <w:jc w:val="center"/>
                    <w:rPr>
                      <w:color w:val="000000" w:themeColor="text1"/>
                      <w:kern w:val="0"/>
                      <w:szCs w:val="21"/>
                      <w14:textFill>
                        <w14:solidFill>
                          <w14:schemeClr w14:val="tx1"/>
                        </w14:solidFill>
                      </w14:textFill>
                    </w:rPr>
                  </w:pPr>
                </w:p>
              </w:tc>
            </w:tr>
            <w:tr w14:paraId="4D8F7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6D71DF7C">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45</w:t>
                  </w:r>
                </w:p>
              </w:tc>
              <w:tc>
                <w:tcPr>
                  <w:tcW w:w="849" w:type="pct"/>
                  <w:vAlign w:val="center"/>
                </w:tcPr>
                <w:p w14:paraId="44977F5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酶标板</w:t>
                  </w:r>
                </w:p>
              </w:tc>
              <w:tc>
                <w:tcPr>
                  <w:tcW w:w="1384" w:type="pct"/>
                  <w:vAlign w:val="center"/>
                </w:tcPr>
                <w:p w14:paraId="02FE4BF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N/A</w:t>
                  </w:r>
                </w:p>
              </w:tc>
              <w:tc>
                <w:tcPr>
                  <w:tcW w:w="461" w:type="pct"/>
                  <w:vAlign w:val="center"/>
                </w:tcPr>
                <w:p w14:paraId="70B3E34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500块</w:t>
                  </w:r>
                </w:p>
              </w:tc>
              <w:tc>
                <w:tcPr>
                  <w:tcW w:w="414" w:type="pct"/>
                  <w:vAlign w:val="center"/>
                </w:tcPr>
                <w:p w14:paraId="40239B6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50块</w:t>
                  </w:r>
                </w:p>
              </w:tc>
              <w:tc>
                <w:tcPr>
                  <w:tcW w:w="571" w:type="pct"/>
                  <w:vAlign w:val="center"/>
                </w:tcPr>
                <w:p w14:paraId="310E73A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39" w:type="pct"/>
                  <w:vAlign w:val="center"/>
                </w:tcPr>
                <w:p w14:paraId="127772F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实验柜</w:t>
                  </w:r>
                </w:p>
              </w:tc>
              <w:tc>
                <w:tcPr>
                  <w:tcW w:w="345" w:type="pct"/>
                  <w:vMerge w:val="continue"/>
                  <w:vAlign w:val="center"/>
                </w:tcPr>
                <w:p w14:paraId="0B82F28F">
                  <w:pPr>
                    <w:widowControl/>
                    <w:jc w:val="center"/>
                    <w:rPr>
                      <w:color w:val="000000" w:themeColor="text1"/>
                      <w:kern w:val="0"/>
                      <w:szCs w:val="21"/>
                      <w14:textFill>
                        <w14:solidFill>
                          <w14:schemeClr w14:val="tx1"/>
                        </w14:solidFill>
                      </w14:textFill>
                    </w:rPr>
                  </w:pPr>
                </w:p>
              </w:tc>
              <w:tc>
                <w:tcPr>
                  <w:tcW w:w="355" w:type="pct"/>
                  <w:vMerge w:val="continue"/>
                  <w:vAlign w:val="center"/>
                </w:tcPr>
                <w:p w14:paraId="39A01697">
                  <w:pPr>
                    <w:widowControl/>
                    <w:jc w:val="center"/>
                    <w:rPr>
                      <w:color w:val="000000" w:themeColor="text1"/>
                      <w:kern w:val="0"/>
                      <w:szCs w:val="21"/>
                      <w14:textFill>
                        <w14:solidFill>
                          <w14:schemeClr w14:val="tx1"/>
                        </w14:solidFill>
                      </w14:textFill>
                    </w:rPr>
                  </w:pPr>
                </w:p>
              </w:tc>
            </w:tr>
            <w:tr w14:paraId="207E5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133BA02B">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46</w:t>
                  </w:r>
                </w:p>
              </w:tc>
              <w:tc>
                <w:tcPr>
                  <w:tcW w:w="849" w:type="pct"/>
                  <w:vAlign w:val="center"/>
                </w:tcPr>
                <w:p w14:paraId="717C4AF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分析型色谱柱</w:t>
                  </w:r>
                </w:p>
              </w:tc>
              <w:tc>
                <w:tcPr>
                  <w:tcW w:w="1384" w:type="pct"/>
                  <w:vAlign w:val="center"/>
                </w:tcPr>
                <w:p w14:paraId="4853D7A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N/A</w:t>
                  </w:r>
                </w:p>
              </w:tc>
              <w:tc>
                <w:tcPr>
                  <w:tcW w:w="461" w:type="pct"/>
                  <w:vAlign w:val="center"/>
                </w:tcPr>
                <w:p w14:paraId="538585F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10根</w:t>
                  </w:r>
                </w:p>
              </w:tc>
              <w:tc>
                <w:tcPr>
                  <w:tcW w:w="414" w:type="pct"/>
                  <w:vAlign w:val="center"/>
                </w:tcPr>
                <w:p w14:paraId="44718CE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2根</w:t>
                  </w:r>
                </w:p>
              </w:tc>
              <w:tc>
                <w:tcPr>
                  <w:tcW w:w="571" w:type="pct"/>
                  <w:vAlign w:val="center"/>
                </w:tcPr>
                <w:p w14:paraId="533765E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39" w:type="pct"/>
                  <w:vAlign w:val="center"/>
                </w:tcPr>
                <w:p w14:paraId="0F4CABD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实验柜</w:t>
                  </w:r>
                </w:p>
              </w:tc>
              <w:tc>
                <w:tcPr>
                  <w:tcW w:w="345" w:type="pct"/>
                  <w:vMerge w:val="continue"/>
                  <w:vAlign w:val="center"/>
                </w:tcPr>
                <w:p w14:paraId="0B69A3BD">
                  <w:pPr>
                    <w:widowControl/>
                    <w:jc w:val="center"/>
                    <w:rPr>
                      <w:color w:val="000000" w:themeColor="text1"/>
                      <w:kern w:val="0"/>
                      <w:szCs w:val="21"/>
                      <w14:textFill>
                        <w14:solidFill>
                          <w14:schemeClr w14:val="tx1"/>
                        </w14:solidFill>
                      </w14:textFill>
                    </w:rPr>
                  </w:pPr>
                </w:p>
              </w:tc>
              <w:tc>
                <w:tcPr>
                  <w:tcW w:w="355" w:type="pct"/>
                  <w:vMerge w:val="continue"/>
                  <w:vAlign w:val="center"/>
                </w:tcPr>
                <w:p w14:paraId="6EBB3F75">
                  <w:pPr>
                    <w:widowControl/>
                    <w:jc w:val="center"/>
                    <w:rPr>
                      <w:color w:val="000000" w:themeColor="text1"/>
                      <w:kern w:val="0"/>
                      <w:szCs w:val="21"/>
                      <w14:textFill>
                        <w14:solidFill>
                          <w14:schemeClr w14:val="tx1"/>
                        </w14:solidFill>
                      </w14:textFill>
                    </w:rPr>
                  </w:pPr>
                </w:p>
              </w:tc>
            </w:tr>
            <w:tr w14:paraId="094E3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shd w:val="clear" w:color="auto" w:fill="auto"/>
                  <w:vAlign w:val="center"/>
                </w:tcPr>
                <w:p w14:paraId="299E370B">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47</w:t>
                  </w:r>
                </w:p>
              </w:tc>
              <w:tc>
                <w:tcPr>
                  <w:tcW w:w="849" w:type="pct"/>
                  <w:vAlign w:val="center"/>
                </w:tcPr>
                <w:p w14:paraId="35B25B7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大孔树脂柱</w:t>
                  </w:r>
                </w:p>
              </w:tc>
              <w:tc>
                <w:tcPr>
                  <w:tcW w:w="1384" w:type="pct"/>
                  <w:vAlign w:val="center"/>
                </w:tcPr>
                <w:p w14:paraId="166ACB9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N/A</w:t>
                  </w:r>
                </w:p>
              </w:tc>
              <w:tc>
                <w:tcPr>
                  <w:tcW w:w="461" w:type="pct"/>
                  <w:vAlign w:val="center"/>
                </w:tcPr>
                <w:p w14:paraId="1A11ACB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10根</w:t>
                  </w:r>
                </w:p>
              </w:tc>
              <w:tc>
                <w:tcPr>
                  <w:tcW w:w="414" w:type="pct"/>
                  <w:vAlign w:val="center"/>
                </w:tcPr>
                <w:p w14:paraId="331B8CD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2根</w:t>
                  </w:r>
                </w:p>
              </w:tc>
              <w:tc>
                <w:tcPr>
                  <w:tcW w:w="571" w:type="pct"/>
                  <w:vAlign w:val="center"/>
                </w:tcPr>
                <w:p w14:paraId="42F631C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39" w:type="pct"/>
                  <w:vAlign w:val="center"/>
                </w:tcPr>
                <w:p w14:paraId="79E1535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实验柜</w:t>
                  </w:r>
                </w:p>
              </w:tc>
              <w:tc>
                <w:tcPr>
                  <w:tcW w:w="345" w:type="pct"/>
                  <w:vMerge w:val="continue"/>
                  <w:vAlign w:val="center"/>
                </w:tcPr>
                <w:p w14:paraId="5446666D">
                  <w:pPr>
                    <w:widowControl/>
                    <w:jc w:val="center"/>
                    <w:rPr>
                      <w:color w:val="000000" w:themeColor="text1"/>
                      <w:kern w:val="0"/>
                      <w:szCs w:val="21"/>
                      <w14:textFill>
                        <w14:solidFill>
                          <w14:schemeClr w14:val="tx1"/>
                        </w14:solidFill>
                      </w14:textFill>
                    </w:rPr>
                  </w:pPr>
                </w:p>
              </w:tc>
              <w:tc>
                <w:tcPr>
                  <w:tcW w:w="355" w:type="pct"/>
                  <w:vMerge w:val="continue"/>
                  <w:vAlign w:val="center"/>
                </w:tcPr>
                <w:p w14:paraId="2BD44455">
                  <w:pPr>
                    <w:widowControl/>
                    <w:jc w:val="center"/>
                    <w:rPr>
                      <w:color w:val="000000" w:themeColor="text1"/>
                      <w:kern w:val="0"/>
                      <w:szCs w:val="21"/>
                      <w14:textFill>
                        <w14:solidFill>
                          <w14:schemeClr w14:val="tx1"/>
                        </w14:solidFill>
                      </w14:textFill>
                    </w:rPr>
                  </w:pPr>
                </w:p>
              </w:tc>
            </w:tr>
          </w:tbl>
          <w:p w14:paraId="4C2CE568">
            <w:pPr>
              <w:tabs>
                <w:tab w:val="left" w:pos="2127"/>
                <w:tab w:val="center" w:pos="4452"/>
                <w:tab w:val="right" w:pos="8246"/>
              </w:tabs>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14:textFill>
                  <w14:solidFill>
                    <w14:schemeClr w14:val="tx1"/>
                  </w14:solidFill>
                </w14:textFill>
              </w:rPr>
              <w:t xml:space="preserve">6 </w:t>
            </w:r>
            <w:r>
              <w:rPr>
                <w:b/>
                <w:color w:val="000000" w:themeColor="text1"/>
                <w:szCs w:val="21"/>
                <w14:textFill>
                  <w14:solidFill>
                    <w14:schemeClr w14:val="tx1"/>
                  </w14:solidFill>
                </w14:textFill>
              </w:rPr>
              <w:t>本项目原辅料理化性质一览表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196"/>
              <w:gridCol w:w="4127"/>
              <w:gridCol w:w="2007"/>
              <w:gridCol w:w="947"/>
            </w:tblGrid>
            <w:tr w14:paraId="0D8B1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550" w:type="pct"/>
                  <w:vAlign w:val="center"/>
                </w:tcPr>
                <w:p w14:paraId="7169A2A4">
                  <w:pPr>
                    <w:pStyle w:val="9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名称</w:t>
                  </w:r>
                </w:p>
              </w:tc>
              <w:tc>
                <w:tcPr>
                  <w:tcW w:w="617" w:type="pct"/>
                  <w:vAlign w:val="center"/>
                </w:tcPr>
                <w:p w14:paraId="7C9161F0">
                  <w:pPr>
                    <w:pStyle w:val="9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CAS号</w:t>
                  </w:r>
                </w:p>
              </w:tc>
              <w:tc>
                <w:tcPr>
                  <w:tcW w:w="2228" w:type="pct"/>
                  <w:vAlign w:val="center"/>
                </w:tcPr>
                <w:p w14:paraId="706737D5">
                  <w:pPr>
                    <w:pStyle w:val="9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理化特性</w:t>
                  </w:r>
                </w:p>
              </w:tc>
              <w:tc>
                <w:tcPr>
                  <w:tcW w:w="1087" w:type="pct"/>
                  <w:vAlign w:val="center"/>
                </w:tcPr>
                <w:p w14:paraId="42D5EC20">
                  <w:pPr>
                    <w:pStyle w:val="9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毒理性</w:t>
                  </w:r>
                </w:p>
              </w:tc>
              <w:tc>
                <w:tcPr>
                  <w:tcW w:w="516" w:type="pct"/>
                  <w:vAlign w:val="center"/>
                </w:tcPr>
                <w:p w14:paraId="23D06A4F">
                  <w:pPr>
                    <w:pStyle w:val="9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燃爆性</w:t>
                  </w:r>
                </w:p>
              </w:tc>
            </w:tr>
            <w:tr w14:paraId="4C8564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vAlign w:val="center"/>
                </w:tcPr>
                <w:p w14:paraId="2BA3BD68">
                  <w:pPr>
                    <w:pStyle w:val="99"/>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甘油</w:t>
                  </w:r>
                </w:p>
              </w:tc>
              <w:tc>
                <w:tcPr>
                  <w:tcW w:w="617" w:type="pct"/>
                  <w:vAlign w:val="center"/>
                </w:tcPr>
                <w:p w14:paraId="43A612DA">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56-81-5</w:t>
                  </w:r>
                </w:p>
              </w:tc>
              <w:tc>
                <w:tcPr>
                  <w:tcW w:w="2228" w:type="pct"/>
                  <w:vAlign w:val="center"/>
                </w:tcPr>
                <w:p w14:paraId="552E0764">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无色、无臭、有甜味的黏性液体。密度：1.26331g/cm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；熔点：17.4℃；沸点：290℃；闪点：177℃；易溶于水、乙醇。</w:t>
                  </w:r>
                </w:p>
              </w:tc>
              <w:tc>
                <w:tcPr>
                  <w:tcW w:w="1087" w:type="pct"/>
                  <w:vAlign w:val="center"/>
                </w:tcPr>
                <w:p w14:paraId="61DE6B22">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大鼠口径：LD</w:t>
                  </w:r>
                  <w:r>
                    <w:rPr>
                      <w:color w:val="000000" w:themeColor="text1"/>
                      <w:sz w:val="21"/>
                      <w:szCs w:val="21"/>
                      <w:vertAlign w:val="subscript"/>
                      <w14:textFill>
                        <w14:solidFill>
                          <w14:schemeClr w14:val="tx1"/>
                        </w14:solidFill>
                      </w14:textFill>
                    </w:rPr>
                    <w:t>50</w:t>
                  </w:r>
                  <w:r>
                    <w:rPr>
                      <w:color w:val="000000" w:themeColor="text1"/>
                      <w:sz w:val="21"/>
                      <w:szCs w:val="21"/>
                      <w14:textFill>
                        <w14:solidFill>
                          <w14:schemeClr w14:val="tx1"/>
                        </w14:solidFill>
                      </w14:textFill>
                    </w:rPr>
                    <w:t>26000mg/kg；</w:t>
                  </w:r>
                </w:p>
                <w:p w14:paraId="2CC0CF18">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小鼠口径：LD</w:t>
                  </w:r>
                  <w:r>
                    <w:rPr>
                      <w:color w:val="000000" w:themeColor="text1"/>
                      <w:sz w:val="21"/>
                      <w:szCs w:val="21"/>
                      <w:vertAlign w:val="subscript"/>
                      <w14:textFill>
                        <w14:solidFill>
                          <w14:schemeClr w14:val="tx1"/>
                        </w14:solidFill>
                      </w14:textFill>
                    </w:rPr>
                    <w:t>50</w:t>
                  </w:r>
                  <w:r>
                    <w:rPr>
                      <w:color w:val="000000" w:themeColor="text1"/>
                      <w:sz w:val="21"/>
                      <w:szCs w:val="21"/>
                      <w14:textFill>
                        <w14:solidFill>
                          <w14:schemeClr w14:val="tx1"/>
                        </w14:solidFill>
                      </w14:textFill>
                    </w:rPr>
                    <w:t>4090mg/kg；</w:t>
                  </w:r>
                </w:p>
              </w:tc>
              <w:tc>
                <w:tcPr>
                  <w:tcW w:w="516" w:type="pct"/>
                  <w:vAlign w:val="center"/>
                </w:tcPr>
                <w:p w14:paraId="7BD59A17">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难燃</w:t>
                  </w:r>
                </w:p>
              </w:tc>
            </w:tr>
            <w:tr w14:paraId="0B15C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vAlign w:val="center"/>
                </w:tcPr>
                <w:p w14:paraId="3469D3F5">
                  <w:pPr>
                    <w:pStyle w:val="99"/>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葡萄糖</w:t>
                  </w:r>
                </w:p>
              </w:tc>
              <w:tc>
                <w:tcPr>
                  <w:tcW w:w="617" w:type="pct"/>
                  <w:vAlign w:val="center"/>
                </w:tcPr>
                <w:p w14:paraId="5AF5203D">
                  <w:pPr>
                    <w:widowControl/>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492-62-6</w:t>
                  </w:r>
                </w:p>
              </w:tc>
              <w:tc>
                <w:tcPr>
                  <w:tcW w:w="2228" w:type="pct"/>
                  <w:vAlign w:val="center"/>
                </w:tcPr>
                <w:p w14:paraId="08E2B3E2">
                  <w:pPr>
                    <w:pStyle w:val="116"/>
                    <w:rPr>
                      <w:b w:val="0"/>
                      <w:bCs/>
                      <w:color w:val="000000" w:themeColor="text1"/>
                      <w14:textFill>
                        <w14:solidFill>
                          <w14:schemeClr w14:val="tx1"/>
                        </w14:solidFill>
                      </w14:textFill>
                    </w:rPr>
                  </w:pPr>
                  <w:r>
                    <w:rPr>
                      <w:b w:val="0"/>
                      <w:bCs/>
                      <w:color w:val="000000" w:themeColor="text1"/>
                      <w:lang w:val="zh-CN"/>
                      <w14:textFill>
                        <w14:solidFill>
                          <w14:schemeClr w14:val="tx1"/>
                        </w14:solidFill>
                      </w14:textFill>
                    </w:rPr>
                    <w:t>白色结晶或颗粒状粉末，易溶于水，微溶于乙醇，不溶于乙醚。熔点146℃。</w:t>
                  </w:r>
                </w:p>
              </w:tc>
              <w:tc>
                <w:tcPr>
                  <w:tcW w:w="1087" w:type="pct"/>
                  <w:vAlign w:val="center"/>
                </w:tcPr>
                <w:p w14:paraId="7C1B91E8">
                  <w:pPr>
                    <w:pStyle w:val="116"/>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无资料</w:t>
                  </w:r>
                </w:p>
              </w:tc>
              <w:tc>
                <w:tcPr>
                  <w:tcW w:w="516" w:type="pct"/>
                  <w:vAlign w:val="center"/>
                </w:tcPr>
                <w:p w14:paraId="48B962F3">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难燃</w:t>
                  </w:r>
                </w:p>
              </w:tc>
            </w:tr>
            <w:tr w14:paraId="6F314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vAlign w:val="center"/>
                </w:tcPr>
                <w:p w14:paraId="5E61D450">
                  <w:pPr>
                    <w:pStyle w:val="99"/>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氯化钠</w:t>
                  </w:r>
                </w:p>
              </w:tc>
              <w:tc>
                <w:tcPr>
                  <w:tcW w:w="617" w:type="pct"/>
                  <w:vAlign w:val="center"/>
                </w:tcPr>
                <w:p w14:paraId="6A1AF593">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7647-14-5</w:t>
                  </w:r>
                </w:p>
              </w:tc>
              <w:tc>
                <w:tcPr>
                  <w:tcW w:w="2228" w:type="pct"/>
                  <w:vAlign w:val="center"/>
                </w:tcPr>
                <w:p w14:paraId="274BF38D">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无色晶体或白色粉末；密度：2.165g/cm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；熔点：801℃；沸点：1465℃；易溶于水，水中溶解度35.9g/100g水（室温）。</w:t>
                  </w:r>
                </w:p>
              </w:tc>
              <w:tc>
                <w:tcPr>
                  <w:tcW w:w="1087" w:type="pct"/>
                  <w:vAlign w:val="center"/>
                </w:tcPr>
                <w:p w14:paraId="27CB3853">
                  <w:pPr>
                    <w:widowControl/>
                    <w:snapToGrid w:val="0"/>
                    <w:jc w:val="center"/>
                    <w:textAlignment w:val="center"/>
                    <w:rPr>
                      <w:color w:val="000000" w:themeColor="text1"/>
                      <w:kern w:val="0"/>
                      <w:szCs w:val="21"/>
                      <w:lang w:val="zh-CN" w:bidi="ar"/>
                      <w14:textFill>
                        <w14:solidFill>
                          <w14:schemeClr w14:val="tx1"/>
                        </w14:solidFill>
                      </w14:textFill>
                    </w:rPr>
                  </w:pPr>
                  <w:r>
                    <w:rPr>
                      <w:color w:val="000000" w:themeColor="text1"/>
                      <w:kern w:val="0"/>
                      <w:szCs w:val="21"/>
                      <w:lang w:val="zh-CN" w:bidi="ar"/>
                      <w14:textFill>
                        <w14:solidFill>
                          <w14:schemeClr w14:val="tx1"/>
                        </w14:solidFill>
                      </w14:textFill>
                    </w:rPr>
                    <w:t>LD50：</w:t>
                  </w:r>
                  <w:r>
                    <w:rPr>
                      <w:color w:val="000000" w:themeColor="text1"/>
                      <w:kern w:val="0"/>
                      <w:szCs w:val="21"/>
                      <w:lang w:bidi="ar"/>
                      <w14:textFill>
                        <w14:solidFill>
                          <w14:schemeClr w14:val="tx1"/>
                        </w14:solidFill>
                      </w14:textFill>
                    </w:rPr>
                    <w:t>=</w:t>
                  </w:r>
                  <w:r>
                    <w:rPr>
                      <w:color w:val="000000" w:themeColor="text1"/>
                      <w:kern w:val="0"/>
                      <w:szCs w:val="21"/>
                      <w:lang w:val="zh-CN" w:bidi="ar"/>
                      <w14:textFill>
                        <w14:solidFill>
                          <w14:schemeClr w14:val="tx1"/>
                        </w14:solidFill>
                      </w14:textFill>
                    </w:rPr>
                    <w:t>3000mg/kg（大鼠经口）</w:t>
                  </w:r>
                </w:p>
                <w:p w14:paraId="3A3C824C">
                  <w:pPr>
                    <w:jc w:val="center"/>
                    <w:rPr>
                      <w:color w:val="000000" w:themeColor="text1"/>
                      <w:szCs w:val="21"/>
                      <w14:textFill>
                        <w14:solidFill>
                          <w14:schemeClr w14:val="tx1"/>
                        </w14:solidFill>
                      </w14:textFill>
                    </w:rPr>
                  </w:pPr>
                  <w:r>
                    <w:rPr>
                      <w:color w:val="000000" w:themeColor="text1"/>
                      <w:kern w:val="0"/>
                      <w:szCs w:val="21"/>
                      <w:lang w:val="zh-CN" w:bidi="ar"/>
                      <w14:textFill>
                        <w14:solidFill>
                          <w14:schemeClr w14:val="tx1"/>
                        </w14:solidFill>
                      </w14:textFill>
                    </w:rPr>
                    <w:t>L</w:t>
                  </w:r>
                  <w:r>
                    <w:rPr>
                      <w:color w:val="000000" w:themeColor="text1"/>
                      <w:kern w:val="0"/>
                      <w:szCs w:val="21"/>
                      <w:lang w:bidi="ar"/>
                      <w14:textFill>
                        <w14:solidFill>
                          <w14:schemeClr w14:val="tx1"/>
                        </w14:solidFill>
                      </w14:textFill>
                    </w:rPr>
                    <w:t>D</w:t>
                  </w:r>
                  <w:r>
                    <w:rPr>
                      <w:color w:val="000000" w:themeColor="text1"/>
                      <w:kern w:val="0"/>
                      <w:szCs w:val="21"/>
                      <w:lang w:val="zh-CN" w:bidi="ar"/>
                      <w14:textFill>
                        <w14:solidFill>
                          <w14:schemeClr w14:val="tx1"/>
                        </w14:solidFill>
                      </w14:textFill>
                    </w:rPr>
                    <w:t>50：&gt; 5000 mg/kg（</w:t>
                  </w:r>
                  <w:r>
                    <w:rPr>
                      <w:color w:val="000000" w:themeColor="text1"/>
                      <w:kern w:val="0"/>
                      <w:szCs w:val="21"/>
                      <w:lang w:bidi="ar"/>
                      <w14:textFill>
                        <w14:solidFill>
                          <w14:schemeClr w14:val="tx1"/>
                        </w14:solidFill>
                      </w14:textFill>
                    </w:rPr>
                    <w:t>兔经皮</w:t>
                  </w:r>
                  <w:r>
                    <w:rPr>
                      <w:color w:val="000000" w:themeColor="text1"/>
                      <w:kern w:val="0"/>
                      <w:szCs w:val="21"/>
                      <w:lang w:val="zh-CN" w:bidi="ar"/>
                      <w14:textFill>
                        <w14:solidFill>
                          <w14:schemeClr w14:val="tx1"/>
                        </w14:solidFill>
                      </w14:textFill>
                    </w:rPr>
                    <w:t>）</w:t>
                  </w:r>
                </w:p>
              </w:tc>
              <w:tc>
                <w:tcPr>
                  <w:tcW w:w="516" w:type="pct"/>
                  <w:vAlign w:val="center"/>
                </w:tcPr>
                <w:p w14:paraId="3E5F75A7">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不燃</w:t>
                  </w:r>
                </w:p>
              </w:tc>
            </w:tr>
            <w:tr w14:paraId="0F4A1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vAlign w:val="center"/>
                </w:tcPr>
                <w:p w14:paraId="512C4FCA">
                  <w:pPr>
                    <w:pStyle w:val="99"/>
                    <w:rPr>
                      <w:color w:val="000000" w:themeColor="text1"/>
                      <w:kern w:val="0"/>
                      <w:sz w:val="21"/>
                      <w:szCs w:val="21"/>
                      <w:lang w:bidi="ar"/>
                      <w14:textFill>
                        <w14:solidFill>
                          <w14:schemeClr w14:val="tx1"/>
                        </w14:solidFill>
                      </w14:textFill>
                    </w:rPr>
                  </w:pPr>
                  <w:r>
                    <w:rPr>
                      <w:color w:val="000000" w:themeColor="text1"/>
                      <w:sz w:val="21"/>
                      <w:szCs w:val="21"/>
                      <w14:textFill>
                        <w14:solidFill>
                          <w14:schemeClr w14:val="tx1"/>
                        </w14:solidFill>
                      </w14:textFill>
                    </w:rPr>
                    <w:t>磷酸氢二钾</w:t>
                  </w:r>
                </w:p>
              </w:tc>
              <w:tc>
                <w:tcPr>
                  <w:tcW w:w="617" w:type="pct"/>
                  <w:vAlign w:val="center"/>
                </w:tcPr>
                <w:p w14:paraId="2BFDE40E">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7758-11-4</w:t>
                  </w:r>
                </w:p>
              </w:tc>
              <w:tc>
                <w:tcPr>
                  <w:tcW w:w="2228" w:type="pct"/>
                  <w:vAlign w:val="center"/>
                </w:tcPr>
                <w:p w14:paraId="4622C799">
                  <w:pPr>
                    <w:pStyle w:val="115"/>
                    <w:ind w:left="0"/>
                    <w:rPr>
                      <w:color w:val="000000" w:themeColor="text1"/>
                      <w14:textFill>
                        <w14:solidFill>
                          <w14:schemeClr w14:val="tx1"/>
                        </w14:solidFill>
                      </w14:textFill>
                    </w:rPr>
                  </w:pPr>
                  <w:r>
                    <w:rPr>
                      <w:color w:val="000000" w:themeColor="text1"/>
                      <w:lang w:val="zh-CN"/>
                      <w14:textFill>
                        <w14:solidFill>
                          <w14:schemeClr w14:val="tx1"/>
                        </w14:solidFill>
                      </w14:textFill>
                    </w:rPr>
                    <w:t>白色结晶。易溶于水，</w:t>
                  </w:r>
                  <w:r>
                    <w:rPr>
                      <w:color w:val="000000" w:themeColor="text1"/>
                      <w14:textFill>
                        <w14:solidFill>
                          <w14:schemeClr w14:val="tx1"/>
                        </w14:solidFill>
                      </w14:textFill>
                    </w:rPr>
                    <w:t>100g</w:t>
                  </w:r>
                  <w:r>
                    <w:rPr>
                      <w:color w:val="000000" w:themeColor="text1"/>
                      <w:lang w:val="zh-CN"/>
                      <w14:textFill>
                        <w14:solidFill>
                          <w14:schemeClr w14:val="tx1"/>
                        </w14:solidFill>
                      </w14:textFill>
                    </w:rPr>
                    <w:t>可快速溶于</w:t>
                  </w:r>
                  <w:r>
                    <w:rPr>
                      <w:color w:val="000000" w:themeColor="text1"/>
                      <w14:textFill>
                        <w14:solidFill>
                          <w14:schemeClr w14:val="tx1"/>
                        </w14:solidFill>
                      </w14:textFill>
                    </w:rPr>
                    <w:t>67g</w:t>
                  </w:r>
                  <w:r>
                    <w:rPr>
                      <w:color w:val="000000" w:themeColor="text1"/>
                      <w:lang w:val="zh-CN"/>
                      <w14:textFill>
                        <w14:solidFill>
                          <w14:schemeClr w14:val="tx1"/>
                        </w14:solidFill>
                      </w14:textFill>
                    </w:rPr>
                    <w:t>冷水中，稍溶于乙醇，具吸湿性，能形成三水化合物。</w:t>
                  </w:r>
                </w:p>
              </w:tc>
              <w:tc>
                <w:tcPr>
                  <w:tcW w:w="1087" w:type="pct"/>
                  <w:vAlign w:val="center"/>
                </w:tcPr>
                <w:p w14:paraId="3F50229B">
                  <w:pPr>
                    <w:pStyle w:val="115"/>
                    <w:ind w:left="0"/>
                    <w:rPr>
                      <w:color w:val="000000" w:themeColor="text1"/>
                      <w:lang w:val="zh-CN"/>
                      <w14:textFill>
                        <w14:solidFill>
                          <w14:schemeClr w14:val="tx1"/>
                        </w14:solidFill>
                      </w14:textFill>
                    </w:rPr>
                  </w:pPr>
                  <w:r>
                    <w:rPr>
                      <w:color w:val="000000" w:themeColor="text1"/>
                      <w14:textFill>
                        <w14:solidFill>
                          <w14:schemeClr w14:val="tx1"/>
                        </w14:solidFill>
                      </w14:textFill>
                    </w:rPr>
                    <w:t>无资料</w:t>
                  </w:r>
                </w:p>
              </w:tc>
              <w:tc>
                <w:tcPr>
                  <w:tcW w:w="516" w:type="pct"/>
                  <w:vAlign w:val="center"/>
                </w:tcPr>
                <w:p w14:paraId="004C6EFA">
                  <w:pPr>
                    <w:pStyle w:val="115"/>
                    <w:ind w:left="0"/>
                    <w:rPr>
                      <w:color w:val="000000" w:themeColor="text1"/>
                      <w14:textFill>
                        <w14:solidFill>
                          <w14:schemeClr w14:val="tx1"/>
                        </w14:solidFill>
                      </w14:textFill>
                    </w:rPr>
                  </w:pPr>
                  <w:r>
                    <w:rPr>
                      <w:color w:val="000000" w:themeColor="text1"/>
                      <w14:textFill>
                        <w14:solidFill>
                          <w14:schemeClr w14:val="tx1"/>
                        </w14:solidFill>
                      </w14:textFill>
                    </w:rPr>
                    <w:t>不燃</w:t>
                  </w:r>
                </w:p>
              </w:tc>
            </w:tr>
            <w:tr w14:paraId="30ABC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vAlign w:val="center"/>
                </w:tcPr>
                <w:p w14:paraId="2889A383">
                  <w:pPr>
                    <w:pStyle w:val="99"/>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磷酸二氢钾</w:t>
                  </w:r>
                </w:p>
              </w:tc>
              <w:tc>
                <w:tcPr>
                  <w:tcW w:w="617" w:type="pct"/>
                  <w:vAlign w:val="center"/>
                </w:tcPr>
                <w:p w14:paraId="435292F1">
                  <w:pPr>
                    <w:pStyle w:val="99"/>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7778-77-0</w:t>
                  </w:r>
                </w:p>
              </w:tc>
              <w:tc>
                <w:tcPr>
                  <w:tcW w:w="2228" w:type="pct"/>
                  <w:vAlign w:val="center"/>
                </w:tcPr>
                <w:p w14:paraId="51DBF600">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白色结晶粉末；化学式：KH</w:t>
                  </w:r>
                  <w:r>
                    <w:rPr>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PO</w:t>
                  </w:r>
                  <w:r>
                    <w:rPr>
                      <w:color w:val="000000" w:themeColor="text1"/>
                      <w:sz w:val="21"/>
                      <w:szCs w:val="21"/>
                      <w:vertAlign w:val="subscript"/>
                      <w14:textFill>
                        <w14:solidFill>
                          <w14:schemeClr w14:val="tx1"/>
                        </w14:solidFill>
                      </w14:textFill>
                    </w:rPr>
                    <w:t>4</w:t>
                  </w:r>
                  <w:r>
                    <w:rPr>
                      <w:color w:val="000000" w:themeColor="text1"/>
                      <w:sz w:val="21"/>
                      <w:szCs w:val="21"/>
                      <w14:textFill>
                        <w14:solidFill>
                          <w14:schemeClr w14:val="tx1"/>
                        </w14:solidFill>
                      </w14:textFill>
                    </w:rPr>
                    <w:t>；密度：2.338g/cm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；熔点：252.6℃；溶于水，不溶于乙醇。</w:t>
                  </w:r>
                </w:p>
              </w:tc>
              <w:tc>
                <w:tcPr>
                  <w:tcW w:w="1087" w:type="pct"/>
                  <w:vAlign w:val="center"/>
                </w:tcPr>
                <w:p w14:paraId="7E793E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无资料</w:t>
                  </w:r>
                </w:p>
              </w:tc>
              <w:tc>
                <w:tcPr>
                  <w:tcW w:w="516" w:type="pct"/>
                  <w:vAlign w:val="center"/>
                </w:tcPr>
                <w:p w14:paraId="0C659903">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不燃</w:t>
                  </w:r>
                </w:p>
              </w:tc>
            </w:tr>
            <w:tr w14:paraId="32CA8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vAlign w:val="center"/>
                </w:tcPr>
                <w:p w14:paraId="4883AD1F">
                  <w:pPr>
                    <w:pStyle w:val="99"/>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氯化钙</w:t>
                  </w:r>
                </w:p>
              </w:tc>
              <w:tc>
                <w:tcPr>
                  <w:tcW w:w="617" w:type="pct"/>
                  <w:vAlign w:val="center"/>
                </w:tcPr>
                <w:p w14:paraId="7E955EB1">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10043-52-4</w:t>
                  </w:r>
                </w:p>
              </w:tc>
              <w:tc>
                <w:tcPr>
                  <w:tcW w:w="2228" w:type="pct"/>
                  <w:vAlign w:val="center"/>
                </w:tcPr>
                <w:p w14:paraId="435EA3BD">
                  <w:pPr>
                    <w:pStyle w:val="99"/>
                    <w:rPr>
                      <w:color w:val="000000" w:themeColor="text1"/>
                      <w:sz w:val="21"/>
                      <w:szCs w:val="21"/>
                      <w14:textFill>
                        <w14:solidFill>
                          <w14:schemeClr w14:val="tx1"/>
                        </w14:solidFill>
                      </w14:textFill>
                    </w:rPr>
                  </w:pPr>
                  <w:r>
                    <w:rPr>
                      <w:bCs/>
                      <w:color w:val="000000" w:themeColor="text1"/>
                      <w:sz w:val="21"/>
                      <w:szCs w:val="21"/>
                      <w:lang w:val="zh-CN"/>
                      <w14:textFill>
                        <w14:solidFill>
                          <w14:schemeClr w14:val="tx1"/>
                        </w14:solidFill>
                      </w14:textFill>
                    </w:rPr>
                    <w:t>室温下为白色、硬质碎块或颗粒，无色立方结晶体，白色或灰白色，有粒状、蜂窝块状、圆球状、不规则颗粒状、粉末状。微毒、无臭、味微苦。吸湿性极强，暴露于空气中极易潮解。</w:t>
                  </w:r>
                </w:p>
              </w:tc>
              <w:tc>
                <w:tcPr>
                  <w:tcW w:w="1087" w:type="pct"/>
                  <w:vAlign w:val="center"/>
                </w:tcPr>
                <w:p w14:paraId="20BC51D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无资料</w:t>
                  </w:r>
                </w:p>
              </w:tc>
              <w:tc>
                <w:tcPr>
                  <w:tcW w:w="516" w:type="pct"/>
                  <w:vAlign w:val="center"/>
                </w:tcPr>
                <w:p w14:paraId="739B95B1">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不燃</w:t>
                  </w:r>
                </w:p>
              </w:tc>
            </w:tr>
            <w:tr w14:paraId="62BBC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vAlign w:val="center"/>
                </w:tcPr>
                <w:p w14:paraId="1FBD3D53">
                  <w:pPr>
                    <w:pStyle w:val="99"/>
                    <w:rPr>
                      <w:color w:val="000000" w:themeColor="text1"/>
                      <w:sz w:val="21"/>
                      <w:szCs w:val="21"/>
                      <w14:textFill>
                        <w14:solidFill>
                          <w14:schemeClr w14:val="tx1"/>
                        </w14:solidFill>
                      </w14:textFill>
                    </w:rPr>
                  </w:pPr>
                  <w:bookmarkStart w:id="14" w:name="OLE_LINK31"/>
                  <w:r>
                    <w:rPr>
                      <w:color w:val="000000" w:themeColor="text1"/>
                      <w:sz w:val="21"/>
                      <w:szCs w:val="21"/>
                      <w14:textFill>
                        <w14:solidFill>
                          <w14:schemeClr w14:val="tx1"/>
                        </w14:solidFill>
                      </w14:textFill>
                    </w:rPr>
                    <w:t>硫酸铵</w:t>
                  </w:r>
                </w:p>
              </w:tc>
              <w:tc>
                <w:tcPr>
                  <w:tcW w:w="617" w:type="pct"/>
                  <w:vAlign w:val="center"/>
                </w:tcPr>
                <w:p w14:paraId="39E65EFC">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77783-20-2</w:t>
                  </w:r>
                </w:p>
              </w:tc>
              <w:tc>
                <w:tcPr>
                  <w:tcW w:w="2228" w:type="pct"/>
                  <w:vAlign w:val="center"/>
                </w:tcPr>
                <w:p w14:paraId="55D6CE79">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无色结晶或白色颗粒，无气味；化学式：(NH</w:t>
                  </w:r>
                  <w:r>
                    <w:rPr>
                      <w:color w:val="000000" w:themeColor="text1"/>
                      <w:sz w:val="21"/>
                      <w:szCs w:val="21"/>
                      <w:vertAlign w:val="subscript"/>
                      <w14:textFill>
                        <w14:solidFill>
                          <w14:schemeClr w14:val="tx1"/>
                        </w14:solidFill>
                      </w14:textFill>
                    </w:rPr>
                    <w:t>4</w:t>
                  </w:r>
                  <w:r>
                    <w:rPr>
                      <w:color w:val="000000" w:themeColor="text1"/>
                      <w:sz w:val="21"/>
                      <w:szCs w:val="21"/>
                      <w14:textFill>
                        <w14:solidFill>
                          <w14:schemeClr w14:val="tx1"/>
                        </w14:solidFill>
                      </w14:textFill>
                    </w:rPr>
                    <w:t>)</w:t>
                  </w:r>
                  <w:r>
                    <w:rPr>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4</w:t>
                  </w:r>
                  <w:r>
                    <w:rPr>
                      <w:color w:val="000000" w:themeColor="text1"/>
                      <w:sz w:val="21"/>
                      <w:szCs w:val="21"/>
                      <w14:textFill>
                        <w14:solidFill>
                          <w14:schemeClr w14:val="tx1"/>
                        </w14:solidFill>
                      </w14:textFill>
                    </w:rPr>
                    <w:t>；密度：2.51g/cm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；熔点：772℃；沸点：1600℃；易溶于水，溶解时放热。</w:t>
                  </w:r>
                </w:p>
              </w:tc>
              <w:tc>
                <w:tcPr>
                  <w:tcW w:w="1087" w:type="pct"/>
                  <w:vAlign w:val="center"/>
                </w:tcPr>
                <w:p w14:paraId="2CBBEB7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无资料</w:t>
                  </w:r>
                </w:p>
              </w:tc>
              <w:tc>
                <w:tcPr>
                  <w:tcW w:w="516" w:type="pct"/>
                  <w:vAlign w:val="center"/>
                </w:tcPr>
                <w:p w14:paraId="4046446C">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不燃</w:t>
                  </w:r>
                </w:p>
              </w:tc>
            </w:tr>
            <w:tr w14:paraId="5191B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50" w:type="pct"/>
                  <w:vAlign w:val="center"/>
                </w:tcPr>
                <w:p w14:paraId="58232A22">
                  <w:pPr>
                    <w:pStyle w:val="99"/>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氢氧化钠</w:t>
                  </w:r>
                </w:p>
              </w:tc>
              <w:tc>
                <w:tcPr>
                  <w:tcW w:w="617" w:type="pct"/>
                  <w:vAlign w:val="center"/>
                </w:tcPr>
                <w:p w14:paraId="581439CF">
                  <w:pPr>
                    <w:pStyle w:val="99"/>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1310-73-2</w:t>
                  </w:r>
                </w:p>
              </w:tc>
              <w:tc>
                <w:tcPr>
                  <w:tcW w:w="2228" w:type="pct"/>
                  <w:vAlign w:val="center"/>
                </w:tcPr>
                <w:p w14:paraId="1AFAA3C7">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白色结晶粉末；化学式：NaOH；密度：2.13g/cm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；熔点：318.4℃；沸点：1390℃；易溶于水、乙醇、甘油，不溶于丙酮、乙醚。</w:t>
                  </w:r>
                </w:p>
              </w:tc>
              <w:tc>
                <w:tcPr>
                  <w:tcW w:w="1087" w:type="pct"/>
                  <w:vAlign w:val="center"/>
                </w:tcPr>
                <w:p w14:paraId="1C69BA2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无资料</w:t>
                  </w:r>
                </w:p>
              </w:tc>
              <w:tc>
                <w:tcPr>
                  <w:tcW w:w="516" w:type="pct"/>
                  <w:vAlign w:val="center"/>
                </w:tcPr>
                <w:p w14:paraId="1F1707C4">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不燃</w:t>
                  </w:r>
                </w:p>
              </w:tc>
            </w:tr>
            <w:tr w14:paraId="7BFE8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vAlign w:val="center"/>
                </w:tcPr>
                <w:p w14:paraId="5EA7DC59">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乙醇</w:t>
                  </w:r>
                </w:p>
              </w:tc>
              <w:tc>
                <w:tcPr>
                  <w:tcW w:w="617" w:type="pct"/>
                  <w:vAlign w:val="center"/>
                </w:tcPr>
                <w:p w14:paraId="68BD3C9D">
                  <w:pPr>
                    <w:pStyle w:val="99"/>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64-17-5</w:t>
                  </w:r>
                </w:p>
              </w:tc>
              <w:tc>
                <w:tcPr>
                  <w:tcW w:w="2228" w:type="pct"/>
                  <w:vAlign w:val="center"/>
                </w:tcPr>
                <w:p w14:paraId="3ECB3DA9">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无色透明液体，有芳香气味；化学式：</w:t>
                  </w:r>
                </w:p>
                <w:p w14:paraId="16094215">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w:t>
                  </w:r>
                  <w:r>
                    <w:rPr>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H</w:t>
                  </w:r>
                  <w:r>
                    <w:rPr>
                      <w:color w:val="000000" w:themeColor="text1"/>
                      <w:sz w:val="21"/>
                      <w:szCs w:val="21"/>
                      <w:vertAlign w:val="subscript"/>
                      <w14:textFill>
                        <w14:solidFill>
                          <w14:schemeClr w14:val="tx1"/>
                        </w14:solidFill>
                      </w14:textFill>
                    </w:rPr>
                    <w:t>5</w:t>
                  </w:r>
                  <w:r>
                    <w:rPr>
                      <w:color w:val="000000" w:themeColor="text1"/>
                      <w:sz w:val="21"/>
                      <w:szCs w:val="21"/>
                      <w14:textFill>
                        <w14:solidFill>
                          <w14:schemeClr w14:val="tx1"/>
                        </w14:solidFill>
                      </w14:textFill>
                    </w:rPr>
                    <w:t>OH；密度：0.7893g/cm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；熔点：-114.1℃；沸点：78.3℃；闪点：14℃；爆炸极限：3.3%~19%；蒸气压：5.333kPa；与水混溶，可混溶于乙醚、氯仿、甘油、甲醇等多数有机溶剂。</w:t>
                  </w:r>
                </w:p>
              </w:tc>
              <w:tc>
                <w:tcPr>
                  <w:tcW w:w="1087" w:type="pct"/>
                  <w:vAlign w:val="center"/>
                </w:tcPr>
                <w:p w14:paraId="7C38D041">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大鼠口径：LD</w:t>
                  </w:r>
                  <w:r>
                    <w:rPr>
                      <w:color w:val="000000" w:themeColor="text1"/>
                      <w:sz w:val="21"/>
                      <w:szCs w:val="21"/>
                      <w:vertAlign w:val="subscript"/>
                      <w14:textFill>
                        <w14:solidFill>
                          <w14:schemeClr w14:val="tx1"/>
                        </w14:solidFill>
                      </w14:textFill>
                    </w:rPr>
                    <w:t>50</w:t>
                  </w:r>
                  <w:r>
                    <w:rPr>
                      <w:color w:val="000000" w:themeColor="text1"/>
                      <w:sz w:val="21"/>
                      <w:szCs w:val="21"/>
                      <w14:textFill>
                        <w14:solidFill>
                          <w14:schemeClr w14:val="tx1"/>
                        </w14:solidFill>
                      </w14:textFill>
                    </w:rPr>
                    <w:t>7060mg/kg；</w:t>
                  </w:r>
                </w:p>
              </w:tc>
              <w:tc>
                <w:tcPr>
                  <w:tcW w:w="516" w:type="pct"/>
                  <w:vAlign w:val="center"/>
                </w:tcPr>
                <w:p w14:paraId="2A9A4965">
                  <w:pPr>
                    <w:pStyle w:val="9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易燃</w:t>
                  </w:r>
                </w:p>
              </w:tc>
            </w:tr>
            <w:tr w14:paraId="416B7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vAlign w:val="center"/>
                </w:tcPr>
                <w:p w14:paraId="6E238B6B">
                  <w:pPr>
                    <w:pStyle w:val="9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乙腈</w:t>
                  </w:r>
                </w:p>
              </w:tc>
              <w:tc>
                <w:tcPr>
                  <w:tcW w:w="617" w:type="pct"/>
                  <w:vAlign w:val="center"/>
                </w:tcPr>
                <w:p w14:paraId="64A88CDE">
                  <w:pPr>
                    <w:pStyle w:val="99"/>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75-05-8</w:t>
                  </w:r>
                </w:p>
              </w:tc>
              <w:tc>
                <w:tcPr>
                  <w:tcW w:w="2228" w:type="pct"/>
                  <w:vAlign w:val="center"/>
                </w:tcPr>
                <w:p w14:paraId="31310A60">
                  <w:pPr>
                    <w:pStyle w:val="116"/>
                    <w:rPr>
                      <w:b w:val="0"/>
                      <w:bCs/>
                      <w:color w:val="000000" w:themeColor="text1"/>
                      <w14:textFill>
                        <w14:solidFill>
                          <w14:schemeClr w14:val="tx1"/>
                        </w14:solidFill>
                      </w14:textFill>
                    </w:rPr>
                  </w:pPr>
                  <w:r>
                    <w:rPr>
                      <w:b w:val="0"/>
                      <w:bCs/>
                      <w:color w:val="000000" w:themeColor="text1"/>
                      <w:lang w:val="zh-CN"/>
                      <w14:textFill>
                        <w14:solidFill>
                          <w14:schemeClr w14:val="tx1"/>
                        </w14:solidFill>
                      </w14:textFill>
                    </w:rPr>
                    <w:t>乙腈，是一种有机化合物，化学式为 CH</w:t>
                  </w:r>
                  <w:r>
                    <w:rPr>
                      <w:b w:val="0"/>
                      <w:bCs/>
                      <w:color w:val="000000" w:themeColor="text1"/>
                      <w:vertAlign w:val="subscript"/>
                      <w:lang w:val="zh-CN"/>
                      <w14:textFill>
                        <w14:solidFill>
                          <w14:schemeClr w14:val="tx1"/>
                        </w14:solidFill>
                      </w14:textFill>
                    </w:rPr>
                    <w:t>3</w:t>
                  </w:r>
                  <w:r>
                    <w:rPr>
                      <w:b w:val="0"/>
                      <w:bCs/>
                      <w:color w:val="000000" w:themeColor="text1"/>
                      <w:lang w:val="zh-CN"/>
                      <w14:textFill>
                        <w14:solidFill>
                          <w14:schemeClr w14:val="tx1"/>
                        </w14:solidFill>
                      </w14:textFill>
                    </w:rPr>
                    <w:t>CN或 C</w:t>
                  </w:r>
                  <w:r>
                    <w:rPr>
                      <w:b w:val="0"/>
                      <w:bCs/>
                      <w:color w:val="000000" w:themeColor="text1"/>
                      <w:vertAlign w:val="subscript"/>
                      <w:lang w:val="zh-CN"/>
                      <w14:textFill>
                        <w14:solidFill>
                          <w14:schemeClr w14:val="tx1"/>
                        </w14:solidFill>
                      </w14:textFill>
                    </w:rPr>
                    <w:t>2</w:t>
                  </w:r>
                  <w:r>
                    <w:rPr>
                      <w:b w:val="0"/>
                      <w:bCs/>
                      <w:color w:val="000000" w:themeColor="text1"/>
                      <w:lang w:val="zh-CN"/>
                      <w14:textFill>
                        <w14:solidFill>
                          <w14:schemeClr w14:val="tx1"/>
                        </w14:solidFill>
                      </w14:textFill>
                    </w:rPr>
                    <w:t>H</w:t>
                  </w:r>
                  <w:r>
                    <w:rPr>
                      <w:b w:val="0"/>
                      <w:bCs/>
                      <w:color w:val="000000" w:themeColor="text1"/>
                      <w:vertAlign w:val="subscript"/>
                      <w:lang w:val="zh-CN"/>
                      <w14:textFill>
                        <w14:solidFill>
                          <w14:schemeClr w14:val="tx1"/>
                        </w14:solidFill>
                      </w14:textFill>
                    </w:rPr>
                    <w:t>3</w:t>
                  </w:r>
                  <w:r>
                    <w:rPr>
                      <w:b w:val="0"/>
                      <w:bCs/>
                      <w:color w:val="000000" w:themeColor="text1"/>
                      <w:lang w:val="zh-CN"/>
                      <w14:textFill>
                        <w14:solidFill>
                          <w14:schemeClr w14:val="tx1"/>
                        </w14:solidFill>
                      </w14:textFill>
                    </w:rPr>
                    <w:t>N，为无色透明液体，有优良的溶剂性能，能溶解多种有机、无机和气体物质，与水和醇无限互溶。乙腈能发生典型的腈类反应，并被用于制备许多典型含氮化合物，是一个重要的有机中间体</w:t>
                  </w:r>
                </w:p>
              </w:tc>
              <w:tc>
                <w:tcPr>
                  <w:tcW w:w="1087" w:type="pct"/>
                  <w:vAlign w:val="center"/>
                </w:tcPr>
                <w:p w14:paraId="4167C3AA">
                  <w:pPr>
                    <w:pStyle w:val="116"/>
                    <w:rPr>
                      <w:b w:val="0"/>
                      <w:bCs/>
                      <w:color w:val="000000" w:themeColor="text1"/>
                      <w14:textFill>
                        <w14:solidFill>
                          <w14:schemeClr w14:val="tx1"/>
                        </w14:solidFill>
                      </w14:textFill>
                    </w:rPr>
                  </w:pPr>
                  <w:r>
                    <w:rPr>
                      <w:b w:val="0"/>
                      <w:bCs/>
                      <w:color w:val="000000" w:themeColor="text1"/>
                      <w14:textFill>
                        <w14:solidFill>
                          <w14:schemeClr w14:val="tx1"/>
                        </w14:solidFill>
                      </w14:textFill>
                    </w:rPr>
                    <w:t>LD50：2460mg/kg（</w:t>
                  </w:r>
                  <w:r>
                    <w:rPr>
                      <w:b w:val="0"/>
                      <w:bCs/>
                      <w:color w:val="000000" w:themeColor="text1"/>
                      <w:lang w:val="zh-CN"/>
                      <w14:textFill>
                        <w14:solidFill>
                          <w14:schemeClr w14:val="tx1"/>
                        </w14:solidFill>
                      </w14:textFill>
                    </w:rPr>
                    <w:t>大鼠经口</w:t>
                  </w:r>
                  <w:r>
                    <w:rPr>
                      <w:b w:val="0"/>
                      <w:bCs/>
                      <w:color w:val="000000" w:themeColor="text1"/>
                      <w14:textFill>
                        <w14:solidFill>
                          <w14:schemeClr w14:val="tx1"/>
                        </w14:solidFill>
                      </w14:textFill>
                    </w:rPr>
                    <w:t>）；</w:t>
                  </w:r>
                </w:p>
                <w:p w14:paraId="44CA32D7">
                  <w:pPr>
                    <w:pStyle w:val="116"/>
                    <w:rPr>
                      <w:b w:val="0"/>
                      <w:bCs/>
                      <w:color w:val="000000" w:themeColor="text1"/>
                      <w14:textFill>
                        <w14:solidFill>
                          <w14:schemeClr w14:val="tx1"/>
                        </w14:solidFill>
                      </w14:textFill>
                    </w:rPr>
                  </w:pPr>
                  <w:r>
                    <w:rPr>
                      <w:b w:val="0"/>
                      <w:bCs/>
                      <w:color w:val="000000" w:themeColor="text1"/>
                      <w14:textFill>
                        <w14:solidFill>
                          <w14:schemeClr w14:val="tx1"/>
                        </w14:solidFill>
                      </w14:textFill>
                    </w:rPr>
                    <w:t>1250mg/kg（</w:t>
                  </w:r>
                  <w:r>
                    <w:rPr>
                      <w:b w:val="0"/>
                      <w:bCs/>
                      <w:color w:val="000000" w:themeColor="text1"/>
                      <w:lang w:val="zh-CN"/>
                      <w14:textFill>
                        <w14:solidFill>
                          <w14:schemeClr w14:val="tx1"/>
                        </w14:solidFill>
                      </w14:textFill>
                    </w:rPr>
                    <w:t>兔经皮</w:t>
                  </w:r>
                  <w:r>
                    <w:rPr>
                      <w:b w:val="0"/>
                      <w:bCs/>
                      <w:color w:val="000000" w:themeColor="text1"/>
                      <w14:textFill>
                        <w14:solidFill>
                          <w14:schemeClr w14:val="tx1"/>
                        </w14:solidFill>
                      </w14:textFill>
                    </w:rPr>
                    <w:t>）LC50：7551ppm（</w:t>
                  </w:r>
                  <w:r>
                    <w:rPr>
                      <w:b w:val="0"/>
                      <w:bCs/>
                      <w:color w:val="000000" w:themeColor="text1"/>
                      <w:lang w:val="zh-CN"/>
                      <w14:textFill>
                        <w14:solidFill>
                          <w14:schemeClr w14:val="tx1"/>
                        </w14:solidFill>
                      </w14:textFill>
                    </w:rPr>
                    <w:t>大鼠吸入</w:t>
                  </w:r>
                  <w:r>
                    <w:rPr>
                      <w:b w:val="0"/>
                      <w:bCs/>
                      <w:color w:val="000000" w:themeColor="text1"/>
                      <w14:textFill>
                        <w14:solidFill>
                          <w14:schemeClr w14:val="tx1"/>
                        </w14:solidFill>
                      </w14:textFill>
                    </w:rPr>
                    <w:t>，8h）</w:t>
                  </w:r>
                </w:p>
              </w:tc>
              <w:tc>
                <w:tcPr>
                  <w:tcW w:w="516" w:type="pct"/>
                  <w:vAlign w:val="center"/>
                </w:tcPr>
                <w:p w14:paraId="1C0D3308">
                  <w:pPr>
                    <w:pStyle w:val="116"/>
                    <w:rPr>
                      <w:b w:val="0"/>
                      <w:bCs/>
                      <w:color w:val="000000" w:themeColor="text1"/>
                      <w14:textFill>
                        <w14:solidFill>
                          <w14:schemeClr w14:val="tx1"/>
                        </w14:solidFill>
                      </w14:textFill>
                    </w:rPr>
                  </w:pPr>
                  <w:r>
                    <w:rPr>
                      <w:b w:val="0"/>
                      <w:bCs/>
                      <w:color w:val="000000" w:themeColor="text1"/>
                      <w14:textFill>
                        <w14:solidFill>
                          <w14:schemeClr w14:val="tx1"/>
                        </w14:solidFill>
                      </w14:textFill>
                    </w:rPr>
                    <w:t>可燃</w:t>
                  </w:r>
                </w:p>
              </w:tc>
            </w:tr>
            <w:tr w14:paraId="133F44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vAlign w:val="center"/>
                </w:tcPr>
                <w:p w14:paraId="524D0EE4">
                  <w:pPr>
                    <w:pStyle w:val="9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甲醇</w:t>
                  </w:r>
                </w:p>
              </w:tc>
              <w:tc>
                <w:tcPr>
                  <w:tcW w:w="617" w:type="pct"/>
                  <w:vAlign w:val="center"/>
                </w:tcPr>
                <w:p w14:paraId="71412F32">
                  <w:pPr>
                    <w:pStyle w:val="99"/>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67-56-1</w:t>
                  </w:r>
                </w:p>
              </w:tc>
              <w:tc>
                <w:tcPr>
                  <w:tcW w:w="2228" w:type="pct"/>
                  <w:vAlign w:val="center"/>
                </w:tcPr>
                <w:p w14:paraId="6CBC805B">
                  <w:pPr>
                    <w:pStyle w:val="116"/>
                    <w:rPr>
                      <w:b w:val="0"/>
                      <w:bCs/>
                      <w:color w:val="000000" w:themeColor="text1"/>
                      <w14:textFill>
                        <w14:solidFill>
                          <w14:schemeClr w14:val="tx1"/>
                        </w14:solidFill>
                      </w14:textFill>
                    </w:rPr>
                  </w:pPr>
                  <w:r>
                    <w:rPr>
                      <w:b w:val="0"/>
                      <w:bCs/>
                      <w:color w:val="000000" w:themeColor="text1"/>
                      <w:lang w:val="zh-CN"/>
                      <w14:textFill>
                        <w14:solidFill>
                          <w14:schemeClr w14:val="tx1"/>
                        </w14:solidFill>
                      </w14:textFill>
                    </w:rPr>
                    <w:t>甲醇</w:t>
                  </w:r>
                  <w:r>
                    <w:rPr>
                      <w:b w:val="0"/>
                      <w:bCs/>
                      <w:color w:val="000000" w:themeColor="text1"/>
                      <w14:textFill>
                        <w14:solidFill>
                          <w14:schemeClr w14:val="tx1"/>
                        </w14:solidFill>
                      </w14:textFill>
                    </w:rPr>
                    <w:t>（Methanol）</w:t>
                  </w:r>
                  <w:r>
                    <w:rPr>
                      <w:b w:val="0"/>
                      <w:bCs/>
                      <w:color w:val="000000" w:themeColor="text1"/>
                      <w:lang w:val="zh-CN"/>
                      <w14:textFill>
                        <w14:solidFill>
                          <w14:schemeClr w14:val="tx1"/>
                        </w14:solidFill>
                      </w14:textFill>
                    </w:rPr>
                    <w:t>又称羟基甲烷、木醇</w:t>
                  </w:r>
                  <w:r>
                    <w:rPr>
                      <w:b w:val="0"/>
                      <w:bCs/>
                      <w:color w:val="000000" w:themeColor="text1"/>
                      <w14:textFill>
                        <w14:solidFill>
                          <w14:schemeClr w14:val="tx1"/>
                        </w14:solidFill>
                      </w14:textFill>
                    </w:rPr>
                    <w:t>（woodalcohol）</w:t>
                  </w:r>
                  <w:r>
                    <w:rPr>
                      <w:b w:val="0"/>
                      <w:bCs/>
                      <w:color w:val="000000" w:themeColor="text1"/>
                      <w:lang w:val="zh-CN"/>
                      <w14:textFill>
                        <w14:solidFill>
                          <w14:schemeClr w14:val="tx1"/>
                        </w14:solidFill>
                      </w14:textFill>
                    </w:rPr>
                    <w:t>或木精</w:t>
                  </w:r>
                  <w:r>
                    <w:rPr>
                      <w:b w:val="0"/>
                      <w:bCs/>
                      <w:color w:val="000000" w:themeColor="text1"/>
                      <w14:textFill>
                        <w14:solidFill>
                          <w14:schemeClr w14:val="tx1"/>
                        </w14:solidFill>
                      </w14:textFill>
                    </w:rPr>
                    <w:t>（wood spirits），</w:t>
                  </w:r>
                  <w:r>
                    <w:rPr>
                      <w:b w:val="0"/>
                      <w:bCs/>
                      <w:color w:val="000000" w:themeColor="text1"/>
                      <w:lang w:val="zh-CN"/>
                      <w14:textFill>
                        <w14:solidFill>
                          <w14:schemeClr w14:val="tx1"/>
                        </w14:solidFill>
                      </w14:textFill>
                    </w:rPr>
                    <w:t>是一种有机化合物</w:t>
                  </w:r>
                  <w:r>
                    <w:rPr>
                      <w:b w:val="0"/>
                      <w:bCs/>
                      <w:color w:val="000000" w:themeColor="text1"/>
                      <w14:textFill>
                        <w14:solidFill>
                          <w14:schemeClr w14:val="tx1"/>
                        </w14:solidFill>
                      </w14:textFill>
                    </w:rPr>
                    <w:t>，</w:t>
                  </w:r>
                  <w:r>
                    <w:rPr>
                      <w:b w:val="0"/>
                      <w:bCs/>
                      <w:color w:val="000000" w:themeColor="text1"/>
                      <w:lang w:val="zh-CN"/>
                      <w14:textFill>
                        <w14:solidFill>
                          <w14:schemeClr w14:val="tx1"/>
                        </w14:solidFill>
                      </w14:textFill>
                    </w:rPr>
                    <w:t>是结构最为简单的饱和一元醇</w:t>
                  </w:r>
                  <w:r>
                    <w:rPr>
                      <w:b w:val="0"/>
                      <w:bCs/>
                      <w:color w:val="000000" w:themeColor="text1"/>
                      <w14:textFill>
                        <w14:solidFill>
                          <w14:schemeClr w14:val="tx1"/>
                        </w14:solidFill>
                      </w14:textFill>
                    </w:rPr>
                    <w:t>，</w:t>
                  </w:r>
                  <w:r>
                    <w:rPr>
                      <w:b w:val="0"/>
                      <w:bCs/>
                      <w:color w:val="000000" w:themeColor="text1"/>
                      <w:lang w:val="zh-CN"/>
                      <w14:textFill>
                        <w14:solidFill>
                          <w14:schemeClr w14:val="tx1"/>
                        </w14:solidFill>
                      </w14:textFill>
                    </w:rPr>
                    <w:t>其化学式为</w:t>
                  </w:r>
                  <w:r>
                    <w:rPr>
                      <w:b w:val="0"/>
                      <w:bCs/>
                      <w:color w:val="000000" w:themeColor="text1"/>
                      <w14:textFill>
                        <w14:solidFill>
                          <w14:schemeClr w14:val="tx1"/>
                        </w14:solidFill>
                      </w14:textFill>
                    </w:rPr>
                    <w:t xml:space="preserve"> CH</w:t>
                  </w:r>
                  <w:r>
                    <w:rPr>
                      <w:b w:val="0"/>
                      <w:bCs/>
                      <w:color w:val="000000" w:themeColor="text1"/>
                      <w:vertAlign w:val="subscript"/>
                      <w14:textFill>
                        <w14:solidFill>
                          <w14:schemeClr w14:val="tx1"/>
                        </w14:solidFill>
                      </w14:textFill>
                    </w:rPr>
                    <w:t>3</w:t>
                  </w:r>
                  <w:r>
                    <w:rPr>
                      <w:b w:val="0"/>
                      <w:bCs/>
                      <w:color w:val="000000" w:themeColor="text1"/>
                      <w14:textFill>
                        <w14:solidFill>
                          <w14:schemeClr w14:val="tx1"/>
                        </w14:solidFill>
                      </w14:textFill>
                    </w:rPr>
                    <w:t>OH/CH</w:t>
                  </w:r>
                  <w:r>
                    <w:rPr>
                      <w:b w:val="0"/>
                      <w:bCs/>
                      <w:color w:val="000000" w:themeColor="text1"/>
                      <w:vertAlign w:val="subscript"/>
                      <w14:textFill>
                        <w14:solidFill>
                          <w14:schemeClr w14:val="tx1"/>
                        </w14:solidFill>
                      </w14:textFill>
                    </w:rPr>
                    <w:t>4</w:t>
                  </w:r>
                  <w:r>
                    <w:rPr>
                      <w:b w:val="0"/>
                      <w:bCs/>
                      <w:color w:val="000000" w:themeColor="text1"/>
                      <w14:textFill>
                        <w14:solidFill>
                          <w14:schemeClr w14:val="tx1"/>
                        </w14:solidFill>
                      </w14:textFill>
                    </w:rPr>
                    <w:t>O</w:t>
                  </w:r>
                  <w:r>
                    <w:rPr>
                      <w:b w:val="0"/>
                      <w:bCs/>
                      <w:color w:val="000000" w:themeColor="text1"/>
                      <w:lang w:val="zh-CN"/>
                      <w14:textFill>
                        <w14:solidFill>
                          <w14:schemeClr w14:val="tx1"/>
                        </w14:solidFill>
                      </w14:textFill>
                    </w:rPr>
                    <w:t>。分子量为32.04，沸点为64.7℃</w:t>
                  </w:r>
                </w:p>
              </w:tc>
              <w:tc>
                <w:tcPr>
                  <w:tcW w:w="1087" w:type="pct"/>
                  <w:vAlign w:val="center"/>
                </w:tcPr>
                <w:p w14:paraId="1695122E">
                  <w:pPr>
                    <w:pStyle w:val="116"/>
                    <w:rPr>
                      <w:b w:val="0"/>
                      <w:bCs/>
                      <w:color w:val="000000" w:themeColor="text1"/>
                      <w14:textFill>
                        <w14:solidFill>
                          <w14:schemeClr w14:val="tx1"/>
                        </w14:solidFill>
                      </w14:textFill>
                    </w:rPr>
                  </w:pPr>
                  <w:r>
                    <w:rPr>
                      <w:b w:val="0"/>
                      <w:bCs/>
                      <w:color w:val="000000" w:themeColor="text1"/>
                      <w14:textFill>
                        <w14:solidFill>
                          <w14:schemeClr w14:val="tx1"/>
                        </w14:solidFill>
                      </w14:textFill>
                    </w:rPr>
                    <w:t>LD50：7300mg/kg（</w:t>
                  </w:r>
                  <w:r>
                    <w:rPr>
                      <w:b w:val="0"/>
                      <w:bCs/>
                      <w:color w:val="000000" w:themeColor="text1"/>
                      <w:lang w:val="zh-CN"/>
                      <w14:textFill>
                        <w14:solidFill>
                          <w14:schemeClr w14:val="tx1"/>
                        </w14:solidFill>
                      </w14:textFill>
                    </w:rPr>
                    <w:t>小鼠经口</w:t>
                  </w:r>
                  <w:r>
                    <w:rPr>
                      <w:b w:val="0"/>
                      <w:bCs/>
                      <w:color w:val="000000" w:themeColor="text1"/>
                      <w14:textFill>
                        <w14:solidFill>
                          <w14:schemeClr w14:val="tx1"/>
                        </w14:solidFill>
                      </w14:textFill>
                    </w:rPr>
                    <w:t>）；LC50：64000ppm（</w:t>
                  </w:r>
                  <w:r>
                    <w:rPr>
                      <w:b w:val="0"/>
                      <w:bCs/>
                      <w:color w:val="000000" w:themeColor="text1"/>
                      <w:lang w:val="zh-CN"/>
                      <w14:textFill>
                        <w14:solidFill>
                          <w14:schemeClr w14:val="tx1"/>
                        </w14:solidFill>
                      </w14:textFill>
                    </w:rPr>
                    <w:t>大鼠吸入</w:t>
                  </w:r>
                  <w:r>
                    <w:rPr>
                      <w:b w:val="0"/>
                      <w:bCs/>
                      <w:color w:val="000000" w:themeColor="text1"/>
                      <w14:textFill>
                        <w14:solidFill>
                          <w14:schemeClr w14:val="tx1"/>
                        </w14:solidFill>
                      </w14:textFill>
                    </w:rPr>
                    <w:t>，4h）</w:t>
                  </w:r>
                </w:p>
              </w:tc>
              <w:tc>
                <w:tcPr>
                  <w:tcW w:w="516" w:type="pct"/>
                  <w:vAlign w:val="center"/>
                </w:tcPr>
                <w:p w14:paraId="6FE73092">
                  <w:pPr>
                    <w:pStyle w:val="116"/>
                    <w:rPr>
                      <w:b w:val="0"/>
                      <w:bCs/>
                      <w:color w:val="000000" w:themeColor="text1"/>
                      <w14:textFill>
                        <w14:solidFill>
                          <w14:schemeClr w14:val="tx1"/>
                        </w14:solidFill>
                      </w14:textFill>
                    </w:rPr>
                  </w:pPr>
                  <w:r>
                    <w:rPr>
                      <w:b w:val="0"/>
                      <w:bCs/>
                      <w:color w:val="000000" w:themeColor="text1"/>
                      <w14:textFill>
                        <w14:solidFill>
                          <w14:schemeClr w14:val="tx1"/>
                        </w14:solidFill>
                      </w14:textFill>
                    </w:rPr>
                    <w:t>可燃</w:t>
                  </w:r>
                </w:p>
              </w:tc>
            </w:tr>
            <w:bookmarkEnd w:id="14"/>
          </w:tbl>
          <w:p w14:paraId="7D2B3FB7">
            <w:pPr>
              <w:autoSpaceDE w:val="0"/>
              <w:autoSpaceDN w:val="0"/>
              <w:adjustRightInd w:val="0"/>
              <w:snapToGrid w:val="0"/>
              <w:spacing w:line="480" w:lineRule="exact"/>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新污染物使用必要性：</w:t>
            </w:r>
          </w:p>
          <w:p w14:paraId="7F384D35">
            <w:pPr>
              <w:autoSpaceDE w:val="0"/>
              <w:autoSpaceDN w:val="0"/>
              <w:adjustRightInd w:val="0"/>
              <w:snapToGrid w:val="0"/>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本项目使用氨苄青霉素钠、盐酸壮观霉素、硫酸卡那霉素等抗生素，属于新污染物。</w:t>
            </w:r>
            <w:r>
              <w:rPr>
                <w:color w:val="000000" w:themeColor="text1"/>
                <w:kern w:val="0"/>
                <w:sz w:val="24"/>
                <w14:textFill>
                  <w14:solidFill>
                    <w14:schemeClr w14:val="tx1"/>
                  </w14:solidFill>
                </w14:textFill>
              </w:rPr>
              <w:t>在标准的分子克隆实验和常规菌种培养中，使用抗生素是必要且标准化的操作。将外源DNA（如质粒）转入细菌（如大肠杆菌）后，绝大多数细菌是没有成功转化的。使用抗生素进行阳性克隆筛选，只让那些成功携带了目标质粒的细菌生长，确保实验材料的正确性和稳定性。</w:t>
            </w:r>
          </w:p>
          <w:p w14:paraId="2DF6E2AA">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8</w:t>
            </w:r>
            <w:r>
              <w:rPr>
                <w:b/>
                <w:bCs/>
                <w:color w:val="000000" w:themeColor="text1"/>
                <w:kern w:val="0"/>
                <w:sz w:val="24"/>
                <w14:textFill>
                  <w14:solidFill>
                    <w14:schemeClr w14:val="tx1"/>
                  </w14:solidFill>
                </w14:textFill>
              </w:rPr>
              <w:t>、水平衡</w:t>
            </w:r>
          </w:p>
          <w:p w14:paraId="736269B3">
            <w:pPr>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（1）生活用水</w:t>
            </w:r>
          </w:p>
          <w:p w14:paraId="217DDEFB">
            <w:pPr>
              <w:spacing w:line="480" w:lineRule="exact"/>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生活用水：项目劳动定员10人，年工作日300天，根据《江苏省林牧渔业、工业、服务业和生活用水定额（2019年修订）》，员工生活用水定额按</w:t>
            </w:r>
            <w:r>
              <w:rPr>
                <w:rFonts w:hint="eastAsia"/>
                <w:color w:val="000000" w:themeColor="text1"/>
                <w:kern w:val="0"/>
                <w:sz w:val="24"/>
                <w14:textFill>
                  <w14:solidFill>
                    <w14:schemeClr w14:val="tx1"/>
                  </w14:solidFill>
                </w14:textFill>
              </w:rPr>
              <w:t>5</w:t>
            </w:r>
            <w:r>
              <w:rPr>
                <w:color w:val="000000" w:themeColor="text1"/>
                <w:kern w:val="0"/>
                <w:sz w:val="24"/>
                <w14:textFill>
                  <w14:solidFill>
                    <w14:schemeClr w14:val="tx1"/>
                  </w14:solidFill>
                </w14:textFill>
              </w:rPr>
              <w:t>0L/（人·d）计，则生活用水量为</w:t>
            </w:r>
            <w:r>
              <w:rPr>
                <w:rFonts w:hint="eastAsia"/>
                <w:color w:val="000000" w:themeColor="text1"/>
                <w:kern w:val="0"/>
                <w:sz w:val="24"/>
                <w14:textFill>
                  <w14:solidFill>
                    <w14:schemeClr w14:val="tx1"/>
                  </w14:solidFill>
                </w14:textFill>
              </w:rPr>
              <w:t>15</w:t>
            </w:r>
            <w:r>
              <w:rPr>
                <w:color w:val="000000" w:themeColor="text1"/>
                <w:kern w:val="0"/>
                <w:sz w:val="24"/>
                <w14:textFill>
                  <w14:solidFill>
                    <w14:schemeClr w14:val="tx1"/>
                  </w14:solidFill>
                </w14:textFill>
              </w:rPr>
              <w:t>0m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bCs/>
                <w:color w:val="000000" w:themeColor="text1"/>
                <w:sz w:val="24"/>
                <w14:textFill>
                  <w14:solidFill>
                    <w14:schemeClr w14:val="tx1"/>
                  </w14:solidFill>
                </w14:textFill>
              </w:rPr>
              <w:t>生活用水产污率按0.8计，则生活污水量为</w:t>
            </w:r>
            <w:r>
              <w:rPr>
                <w:rFonts w:hint="eastAsia"/>
                <w:bCs/>
                <w:color w:val="000000" w:themeColor="text1"/>
                <w:sz w:val="24"/>
                <w14:textFill>
                  <w14:solidFill>
                    <w14:schemeClr w14:val="tx1"/>
                  </w14:solidFill>
                </w14:textFill>
              </w:rPr>
              <w:t>12</w:t>
            </w:r>
            <w:r>
              <w:rPr>
                <w:bCs/>
                <w:color w:val="000000" w:themeColor="text1"/>
                <w:sz w:val="24"/>
                <w14:textFill>
                  <w14:solidFill>
                    <w14:schemeClr w14:val="tx1"/>
                  </w14:solidFill>
                </w14:textFill>
              </w:rPr>
              <w:t>0m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/a，接管至金坛第二污水处理厂集中处理，处理后尾水排入尧塘河。主要污染物有COD、SS、NH</w:t>
            </w:r>
            <w:r>
              <w:rPr>
                <w:bCs/>
                <w:color w:val="000000" w:themeColor="text1"/>
                <w:sz w:val="24"/>
                <w:vertAlign w:val="subscript"/>
                <w14:textFill>
                  <w14:solidFill>
                    <w14:schemeClr w14:val="tx1"/>
                  </w14:solidFill>
                </w14:textFill>
              </w:rPr>
              <w:t>3</w:t>
            </w:r>
            <w:r>
              <w:rPr>
                <w:bCs/>
                <w:color w:val="000000" w:themeColor="text1"/>
                <w:sz w:val="24"/>
                <w14:textFill>
                  <w14:solidFill>
                    <w14:schemeClr w14:val="tx1"/>
                  </w14:solidFill>
                </w14:textFill>
              </w:rPr>
              <w:t>-N、TP、TN。</w:t>
            </w:r>
          </w:p>
          <w:p w14:paraId="74E00CD6">
            <w:pPr>
              <w:spacing w:line="48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w:t>
            </w:r>
            <w:r>
              <w:rPr>
                <w:rFonts w:hint="eastAsia"/>
                <w:color w:val="000000" w:themeColor="text1"/>
                <w:kern w:val="0"/>
                <w:sz w:val="24"/>
                <w14:textFill>
                  <w14:solidFill>
                    <w14:schemeClr w14:val="tx1"/>
                  </w14:solidFill>
                </w14:textFill>
              </w:rPr>
              <w:t>地面清洗用水</w:t>
            </w:r>
          </w:p>
          <w:p w14:paraId="52595CC9">
            <w:pPr>
              <w:spacing w:line="48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根据企业提供的资料，项目车间地面定期用拖把进行清洗，按照每星期清洗一次，全年约</w:t>
            </w:r>
            <w:r>
              <w:rPr>
                <w:rFonts w:hint="eastAsia"/>
                <w:color w:val="000000" w:themeColor="text1"/>
                <w:kern w:val="0"/>
                <w:sz w:val="24"/>
                <w14:textFill>
                  <w14:solidFill>
                    <w14:schemeClr w14:val="tx1"/>
                  </w14:solidFill>
                </w14:textFill>
              </w:rPr>
              <w:t>6</w:t>
            </w:r>
            <w:r>
              <w:rPr>
                <w:color w:val="000000" w:themeColor="text1"/>
                <w:kern w:val="0"/>
                <w:sz w:val="24"/>
                <w14:textFill>
                  <w14:solidFill>
                    <w14:schemeClr w14:val="tx1"/>
                  </w14:solidFill>
                </w14:textFill>
              </w:rPr>
              <w:t>0次，每次按0.</w:t>
            </w:r>
            <w:r>
              <w:rPr>
                <w:rFonts w:hint="eastAsia"/>
                <w:color w:val="000000" w:themeColor="text1"/>
                <w:kern w:val="0"/>
                <w:sz w:val="24"/>
                <w14:textFill>
                  <w14:solidFill>
                    <w14:schemeClr w14:val="tx1"/>
                  </w14:solidFill>
                </w14:textFill>
              </w:rPr>
              <w:t>05</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/次计算，则地面清洗用水量约</w:t>
            </w:r>
            <w:r>
              <w:rPr>
                <w:rFonts w:hint="eastAsia"/>
                <w:color w:val="000000" w:themeColor="text1"/>
                <w:kern w:val="0"/>
                <w:sz w:val="24"/>
                <w14:textFill>
                  <w14:solidFill>
                    <w14:schemeClr w14:val="tx1"/>
                  </w14:solidFill>
                </w14:textFill>
              </w:rPr>
              <w:t>3</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/a。损耗按</w:t>
            </w:r>
            <w:r>
              <w:rPr>
                <w:rFonts w:hint="eastAsia"/>
                <w:color w:val="000000" w:themeColor="text1"/>
                <w:kern w:val="0"/>
                <w:sz w:val="24"/>
                <w14:textFill>
                  <w14:solidFill>
                    <w14:schemeClr w14:val="tx1"/>
                  </w14:solidFill>
                </w14:textFill>
              </w:rPr>
              <w:t>2</w:t>
            </w:r>
            <w:r>
              <w:rPr>
                <w:color w:val="000000" w:themeColor="text1"/>
                <w:kern w:val="0"/>
                <w:sz w:val="24"/>
                <w14:textFill>
                  <w14:solidFill>
                    <w14:schemeClr w14:val="tx1"/>
                  </w14:solidFill>
                </w14:textFill>
              </w:rPr>
              <w:t>0%计，则项目地面清洗废水产生量约为</w:t>
            </w:r>
            <w:r>
              <w:rPr>
                <w:rFonts w:hint="eastAsia"/>
                <w:color w:val="000000" w:themeColor="text1"/>
                <w:kern w:val="0"/>
                <w:sz w:val="24"/>
                <w14:textFill>
                  <w14:solidFill>
                    <w14:schemeClr w14:val="tx1"/>
                  </w14:solidFill>
                </w14:textFill>
              </w:rPr>
              <w:t>2.4</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w:t>
            </w:r>
            <w:r>
              <w:rPr>
                <w:rFonts w:hint="eastAsia"/>
                <w:bCs/>
                <w:color w:val="000000" w:themeColor="text1"/>
                <w:sz w:val="24"/>
                <w14:textFill>
                  <w14:solidFill>
                    <w14:schemeClr w14:val="tx1"/>
                  </w14:solidFill>
                </w14:textFill>
              </w:rPr>
              <w:t>收集暂存作为危废处置。</w:t>
            </w:r>
          </w:p>
          <w:p w14:paraId="49496C5A">
            <w:pPr>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（3）</w:t>
            </w:r>
            <w:r>
              <w:rPr>
                <w:rFonts w:hint="eastAsia"/>
                <w:bCs/>
                <w:color w:val="000000" w:themeColor="text1"/>
                <w:sz w:val="24"/>
                <w14:textFill>
                  <w14:solidFill>
                    <w14:schemeClr w14:val="tx1"/>
                  </w14:solidFill>
                </w14:textFill>
              </w:rPr>
              <w:t>器材</w:t>
            </w:r>
            <w:r>
              <w:rPr>
                <w:bCs/>
                <w:color w:val="000000" w:themeColor="text1"/>
                <w:sz w:val="24"/>
                <w14:textFill>
                  <w14:solidFill>
                    <w14:schemeClr w14:val="tx1"/>
                  </w14:solidFill>
                </w14:textFill>
              </w:rPr>
              <w:t>清洗</w:t>
            </w:r>
            <w:r>
              <w:rPr>
                <w:rFonts w:hint="eastAsia"/>
                <w:bCs/>
                <w:color w:val="000000" w:themeColor="text1"/>
                <w:sz w:val="24"/>
                <w14:textFill>
                  <w14:solidFill>
                    <w14:schemeClr w14:val="tx1"/>
                  </w14:solidFill>
                </w14:textFill>
              </w:rPr>
              <w:t>用</w:t>
            </w:r>
            <w:r>
              <w:rPr>
                <w:bCs/>
                <w:color w:val="000000" w:themeColor="text1"/>
                <w:sz w:val="24"/>
                <w14:textFill>
                  <w14:solidFill>
                    <w14:schemeClr w14:val="tx1"/>
                  </w14:solidFill>
                </w14:textFill>
              </w:rPr>
              <w:t>水</w:t>
            </w:r>
          </w:p>
          <w:p w14:paraId="20CE90AA">
            <w:pPr>
              <w:spacing w:line="480" w:lineRule="exact"/>
              <w:ind w:firstLine="480" w:firstLineChars="200"/>
              <w:rPr>
                <w:bCs/>
                <w:color w:val="000000" w:themeColor="text1"/>
                <w:sz w:val="24"/>
                <w14:textFill>
                  <w14:solidFill>
                    <w14:schemeClr w14:val="tx1"/>
                  </w14:solidFill>
                </w14:textFill>
              </w:rPr>
            </w:pPr>
            <w:r>
              <w:rPr>
                <w:color w:val="000000" w:themeColor="text1"/>
                <w:kern w:val="0"/>
                <w:sz w:val="24"/>
                <w14:textFill>
                  <w14:solidFill>
                    <w14:schemeClr w14:val="tx1"/>
                  </w14:solidFill>
                </w14:textFill>
              </w:rPr>
              <w:t>根据企业提供数据，</w:t>
            </w:r>
            <w:r>
              <w:rPr>
                <w:rFonts w:hint="eastAsia"/>
                <w:color w:val="000000" w:themeColor="text1"/>
                <w:kern w:val="0"/>
                <w:sz w:val="24"/>
                <w14:textFill>
                  <w14:solidFill>
                    <w14:schemeClr w14:val="tx1"/>
                  </w14:solidFill>
                </w14:textFill>
              </w:rPr>
              <w:t>项目实验室器材清洗用水量约为</w:t>
            </w:r>
            <w:r>
              <w:rPr>
                <w:rFonts w:hint="eastAsia"/>
                <w:color w:val="000000" w:themeColor="text1"/>
                <w:kern w:val="0"/>
                <w:sz w:val="24"/>
                <w:lang w:val="en-US" w:eastAsia="zh-CN"/>
                <w14:textFill>
                  <w14:solidFill>
                    <w14:schemeClr w14:val="tx1"/>
                  </w14:solidFill>
                </w14:textFill>
              </w:rPr>
              <w:t>5</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/a。损耗按</w:t>
            </w:r>
            <w:r>
              <w:rPr>
                <w:rFonts w:hint="eastAsia"/>
                <w:color w:val="000000" w:themeColor="text1"/>
                <w:kern w:val="0"/>
                <w:sz w:val="24"/>
                <w14:textFill>
                  <w14:solidFill>
                    <w14:schemeClr w14:val="tx1"/>
                  </w14:solidFill>
                </w14:textFill>
              </w:rPr>
              <w:t>2</w:t>
            </w:r>
            <w:r>
              <w:rPr>
                <w:color w:val="000000" w:themeColor="text1"/>
                <w:kern w:val="0"/>
                <w:sz w:val="24"/>
                <w14:textFill>
                  <w14:solidFill>
                    <w14:schemeClr w14:val="tx1"/>
                  </w14:solidFill>
                </w14:textFill>
              </w:rPr>
              <w:t>0%计，则项目</w:t>
            </w:r>
            <w:r>
              <w:rPr>
                <w:rFonts w:hint="eastAsia"/>
                <w:color w:val="000000" w:themeColor="text1"/>
                <w:kern w:val="0"/>
                <w:sz w:val="24"/>
                <w14:textFill>
                  <w14:solidFill>
                    <w14:schemeClr w14:val="tx1"/>
                  </w14:solidFill>
                </w14:textFill>
              </w:rPr>
              <w:t>器材清洗废液</w:t>
            </w:r>
            <w:r>
              <w:rPr>
                <w:color w:val="000000" w:themeColor="text1"/>
                <w:kern w:val="0"/>
                <w:sz w:val="24"/>
                <w14:textFill>
                  <w14:solidFill>
                    <w14:schemeClr w14:val="tx1"/>
                  </w14:solidFill>
                </w14:textFill>
              </w:rPr>
              <w:t>产生量约为</w:t>
            </w:r>
            <w:r>
              <w:rPr>
                <w:rFonts w:hint="eastAsia"/>
                <w:color w:val="000000" w:themeColor="text1"/>
                <w:kern w:val="0"/>
                <w:sz w:val="24"/>
                <w:lang w:val="en-US" w:eastAsia="zh-CN"/>
                <w14:textFill>
                  <w14:solidFill>
                    <w14:schemeClr w14:val="tx1"/>
                  </w14:solidFill>
                </w14:textFill>
              </w:rPr>
              <w:t>4</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w:t>
            </w:r>
            <w:r>
              <w:rPr>
                <w:rFonts w:hint="eastAsia"/>
                <w:bCs/>
                <w:color w:val="000000" w:themeColor="text1"/>
                <w:sz w:val="24"/>
                <w14:textFill>
                  <w14:solidFill>
                    <w14:schemeClr w14:val="tx1"/>
                  </w14:solidFill>
                </w14:textFill>
              </w:rPr>
              <w:t>收集暂存作为危废处置。</w:t>
            </w:r>
          </w:p>
          <w:p w14:paraId="2F9086AD">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（4）溶液配制用水</w:t>
            </w:r>
          </w:p>
          <w:p w14:paraId="568B682C">
            <w:pPr>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本项目实验过程中使用纯水配制溶液，</w:t>
            </w:r>
            <w:r>
              <w:rPr>
                <w:color w:val="000000" w:themeColor="text1"/>
                <w:kern w:val="0"/>
                <w:sz w:val="24"/>
                <w14:textFill>
                  <w14:solidFill>
                    <w14:schemeClr w14:val="tx1"/>
                  </w14:solidFill>
                </w14:textFill>
              </w:rPr>
              <w:t>根据企业提供数据</w:t>
            </w:r>
            <w:r>
              <w:rPr>
                <w:rFonts w:hint="eastAsia"/>
                <w:color w:val="000000" w:themeColor="text1"/>
                <w:kern w:val="0"/>
                <w:sz w:val="24"/>
                <w14:textFill>
                  <w14:solidFill>
                    <w14:schemeClr w14:val="tx1"/>
                  </w14:solidFill>
                </w14:textFill>
              </w:rPr>
              <w:t>，项目纯水使用量为1</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损耗按</w:t>
            </w:r>
            <w:r>
              <w:rPr>
                <w:rFonts w:hint="eastAsia"/>
                <w:color w:val="000000" w:themeColor="text1"/>
                <w:kern w:val="0"/>
                <w:sz w:val="24"/>
                <w14:textFill>
                  <w14:solidFill>
                    <w14:schemeClr w14:val="tx1"/>
                  </w14:solidFill>
                </w14:textFill>
              </w:rPr>
              <w:t>2</w:t>
            </w:r>
            <w:r>
              <w:rPr>
                <w:color w:val="000000" w:themeColor="text1"/>
                <w:kern w:val="0"/>
                <w:sz w:val="24"/>
                <w14:textFill>
                  <w14:solidFill>
                    <w14:schemeClr w14:val="tx1"/>
                  </w14:solidFill>
                </w14:textFill>
              </w:rPr>
              <w:t>0%计，</w:t>
            </w:r>
            <w:r>
              <w:rPr>
                <w:rFonts w:hint="eastAsia"/>
                <w:color w:val="000000" w:themeColor="text1"/>
                <w:kern w:val="0"/>
                <w:sz w:val="24"/>
                <w14:textFill>
                  <w14:solidFill>
                    <w14:schemeClr w14:val="tx1"/>
                  </w14:solidFill>
                </w14:textFill>
              </w:rPr>
              <w:t>则实验废液产生量为0.8</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w:t>
            </w:r>
            <w:r>
              <w:rPr>
                <w:rFonts w:hint="eastAsia"/>
                <w:bCs/>
                <w:color w:val="000000" w:themeColor="text1"/>
                <w:sz w:val="24"/>
                <w14:textFill>
                  <w14:solidFill>
                    <w14:schemeClr w14:val="tx1"/>
                  </w14:solidFill>
                </w14:textFill>
              </w:rPr>
              <w:t>收集暂存作为危废处置。</w:t>
            </w:r>
          </w:p>
          <w:p w14:paraId="3D284B35">
            <w:pPr>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（5）发酵及提纯工艺用水</w:t>
            </w:r>
          </w:p>
          <w:p w14:paraId="4DDA0752">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本项目发酵及提纯过程中需添加纯水，根据物料平衡，进入纯水用水量为0.831</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，产生0.918</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的废液，</w:t>
            </w:r>
            <w:r>
              <w:rPr>
                <w:rFonts w:hint="eastAsia"/>
                <w:bCs/>
                <w:color w:val="000000" w:themeColor="text1"/>
                <w:sz w:val="24"/>
                <w14:textFill>
                  <w14:solidFill>
                    <w14:schemeClr w14:val="tx1"/>
                  </w14:solidFill>
                </w14:textFill>
              </w:rPr>
              <w:t>收集暂存作为危废处置。</w:t>
            </w:r>
          </w:p>
          <w:p w14:paraId="4057B12D">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（6）制蒸汽用水</w:t>
            </w:r>
          </w:p>
          <w:p w14:paraId="7F34E3C2">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本项目发酵过程中使用蒸汽灭菌，蒸汽由发酵罐配套的蒸汽发生器制得，根据物料平衡，制蒸汽的纯水用水量为0.25</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bCs/>
                <w:color w:val="000000" w:themeColor="text1"/>
                <w:sz w:val="24"/>
                <w14:textFill>
                  <w14:solidFill>
                    <w14:schemeClr w14:val="tx1"/>
                  </w14:solidFill>
                </w14:textFill>
              </w:rPr>
              <w:t>，</w:t>
            </w:r>
            <w:r>
              <w:rPr>
                <w:rFonts w:hint="eastAsia"/>
                <w:color w:val="000000" w:themeColor="text1"/>
                <w:kern w:val="0"/>
                <w:sz w:val="24"/>
                <w14:textFill>
                  <w14:solidFill>
                    <w14:schemeClr w14:val="tx1"/>
                  </w14:solidFill>
                </w14:textFill>
              </w:rPr>
              <w:t>产生0.25</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的蒸汽冷凝水回用至地面清洗。</w:t>
            </w:r>
          </w:p>
          <w:p w14:paraId="2B129691">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（7）实验室设备用水</w:t>
            </w:r>
          </w:p>
          <w:p w14:paraId="02A3340C">
            <w:pPr>
              <w:spacing w:line="480" w:lineRule="exact"/>
              <w:ind w:firstLine="480" w:firstLineChars="200"/>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本项目配备金属浴、核酸电泳仪、水浴锅、灭菌锅、冷水机</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制冰机</w:t>
            </w:r>
            <w:r>
              <w:rPr>
                <w:rFonts w:hint="eastAsia"/>
                <w:bCs/>
                <w:color w:val="000000" w:themeColor="text1"/>
                <w:sz w:val="24"/>
                <w14:textFill>
                  <w14:solidFill>
                    <w14:schemeClr w14:val="tx1"/>
                  </w14:solidFill>
                </w14:textFill>
              </w:rPr>
              <w:t>等设备，均需添加纯水，根据企业提供资料，项目纯水使用量约为2</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bCs/>
                <w:color w:val="000000" w:themeColor="text1"/>
                <w:sz w:val="24"/>
                <w14:textFill>
                  <w14:solidFill>
                    <w14:schemeClr w14:val="tx1"/>
                  </w14:solidFill>
                </w14:textFill>
              </w:rPr>
              <w:t>，</w:t>
            </w:r>
            <w:r>
              <w:rPr>
                <w:color w:val="000000" w:themeColor="text1"/>
                <w:kern w:val="0"/>
                <w:sz w:val="24"/>
                <w14:textFill>
                  <w14:solidFill>
                    <w14:schemeClr w14:val="tx1"/>
                  </w14:solidFill>
                </w14:textFill>
              </w:rPr>
              <w:t>损耗按</w:t>
            </w:r>
            <w:r>
              <w:rPr>
                <w:rFonts w:hint="eastAsia"/>
                <w:color w:val="000000" w:themeColor="text1"/>
                <w:kern w:val="0"/>
                <w:sz w:val="24"/>
                <w14:textFill>
                  <w14:solidFill>
                    <w14:schemeClr w14:val="tx1"/>
                  </w14:solidFill>
                </w14:textFill>
              </w:rPr>
              <w:t>2</w:t>
            </w:r>
            <w:r>
              <w:rPr>
                <w:color w:val="000000" w:themeColor="text1"/>
                <w:kern w:val="0"/>
                <w:sz w:val="24"/>
                <w14:textFill>
                  <w14:solidFill>
                    <w14:schemeClr w14:val="tx1"/>
                  </w14:solidFill>
                </w14:textFill>
              </w:rPr>
              <w:t>0%计</w:t>
            </w:r>
            <w:r>
              <w:rPr>
                <w:rFonts w:hint="eastAsia"/>
                <w:color w:val="000000" w:themeColor="text1"/>
                <w:kern w:val="0"/>
                <w:sz w:val="24"/>
                <w14:textFill>
                  <w14:solidFill>
                    <w14:schemeClr w14:val="tx1"/>
                  </w14:solidFill>
                </w14:textFill>
              </w:rPr>
              <w:t>，则实验室设备废液产生量为1.6</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bCs/>
                <w:color w:val="000000" w:themeColor="text1"/>
                <w:sz w:val="24"/>
                <w14:textFill>
                  <w14:solidFill>
                    <w14:schemeClr w14:val="tx1"/>
                  </w14:solidFill>
                </w14:textFill>
              </w:rPr>
              <w:t>。</w:t>
            </w:r>
          </w:p>
          <w:p w14:paraId="032713B8">
            <w:pPr>
              <w:spacing w:line="480" w:lineRule="exact"/>
              <w:ind w:firstLine="480" w:firstLineChars="200"/>
              <w:rPr>
                <w:rFonts w:hint="default" w:eastAsia="宋体"/>
                <w:bCs/>
                <w:color w:val="000000" w:themeColor="text1"/>
                <w:sz w:val="24"/>
                <w:lang w:val="en-US" w:eastAsia="zh-CN"/>
                <w14:textFill>
                  <w14:solidFill>
                    <w14:schemeClr w14:val="tx1"/>
                  </w14:solidFill>
                </w14:textFill>
              </w:rPr>
            </w:pP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8</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纯水制备用水</w:t>
            </w:r>
          </w:p>
          <w:p w14:paraId="50EF2463">
            <w:pPr>
              <w:spacing w:line="480" w:lineRule="exact"/>
              <w:ind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纯水用量为3.581</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color w:val="000000" w:themeColor="text1"/>
                <w:kern w:val="0"/>
                <w:sz w:val="24"/>
                <w:lang w:eastAsia="zh-CN"/>
                <w14:textFill>
                  <w14:solidFill>
                    <w14:schemeClr w14:val="tx1"/>
                  </w14:solidFill>
                </w14:textFill>
              </w:rPr>
              <w:t>。</w:t>
            </w:r>
            <w:r>
              <w:rPr>
                <w:rFonts w:hint="eastAsia"/>
                <w:color w:val="000000" w:themeColor="text1"/>
                <w:sz w:val="24"/>
                <w14:textFill>
                  <w14:solidFill>
                    <w14:schemeClr w14:val="tx1"/>
                  </w14:solidFill>
                </w14:textFill>
              </w:rPr>
              <w:t>本项目采用纯水机制备纯水，得水率</w:t>
            </w:r>
            <w:r>
              <w:rPr>
                <w:rFonts w:hint="eastAsia"/>
                <w:color w:val="000000" w:themeColor="text1"/>
                <w:sz w:val="24"/>
                <w:lang w:val="en-US" w:eastAsia="zh-CN"/>
                <w14:textFill>
                  <w14:solidFill>
                    <w14:schemeClr w14:val="tx1"/>
                  </w14:solidFill>
                </w14:textFill>
              </w:rPr>
              <w:t>约</w:t>
            </w:r>
            <w:r>
              <w:rPr>
                <w:rFonts w:hint="eastAsia"/>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65</w:t>
            </w:r>
            <w:r>
              <w:rPr>
                <w:rFonts w:hint="eastAsia"/>
                <w:color w:val="000000" w:themeColor="text1"/>
                <w:sz w:val="24"/>
                <w14:textFill>
                  <w14:solidFill>
                    <w14:schemeClr w14:val="tx1"/>
                  </w14:solidFill>
                </w14:textFill>
              </w:rPr>
              <w:t>%，则需自来水约</w:t>
            </w:r>
            <w:r>
              <w:rPr>
                <w:rFonts w:hint="eastAsia"/>
                <w:color w:val="000000" w:themeColor="text1"/>
                <w:sz w:val="24"/>
                <w:lang w:val="en-US" w:eastAsia="zh-CN"/>
                <w14:textFill>
                  <w14:solidFill>
                    <w14:schemeClr w14:val="tx1"/>
                  </w14:solidFill>
                </w14:textFill>
              </w:rPr>
              <w:t>5.5</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/a，制备时产生的浓水量约为</w:t>
            </w:r>
            <w:r>
              <w:rPr>
                <w:rFonts w:hint="eastAsia"/>
                <w:color w:val="000000" w:themeColor="text1"/>
                <w:sz w:val="24"/>
                <w:lang w:val="en-US" w:eastAsia="zh-CN"/>
                <w14:textFill>
                  <w14:solidFill>
                    <w14:schemeClr w14:val="tx1"/>
                  </w14:solidFill>
                </w14:textFill>
              </w:rPr>
              <w:t>1.919</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r>
              <w:rPr>
                <w:rFonts w:hint="eastAsia"/>
                <w:color w:val="000000" w:themeColor="text1"/>
                <w:kern w:val="0"/>
                <w:sz w:val="24"/>
                <w14:textFill>
                  <w14:solidFill>
                    <w14:schemeClr w14:val="tx1"/>
                  </w14:solidFill>
                </w14:textFill>
              </w:rPr>
              <w:t>回用至</w:t>
            </w:r>
            <w:r>
              <w:rPr>
                <w:rFonts w:hint="eastAsia"/>
                <w:color w:val="000000" w:themeColor="text1"/>
                <w:sz w:val="24"/>
                <w:lang w:val="en-US" w:eastAsia="zh-CN"/>
                <w14:textFill>
                  <w14:solidFill>
                    <w14:schemeClr w14:val="tx1"/>
                  </w14:solidFill>
                </w14:textFill>
              </w:rPr>
              <w:t>地面清洗。</w:t>
            </w:r>
          </w:p>
          <w:p w14:paraId="0D2C218F">
            <w:pPr>
              <w:spacing w:line="480" w:lineRule="exact"/>
              <w:ind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水平衡图见图</w:t>
            </w:r>
            <w:r>
              <w:rPr>
                <w:rFonts w:hint="eastAsia"/>
                <w:color w:val="000000" w:themeColor="text1"/>
                <w:sz w:val="24"/>
                <w14:textFill>
                  <w14:solidFill>
                    <w14:schemeClr w14:val="tx1"/>
                  </w14:solidFill>
                </w14:textFill>
              </w:rPr>
              <w:t>2-1。</w:t>
            </w:r>
          </w:p>
          <w:p w14:paraId="711028C4">
            <w:pPr>
              <w:jc w:val="center"/>
              <w:rPr>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952490" cy="5019040"/>
                  <wp:effectExtent l="0" t="0" r="10160"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952490" cy="5019040"/>
                          </a:xfrm>
                          <a:prstGeom prst="rect">
                            <a:avLst/>
                          </a:prstGeom>
                          <a:noFill/>
                          <a:ln>
                            <a:noFill/>
                          </a:ln>
                        </pic:spPr>
                      </pic:pic>
                    </a:graphicData>
                  </a:graphic>
                </wp:inline>
              </w:drawing>
            </w:r>
          </w:p>
          <w:p w14:paraId="13F8D26B">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图2-1 水平衡图（单位：</w:t>
            </w:r>
            <w:r>
              <w:rPr>
                <w:rFonts w:hint="eastAsia"/>
                <w:b/>
                <w:bCs/>
                <w:color w:val="000000" w:themeColor="text1"/>
                <w:kern w:val="0"/>
                <w:szCs w:val="21"/>
                <w14:textFill>
                  <w14:solidFill>
                    <w14:schemeClr w14:val="tx1"/>
                  </w14:solidFill>
                </w14:textFill>
              </w:rPr>
              <w:t>m</w:t>
            </w:r>
            <w:r>
              <w:rPr>
                <w:rFonts w:hint="eastAsia"/>
                <w:b/>
                <w:bCs/>
                <w:color w:val="000000" w:themeColor="text1"/>
                <w:kern w:val="0"/>
                <w:szCs w:val="21"/>
                <w:vertAlign w:val="superscript"/>
                <w14:textFill>
                  <w14:solidFill>
                    <w14:schemeClr w14:val="tx1"/>
                  </w14:solidFill>
                </w14:textFill>
              </w:rPr>
              <w:t>3</w:t>
            </w:r>
            <w:r>
              <w:rPr>
                <w:b/>
                <w:bCs/>
                <w:color w:val="000000" w:themeColor="text1"/>
                <w:kern w:val="0"/>
                <w:szCs w:val="21"/>
                <w14:textFill>
                  <w14:solidFill>
                    <w14:schemeClr w14:val="tx1"/>
                  </w14:solidFill>
                </w14:textFill>
              </w:rPr>
              <w:t>/a）</w:t>
            </w:r>
          </w:p>
          <w:p w14:paraId="4BAD1ABA">
            <w:pPr>
              <w:autoSpaceDE w:val="0"/>
              <w:autoSpaceDN w:val="0"/>
              <w:adjustRightInd w:val="0"/>
              <w:snapToGrid w:val="0"/>
              <w:spacing w:line="480" w:lineRule="exact"/>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9</w:t>
            </w:r>
            <w:r>
              <w:rPr>
                <w:b/>
                <w:bCs/>
                <w:color w:val="000000" w:themeColor="text1"/>
                <w:kern w:val="0"/>
                <w:sz w:val="24"/>
                <w14:textFill>
                  <w14:solidFill>
                    <w14:schemeClr w14:val="tx1"/>
                  </w14:solidFill>
                </w14:textFill>
              </w:rPr>
              <w:t>、物料平衡</w:t>
            </w:r>
          </w:p>
          <w:p w14:paraId="4AE732D4">
            <w:pPr>
              <w:autoSpaceDE w:val="0"/>
              <w:autoSpaceDN w:val="0"/>
              <w:adjustRightInd w:val="0"/>
              <w:snapToGrid w:val="0"/>
              <w:spacing w:line="48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w:t>
            </w:r>
            <w:r>
              <w:rPr>
                <w:rFonts w:hint="eastAsia"/>
                <w:color w:val="000000" w:themeColor="text1"/>
                <w:kern w:val="0"/>
                <w:sz w:val="24"/>
                <w14:textFill>
                  <w14:solidFill>
                    <w14:schemeClr w14:val="tx1"/>
                  </w14:solidFill>
                </w14:textFill>
              </w:rPr>
              <w:t>发酵物料</w:t>
            </w:r>
            <w:r>
              <w:rPr>
                <w:color w:val="000000" w:themeColor="text1"/>
                <w:kern w:val="0"/>
                <w:sz w:val="24"/>
                <w14:textFill>
                  <w14:solidFill>
                    <w14:schemeClr w14:val="tx1"/>
                  </w14:solidFill>
                </w14:textFill>
              </w:rPr>
              <w:t>平衡</w:t>
            </w:r>
            <w:bookmarkStart w:id="15" w:name="OLE_LINK11"/>
          </w:p>
          <w:p w14:paraId="2295C004">
            <w:pPr>
              <w:autoSpaceDE w:val="0"/>
              <w:autoSpaceDN w:val="0"/>
              <w:adjustRightInd w:val="0"/>
              <w:snapToGrid w:val="0"/>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本项目发酵工序批次物料平衡见下图。</w:t>
            </w:r>
          </w:p>
          <w:p w14:paraId="65F41A7D">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326380" cy="2979420"/>
                  <wp:effectExtent l="0" t="0" r="7620" b="1143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1"/>
                          <a:stretch>
                            <a:fillRect/>
                          </a:stretch>
                        </pic:blipFill>
                        <pic:spPr>
                          <a:xfrm>
                            <a:off x="0" y="0"/>
                            <a:ext cx="5326380" cy="2979420"/>
                          </a:xfrm>
                          <a:prstGeom prst="rect">
                            <a:avLst/>
                          </a:prstGeom>
                          <a:noFill/>
                          <a:ln>
                            <a:noFill/>
                          </a:ln>
                        </pic:spPr>
                      </pic:pic>
                    </a:graphicData>
                  </a:graphic>
                </wp:inline>
              </w:drawing>
            </w:r>
          </w:p>
          <w:p w14:paraId="60A920B9">
            <w:pPr>
              <w:autoSpaceDE w:val="0"/>
              <w:autoSpaceDN w:val="0"/>
              <w:adjustRightInd w:val="0"/>
              <w:snapToGrid w:val="0"/>
              <w:spacing w:before="120" w:beforeLines="50" w:after="120" w:afterLines="50" w:line="360" w:lineRule="exact"/>
              <w:jc w:val="center"/>
              <w:rPr>
                <w:color w:val="000000" w:themeColor="text1"/>
                <w14:textFill>
                  <w14:solidFill>
                    <w14:schemeClr w14:val="tx1"/>
                  </w14:solidFill>
                </w14:textFill>
              </w:rPr>
            </w:pPr>
            <w:r>
              <w:rPr>
                <w:b/>
                <w:bCs/>
                <w:color w:val="000000" w:themeColor="text1"/>
                <w:kern w:val="0"/>
                <w:szCs w:val="21"/>
                <w14:textFill>
                  <w14:solidFill>
                    <w14:schemeClr w14:val="tx1"/>
                  </w14:solidFill>
                </w14:textFill>
              </w:rPr>
              <w:t xml:space="preserve">图2-2 </w:t>
            </w:r>
            <w:r>
              <w:rPr>
                <w:rFonts w:hint="eastAsia"/>
                <w:b/>
                <w:bCs/>
                <w:color w:val="000000" w:themeColor="text1"/>
                <w:kern w:val="0"/>
                <w:szCs w:val="21"/>
                <w14:textFill>
                  <w14:solidFill>
                    <w14:schemeClr w14:val="tx1"/>
                  </w14:solidFill>
                </w14:textFill>
              </w:rPr>
              <w:t>批次发酵物料</w:t>
            </w:r>
            <w:r>
              <w:rPr>
                <w:b/>
                <w:bCs/>
                <w:color w:val="000000" w:themeColor="text1"/>
                <w:kern w:val="0"/>
                <w:szCs w:val="21"/>
                <w14:textFill>
                  <w14:solidFill>
                    <w14:schemeClr w14:val="tx1"/>
                  </w14:solidFill>
                </w14:textFill>
              </w:rPr>
              <w:t>平衡图（kg/</w:t>
            </w:r>
            <w:r>
              <w:rPr>
                <w:rFonts w:hint="eastAsia"/>
                <w:b/>
                <w:bCs/>
                <w:color w:val="000000" w:themeColor="text1"/>
                <w:kern w:val="0"/>
                <w:szCs w:val="21"/>
                <w14:textFill>
                  <w14:solidFill>
                    <w14:schemeClr w14:val="tx1"/>
                  </w14:solidFill>
                </w14:textFill>
              </w:rPr>
              <w:t>批次</w:t>
            </w:r>
            <w:r>
              <w:rPr>
                <w:b/>
                <w:bCs/>
                <w:color w:val="000000" w:themeColor="text1"/>
                <w:kern w:val="0"/>
                <w:szCs w:val="21"/>
                <w14:textFill>
                  <w14:solidFill>
                    <w14:schemeClr w14:val="tx1"/>
                  </w14:solidFill>
                </w14:textFill>
              </w:rPr>
              <w:t>）</w:t>
            </w:r>
          </w:p>
          <w:p w14:paraId="535947F3">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表2-</w:t>
            </w:r>
            <w:r>
              <w:rPr>
                <w:rFonts w:hint="eastAsia"/>
                <w:b/>
                <w:bCs/>
                <w:color w:val="000000" w:themeColor="text1"/>
                <w:kern w:val="0"/>
                <w:szCs w:val="21"/>
                <w14:textFill>
                  <w14:solidFill>
                    <w14:schemeClr w14:val="tx1"/>
                  </w14:solidFill>
                </w14:textFill>
              </w:rPr>
              <w:t>7</w:t>
            </w:r>
            <w:r>
              <w:rPr>
                <w:b/>
                <w:bCs/>
                <w:color w:val="000000" w:themeColor="text1"/>
                <w:kern w:val="0"/>
                <w:szCs w:val="21"/>
                <w14:textFill>
                  <w14:solidFill>
                    <w14:schemeClr w14:val="tx1"/>
                  </w14:solidFill>
                </w14:textFill>
              </w:rPr>
              <w:t xml:space="preserve">  </w:t>
            </w:r>
            <w:r>
              <w:rPr>
                <w:rFonts w:hint="eastAsia"/>
                <w:b/>
                <w:bCs/>
                <w:color w:val="000000" w:themeColor="text1"/>
                <w:kern w:val="0"/>
                <w:szCs w:val="21"/>
                <w14:textFill>
                  <w14:solidFill>
                    <w14:schemeClr w14:val="tx1"/>
                  </w14:solidFill>
                </w14:textFill>
              </w:rPr>
              <w:t>批次发酵</w:t>
            </w:r>
            <w:r>
              <w:rPr>
                <w:b/>
                <w:bCs/>
                <w:color w:val="000000" w:themeColor="text1"/>
                <w:kern w:val="0"/>
                <w:szCs w:val="21"/>
                <w14:textFill>
                  <w14:solidFill>
                    <w14:schemeClr w14:val="tx1"/>
                  </w14:solidFill>
                </w14:textFill>
              </w:rPr>
              <w:t>物料平衡</w:t>
            </w:r>
            <w:r>
              <w:rPr>
                <w:rFonts w:hint="eastAsia"/>
                <w:b/>
                <w:bCs/>
                <w:color w:val="000000" w:themeColor="text1"/>
                <w:kern w:val="0"/>
                <w:szCs w:val="21"/>
                <w14:textFill>
                  <w14:solidFill>
                    <w14:schemeClr w14:val="tx1"/>
                  </w14:solidFill>
                </w14:textFill>
              </w:rPr>
              <w:t>表</w:t>
            </w:r>
            <w:r>
              <w:rPr>
                <w:b/>
                <w:bCs/>
                <w:color w:val="000000" w:themeColor="text1"/>
                <w:kern w:val="0"/>
                <w:szCs w:val="21"/>
                <w14:textFill>
                  <w14:solidFill>
                    <w14:schemeClr w14:val="tx1"/>
                  </w14:solidFill>
                </w14:textFill>
              </w:rPr>
              <w:t>（kg/</w:t>
            </w:r>
            <w:r>
              <w:rPr>
                <w:rFonts w:hint="eastAsia"/>
                <w:b/>
                <w:bCs/>
                <w:color w:val="000000" w:themeColor="text1"/>
                <w:kern w:val="0"/>
                <w:szCs w:val="21"/>
                <w14:textFill>
                  <w14:solidFill>
                    <w14:schemeClr w14:val="tx1"/>
                  </w14:solidFill>
                </w14:textFill>
              </w:rPr>
              <w:t>批次</w:t>
            </w:r>
            <w:r>
              <w:rPr>
                <w:b/>
                <w:bCs/>
                <w:color w:val="000000" w:themeColor="text1"/>
                <w:kern w:val="0"/>
                <w:szCs w:val="21"/>
                <w14:textFill>
                  <w14:solidFill>
                    <w14:schemeClr w14:val="tx1"/>
                  </w14:solidFill>
                </w14:textFill>
              </w:rPr>
              <w:t>）</w:t>
            </w:r>
          </w:p>
          <w:tbl>
            <w:tblPr>
              <w:tblStyle w:val="26"/>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2"/>
              <w:gridCol w:w="1411"/>
              <w:gridCol w:w="1446"/>
              <w:gridCol w:w="1396"/>
              <w:gridCol w:w="2325"/>
            </w:tblGrid>
            <w:tr w14:paraId="61DC0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19" w:type="pct"/>
                  <w:gridSpan w:val="2"/>
                  <w:tcBorders>
                    <w:tl2br w:val="nil"/>
                    <w:tr2bl w:val="nil"/>
                  </w:tcBorders>
                  <w:vAlign w:val="center"/>
                </w:tcPr>
                <w:p w14:paraId="232A20F4">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输入</w:t>
                  </w:r>
                </w:p>
              </w:tc>
              <w:tc>
                <w:tcPr>
                  <w:tcW w:w="2780" w:type="pct"/>
                  <w:gridSpan w:val="3"/>
                  <w:tcBorders>
                    <w:tl2br w:val="nil"/>
                    <w:tr2bl w:val="nil"/>
                  </w:tcBorders>
                  <w:vAlign w:val="center"/>
                </w:tcPr>
                <w:p w14:paraId="223EE4CB">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输出</w:t>
                  </w:r>
                </w:p>
              </w:tc>
            </w:tr>
            <w:tr w14:paraId="5CA07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0" w:type="pct"/>
                  <w:tcBorders>
                    <w:tl2br w:val="nil"/>
                    <w:tr2bl w:val="nil"/>
                  </w:tcBorders>
                  <w:vAlign w:val="center"/>
                </w:tcPr>
                <w:p w14:paraId="507B8772">
                  <w:pPr>
                    <w:autoSpaceDE w:val="0"/>
                    <w:autoSpaceDN w:val="0"/>
                    <w:adjustRightInd w:val="0"/>
                    <w:snapToGrid w:val="0"/>
                    <w:jc w:val="center"/>
                    <w:rPr>
                      <w:color w:val="000000" w:themeColor="text1"/>
                      <w:kern w:val="0"/>
                      <w:szCs w:val="21"/>
                      <w14:textFill>
                        <w14:solidFill>
                          <w14:schemeClr w14:val="tx1"/>
                        </w14:solidFill>
                      </w14:textFill>
                    </w:rPr>
                  </w:pPr>
                  <w:bookmarkStart w:id="16" w:name="OLE_LINK5" w:colFirst="3" w:colLast="3"/>
                  <w:r>
                    <w:rPr>
                      <w:color w:val="000000" w:themeColor="text1"/>
                      <w:kern w:val="0"/>
                      <w:szCs w:val="21"/>
                      <w14:textFill>
                        <w14:solidFill>
                          <w14:schemeClr w14:val="tx1"/>
                        </w14:solidFill>
                      </w14:textFill>
                    </w:rPr>
                    <w:t>菌种保藏液</w:t>
                  </w:r>
                </w:p>
              </w:tc>
              <w:tc>
                <w:tcPr>
                  <w:tcW w:w="759" w:type="pct"/>
                  <w:tcBorders>
                    <w:tl2br w:val="nil"/>
                    <w:tr2bl w:val="nil"/>
                  </w:tcBorders>
                  <w:vAlign w:val="center"/>
                </w:tcPr>
                <w:p w14:paraId="2E07F203">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0.03</w:t>
                  </w:r>
                </w:p>
              </w:tc>
              <w:tc>
                <w:tcPr>
                  <w:tcW w:w="1529" w:type="pct"/>
                  <w:gridSpan w:val="2"/>
                  <w:tcBorders>
                    <w:tl2br w:val="nil"/>
                    <w:tr2bl w:val="nil"/>
                  </w:tcBorders>
                  <w:vAlign w:val="center"/>
                </w:tcPr>
                <w:p w14:paraId="01DC2F84">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发酵液</w:t>
                  </w:r>
                </w:p>
              </w:tc>
              <w:tc>
                <w:tcPr>
                  <w:tcW w:w="1250" w:type="pct"/>
                  <w:tcBorders>
                    <w:tl2br w:val="nil"/>
                    <w:tr2bl w:val="nil"/>
                  </w:tcBorders>
                  <w:vAlign w:val="center"/>
                </w:tcPr>
                <w:p w14:paraId="771786EF">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r>
            <w:tr w14:paraId="01BBC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120B5141">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蛋白胨</w:t>
                  </w:r>
                </w:p>
              </w:tc>
              <w:tc>
                <w:tcPr>
                  <w:tcW w:w="759" w:type="pct"/>
                  <w:tcBorders>
                    <w:tl2br w:val="nil"/>
                    <w:tr2bl w:val="nil"/>
                  </w:tcBorders>
                  <w:vAlign w:val="center"/>
                </w:tcPr>
                <w:p w14:paraId="5738F7A3">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0.015</w:t>
                  </w:r>
                </w:p>
              </w:tc>
              <w:tc>
                <w:tcPr>
                  <w:tcW w:w="778" w:type="pct"/>
                  <w:vMerge w:val="restart"/>
                  <w:tcBorders>
                    <w:tl2br w:val="nil"/>
                    <w:tr2bl w:val="nil"/>
                  </w:tcBorders>
                  <w:vAlign w:val="center"/>
                </w:tcPr>
                <w:p w14:paraId="3F811DED">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发酵</w:t>
                  </w:r>
                  <w:r>
                    <w:rPr>
                      <w:color w:val="000000" w:themeColor="text1"/>
                      <w:kern w:val="0"/>
                      <w:szCs w:val="21"/>
                      <w14:textFill>
                        <w14:solidFill>
                          <w14:schemeClr w14:val="tx1"/>
                        </w14:solidFill>
                      </w14:textFill>
                    </w:rPr>
                    <w:t>废气</w:t>
                  </w:r>
                </w:p>
              </w:tc>
              <w:tc>
                <w:tcPr>
                  <w:tcW w:w="750" w:type="pct"/>
                  <w:tcBorders>
                    <w:tl2br w:val="nil"/>
                    <w:tr2bl w:val="nil"/>
                  </w:tcBorders>
                  <w:vAlign w:val="center"/>
                </w:tcPr>
                <w:p w14:paraId="5765F4A6">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水汽</w:t>
                  </w:r>
                </w:p>
              </w:tc>
              <w:tc>
                <w:tcPr>
                  <w:tcW w:w="1250" w:type="pct"/>
                  <w:tcBorders>
                    <w:tl2br w:val="nil"/>
                    <w:tr2bl w:val="nil"/>
                  </w:tcBorders>
                  <w:vAlign w:val="center"/>
                </w:tcPr>
                <w:p w14:paraId="7D675F30">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0.35</w:t>
                  </w:r>
                </w:p>
              </w:tc>
            </w:tr>
            <w:tr w14:paraId="1857F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1AF3936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氯化钠</w:t>
                  </w:r>
                </w:p>
              </w:tc>
              <w:tc>
                <w:tcPr>
                  <w:tcW w:w="759" w:type="pct"/>
                  <w:tcBorders>
                    <w:tl2br w:val="nil"/>
                    <w:tr2bl w:val="nil"/>
                  </w:tcBorders>
                  <w:vAlign w:val="center"/>
                </w:tcPr>
                <w:p w14:paraId="0D6A5D2B">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0.001</w:t>
                  </w:r>
                </w:p>
              </w:tc>
              <w:tc>
                <w:tcPr>
                  <w:tcW w:w="778" w:type="pct"/>
                  <w:vMerge w:val="continue"/>
                  <w:tcBorders>
                    <w:tl2br w:val="nil"/>
                    <w:tr2bl w:val="nil"/>
                  </w:tcBorders>
                  <w:vAlign w:val="center"/>
                </w:tcPr>
                <w:p w14:paraId="4484EC13">
                  <w:pPr>
                    <w:autoSpaceDE w:val="0"/>
                    <w:autoSpaceDN w:val="0"/>
                    <w:adjustRightInd w:val="0"/>
                    <w:snapToGrid w:val="0"/>
                    <w:jc w:val="center"/>
                    <w:rPr>
                      <w:color w:val="000000" w:themeColor="text1"/>
                      <w:kern w:val="0"/>
                      <w:szCs w:val="21"/>
                      <w14:textFill>
                        <w14:solidFill>
                          <w14:schemeClr w14:val="tx1"/>
                        </w14:solidFill>
                      </w14:textFill>
                    </w:rPr>
                  </w:pPr>
                </w:p>
              </w:tc>
              <w:tc>
                <w:tcPr>
                  <w:tcW w:w="750" w:type="pct"/>
                  <w:tcBorders>
                    <w:tl2br w:val="nil"/>
                    <w:tr2bl w:val="nil"/>
                  </w:tcBorders>
                  <w:vAlign w:val="center"/>
                </w:tcPr>
                <w:p w14:paraId="3A616A3F">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二氧化碳</w:t>
                  </w:r>
                </w:p>
              </w:tc>
              <w:tc>
                <w:tcPr>
                  <w:tcW w:w="1250" w:type="pct"/>
                  <w:tcBorders>
                    <w:tl2br w:val="nil"/>
                    <w:tr2bl w:val="nil"/>
                  </w:tcBorders>
                  <w:vAlign w:val="center"/>
                </w:tcPr>
                <w:p w14:paraId="4635C874">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0.413</w:t>
                  </w:r>
                </w:p>
              </w:tc>
            </w:tr>
            <w:tr w14:paraId="6C290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0150092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酵母粉</w:t>
                  </w:r>
                </w:p>
              </w:tc>
              <w:tc>
                <w:tcPr>
                  <w:tcW w:w="759" w:type="pct"/>
                  <w:tcBorders>
                    <w:tl2br w:val="nil"/>
                    <w:tr2bl w:val="nil"/>
                  </w:tcBorders>
                  <w:vAlign w:val="center"/>
                </w:tcPr>
                <w:p w14:paraId="767BAFA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0.001</w:t>
                  </w:r>
                </w:p>
              </w:tc>
              <w:tc>
                <w:tcPr>
                  <w:tcW w:w="1529" w:type="pct"/>
                  <w:gridSpan w:val="2"/>
                  <w:tcBorders>
                    <w:tl2br w:val="nil"/>
                    <w:tr2bl w:val="nil"/>
                  </w:tcBorders>
                  <w:vAlign w:val="center"/>
                </w:tcPr>
                <w:p w14:paraId="020F5486">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隔套灭菌冷凝水</w:t>
                  </w:r>
                </w:p>
              </w:tc>
              <w:tc>
                <w:tcPr>
                  <w:tcW w:w="1250" w:type="pct"/>
                  <w:tcBorders>
                    <w:tl2br w:val="nil"/>
                    <w:tr2bl w:val="nil"/>
                  </w:tcBorders>
                  <w:vAlign w:val="center"/>
                </w:tcPr>
                <w:p w14:paraId="212A3B13">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r>
            <w:tr w14:paraId="7A4A8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7D65A83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甘油</w:t>
                  </w:r>
                </w:p>
              </w:tc>
              <w:tc>
                <w:tcPr>
                  <w:tcW w:w="759" w:type="pct"/>
                  <w:tcBorders>
                    <w:tl2br w:val="nil"/>
                    <w:tr2bl w:val="nil"/>
                  </w:tcBorders>
                  <w:vAlign w:val="center"/>
                </w:tcPr>
                <w:p w14:paraId="3FF30273">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0.9</w:t>
                  </w:r>
                </w:p>
              </w:tc>
              <w:tc>
                <w:tcPr>
                  <w:tcW w:w="1529" w:type="pct"/>
                  <w:gridSpan w:val="2"/>
                  <w:tcBorders>
                    <w:tl2br w:val="nil"/>
                    <w:tr2bl w:val="nil"/>
                  </w:tcBorders>
                  <w:vAlign w:val="center"/>
                </w:tcPr>
                <w:p w14:paraId="68B1BFBB">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06154D7E">
                  <w:pPr>
                    <w:autoSpaceDE w:val="0"/>
                    <w:autoSpaceDN w:val="0"/>
                    <w:adjustRightInd w:val="0"/>
                    <w:snapToGrid w:val="0"/>
                    <w:jc w:val="center"/>
                    <w:rPr>
                      <w:color w:val="000000" w:themeColor="text1"/>
                      <w:kern w:val="0"/>
                      <w:szCs w:val="21"/>
                      <w14:textFill>
                        <w14:solidFill>
                          <w14:schemeClr w14:val="tx1"/>
                        </w14:solidFill>
                      </w14:textFill>
                    </w:rPr>
                  </w:pPr>
                </w:p>
              </w:tc>
            </w:tr>
            <w:bookmarkEnd w:id="16"/>
            <w:tr w14:paraId="439CC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17E14EB4">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葡萄糖</w:t>
                  </w:r>
                </w:p>
              </w:tc>
              <w:tc>
                <w:tcPr>
                  <w:tcW w:w="759" w:type="pct"/>
                  <w:tcBorders>
                    <w:tl2br w:val="nil"/>
                    <w:tr2bl w:val="nil"/>
                  </w:tcBorders>
                  <w:vAlign w:val="center"/>
                </w:tcPr>
                <w:p w14:paraId="39950677">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0.45</w:t>
                  </w:r>
                </w:p>
              </w:tc>
              <w:tc>
                <w:tcPr>
                  <w:tcW w:w="1529" w:type="pct"/>
                  <w:gridSpan w:val="2"/>
                  <w:tcBorders>
                    <w:tl2br w:val="nil"/>
                    <w:tr2bl w:val="nil"/>
                  </w:tcBorders>
                  <w:vAlign w:val="center"/>
                </w:tcPr>
                <w:p w14:paraId="2525CA1D">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35C78DEE">
                  <w:pPr>
                    <w:autoSpaceDE w:val="0"/>
                    <w:autoSpaceDN w:val="0"/>
                    <w:adjustRightInd w:val="0"/>
                    <w:snapToGrid w:val="0"/>
                    <w:jc w:val="center"/>
                    <w:rPr>
                      <w:color w:val="000000" w:themeColor="text1"/>
                      <w:kern w:val="0"/>
                      <w:szCs w:val="21"/>
                      <w14:textFill>
                        <w14:solidFill>
                          <w14:schemeClr w14:val="tx1"/>
                        </w14:solidFill>
                      </w14:textFill>
                    </w:rPr>
                  </w:pPr>
                </w:p>
              </w:tc>
            </w:tr>
            <w:tr w14:paraId="2E55A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700B59A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磷酸氢二钾</w:t>
                  </w:r>
                </w:p>
              </w:tc>
              <w:tc>
                <w:tcPr>
                  <w:tcW w:w="759" w:type="pct"/>
                  <w:tcBorders>
                    <w:tl2br w:val="nil"/>
                    <w:tr2bl w:val="nil"/>
                  </w:tcBorders>
                  <w:vAlign w:val="center"/>
                </w:tcPr>
                <w:p w14:paraId="7E7B3009">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0.03</w:t>
                  </w:r>
                </w:p>
              </w:tc>
              <w:tc>
                <w:tcPr>
                  <w:tcW w:w="1529" w:type="pct"/>
                  <w:gridSpan w:val="2"/>
                  <w:tcBorders>
                    <w:tl2br w:val="nil"/>
                    <w:tr2bl w:val="nil"/>
                  </w:tcBorders>
                  <w:vAlign w:val="center"/>
                </w:tcPr>
                <w:p w14:paraId="56EEB77D">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1F0217BF">
                  <w:pPr>
                    <w:autoSpaceDE w:val="0"/>
                    <w:autoSpaceDN w:val="0"/>
                    <w:adjustRightInd w:val="0"/>
                    <w:snapToGrid w:val="0"/>
                    <w:jc w:val="center"/>
                    <w:rPr>
                      <w:color w:val="000000" w:themeColor="text1"/>
                      <w:kern w:val="0"/>
                      <w:szCs w:val="21"/>
                      <w14:textFill>
                        <w14:solidFill>
                          <w14:schemeClr w14:val="tx1"/>
                        </w14:solidFill>
                      </w14:textFill>
                    </w:rPr>
                  </w:pPr>
                </w:p>
              </w:tc>
            </w:tr>
            <w:tr w14:paraId="6595A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27B3EC31">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磷酸二氢钾</w:t>
                  </w:r>
                </w:p>
              </w:tc>
              <w:tc>
                <w:tcPr>
                  <w:tcW w:w="759" w:type="pct"/>
                  <w:tcBorders>
                    <w:tl2br w:val="nil"/>
                    <w:tr2bl w:val="nil"/>
                  </w:tcBorders>
                  <w:vAlign w:val="center"/>
                </w:tcPr>
                <w:p w14:paraId="3C78E121">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0.03</w:t>
                  </w:r>
                </w:p>
              </w:tc>
              <w:tc>
                <w:tcPr>
                  <w:tcW w:w="1529" w:type="pct"/>
                  <w:gridSpan w:val="2"/>
                  <w:tcBorders>
                    <w:tl2br w:val="nil"/>
                    <w:tr2bl w:val="nil"/>
                  </w:tcBorders>
                  <w:vAlign w:val="center"/>
                </w:tcPr>
                <w:p w14:paraId="046173DA">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29A622E7">
                  <w:pPr>
                    <w:autoSpaceDE w:val="0"/>
                    <w:autoSpaceDN w:val="0"/>
                    <w:adjustRightInd w:val="0"/>
                    <w:snapToGrid w:val="0"/>
                    <w:jc w:val="center"/>
                    <w:rPr>
                      <w:color w:val="000000" w:themeColor="text1"/>
                      <w:kern w:val="0"/>
                      <w:szCs w:val="21"/>
                      <w14:textFill>
                        <w14:solidFill>
                          <w14:schemeClr w14:val="tx1"/>
                        </w14:solidFill>
                      </w14:textFill>
                    </w:rPr>
                  </w:pPr>
                </w:p>
              </w:tc>
            </w:tr>
            <w:tr w14:paraId="1404B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3A3ECEF8">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硫酸镁</w:t>
                  </w:r>
                </w:p>
              </w:tc>
              <w:tc>
                <w:tcPr>
                  <w:tcW w:w="759" w:type="pct"/>
                  <w:tcBorders>
                    <w:tl2br w:val="nil"/>
                    <w:tr2bl w:val="nil"/>
                  </w:tcBorders>
                  <w:vAlign w:val="center"/>
                </w:tcPr>
                <w:p w14:paraId="1696C07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0.03</w:t>
                  </w:r>
                </w:p>
              </w:tc>
              <w:tc>
                <w:tcPr>
                  <w:tcW w:w="1529" w:type="pct"/>
                  <w:gridSpan w:val="2"/>
                  <w:tcBorders>
                    <w:tl2br w:val="nil"/>
                    <w:tr2bl w:val="nil"/>
                  </w:tcBorders>
                  <w:vAlign w:val="center"/>
                </w:tcPr>
                <w:p w14:paraId="30622378">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3FF779B3">
                  <w:pPr>
                    <w:autoSpaceDE w:val="0"/>
                    <w:autoSpaceDN w:val="0"/>
                    <w:adjustRightInd w:val="0"/>
                    <w:snapToGrid w:val="0"/>
                    <w:jc w:val="center"/>
                    <w:rPr>
                      <w:color w:val="000000" w:themeColor="text1"/>
                      <w:kern w:val="0"/>
                      <w:szCs w:val="21"/>
                      <w14:textFill>
                        <w14:solidFill>
                          <w14:schemeClr w14:val="tx1"/>
                        </w14:solidFill>
                      </w14:textFill>
                    </w:rPr>
                  </w:pPr>
                </w:p>
              </w:tc>
            </w:tr>
            <w:tr w14:paraId="44814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12ED5A5D">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氯化钙</w:t>
                  </w:r>
                </w:p>
              </w:tc>
              <w:tc>
                <w:tcPr>
                  <w:tcW w:w="759" w:type="pct"/>
                  <w:tcBorders>
                    <w:tl2br w:val="nil"/>
                    <w:tr2bl w:val="nil"/>
                  </w:tcBorders>
                  <w:vAlign w:val="center"/>
                </w:tcPr>
                <w:p w14:paraId="36B05F14">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0.01</w:t>
                  </w:r>
                </w:p>
              </w:tc>
              <w:tc>
                <w:tcPr>
                  <w:tcW w:w="1529" w:type="pct"/>
                  <w:gridSpan w:val="2"/>
                  <w:tcBorders>
                    <w:tl2br w:val="nil"/>
                    <w:tr2bl w:val="nil"/>
                  </w:tcBorders>
                  <w:vAlign w:val="center"/>
                </w:tcPr>
                <w:p w14:paraId="273C4C12">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4F3F2528">
                  <w:pPr>
                    <w:autoSpaceDE w:val="0"/>
                    <w:autoSpaceDN w:val="0"/>
                    <w:adjustRightInd w:val="0"/>
                    <w:snapToGrid w:val="0"/>
                    <w:jc w:val="center"/>
                    <w:rPr>
                      <w:color w:val="000000" w:themeColor="text1"/>
                      <w:kern w:val="0"/>
                      <w:szCs w:val="21"/>
                      <w14:textFill>
                        <w14:solidFill>
                          <w14:schemeClr w14:val="tx1"/>
                        </w14:solidFill>
                      </w14:textFill>
                    </w:rPr>
                  </w:pPr>
                </w:p>
              </w:tc>
            </w:tr>
            <w:tr w14:paraId="53B59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2EC614BD">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氯化钠</w:t>
                  </w:r>
                </w:p>
              </w:tc>
              <w:tc>
                <w:tcPr>
                  <w:tcW w:w="759" w:type="pct"/>
                  <w:tcBorders>
                    <w:tl2br w:val="nil"/>
                    <w:tr2bl w:val="nil"/>
                  </w:tcBorders>
                  <w:vAlign w:val="center"/>
                </w:tcPr>
                <w:p w14:paraId="001654C8">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0.005</w:t>
                  </w:r>
                </w:p>
              </w:tc>
              <w:tc>
                <w:tcPr>
                  <w:tcW w:w="1529" w:type="pct"/>
                  <w:gridSpan w:val="2"/>
                  <w:tcBorders>
                    <w:tl2br w:val="nil"/>
                    <w:tr2bl w:val="nil"/>
                  </w:tcBorders>
                  <w:vAlign w:val="center"/>
                </w:tcPr>
                <w:p w14:paraId="73BF2005">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063C55D5">
                  <w:pPr>
                    <w:autoSpaceDE w:val="0"/>
                    <w:autoSpaceDN w:val="0"/>
                    <w:adjustRightInd w:val="0"/>
                    <w:snapToGrid w:val="0"/>
                    <w:jc w:val="center"/>
                    <w:rPr>
                      <w:color w:val="000000" w:themeColor="text1"/>
                      <w:kern w:val="0"/>
                      <w:szCs w:val="21"/>
                      <w14:textFill>
                        <w14:solidFill>
                          <w14:schemeClr w14:val="tx1"/>
                        </w14:solidFill>
                      </w14:textFill>
                    </w:rPr>
                  </w:pPr>
                </w:p>
              </w:tc>
            </w:tr>
            <w:tr w14:paraId="00AFA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7780690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硫酸铵</w:t>
                  </w:r>
                </w:p>
              </w:tc>
              <w:tc>
                <w:tcPr>
                  <w:tcW w:w="759" w:type="pct"/>
                  <w:tcBorders>
                    <w:tl2br w:val="nil"/>
                    <w:tr2bl w:val="nil"/>
                  </w:tcBorders>
                  <w:vAlign w:val="center"/>
                </w:tcPr>
                <w:p w14:paraId="14491A1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0.115</w:t>
                  </w:r>
                </w:p>
              </w:tc>
              <w:tc>
                <w:tcPr>
                  <w:tcW w:w="1529" w:type="pct"/>
                  <w:gridSpan w:val="2"/>
                  <w:tcBorders>
                    <w:tl2br w:val="nil"/>
                    <w:tr2bl w:val="nil"/>
                  </w:tcBorders>
                  <w:vAlign w:val="center"/>
                </w:tcPr>
                <w:p w14:paraId="537BA0C7">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48D3CEC1">
                  <w:pPr>
                    <w:autoSpaceDE w:val="0"/>
                    <w:autoSpaceDN w:val="0"/>
                    <w:adjustRightInd w:val="0"/>
                    <w:snapToGrid w:val="0"/>
                    <w:jc w:val="center"/>
                    <w:rPr>
                      <w:color w:val="000000" w:themeColor="text1"/>
                      <w:kern w:val="0"/>
                      <w:szCs w:val="21"/>
                      <w14:textFill>
                        <w14:solidFill>
                          <w14:schemeClr w14:val="tx1"/>
                        </w14:solidFill>
                      </w14:textFill>
                    </w:rPr>
                  </w:pPr>
                </w:p>
              </w:tc>
            </w:tr>
            <w:tr w14:paraId="1C7FF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460" w:type="pct"/>
                  <w:tcBorders>
                    <w:tl2br w:val="nil"/>
                    <w:tr2bl w:val="nil"/>
                  </w:tcBorders>
                  <w:vAlign w:val="center"/>
                </w:tcPr>
                <w:p w14:paraId="6CD367BD">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消泡剂</w:t>
                  </w:r>
                </w:p>
              </w:tc>
              <w:tc>
                <w:tcPr>
                  <w:tcW w:w="759" w:type="pct"/>
                  <w:tcBorders>
                    <w:tl2br w:val="nil"/>
                    <w:tr2bl w:val="nil"/>
                  </w:tcBorders>
                  <w:vAlign w:val="center"/>
                </w:tcPr>
                <w:p w14:paraId="053FBF5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0.001</w:t>
                  </w:r>
                </w:p>
              </w:tc>
              <w:tc>
                <w:tcPr>
                  <w:tcW w:w="1529" w:type="pct"/>
                  <w:gridSpan w:val="2"/>
                  <w:tcBorders>
                    <w:tl2br w:val="nil"/>
                    <w:tr2bl w:val="nil"/>
                  </w:tcBorders>
                  <w:vAlign w:val="center"/>
                </w:tcPr>
                <w:p w14:paraId="799D21FB">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1C2D9A2A">
                  <w:pPr>
                    <w:autoSpaceDE w:val="0"/>
                    <w:autoSpaceDN w:val="0"/>
                    <w:adjustRightInd w:val="0"/>
                    <w:snapToGrid w:val="0"/>
                    <w:jc w:val="center"/>
                    <w:rPr>
                      <w:color w:val="000000" w:themeColor="text1"/>
                      <w:kern w:val="0"/>
                      <w:szCs w:val="21"/>
                      <w14:textFill>
                        <w14:solidFill>
                          <w14:schemeClr w14:val="tx1"/>
                        </w14:solidFill>
                      </w14:textFill>
                    </w:rPr>
                  </w:pPr>
                </w:p>
              </w:tc>
            </w:tr>
            <w:tr w14:paraId="102EB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74A79DE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玉米浆粉</w:t>
                  </w:r>
                </w:p>
              </w:tc>
              <w:tc>
                <w:tcPr>
                  <w:tcW w:w="759" w:type="pct"/>
                  <w:tcBorders>
                    <w:tl2br w:val="nil"/>
                    <w:tr2bl w:val="nil"/>
                  </w:tcBorders>
                  <w:vAlign w:val="center"/>
                </w:tcPr>
                <w:p w14:paraId="5D62A6ED">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0.01</w:t>
                  </w:r>
                </w:p>
              </w:tc>
              <w:tc>
                <w:tcPr>
                  <w:tcW w:w="1529" w:type="pct"/>
                  <w:gridSpan w:val="2"/>
                  <w:tcBorders>
                    <w:tl2br w:val="nil"/>
                    <w:tr2bl w:val="nil"/>
                  </w:tcBorders>
                  <w:vAlign w:val="center"/>
                </w:tcPr>
                <w:p w14:paraId="2CAAA87E">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2A0EADCF">
                  <w:pPr>
                    <w:autoSpaceDE w:val="0"/>
                    <w:autoSpaceDN w:val="0"/>
                    <w:adjustRightInd w:val="0"/>
                    <w:snapToGrid w:val="0"/>
                    <w:jc w:val="center"/>
                    <w:rPr>
                      <w:color w:val="000000" w:themeColor="text1"/>
                      <w:kern w:val="0"/>
                      <w:szCs w:val="21"/>
                      <w14:textFill>
                        <w14:solidFill>
                          <w14:schemeClr w14:val="tx1"/>
                        </w14:solidFill>
                      </w14:textFill>
                    </w:rPr>
                  </w:pPr>
                </w:p>
              </w:tc>
            </w:tr>
            <w:tr w14:paraId="0874A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6AEFADF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氢氧化钠</w:t>
                  </w:r>
                </w:p>
              </w:tc>
              <w:tc>
                <w:tcPr>
                  <w:tcW w:w="759" w:type="pct"/>
                  <w:tcBorders>
                    <w:tl2br w:val="nil"/>
                    <w:tr2bl w:val="nil"/>
                  </w:tcBorders>
                  <w:vAlign w:val="center"/>
                </w:tcPr>
                <w:p w14:paraId="07F18AAA">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0.001</w:t>
                  </w:r>
                </w:p>
              </w:tc>
              <w:tc>
                <w:tcPr>
                  <w:tcW w:w="1529" w:type="pct"/>
                  <w:gridSpan w:val="2"/>
                  <w:tcBorders>
                    <w:tl2br w:val="nil"/>
                    <w:tr2bl w:val="nil"/>
                  </w:tcBorders>
                  <w:vAlign w:val="center"/>
                </w:tcPr>
                <w:p w14:paraId="58615C92">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2A292B73">
                  <w:pPr>
                    <w:autoSpaceDE w:val="0"/>
                    <w:autoSpaceDN w:val="0"/>
                    <w:adjustRightInd w:val="0"/>
                    <w:snapToGrid w:val="0"/>
                    <w:jc w:val="center"/>
                    <w:rPr>
                      <w:color w:val="000000" w:themeColor="text1"/>
                      <w:kern w:val="0"/>
                      <w:szCs w:val="21"/>
                      <w14:textFill>
                        <w14:solidFill>
                          <w14:schemeClr w14:val="tx1"/>
                        </w14:solidFill>
                      </w14:textFill>
                    </w:rPr>
                  </w:pPr>
                </w:p>
              </w:tc>
            </w:tr>
            <w:tr w14:paraId="7A8BD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7F7E6BD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纯水</w:t>
                  </w:r>
                </w:p>
              </w:tc>
              <w:tc>
                <w:tcPr>
                  <w:tcW w:w="759" w:type="pct"/>
                  <w:tcBorders>
                    <w:tl2br w:val="nil"/>
                    <w:tr2bl w:val="nil"/>
                  </w:tcBorders>
                  <w:vAlign w:val="center"/>
                </w:tcPr>
                <w:p w14:paraId="2FFCE25D">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1.834</w:t>
                  </w:r>
                </w:p>
              </w:tc>
              <w:tc>
                <w:tcPr>
                  <w:tcW w:w="1529" w:type="pct"/>
                  <w:gridSpan w:val="2"/>
                  <w:tcBorders>
                    <w:tl2br w:val="nil"/>
                    <w:tr2bl w:val="nil"/>
                  </w:tcBorders>
                  <w:vAlign w:val="center"/>
                </w:tcPr>
                <w:p w14:paraId="1384E4FA">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6C510077">
                  <w:pPr>
                    <w:autoSpaceDE w:val="0"/>
                    <w:autoSpaceDN w:val="0"/>
                    <w:adjustRightInd w:val="0"/>
                    <w:snapToGrid w:val="0"/>
                    <w:jc w:val="center"/>
                    <w:rPr>
                      <w:color w:val="000000" w:themeColor="text1"/>
                      <w:kern w:val="0"/>
                      <w:szCs w:val="21"/>
                      <w14:textFill>
                        <w14:solidFill>
                          <w14:schemeClr w14:val="tx1"/>
                        </w14:solidFill>
                      </w14:textFill>
                    </w:rPr>
                  </w:pPr>
                </w:p>
              </w:tc>
            </w:tr>
            <w:tr w14:paraId="371C8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61D85173">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蒸汽</w:t>
                  </w:r>
                </w:p>
              </w:tc>
              <w:tc>
                <w:tcPr>
                  <w:tcW w:w="759" w:type="pct"/>
                  <w:tcBorders>
                    <w:tl2br w:val="nil"/>
                    <w:tr2bl w:val="nil"/>
                  </w:tcBorders>
                  <w:vAlign w:val="center"/>
                </w:tcPr>
                <w:p w14:paraId="42B988E9">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c>
                <w:tcPr>
                  <w:tcW w:w="1529" w:type="pct"/>
                  <w:gridSpan w:val="2"/>
                  <w:tcBorders>
                    <w:tl2br w:val="nil"/>
                    <w:tr2bl w:val="nil"/>
                  </w:tcBorders>
                  <w:vAlign w:val="center"/>
                </w:tcPr>
                <w:p w14:paraId="62C62E35">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67E77FBE">
                  <w:pPr>
                    <w:autoSpaceDE w:val="0"/>
                    <w:autoSpaceDN w:val="0"/>
                    <w:adjustRightInd w:val="0"/>
                    <w:snapToGrid w:val="0"/>
                    <w:jc w:val="center"/>
                    <w:rPr>
                      <w:color w:val="000000" w:themeColor="text1"/>
                      <w:kern w:val="0"/>
                      <w:szCs w:val="21"/>
                      <w14:textFill>
                        <w14:solidFill>
                          <w14:schemeClr w14:val="tx1"/>
                        </w14:solidFill>
                      </w14:textFill>
                    </w:rPr>
                  </w:pPr>
                </w:p>
              </w:tc>
            </w:tr>
            <w:tr w14:paraId="7454A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5CDC2EAF">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氧气</w:t>
                  </w:r>
                </w:p>
              </w:tc>
              <w:tc>
                <w:tcPr>
                  <w:tcW w:w="759" w:type="pct"/>
                  <w:tcBorders>
                    <w:tl2br w:val="nil"/>
                    <w:tr2bl w:val="nil"/>
                  </w:tcBorders>
                  <w:vAlign w:val="center"/>
                </w:tcPr>
                <w:p w14:paraId="05F7DD6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0.3</w:t>
                  </w:r>
                </w:p>
              </w:tc>
              <w:tc>
                <w:tcPr>
                  <w:tcW w:w="1529" w:type="pct"/>
                  <w:gridSpan w:val="2"/>
                  <w:tcBorders>
                    <w:tl2br w:val="nil"/>
                    <w:tr2bl w:val="nil"/>
                  </w:tcBorders>
                  <w:vAlign w:val="center"/>
                </w:tcPr>
                <w:p w14:paraId="10F636A7">
                  <w:pPr>
                    <w:pStyle w:val="88"/>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1250" w:type="pct"/>
                  <w:tcBorders>
                    <w:tl2br w:val="nil"/>
                    <w:tr2bl w:val="nil"/>
                  </w:tcBorders>
                  <w:vAlign w:val="center"/>
                </w:tcPr>
                <w:p w14:paraId="509B63E8">
                  <w:pPr>
                    <w:autoSpaceDE w:val="0"/>
                    <w:autoSpaceDN w:val="0"/>
                    <w:adjustRightInd w:val="0"/>
                    <w:snapToGrid w:val="0"/>
                    <w:jc w:val="center"/>
                    <w:rPr>
                      <w:color w:val="000000" w:themeColor="text1"/>
                      <w:kern w:val="0"/>
                      <w:szCs w:val="21"/>
                      <w14:textFill>
                        <w14:solidFill>
                          <w14:schemeClr w14:val="tx1"/>
                        </w14:solidFill>
                      </w14:textFill>
                    </w:rPr>
                  </w:pPr>
                </w:p>
              </w:tc>
            </w:tr>
            <w:tr w14:paraId="7A6E9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6DAA03C2">
                  <w:pPr>
                    <w:pStyle w:val="88"/>
                    <w:spacing w:line="70" w:lineRule="atLeas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总计</w:t>
                  </w:r>
                </w:p>
              </w:tc>
              <w:tc>
                <w:tcPr>
                  <w:tcW w:w="759" w:type="pct"/>
                  <w:tcBorders>
                    <w:tl2br w:val="nil"/>
                    <w:tr2bl w:val="nil"/>
                  </w:tcBorders>
                  <w:vAlign w:val="center"/>
                </w:tcPr>
                <w:p w14:paraId="2E5F0C4F">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8.763</w:t>
                  </w:r>
                </w:p>
              </w:tc>
              <w:tc>
                <w:tcPr>
                  <w:tcW w:w="1529" w:type="pct"/>
                  <w:gridSpan w:val="2"/>
                  <w:tcBorders>
                    <w:tl2br w:val="nil"/>
                    <w:tr2bl w:val="nil"/>
                  </w:tcBorders>
                  <w:vAlign w:val="center"/>
                </w:tcPr>
                <w:p w14:paraId="0F67FCA8">
                  <w:pPr>
                    <w:pStyle w:val="88"/>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总计</w:t>
                  </w:r>
                </w:p>
              </w:tc>
              <w:tc>
                <w:tcPr>
                  <w:tcW w:w="1250" w:type="pct"/>
                  <w:tcBorders>
                    <w:tl2br w:val="nil"/>
                    <w:tr2bl w:val="nil"/>
                  </w:tcBorders>
                  <w:vAlign w:val="center"/>
                </w:tcPr>
                <w:p w14:paraId="23547739">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8.763</w:t>
                  </w:r>
                </w:p>
              </w:tc>
            </w:tr>
            <w:bookmarkEnd w:id="15"/>
          </w:tbl>
          <w:p w14:paraId="7F8CDF4E">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表2-</w:t>
            </w:r>
            <w:r>
              <w:rPr>
                <w:rFonts w:hint="eastAsia"/>
                <w:b/>
                <w:bCs/>
                <w:color w:val="000000" w:themeColor="text1"/>
                <w:kern w:val="0"/>
                <w:szCs w:val="21"/>
                <w14:textFill>
                  <w14:solidFill>
                    <w14:schemeClr w14:val="tx1"/>
                  </w14:solidFill>
                </w14:textFill>
              </w:rPr>
              <w:t>8</w:t>
            </w:r>
            <w:r>
              <w:rPr>
                <w:b/>
                <w:bCs/>
                <w:color w:val="000000" w:themeColor="text1"/>
                <w:kern w:val="0"/>
                <w:szCs w:val="21"/>
                <w14:textFill>
                  <w14:solidFill>
                    <w14:schemeClr w14:val="tx1"/>
                  </w14:solidFill>
                </w14:textFill>
              </w:rPr>
              <w:t xml:space="preserve">  </w:t>
            </w:r>
            <w:r>
              <w:rPr>
                <w:rFonts w:hint="eastAsia"/>
                <w:b/>
                <w:bCs/>
                <w:color w:val="000000" w:themeColor="text1"/>
                <w:kern w:val="0"/>
                <w:szCs w:val="21"/>
                <w14:textFill>
                  <w14:solidFill>
                    <w14:schemeClr w14:val="tx1"/>
                  </w14:solidFill>
                </w14:textFill>
              </w:rPr>
              <w:t>年发酵</w:t>
            </w:r>
            <w:r>
              <w:rPr>
                <w:b/>
                <w:bCs/>
                <w:color w:val="000000" w:themeColor="text1"/>
                <w:kern w:val="0"/>
                <w:szCs w:val="21"/>
                <w14:textFill>
                  <w14:solidFill>
                    <w14:schemeClr w14:val="tx1"/>
                  </w14:solidFill>
                </w14:textFill>
              </w:rPr>
              <w:t>物料平衡（kg/</w:t>
            </w:r>
            <w:r>
              <w:rPr>
                <w:rFonts w:hint="eastAsia"/>
                <w:b/>
                <w:bCs/>
                <w:color w:val="000000" w:themeColor="text1"/>
                <w:kern w:val="0"/>
                <w:szCs w:val="21"/>
                <w14:textFill>
                  <w14:solidFill>
                    <w14:schemeClr w14:val="tx1"/>
                  </w14:solidFill>
                </w14:textFill>
              </w:rPr>
              <w:t>a</w:t>
            </w:r>
            <w:r>
              <w:rPr>
                <w:b/>
                <w:bCs/>
                <w:color w:val="000000" w:themeColor="text1"/>
                <w:kern w:val="0"/>
                <w:szCs w:val="21"/>
                <w14:textFill>
                  <w14:solidFill>
                    <w14:schemeClr w14:val="tx1"/>
                  </w14:solidFill>
                </w14:textFill>
              </w:rPr>
              <w:t>）</w:t>
            </w:r>
          </w:p>
          <w:tbl>
            <w:tblPr>
              <w:tblStyle w:val="26"/>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2"/>
              <w:gridCol w:w="1411"/>
              <w:gridCol w:w="1446"/>
              <w:gridCol w:w="1396"/>
              <w:gridCol w:w="2325"/>
            </w:tblGrid>
            <w:tr w14:paraId="45B22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19" w:type="pct"/>
                  <w:gridSpan w:val="2"/>
                  <w:tcBorders>
                    <w:tl2br w:val="nil"/>
                    <w:tr2bl w:val="nil"/>
                  </w:tcBorders>
                  <w:vAlign w:val="center"/>
                </w:tcPr>
                <w:p w14:paraId="5A5FB722">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输入</w:t>
                  </w:r>
                </w:p>
              </w:tc>
              <w:tc>
                <w:tcPr>
                  <w:tcW w:w="2780" w:type="pct"/>
                  <w:gridSpan w:val="3"/>
                  <w:tcBorders>
                    <w:tl2br w:val="nil"/>
                    <w:tr2bl w:val="nil"/>
                  </w:tcBorders>
                  <w:vAlign w:val="center"/>
                </w:tcPr>
                <w:p w14:paraId="250180AD">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输出</w:t>
                  </w:r>
                </w:p>
              </w:tc>
            </w:tr>
            <w:tr w14:paraId="3936A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0" w:type="pct"/>
                  <w:tcBorders>
                    <w:tl2br w:val="nil"/>
                    <w:tr2bl w:val="nil"/>
                  </w:tcBorders>
                  <w:vAlign w:val="center"/>
                </w:tcPr>
                <w:p w14:paraId="5DA300EB">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菌种保藏液</w:t>
                  </w:r>
                </w:p>
              </w:tc>
              <w:tc>
                <w:tcPr>
                  <w:tcW w:w="759" w:type="pct"/>
                  <w:tcBorders>
                    <w:tl2br w:val="nil"/>
                    <w:tr2bl w:val="nil"/>
                  </w:tcBorders>
                  <w:vAlign w:val="center"/>
                </w:tcPr>
                <w:p w14:paraId="51671A47">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w:t>
                  </w:r>
                </w:p>
              </w:tc>
              <w:tc>
                <w:tcPr>
                  <w:tcW w:w="1529" w:type="pct"/>
                  <w:gridSpan w:val="2"/>
                  <w:tcBorders>
                    <w:tl2br w:val="nil"/>
                    <w:tr2bl w:val="nil"/>
                  </w:tcBorders>
                  <w:vAlign w:val="center"/>
                </w:tcPr>
                <w:p w14:paraId="7B67E6A3">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发酵液</w:t>
                  </w:r>
                </w:p>
              </w:tc>
              <w:tc>
                <w:tcPr>
                  <w:tcW w:w="1250" w:type="pct"/>
                  <w:tcBorders>
                    <w:tl2br w:val="nil"/>
                    <w:tr2bl w:val="nil"/>
                  </w:tcBorders>
                  <w:vAlign w:val="center"/>
                </w:tcPr>
                <w:p w14:paraId="5C07FB0B">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150</w:t>
                  </w:r>
                </w:p>
              </w:tc>
            </w:tr>
            <w:tr w14:paraId="1C9E3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0131A12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蛋白胨</w:t>
                  </w:r>
                </w:p>
              </w:tc>
              <w:tc>
                <w:tcPr>
                  <w:tcW w:w="759" w:type="pct"/>
                  <w:tcBorders>
                    <w:tl2br w:val="nil"/>
                    <w:tr2bl w:val="nil"/>
                  </w:tcBorders>
                  <w:vAlign w:val="center"/>
                </w:tcPr>
                <w:p w14:paraId="6800FF75">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0.75</w:t>
                  </w:r>
                </w:p>
              </w:tc>
              <w:tc>
                <w:tcPr>
                  <w:tcW w:w="778" w:type="pct"/>
                  <w:vMerge w:val="restart"/>
                  <w:tcBorders>
                    <w:tl2br w:val="nil"/>
                    <w:tr2bl w:val="nil"/>
                  </w:tcBorders>
                  <w:vAlign w:val="center"/>
                </w:tcPr>
                <w:p w14:paraId="0955099E">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发酵</w:t>
                  </w:r>
                  <w:r>
                    <w:rPr>
                      <w:color w:val="000000" w:themeColor="text1"/>
                      <w:kern w:val="0"/>
                      <w:szCs w:val="21"/>
                      <w14:textFill>
                        <w14:solidFill>
                          <w14:schemeClr w14:val="tx1"/>
                        </w14:solidFill>
                      </w14:textFill>
                    </w:rPr>
                    <w:t>废气</w:t>
                  </w:r>
                </w:p>
              </w:tc>
              <w:tc>
                <w:tcPr>
                  <w:tcW w:w="750" w:type="pct"/>
                  <w:tcBorders>
                    <w:tl2br w:val="nil"/>
                    <w:tr2bl w:val="nil"/>
                  </w:tcBorders>
                  <w:vAlign w:val="center"/>
                </w:tcPr>
                <w:p w14:paraId="1E5EB6BC">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水汽</w:t>
                  </w:r>
                </w:p>
              </w:tc>
              <w:tc>
                <w:tcPr>
                  <w:tcW w:w="1250" w:type="pct"/>
                  <w:tcBorders>
                    <w:tl2br w:val="nil"/>
                    <w:tr2bl w:val="nil"/>
                  </w:tcBorders>
                  <w:vAlign w:val="center"/>
                </w:tcPr>
                <w:p w14:paraId="329516F3">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17.5</w:t>
                  </w:r>
                </w:p>
              </w:tc>
            </w:tr>
            <w:tr w14:paraId="06527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7D4FF698">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氯化钠</w:t>
                  </w:r>
                </w:p>
              </w:tc>
              <w:tc>
                <w:tcPr>
                  <w:tcW w:w="759" w:type="pct"/>
                  <w:tcBorders>
                    <w:tl2br w:val="nil"/>
                    <w:tr2bl w:val="nil"/>
                  </w:tcBorders>
                  <w:vAlign w:val="center"/>
                </w:tcPr>
                <w:p w14:paraId="7FB42498">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w:t>
                  </w:r>
                </w:p>
              </w:tc>
              <w:tc>
                <w:tcPr>
                  <w:tcW w:w="778" w:type="pct"/>
                  <w:vMerge w:val="continue"/>
                  <w:tcBorders>
                    <w:tl2br w:val="nil"/>
                    <w:tr2bl w:val="nil"/>
                  </w:tcBorders>
                  <w:vAlign w:val="center"/>
                </w:tcPr>
                <w:p w14:paraId="3CECD354">
                  <w:pPr>
                    <w:autoSpaceDE w:val="0"/>
                    <w:autoSpaceDN w:val="0"/>
                    <w:adjustRightInd w:val="0"/>
                    <w:snapToGrid w:val="0"/>
                    <w:jc w:val="center"/>
                    <w:rPr>
                      <w:color w:val="000000" w:themeColor="text1"/>
                      <w:kern w:val="0"/>
                      <w:szCs w:val="21"/>
                      <w14:textFill>
                        <w14:solidFill>
                          <w14:schemeClr w14:val="tx1"/>
                        </w14:solidFill>
                      </w14:textFill>
                    </w:rPr>
                  </w:pPr>
                </w:p>
              </w:tc>
              <w:tc>
                <w:tcPr>
                  <w:tcW w:w="750" w:type="pct"/>
                  <w:tcBorders>
                    <w:tl2br w:val="nil"/>
                    <w:tr2bl w:val="nil"/>
                  </w:tcBorders>
                  <w:vAlign w:val="center"/>
                </w:tcPr>
                <w:p w14:paraId="64741DF2">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二氧化碳</w:t>
                  </w:r>
                </w:p>
              </w:tc>
              <w:tc>
                <w:tcPr>
                  <w:tcW w:w="1250" w:type="pct"/>
                  <w:tcBorders>
                    <w:tl2br w:val="nil"/>
                    <w:tr2bl w:val="nil"/>
                  </w:tcBorders>
                  <w:vAlign w:val="center"/>
                </w:tcPr>
                <w:p w14:paraId="55ADC459">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20.65</w:t>
                  </w:r>
                </w:p>
              </w:tc>
            </w:tr>
            <w:tr w14:paraId="788E9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24ED5A39">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酵母粉</w:t>
                  </w:r>
                </w:p>
              </w:tc>
              <w:tc>
                <w:tcPr>
                  <w:tcW w:w="759" w:type="pct"/>
                  <w:tcBorders>
                    <w:tl2br w:val="nil"/>
                    <w:tr2bl w:val="nil"/>
                  </w:tcBorders>
                  <w:vAlign w:val="center"/>
                </w:tcPr>
                <w:p w14:paraId="40AB0576">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w:t>
                  </w:r>
                </w:p>
              </w:tc>
              <w:tc>
                <w:tcPr>
                  <w:tcW w:w="1529" w:type="pct"/>
                  <w:gridSpan w:val="2"/>
                  <w:tcBorders>
                    <w:tl2br w:val="nil"/>
                    <w:tr2bl w:val="nil"/>
                  </w:tcBorders>
                  <w:vAlign w:val="center"/>
                </w:tcPr>
                <w:p w14:paraId="7BFD6804">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隔套灭菌冷凝水</w:t>
                  </w:r>
                </w:p>
              </w:tc>
              <w:tc>
                <w:tcPr>
                  <w:tcW w:w="1250" w:type="pct"/>
                  <w:tcBorders>
                    <w:tl2br w:val="nil"/>
                    <w:tr2bl w:val="nil"/>
                  </w:tcBorders>
                  <w:vAlign w:val="center"/>
                </w:tcPr>
                <w:p w14:paraId="438C4DBA">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250</w:t>
                  </w:r>
                </w:p>
              </w:tc>
            </w:tr>
            <w:tr w14:paraId="54FFA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12571ABD">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甘油</w:t>
                  </w:r>
                </w:p>
              </w:tc>
              <w:tc>
                <w:tcPr>
                  <w:tcW w:w="759" w:type="pct"/>
                  <w:tcBorders>
                    <w:tl2br w:val="nil"/>
                    <w:tr2bl w:val="nil"/>
                  </w:tcBorders>
                  <w:vAlign w:val="center"/>
                </w:tcPr>
                <w:p w14:paraId="32A977D6">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45</w:t>
                  </w:r>
                </w:p>
              </w:tc>
              <w:tc>
                <w:tcPr>
                  <w:tcW w:w="1529" w:type="pct"/>
                  <w:gridSpan w:val="2"/>
                  <w:tcBorders>
                    <w:tl2br w:val="nil"/>
                    <w:tr2bl w:val="nil"/>
                  </w:tcBorders>
                  <w:vAlign w:val="center"/>
                </w:tcPr>
                <w:p w14:paraId="2A6728E8">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52990FCA">
                  <w:pPr>
                    <w:autoSpaceDE w:val="0"/>
                    <w:autoSpaceDN w:val="0"/>
                    <w:adjustRightInd w:val="0"/>
                    <w:snapToGrid w:val="0"/>
                    <w:jc w:val="center"/>
                    <w:rPr>
                      <w:color w:val="000000" w:themeColor="text1"/>
                      <w:kern w:val="0"/>
                      <w:szCs w:val="21"/>
                      <w14:textFill>
                        <w14:solidFill>
                          <w14:schemeClr w14:val="tx1"/>
                        </w14:solidFill>
                      </w14:textFill>
                    </w:rPr>
                  </w:pPr>
                </w:p>
              </w:tc>
            </w:tr>
            <w:tr w14:paraId="44411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6F621ACB">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葡萄糖</w:t>
                  </w:r>
                </w:p>
              </w:tc>
              <w:tc>
                <w:tcPr>
                  <w:tcW w:w="759" w:type="pct"/>
                  <w:tcBorders>
                    <w:tl2br w:val="nil"/>
                    <w:tr2bl w:val="nil"/>
                  </w:tcBorders>
                  <w:vAlign w:val="center"/>
                </w:tcPr>
                <w:p w14:paraId="21AAD5C9">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22.5</w:t>
                  </w:r>
                </w:p>
              </w:tc>
              <w:tc>
                <w:tcPr>
                  <w:tcW w:w="1529" w:type="pct"/>
                  <w:gridSpan w:val="2"/>
                  <w:tcBorders>
                    <w:tl2br w:val="nil"/>
                    <w:tr2bl w:val="nil"/>
                  </w:tcBorders>
                  <w:vAlign w:val="center"/>
                </w:tcPr>
                <w:p w14:paraId="31D83332">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4E30E153">
                  <w:pPr>
                    <w:autoSpaceDE w:val="0"/>
                    <w:autoSpaceDN w:val="0"/>
                    <w:adjustRightInd w:val="0"/>
                    <w:snapToGrid w:val="0"/>
                    <w:jc w:val="center"/>
                    <w:rPr>
                      <w:color w:val="000000" w:themeColor="text1"/>
                      <w:kern w:val="0"/>
                      <w:szCs w:val="21"/>
                      <w14:textFill>
                        <w14:solidFill>
                          <w14:schemeClr w14:val="tx1"/>
                        </w14:solidFill>
                      </w14:textFill>
                    </w:rPr>
                  </w:pPr>
                </w:p>
              </w:tc>
            </w:tr>
            <w:tr w14:paraId="12D1E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101D344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磷酸氢二钾</w:t>
                  </w:r>
                </w:p>
              </w:tc>
              <w:tc>
                <w:tcPr>
                  <w:tcW w:w="759" w:type="pct"/>
                  <w:tcBorders>
                    <w:tl2br w:val="nil"/>
                    <w:tr2bl w:val="nil"/>
                  </w:tcBorders>
                  <w:vAlign w:val="center"/>
                </w:tcPr>
                <w:p w14:paraId="4B6B14E8">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w:t>
                  </w:r>
                </w:p>
              </w:tc>
              <w:tc>
                <w:tcPr>
                  <w:tcW w:w="1529" w:type="pct"/>
                  <w:gridSpan w:val="2"/>
                  <w:tcBorders>
                    <w:tl2br w:val="nil"/>
                    <w:tr2bl w:val="nil"/>
                  </w:tcBorders>
                  <w:vAlign w:val="center"/>
                </w:tcPr>
                <w:p w14:paraId="660DD9F3">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3C6F3F08">
                  <w:pPr>
                    <w:autoSpaceDE w:val="0"/>
                    <w:autoSpaceDN w:val="0"/>
                    <w:adjustRightInd w:val="0"/>
                    <w:snapToGrid w:val="0"/>
                    <w:jc w:val="center"/>
                    <w:rPr>
                      <w:color w:val="000000" w:themeColor="text1"/>
                      <w:kern w:val="0"/>
                      <w:szCs w:val="21"/>
                      <w14:textFill>
                        <w14:solidFill>
                          <w14:schemeClr w14:val="tx1"/>
                        </w14:solidFill>
                      </w14:textFill>
                    </w:rPr>
                  </w:pPr>
                </w:p>
              </w:tc>
            </w:tr>
            <w:tr w14:paraId="12B18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1929B81B">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磷酸二氢钾</w:t>
                  </w:r>
                </w:p>
              </w:tc>
              <w:tc>
                <w:tcPr>
                  <w:tcW w:w="759" w:type="pct"/>
                  <w:tcBorders>
                    <w:tl2br w:val="nil"/>
                    <w:tr2bl w:val="nil"/>
                  </w:tcBorders>
                  <w:vAlign w:val="center"/>
                </w:tcPr>
                <w:p w14:paraId="7088AFC9">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w:t>
                  </w:r>
                </w:p>
              </w:tc>
              <w:tc>
                <w:tcPr>
                  <w:tcW w:w="1529" w:type="pct"/>
                  <w:gridSpan w:val="2"/>
                  <w:tcBorders>
                    <w:tl2br w:val="nil"/>
                    <w:tr2bl w:val="nil"/>
                  </w:tcBorders>
                  <w:vAlign w:val="center"/>
                </w:tcPr>
                <w:p w14:paraId="46CC92E7">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312C7C83">
                  <w:pPr>
                    <w:autoSpaceDE w:val="0"/>
                    <w:autoSpaceDN w:val="0"/>
                    <w:adjustRightInd w:val="0"/>
                    <w:snapToGrid w:val="0"/>
                    <w:jc w:val="center"/>
                    <w:rPr>
                      <w:color w:val="000000" w:themeColor="text1"/>
                      <w:kern w:val="0"/>
                      <w:szCs w:val="21"/>
                      <w14:textFill>
                        <w14:solidFill>
                          <w14:schemeClr w14:val="tx1"/>
                        </w14:solidFill>
                      </w14:textFill>
                    </w:rPr>
                  </w:pPr>
                </w:p>
              </w:tc>
            </w:tr>
            <w:tr w14:paraId="7CB6C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400FB3D9">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硫酸镁</w:t>
                  </w:r>
                </w:p>
              </w:tc>
              <w:tc>
                <w:tcPr>
                  <w:tcW w:w="759" w:type="pct"/>
                  <w:tcBorders>
                    <w:tl2br w:val="nil"/>
                    <w:tr2bl w:val="nil"/>
                  </w:tcBorders>
                  <w:vAlign w:val="center"/>
                </w:tcPr>
                <w:p w14:paraId="35736632">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w:t>
                  </w:r>
                </w:p>
              </w:tc>
              <w:tc>
                <w:tcPr>
                  <w:tcW w:w="1529" w:type="pct"/>
                  <w:gridSpan w:val="2"/>
                  <w:tcBorders>
                    <w:tl2br w:val="nil"/>
                    <w:tr2bl w:val="nil"/>
                  </w:tcBorders>
                  <w:vAlign w:val="center"/>
                </w:tcPr>
                <w:p w14:paraId="27246841">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3AC04228">
                  <w:pPr>
                    <w:autoSpaceDE w:val="0"/>
                    <w:autoSpaceDN w:val="0"/>
                    <w:adjustRightInd w:val="0"/>
                    <w:snapToGrid w:val="0"/>
                    <w:jc w:val="center"/>
                    <w:rPr>
                      <w:color w:val="000000" w:themeColor="text1"/>
                      <w:kern w:val="0"/>
                      <w:szCs w:val="21"/>
                      <w14:textFill>
                        <w14:solidFill>
                          <w14:schemeClr w14:val="tx1"/>
                        </w14:solidFill>
                      </w14:textFill>
                    </w:rPr>
                  </w:pPr>
                </w:p>
              </w:tc>
            </w:tr>
            <w:tr w14:paraId="4755B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0B5867B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氯化钙</w:t>
                  </w:r>
                </w:p>
              </w:tc>
              <w:tc>
                <w:tcPr>
                  <w:tcW w:w="759" w:type="pct"/>
                  <w:tcBorders>
                    <w:tl2br w:val="nil"/>
                    <w:tr2bl w:val="nil"/>
                  </w:tcBorders>
                  <w:vAlign w:val="center"/>
                </w:tcPr>
                <w:p w14:paraId="598F39BC">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c>
                <w:tcPr>
                  <w:tcW w:w="1529" w:type="pct"/>
                  <w:gridSpan w:val="2"/>
                  <w:tcBorders>
                    <w:tl2br w:val="nil"/>
                    <w:tr2bl w:val="nil"/>
                  </w:tcBorders>
                  <w:vAlign w:val="center"/>
                </w:tcPr>
                <w:p w14:paraId="66A6B6DD">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24C226C3">
                  <w:pPr>
                    <w:autoSpaceDE w:val="0"/>
                    <w:autoSpaceDN w:val="0"/>
                    <w:adjustRightInd w:val="0"/>
                    <w:snapToGrid w:val="0"/>
                    <w:jc w:val="center"/>
                    <w:rPr>
                      <w:color w:val="000000" w:themeColor="text1"/>
                      <w:kern w:val="0"/>
                      <w:szCs w:val="21"/>
                      <w14:textFill>
                        <w14:solidFill>
                          <w14:schemeClr w14:val="tx1"/>
                        </w14:solidFill>
                      </w14:textFill>
                    </w:rPr>
                  </w:pPr>
                </w:p>
              </w:tc>
            </w:tr>
            <w:tr w14:paraId="2F5FD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3F7D5FBA">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氯化钠</w:t>
                  </w:r>
                </w:p>
              </w:tc>
              <w:tc>
                <w:tcPr>
                  <w:tcW w:w="759" w:type="pct"/>
                  <w:tcBorders>
                    <w:tl2br w:val="nil"/>
                    <w:tr2bl w:val="nil"/>
                  </w:tcBorders>
                  <w:vAlign w:val="center"/>
                </w:tcPr>
                <w:p w14:paraId="47CE373D">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0.25</w:t>
                  </w:r>
                </w:p>
              </w:tc>
              <w:tc>
                <w:tcPr>
                  <w:tcW w:w="1529" w:type="pct"/>
                  <w:gridSpan w:val="2"/>
                  <w:tcBorders>
                    <w:tl2br w:val="nil"/>
                    <w:tr2bl w:val="nil"/>
                  </w:tcBorders>
                  <w:vAlign w:val="center"/>
                </w:tcPr>
                <w:p w14:paraId="4D2A02BD">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5FB7F5DC">
                  <w:pPr>
                    <w:autoSpaceDE w:val="0"/>
                    <w:autoSpaceDN w:val="0"/>
                    <w:adjustRightInd w:val="0"/>
                    <w:snapToGrid w:val="0"/>
                    <w:jc w:val="center"/>
                    <w:rPr>
                      <w:color w:val="000000" w:themeColor="text1"/>
                      <w:kern w:val="0"/>
                      <w:szCs w:val="21"/>
                      <w14:textFill>
                        <w14:solidFill>
                          <w14:schemeClr w14:val="tx1"/>
                        </w14:solidFill>
                      </w14:textFill>
                    </w:rPr>
                  </w:pPr>
                </w:p>
              </w:tc>
            </w:tr>
            <w:tr w14:paraId="402E7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0A47D2F7">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硫酸铵</w:t>
                  </w:r>
                </w:p>
              </w:tc>
              <w:tc>
                <w:tcPr>
                  <w:tcW w:w="759" w:type="pct"/>
                  <w:tcBorders>
                    <w:tl2br w:val="nil"/>
                    <w:tr2bl w:val="nil"/>
                  </w:tcBorders>
                  <w:vAlign w:val="center"/>
                </w:tcPr>
                <w:p w14:paraId="0074F5AC">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5.75</w:t>
                  </w:r>
                </w:p>
              </w:tc>
              <w:tc>
                <w:tcPr>
                  <w:tcW w:w="1529" w:type="pct"/>
                  <w:gridSpan w:val="2"/>
                  <w:tcBorders>
                    <w:tl2br w:val="nil"/>
                    <w:tr2bl w:val="nil"/>
                  </w:tcBorders>
                  <w:vAlign w:val="center"/>
                </w:tcPr>
                <w:p w14:paraId="220173D8">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2CC5ED54">
                  <w:pPr>
                    <w:autoSpaceDE w:val="0"/>
                    <w:autoSpaceDN w:val="0"/>
                    <w:adjustRightInd w:val="0"/>
                    <w:snapToGrid w:val="0"/>
                    <w:jc w:val="center"/>
                    <w:rPr>
                      <w:color w:val="000000" w:themeColor="text1"/>
                      <w:kern w:val="0"/>
                      <w:szCs w:val="21"/>
                      <w14:textFill>
                        <w14:solidFill>
                          <w14:schemeClr w14:val="tx1"/>
                        </w14:solidFill>
                      </w14:textFill>
                    </w:rPr>
                  </w:pPr>
                </w:p>
              </w:tc>
            </w:tr>
            <w:tr w14:paraId="4A274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460" w:type="pct"/>
                  <w:tcBorders>
                    <w:tl2br w:val="nil"/>
                    <w:tr2bl w:val="nil"/>
                  </w:tcBorders>
                  <w:vAlign w:val="center"/>
                </w:tcPr>
                <w:p w14:paraId="516E4B4A">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消泡剂</w:t>
                  </w:r>
                </w:p>
              </w:tc>
              <w:tc>
                <w:tcPr>
                  <w:tcW w:w="759" w:type="pct"/>
                  <w:tcBorders>
                    <w:tl2br w:val="nil"/>
                    <w:tr2bl w:val="nil"/>
                  </w:tcBorders>
                  <w:vAlign w:val="center"/>
                </w:tcPr>
                <w:p w14:paraId="0F4B3DBD">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w:t>
                  </w:r>
                </w:p>
              </w:tc>
              <w:tc>
                <w:tcPr>
                  <w:tcW w:w="1529" w:type="pct"/>
                  <w:gridSpan w:val="2"/>
                  <w:tcBorders>
                    <w:tl2br w:val="nil"/>
                    <w:tr2bl w:val="nil"/>
                  </w:tcBorders>
                  <w:vAlign w:val="center"/>
                </w:tcPr>
                <w:p w14:paraId="548C25B2">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1F8EF3AF">
                  <w:pPr>
                    <w:autoSpaceDE w:val="0"/>
                    <w:autoSpaceDN w:val="0"/>
                    <w:adjustRightInd w:val="0"/>
                    <w:snapToGrid w:val="0"/>
                    <w:jc w:val="center"/>
                    <w:rPr>
                      <w:color w:val="000000" w:themeColor="text1"/>
                      <w:kern w:val="0"/>
                      <w:szCs w:val="21"/>
                      <w14:textFill>
                        <w14:solidFill>
                          <w14:schemeClr w14:val="tx1"/>
                        </w14:solidFill>
                      </w14:textFill>
                    </w:rPr>
                  </w:pPr>
                </w:p>
              </w:tc>
            </w:tr>
            <w:tr w14:paraId="46C4B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600705B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玉米浆粉</w:t>
                  </w:r>
                </w:p>
              </w:tc>
              <w:tc>
                <w:tcPr>
                  <w:tcW w:w="759" w:type="pct"/>
                  <w:tcBorders>
                    <w:tl2br w:val="nil"/>
                    <w:tr2bl w:val="nil"/>
                  </w:tcBorders>
                  <w:vAlign w:val="center"/>
                </w:tcPr>
                <w:p w14:paraId="0873DEC8">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c>
                <w:tcPr>
                  <w:tcW w:w="1529" w:type="pct"/>
                  <w:gridSpan w:val="2"/>
                  <w:tcBorders>
                    <w:tl2br w:val="nil"/>
                    <w:tr2bl w:val="nil"/>
                  </w:tcBorders>
                  <w:vAlign w:val="center"/>
                </w:tcPr>
                <w:p w14:paraId="60365E32">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20C87F34">
                  <w:pPr>
                    <w:autoSpaceDE w:val="0"/>
                    <w:autoSpaceDN w:val="0"/>
                    <w:adjustRightInd w:val="0"/>
                    <w:snapToGrid w:val="0"/>
                    <w:jc w:val="center"/>
                    <w:rPr>
                      <w:color w:val="000000" w:themeColor="text1"/>
                      <w:kern w:val="0"/>
                      <w:szCs w:val="21"/>
                      <w14:textFill>
                        <w14:solidFill>
                          <w14:schemeClr w14:val="tx1"/>
                        </w14:solidFill>
                      </w14:textFill>
                    </w:rPr>
                  </w:pPr>
                </w:p>
              </w:tc>
            </w:tr>
            <w:tr w14:paraId="39992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046BD6EA">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氢氧化钠</w:t>
                  </w:r>
                </w:p>
              </w:tc>
              <w:tc>
                <w:tcPr>
                  <w:tcW w:w="759" w:type="pct"/>
                  <w:tcBorders>
                    <w:tl2br w:val="nil"/>
                    <w:tr2bl w:val="nil"/>
                  </w:tcBorders>
                  <w:vAlign w:val="center"/>
                </w:tcPr>
                <w:p w14:paraId="38207CDD">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w:t>
                  </w:r>
                </w:p>
              </w:tc>
              <w:tc>
                <w:tcPr>
                  <w:tcW w:w="1529" w:type="pct"/>
                  <w:gridSpan w:val="2"/>
                  <w:tcBorders>
                    <w:tl2br w:val="nil"/>
                    <w:tr2bl w:val="nil"/>
                  </w:tcBorders>
                  <w:vAlign w:val="center"/>
                </w:tcPr>
                <w:p w14:paraId="51630A6B">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5F93866F">
                  <w:pPr>
                    <w:autoSpaceDE w:val="0"/>
                    <w:autoSpaceDN w:val="0"/>
                    <w:adjustRightInd w:val="0"/>
                    <w:snapToGrid w:val="0"/>
                    <w:jc w:val="center"/>
                    <w:rPr>
                      <w:color w:val="000000" w:themeColor="text1"/>
                      <w:kern w:val="0"/>
                      <w:szCs w:val="21"/>
                      <w14:textFill>
                        <w14:solidFill>
                          <w14:schemeClr w14:val="tx1"/>
                        </w14:solidFill>
                      </w14:textFill>
                    </w:rPr>
                  </w:pPr>
                </w:p>
              </w:tc>
            </w:tr>
            <w:tr w14:paraId="667A2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43BFA142">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纯水</w:t>
                  </w:r>
                </w:p>
              </w:tc>
              <w:tc>
                <w:tcPr>
                  <w:tcW w:w="759" w:type="pct"/>
                  <w:tcBorders>
                    <w:tl2br w:val="nil"/>
                    <w:tr2bl w:val="nil"/>
                  </w:tcBorders>
                  <w:vAlign w:val="center"/>
                </w:tcPr>
                <w:p w14:paraId="299A37D2">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91.7</w:t>
                  </w:r>
                </w:p>
              </w:tc>
              <w:tc>
                <w:tcPr>
                  <w:tcW w:w="1529" w:type="pct"/>
                  <w:gridSpan w:val="2"/>
                  <w:tcBorders>
                    <w:tl2br w:val="nil"/>
                    <w:tr2bl w:val="nil"/>
                  </w:tcBorders>
                  <w:vAlign w:val="center"/>
                </w:tcPr>
                <w:p w14:paraId="1C5C3AC6">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19477C59">
                  <w:pPr>
                    <w:autoSpaceDE w:val="0"/>
                    <w:autoSpaceDN w:val="0"/>
                    <w:adjustRightInd w:val="0"/>
                    <w:snapToGrid w:val="0"/>
                    <w:jc w:val="center"/>
                    <w:rPr>
                      <w:color w:val="000000" w:themeColor="text1"/>
                      <w:kern w:val="0"/>
                      <w:szCs w:val="21"/>
                      <w14:textFill>
                        <w14:solidFill>
                          <w14:schemeClr w14:val="tx1"/>
                        </w14:solidFill>
                      </w14:textFill>
                    </w:rPr>
                  </w:pPr>
                </w:p>
              </w:tc>
            </w:tr>
            <w:tr w14:paraId="095C0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7666C39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蒸汽</w:t>
                  </w:r>
                </w:p>
              </w:tc>
              <w:tc>
                <w:tcPr>
                  <w:tcW w:w="759" w:type="pct"/>
                  <w:tcBorders>
                    <w:tl2br w:val="nil"/>
                    <w:tr2bl w:val="nil"/>
                  </w:tcBorders>
                  <w:vAlign w:val="center"/>
                </w:tcPr>
                <w:p w14:paraId="5F69703C">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250</w:t>
                  </w:r>
                </w:p>
              </w:tc>
              <w:tc>
                <w:tcPr>
                  <w:tcW w:w="1529" w:type="pct"/>
                  <w:gridSpan w:val="2"/>
                  <w:tcBorders>
                    <w:tl2br w:val="nil"/>
                    <w:tr2bl w:val="nil"/>
                  </w:tcBorders>
                  <w:vAlign w:val="center"/>
                </w:tcPr>
                <w:p w14:paraId="6B0390A0">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02D03A5F">
                  <w:pPr>
                    <w:autoSpaceDE w:val="0"/>
                    <w:autoSpaceDN w:val="0"/>
                    <w:adjustRightInd w:val="0"/>
                    <w:snapToGrid w:val="0"/>
                    <w:jc w:val="center"/>
                    <w:rPr>
                      <w:color w:val="000000" w:themeColor="text1"/>
                      <w:kern w:val="0"/>
                      <w:szCs w:val="21"/>
                      <w14:textFill>
                        <w14:solidFill>
                          <w14:schemeClr w14:val="tx1"/>
                        </w14:solidFill>
                      </w14:textFill>
                    </w:rPr>
                  </w:pPr>
                </w:p>
              </w:tc>
            </w:tr>
            <w:tr w14:paraId="16A01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2A5A91D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氧气</w:t>
                  </w:r>
                </w:p>
              </w:tc>
              <w:tc>
                <w:tcPr>
                  <w:tcW w:w="759" w:type="pct"/>
                  <w:tcBorders>
                    <w:tl2br w:val="nil"/>
                    <w:tr2bl w:val="nil"/>
                  </w:tcBorders>
                  <w:vAlign w:val="center"/>
                </w:tcPr>
                <w:p w14:paraId="6F9A7ED3">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w:t>
                  </w:r>
                </w:p>
              </w:tc>
              <w:tc>
                <w:tcPr>
                  <w:tcW w:w="1529" w:type="pct"/>
                  <w:gridSpan w:val="2"/>
                  <w:tcBorders>
                    <w:tl2br w:val="nil"/>
                    <w:tr2bl w:val="nil"/>
                  </w:tcBorders>
                  <w:vAlign w:val="center"/>
                </w:tcPr>
                <w:p w14:paraId="15005469">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48B303A8">
                  <w:pPr>
                    <w:autoSpaceDE w:val="0"/>
                    <w:autoSpaceDN w:val="0"/>
                    <w:adjustRightInd w:val="0"/>
                    <w:snapToGrid w:val="0"/>
                    <w:jc w:val="center"/>
                    <w:rPr>
                      <w:color w:val="000000" w:themeColor="text1"/>
                      <w:kern w:val="0"/>
                      <w:szCs w:val="21"/>
                      <w14:textFill>
                        <w14:solidFill>
                          <w14:schemeClr w14:val="tx1"/>
                        </w14:solidFill>
                      </w14:textFill>
                    </w:rPr>
                  </w:pPr>
                </w:p>
              </w:tc>
            </w:tr>
            <w:tr w14:paraId="5431A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0" w:type="pct"/>
                  <w:tcBorders>
                    <w:tl2br w:val="nil"/>
                    <w:tr2bl w:val="nil"/>
                  </w:tcBorders>
                  <w:vAlign w:val="center"/>
                </w:tcPr>
                <w:p w14:paraId="15AFBC52">
                  <w:pPr>
                    <w:pStyle w:val="88"/>
                    <w:spacing w:line="70" w:lineRule="atLeas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总计</w:t>
                  </w:r>
                </w:p>
              </w:tc>
              <w:tc>
                <w:tcPr>
                  <w:tcW w:w="759" w:type="pct"/>
                  <w:tcBorders>
                    <w:tl2br w:val="nil"/>
                    <w:tr2bl w:val="nil"/>
                  </w:tcBorders>
                  <w:vAlign w:val="center"/>
                </w:tcPr>
                <w:p w14:paraId="11D8411A">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438.15</w:t>
                  </w:r>
                </w:p>
              </w:tc>
              <w:tc>
                <w:tcPr>
                  <w:tcW w:w="1529" w:type="pct"/>
                  <w:gridSpan w:val="2"/>
                  <w:tcBorders>
                    <w:tl2br w:val="nil"/>
                    <w:tr2bl w:val="nil"/>
                  </w:tcBorders>
                  <w:vAlign w:val="center"/>
                </w:tcPr>
                <w:p w14:paraId="30463579">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总计</w:t>
                  </w:r>
                </w:p>
              </w:tc>
              <w:tc>
                <w:tcPr>
                  <w:tcW w:w="1250" w:type="pct"/>
                  <w:tcBorders>
                    <w:tl2br w:val="nil"/>
                    <w:tr2bl w:val="nil"/>
                  </w:tcBorders>
                  <w:vAlign w:val="center"/>
                </w:tcPr>
                <w:p w14:paraId="107E312F">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438.15</w:t>
                  </w:r>
                </w:p>
              </w:tc>
            </w:tr>
          </w:tbl>
          <w:p w14:paraId="0F66C7FF">
            <w:pPr>
              <w:autoSpaceDE w:val="0"/>
              <w:autoSpaceDN w:val="0"/>
              <w:adjustRightInd w:val="0"/>
              <w:snapToGri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本项目年发酵50批次。</w:t>
            </w:r>
          </w:p>
          <w:p w14:paraId="75133C27">
            <w:pPr>
              <w:autoSpaceDE w:val="0"/>
              <w:autoSpaceDN w:val="0"/>
              <w:adjustRightInd w:val="0"/>
              <w:snapToGrid w:val="0"/>
              <w:spacing w:line="480" w:lineRule="exact"/>
              <w:ind w:firstLine="240" w:firstLineChars="100"/>
              <w:rPr>
                <w:b/>
                <w:bCs/>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溶剂萃取法</w:t>
            </w:r>
            <w:r>
              <w:rPr>
                <w:rFonts w:hint="eastAsia"/>
                <w:color w:val="000000" w:themeColor="text1"/>
                <w:sz w:val="24"/>
                <w14:textFill>
                  <w14:solidFill>
                    <w14:schemeClr w14:val="tx1"/>
                  </w14:solidFill>
                </w14:textFill>
              </w:rPr>
              <w:t>物料</w:t>
            </w:r>
            <w:r>
              <w:rPr>
                <w:color w:val="000000" w:themeColor="text1"/>
                <w:sz w:val="24"/>
                <w14:textFill>
                  <w14:solidFill>
                    <w14:schemeClr w14:val="tx1"/>
                  </w14:solidFill>
                </w14:textFill>
              </w:rPr>
              <w:t>平衡</w:t>
            </w:r>
          </w:p>
          <w:p w14:paraId="7DF79F0C">
            <w:pPr>
              <w:autoSpaceDE w:val="0"/>
              <w:autoSpaceDN w:val="0"/>
              <w:adjustRightInd w:val="0"/>
              <w:snapToGrid w:val="0"/>
              <w:jc w:val="center"/>
              <w:rPr>
                <w:b/>
                <w:bCs/>
                <w:color w:val="000000" w:themeColor="text1"/>
                <w:kern w:val="0"/>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4728845" cy="2111375"/>
                  <wp:effectExtent l="0" t="0" r="14605" b="317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2"/>
                          <a:stretch>
                            <a:fillRect/>
                          </a:stretch>
                        </pic:blipFill>
                        <pic:spPr>
                          <a:xfrm>
                            <a:off x="0" y="0"/>
                            <a:ext cx="4728845" cy="2111375"/>
                          </a:xfrm>
                          <a:prstGeom prst="rect">
                            <a:avLst/>
                          </a:prstGeom>
                          <a:noFill/>
                          <a:ln>
                            <a:noFill/>
                          </a:ln>
                        </pic:spPr>
                      </pic:pic>
                    </a:graphicData>
                  </a:graphic>
                </wp:inline>
              </w:drawing>
            </w:r>
          </w:p>
          <w:p w14:paraId="1F9D8B5E">
            <w:pPr>
              <w:autoSpaceDE w:val="0"/>
              <w:autoSpaceDN w:val="0"/>
              <w:adjustRightInd w:val="0"/>
              <w:snapToGrid w:val="0"/>
              <w:spacing w:before="120" w:beforeLines="50" w:after="120" w:afterLines="50" w:line="360" w:lineRule="exact"/>
              <w:jc w:val="center"/>
              <w:rPr>
                <w:color w:val="000000" w:themeColor="text1"/>
                <w14:textFill>
                  <w14:solidFill>
                    <w14:schemeClr w14:val="tx1"/>
                  </w14:solidFill>
                </w14:textFill>
              </w:rPr>
            </w:pPr>
            <w:r>
              <w:rPr>
                <w:b/>
                <w:bCs/>
                <w:color w:val="000000" w:themeColor="text1"/>
                <w:kern w:val="0"/>
                <w:szCs w:val="21"/>
                <w14:textFill>
                  <w14:solidFill>
                    <w14:schemeClr w14:val="tx1"/>
                  </w14:solidFill>
                </w14:textFill>
              </w:rPr>
              <w:t>图2-</w:t>
            </w:r>
            <w:r>
              <w:rPr>
                <w:rFonts w:hint="eastAsia"/>
                <w:b/>
                <w:bCs/>
                <w:color w:val="000000" w:themeColor="text1"/>
                <w:kern w:val="0"/>
                <w:szCs w:val="21"/>
                <w14:textFill>
                  <w14:solidFill>
                    <w14:schemeClr w14:val="tx1"/>
                  </w14:solidFill>
                </w14:textFill>
              </w:rPr>
              <w:t>3</w:t>
            </w:r>
            <w:r>
              <w:rPr>
                <w:b/>
                <w:bCs/>
                <w:color w:val="000000" w:themeColor="text1"/>
                <w:kern w:val="0"/>
                <w:szCs w:val="21"/>
                <w14:textFill>
                  <w14:solidFill>
                    <w14:schemeClr w14:val="tx1"/>
                  </w14:solidFill>
                </w14:textFill>
              </w:rPr>
              <w:t xml:space="preserve"> </w:t>
            </w:r>
            <w:r>
              <w:rPr>
                <w:rFonts w:hint="eastAsia"/>
                <w:b/>
                <w:bCs/>
                <w:color w:val="000000" w:themeColor="text1"/>
                <w:kern w:val="0"/>
                <w:szCs w:val="21"/>
                <w14:textFill>
                  <w14:solidFill>
                    <w14:schemeClr w14:val="tx1"/>
                  </w14:solidFill>
                </w14:textFill>
              </w:rPr>
              <w:t>批次溶剂萃取法物料平衡</w:t>
            </w:r>
            <w:r>
              <w:rPr>
                <w:b/>
                <w:bCs/>
                <w:color w:val="000000" w:themeColor="text1"/>
                <w:kern w:val="0"/>
                <w:szCs w:val="21"/>
                <w14:textFill>
                  <w14:solidFill>
                    <w14:schemeClr w14:val="tx1"/>
                  </w14:solidFill>
                </w14:textFill>
              </w:rPr>
              <w:t>图（kg/</w:t>
            </w:r>
            <w:r>
              <w:rPr>
                <w:rFonts w:hint="eastAsia"/>
                <w:b/>
                <w:bCs/>
                <w:color w:val="000000" w:themeColor="text1"/>
                <w:kern w:val="0"/>
                <w:szCs w:val="21"/>
                <w14:textFill>
                  <w14:solidFill>
                    <w14:schemeClr w14:val="tx1"/>
                  </w14:solidFill>
                </w14:textFill>
              </w:rPr>
              <w:t>批次</w:t>
            </w:r>
            <w:r>
              <w:rPr>
                <w:b/>
                <w:bCs/>
                <w:color w:val="000000" w:themeColor="text1"/>
                <w:kern w:val="0"/>
                <w:szCs w:val="21"/>
                <w14:textFill>
                  <w14:solidFill>
                    <w14:schemeClr w14:val="tx1"/>
                  </w14:solidFill>
                </w14:textFill>
              </w:rPr>
              <w:t>）</w:t>
            </w:r>
          </w:p>
          <w:p w14:paraId="79F8604C">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表2-</w:t>
            </w:r>
            <w:r>
              <w:rPr>
                <w:rFonts w:hint="eastAsia"/>
                <w:b/>
                <w:bCs/>
                <w:color w:val="000000" w:themeColor="text1"/>
                <w:kern w:val="0"/>
                <w:szCs w:val="21"/>
                <w14:textFill>
                  <w14:solidFill>
                    <w14:schemeClr w14:val="tx1"/>
                  </w14:solidFill>
                </w14:textFill>
              </w:rPr>
              <w:t>9</w:t>
            </w:r>
            <w:r>
              <w:rPr>
                <w:b/>
                <w:bCs/>
                <w:color w:val="000000" w:themeColor="text1"/>
                <w:kern w:val="0"/>
                <w:szCs w:val="21"/>
                <w14:textFill>
                  <w14:solidFill>
                    <w14:schemeClr w14:val="tx1"/>
                  </w14:solidFill>
                </w14:textFill>
              </w:rPr>
              <w:t xml:space="preserve">  </w:t>
            </w:r>
            <w:r>
              <w:rPr>
                <w:rFonts w:hint="eastAsia"/>
                <w:b/>
                <w:color w:val="000000" w:themeColor="text1"/>
                <w:szCs w:val="21"/>
                <w14:textFill>
                  <w14:solidFill>
                    <w14:schemeClr w14:val="tx1"/>
                  </w14:solidFill>
                </w14:textFill>
              </w:rPr>
              <w:t>批次</w:t>
            </w:r>
            <w:r>
              <w:rPr>
                <w:rFonts w:hint="eastAsia"/>
                <w:b/>
                <w:bCs/>
                <w:color w:val="000000" w:themeColor="text1"/>
                <w:kern w:val="0"/>
                <w:szCs w:val="21"/>
                <w14:textFill>
                  <w14:solidFill>
                    <w14:schemeClr w14:val="tx1"/>
                  </w14:solidFill>
                </w14:textFill>
              </w:rPr>
              <w:t>溶剂萃取法</w:t>
            </w:r>
            <w:r>
              <w:rPr>
                <w:b/>
                <w:bCs/>
                <w:color w:val="000000" w:themeColor="text1"/>
                <w:kern w:val="0"/>
                <w:szCs w:val="21"/>
                <w14:textFill>
                  <w14:solidFill>
                    <w14:schemeClr w14:val="tx1"/>
                  </w14:solidFill>
                </w14:textFill>
              </w:rPr>
              <w:t>物料平衡</w:t>
            </w:r>
            <w:r>
              <w:rPr>
                <w:rFonts w:hint="eastAsia"/>
                <w:b/>
                <w:bCs/>
                <w:color w:val="000000" w:themeColor="text1"/>
                <w:kern w:val="0"/>
                <w:szCs w:val="21"/>
                <w14:textFill>
                  <w14:solidFill>
                    <w14:schemeClr w14:val="tx1"/>
                  </w14:solidFill>
                </w14:textFill>
              </w:rPr>
              <w:t>表</w:t>
            </w:r>
            <w:r>
              <w:rPr>
                <w:b/>
                <w:bCs/>
                <w:color w:val="000000" w:themeColor="text1"/>
                <w:kern w:val="0"/>
                <w:szCs w:val="21"/>
                <w14:textFill>
                  <w14:solidFill>
                    <w14:schemeClr w14:val="tx1"/>
                  </w14:solidFill>
                </w14:textFill>
              </w:rPr>
              <w:t>（kg/</w:t>
            </w:r>
            <w:r>
              <w:rPr>
                <w:rFonts w:hint="eastAsia"/>
                <w:b/>
                <w:bCs/>
                <w:color w:val="000000" w:themeColor="text1"/>
                <w:kern w:val="0"/>
                <w:szCs w:val="21"/>
                <w14:textFill>
                  <w14:solidFill>
                    <w14:schemeClr w14:val="tx1"/>
                  </w14:solidFill>
                </w14:textFill>
              </w:rPr>
              <w:t>批次</w:t>
            </w:r>
            <w:r>
              <w:rPr>
                <w:b/>
                <w:bCs/>
                <w:color w:val="000000" w:themeColor="text1"/>
                <w:kern w:val="0"/>
                <w:szCs w:val="21"/>
                <w14:textFill>
                  <w14:solidFill>
                    <w14:schemeClr w14:val="tx1"/>
                  </w14:solidFill>
                </w14:textFill>
              </w:rPr>
              <w:t>）</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3"/>
              <w:gridCol w:w="1931"/>
              <w:gridCol w:w="2323"/>
              <w:gridCol w:w="2323"/>
            </w:tblGrid>
            <w:tr w14:paraId="1EDC6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gridSpan w:val="2"/>
                  <w:tcBorders>
                    <w:tl2br w:val="nil"/>
                    <w:tr2bl w:val="nil"/>
                  </w:tcBorders>
                  <w:vAlign w:val="center"/>
                </w:tcPr>
                <w:p w14:paraId="48934AEE">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输入</w:t>
                  </w:r>
                </w:p>
              </w:tc>
              <w:tc>
                <w:tcPr>
                  <w:tcW w:w="2500" w:type="pct"/>
                  <w:gridSpan w:val="2"/>
                  <w:tcBorders>
                    <w:tl2br w:val="nil"/>
                    <w:tr2bl w:val="nil"/>
                  </w:tcBorders>
                  <w:vAlign w:val="center"/>
                </w:tcPr>
                <w:p w14:paraId="55AE6819">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输出</w:t>
                  </w:r>
                </w:p>
              </w:tc>
            </w:tr>
            <w:tr w14:paraId="48EF79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0" w:type="pct"/>
                  <w:tcBorders>
                    <w:tl2br w:val="nil"/>
                    <w:tr2bl w:val="nil"/>
                  </w:tcBorders>
                  <w:vAlign w:val="center"/>
                </w:tcPr>
                <w:p w14:paraId="0856A5B6">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发酵液</w:t>
                  </w:r>
                </w:p>
              </w:tc>
              <w:tc>
                <w:tcPr>
                  <w:tcW w:w="1038" w:type="pct"/>
                  <w:tcBorders>
                    <w:tl2br w:val="nil"/>
                    <w:tr2bl w:val="nil"/>
                  </w:tcBorders>
                  <w:vAlign w:val="center"/>
                </w:tcPr>
                <w:p w14:paraId="7F1FE7F8">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1250" w:type="pct"/>
                  <w:tcBorders>
                    <w:tl2br w:val="nil"/>
                    <w:tr2bl w:val="nil"/>
                  </w:tcBorders>
                  <w:vAlign w:val="center"/>
                </w:tcPr>
                <w:p w14:paraId="0612FF6C">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褪黑素/白藜芦醇/香紫苏醇</w:t>
                  </w:r>
                </w:p>
              </w:tc>
              <w:tc>
                <w:tcPr>
                  <w:tcW w:w="1250" w:type="pct"/>
                  <w:tcBorders>
                    <w:tl2br w:val="nil"/>
                    <w:tr2bl w:val="nil"/>
                  </w:tcBorders>
                  <w:vAlign w:val="center"/>
                </w:tcPr>
                <w:p w14:paraId="21DD7C1F">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0.03</w:t>
                  </w:r>
                </w:p>
              </w:tc>
            </w:tr>
            <w:tr w14:paraId="6C46E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460" w:type="pct"/>
                  <w:tcBorders>
                    <w:tl2br w:val="nil"/>
                    <w:tr2bl w:val="nil"/>
                  </w:tcBorders>
                  <w:vAlign w:val="center"/>
                </w:tcPr>
                <w:p w14:paraId="260EF4C5">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乙醇</w:t>
                  </w:r>
                </w:p>
              </w:tc>
              <w:tc>
                <w:tcPr>
                  <w:tcW w:w="1038" w:type="pct"/>
                  <w:tcBorders>
                    <w:tl2br w:val="nil"/>
                    <w:tr2bl w:val="nil"/>
                  </w:tcBorders>
                  <w:vAlign w:val="center"/>
                </w:tcPr>
                <w:p w14:paraId="26D0EE34">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1250" w:type="pct"/>
                  <w:tcBorders>
                    <w:tl2br w:val="nil"/>
                    <w:tr2bl w:val="nil"/>
                  </w:tcBorders>
                  <w:vAlign w:val="center"/>
                </w:tcPr>
                <w:p w14:paraId="384F030E">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固液分离</w:t>
                  </w:r>
                  <w:r>
                    <w:rPr>
                      <w:color w:val="000000" w:themeColor="text1"/>
                      <w:kern w:val="0"/>
                      <w:szCs w:val="21"/>
                      <w14:textFill>
                        <w14:solidFill>
                          <w14:schemeClr w14:val="tx1"/>
                        </w14:solidFill>
                      </w14:textFill>
                    </w:rPr>
                    <w:t>废气</w:t>
                  </w:r>
                </w:p>
              </w:tc>
              <w:tc>
                <w:tcPr>
                  <w:tcW w:w="1250" w:type="pct"/>
                  <w:tcBorders>
                    <w:tl2br w:val="nil"/>
                    <w:tr2bl w:val="nil"/>
                  </w:tcBorders>
                  <w:vAlign w:val="center"/>
                </w:tcPr>
                <w:p w14:paraId="4A34F279">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0.3</w:t>
                  </w:r>
                </w:p>
              </w:tc>
            </w:tr>
            <w:tr w14:paraId="791CE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tcBorders>
                    <w:tl2br w:val="nil"/>
                    <w:tr2bl w:val="nil"/>
                  </w:tcBorders>
                  <w:vAlign w:val="center"/>
                </w:tcPr>
                <w:p w14:paraId="7688D92D">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纯水</w:t>
                  </w:r>
                </w:p>
              </w:tc>
              <w:tc>
                <w:tcPr>
                  <w:tcW w:w="1038" w:type="pct"/>
                  <w:tcBorders>
                    <w:tl2br w:val="nil"/>
                    <w:tr2bl w:val="nil"/>
                  </w:tcBorders>
                  <w:vAlign w:val="center"/>
                </w:tcPr>
                <w:p w14:paraId="7B0085C3">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p>
              </w:tc>
              <w:tc>
                <w:tcPr>
                  <w:tcW w:w="1250" w:type="pct"/>
                  <w:tcBorders>
                    <w:tl2br w:val="nil"/>
                    <w:tr2bl w:val="nil"/>
                  </w:tcBorders>
                  <w:vAlign w:val="center"/>
                </w:tcPr>
                <w:p w14:paraId="5E1871C4">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析晶过滤废气</w:t>
                  </w:r>
                </w:p>
              </w:tc>
              <w:tc>
                <w:tcPr>
                  <w:tcW w:w="1250" w:type="pct"/>
                  <w:tcBorders>
                    <w:tl2br w:val="nil"/>
                    <w:tr2bl w:val="nil"/>
                  </w:tcBorders>
                  <w:vAlign w:val="center"/>
                </w:tcPr>
                <w:p w14:paraId="6AD143A4">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0.3</w:t>
                  </w:r>
                </w:p>
              </w:tc>
            </w:tr>
            <w:tr w14:paraId="78D8C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tcBorders>
                    <w:tl2br w:val="nil"/>
                    <w:tr2bl w:val="nil"/>
                  </w:tcBorders>
                  <w:vAlign w:val="center"/>
                </w:tcPr>
                <w:p w14:paraId="65426E28">
                  <w:pPr>
                    <w:autoSpaceDE w:val="0"/>
                    <w:autoSpaceDN w:val="0"/>
                    <w:adjustRightInd w:val="0"/>
                    <w:snapToGrid w:val="0"/>
                    <w:jc w:val="center"/>
                    <w:rPr>
                      <w:color w:val="000000" w:themeColor="text1"/>
                      <w:kern w:val="0"/>
                      <w:szCs w:val="21"/>
                      <w14:textFill>
                        <w14:solidFill>
                          <w14:schemeClr w14:val="tx1"/>
                        </w14:solidFill>
                      </w14:textFill>
                    </w:rPr>
                  </w:pPr>
                </w:p>
              </w:tc>
              <w:tc>
                <w:tcPr>
                  <w:tcW w:w="1038" w:type="pct"/>
                  <w:tcBorders>
                    <w:tl2br w:val="nil"/>
                    <w:tr2bl w:val="nil"/>
                  </w:tcBorders>
                  <w:vAlign w:val="center"/>
                </w:tcPr>
                <w:p w14:paraId="4088EB25">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5FB1B285">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析晶过滤溶液</w:t>
                  </w:r>
                </w:p>
              </w:tc>
              <w:tc>
                <w:tcPr>
                  <w:tcW w:w="1250" w:type="pct"/>
                  <w:tcBorders>
                    <w:tl2br w:val="nil"/>
                    <w:tr2bl w:val="nil"/>
                  </w:tcBorders>
                  <w:vAlign w:val="center"/>
                </w:tcPr>
                <w:p w14:paraId="3F1A8E7B">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12.67</w:t>
                  </w:r>
                </w:p>
              </w:tc>
            </w:tr>
            <w:tr w14:paraId="40E0B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tcBorders>
                    <w:tl2br w:val="nil"/>
                    <w:tr2bl w:val="nil"/>
                  </w:tcBorders>
                  <w:vAlign w:val="center"/>
                </w:tcPr>
                <w:p w14:paraId="2FB010F4">
                  <w:pPr>
                    <w:autoSpaceDE w:val="0"/>
                    <w:autoSpaceDN w:val="0"/>
                    <w:adjustRightInd w:val="0"/>
                    <w:snapToGrid w:val="0"/>
                    <w:jc w:val="center"/>
                    <w:rPr>
                      <w:color w:val="000000" w:themeColor="text1"/>
                      <w:kern w:val="0"/>
                      <w:szCs w:val="21"/>
                      <w14:textFill>
                        <w14:solidFill>
                          <w14:schemeClr w14:val="tx1"/>
                        </w14:solidFill>
                      </w14:textFill>
                    </w:rPr>
                  </w:pPr>
                </w:p>
              </w:tc>
              <w:tc>
                <w:tcPr>
                  <w:tcW w:w="1038" w:type="pct"/>
                  <w:tcBorders>
                    <w:tl2br w:val="nil"/>
                    <w:tr2bl w:val="nil"/>
                  </w:tcBorders>
                  <w:vAlign w:val="center"/>
                </w:tcPr>
                <w:p w14:paraId="1087231B">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2B5A7AB5">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菌渣</w:t>
                  </w:r>
                </w:p>
              </w:tc>
              <w:tc>
                <w:tcPr>
                  <w:tcW w:w="1250" w:type="pct"/>
                  <w:tcBorders>
                    <w:tl2br w:val="nil"/>
                    <w:tr2bl w:val="nil"/>
                  </w:tcBorders>
                  <w:vAlign w:val="center"/>
                </w:tcPr>
                <w:p w14:paraId="49223890">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0.7</w:t>
                  </w:r>
                </w:p>
              </w:tc>
            </w:tr>
            <w:tr w14:paraId="74F94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tcBorders>
                    <w:tl2br w:val="nil"/>
                    <w:tr2bl w:val="nil"/>
                  </w:tcBorders>
                  <w:vAlign w:val="center"/>
                </w:tcPr>
                <w:p w14:paraId="081C0EFE">
                  <w:pPr>
                    <w:pStyle w:val="88"/>
                    <w:spacing w:line="70" w:lineRule="atLeas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总计</w:t>
                  </w:r>
                </w:p>
              </w:tc>
              <w:tc>
                <w:tcPr>
                  <w:tcW w:w="1038" w:type="pct"/>
                  <w:tcBorders>
                    <w:tl2br w:val="nil"/>
                    <w:tr2bl w:val="nil"/>
                  </w:tcBorders>
                  <w:vAlign w:val="center"/>
                </w:tcPr>
                <w:p w14:paraId="3777E211">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14</w:t>
                  </w:r>
                </w:p>
              </w:tc>
              <w:tc>
                <w:tcPr>
                  <w:tcW w:w="1250" w:type="pct"/>
                  <w:tcBorders>
                    <w:tl2br w:val="nil"/>
                    <w:tr2bl w:val="nil"/>
                  </w:tcBorders>
                  <w:vAlign w:val="center"/>
                </w:tcPr>
                <w:p w14:paraId="0D287E12">
                  <w:pPr>
                    <w:pStyle w:val="88"/>
                    <w:spacing w:line="70" w:lineRule="atLeas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总计</w:t>
                  </w:r>
                </w:p>
              </w:tc>
              <w:tc>
                <w:tcPr>
                  <w:tcW w:w="1250" w:type="pct"/>
                  <w:tcBorders>
                    <w:tl2br w:val="nil"/>
                    <w:tr2bl w:val="nil"/>
                  </w:tcBorders>
                  <w:vAlign w:val="center"/>
                </w:tcPr>
                <w:p w14:paraId="65792E7C">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14</w:t>
                  </w:r>
                </w:p>
              </w:tc>
            </w:tr>
          </w:tbl>
          <w:p w14:paraId="1986B669">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表2-</w:t>
            </w:r>
            <w:r>
              <w:rPr>
                <w:rFonts w:hint="eastAsia"/>
                <w:b/>
                <w:bCs/>
                <w:color w:val="000000" w:themeColor="text1"/>
                <w:kern w:val="0"/>
                <w:szCs w:val="21"/>
                <w14:textFill>
                  <w14:solidFill>
                    <w14:schemeClr w14:val="tx1"/>
                  </w14:solidFill>
                </w14:textFill>
              </w:rPr>
              <w:t>10</w:t>
            </w:r>
            <w:r>
              <w:rPr>
                <w:b/>
                <w:bCs/>
                <w:color w:val="000000" w:themeColor="text1"/>
                <w:kern w:val="0"/>
                <w:szCs w:val="21"/>
                <w14:textFill>
                  <w14:solidFill>
                    <w14:schemeClr w14:val="tx1"/>
                  </w14:solidFill>
                </w14:textFill>
              </w:rPr>
              <w:t xml:space="preserve">  </w:t>
            </w:r>
            <w:r>
              <w:rPr>
                <w:rFonts w:hint="eastAsia"/>
                <w:b/>
                <w:color w:val="000000" w:themeColor="text1"/>
                <w:szCs w:val="21"/>
                <w14:textFill>
                  <w14:solidFill>
                    <w14:schemeClr w14:val="tx1"/>
                  </w14:solidFill>
                </w14:textFill>
              </w:rPr>
              <w:t>年</w:t>
            </w:r>
            <w:r>
              <w:rPr>
                <w:rFonts w:hint="eastAsia"/>
                <w:b/>
                <w:bCs/>
                <w:color w:val="000000" w:themeColor="text1"/>
                <w:kern w:val="0"/>
                <w:szCs w:val="21"/>
                <w14:textFill>
                  <w14:solidFill>
                    <w14:schemeClr w14:val="tx1"/>
                  </w14:solidFill>
                </w14:textFill>
              </w:rPr>
              <w:t>溶剂萃取法</w:t>
            </w:r>
            <w:r>
              <w:rPr>
                <w:b/>
                <w:bCs/>
                <w:color w:val="000000" w:themeColor="text1"/>
                <w:kern w:val="0"/>
                <w:szCs w:val="21"/>
                <w14:textFill>
                  <w14:solidFill>
                    <w14:schemeClr w14:val="tx1"/>
                  </w14:solidFill>
                </w14:textFill>
              </w:rPr>
              <w:t>物料平衡</w:t>
            </w:r>
            <w:r>
              <w:rPr>
                <w:rFonts w:hint="eastAsia"/>
                <w:b/>
                <w:bCs/>
                <w:color w:val="000000" w:themeColor="text1"/>
                <w:kern w:val="0"/>
                <w:szCs w:val="21"/>
                <w14:textFill>
                  <w14:solidFill>
                    <w14:schemeClr w14:val="tx1"/>
                  </w14:solidFill>
                </w14:textFill>
              </w:rPr>
              <w:t>表</w:t>
            </w:r>
            <w:r>
              <w:rPr>
                <w:b/>
                <w:bCs/>
                <w:color w:val="000000" w:themeColor="text1"/>
                <w:kern w:val="0"/>
                <w:szCs w:val="21"/>
                <w14:textFill>
                  <w14:solidFill>
                    <w14:schemeClr w14:val="tx1"/>
                  </w14:solidFill>
                </w14:textFill>
              </w:rPr>
              <w:t>（kg/</w:t>
            </w:r>
            <w:r>
              <w:rPr>
                <w:rFonts w:hint="eastAsia"/>
                <w:b/>
                <w:bCs/>
                <w:color w:val="000000" w:themeColor="text1"/>
                <w:kern w:val="0"/>
                <w:szCs w:val="21"/>
                <w14:textFill>
                  <w14:solidFill>
                    <w14:schemeClr w14:val="tx1"/>
                  </w14:solidFill>
                </w14:textFill>
              </w:rPr>
              <w:t>a</w:t>
            </w:r>
            <w:r>
              <w:rPr>
                <w:b/>
                <w:bCs/>
                <w:color w:val="000000" w:themeColor="text1"/>
                <w:kern w:val="0"/>
                <w:szCs w:val="21"/>
                <w14:textFill>
                  <w14:solidFill>
                    <w14:schemeClr w14:val="tx1"/>
                  </w14:solidFill>
                </w14:textFill>
              </w:rPr>
              <w:t>）</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3"/>
              <w:gridCol w:w="1931"/>
              <w:gridCol w:w="2323"/>
              <w:gridCol w:w="2323"/>
            </w:tblGrid>
            <w:tr w14:paraId="6B501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gridSpan w:val="2"/>
                  <w:tcBorders>
                    <w:tl2br w:val="nil"/>
                    <w:tr2bl w:val="nil"/>
                  </w:tcBorders>
                  <w:vAlign w:val="center"/>
                </w:tcPr>
                <w:p w14:paraId="60108E85">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输入</w:t>
                  </w:r>
                </w:p>
              </w:tc>
              <w:tc>
                <w:tcPr>
                  <w:tcW w:w="2500" w:type="pct"/>
                  <w:gridSpan w:val="2"/>
                  <w:tcBorders>
                    <w:tl2br w:val="nil"/>
                    <w:tr2bl w:val="nil"/>
                  </w:tcBorders>
                  <w:vAlign w:val="center"/>
                </w:tcPr>
                <w:p w14:paraId="76385CE1">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输出</w:t>
                  </w:r>
                </w:p>
              </w:tc>
            </w:tr>
            <w:tr w14:paraId="1A726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0" w:type="pct"/>
                  <w:tcBorders>
                    <w:tl2br w:val="nil"/>
                    <w:tr2bl w:val="nil"/>
                  </w:tcBorders>
                  <w:vAlign w:val="center"/>
                </w:tcPr>
                <w:p w14:paraId="7AC4FA36">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发酵液</w:t>
                  </w:r>
                </w:p>
              </w:tc>
              <w:tc>
                <w:tcPr>
                  <w:tcW w:w="1038" w:type="pct"/>
                  <w:tcBorders>
                    <w:tl2br w:val="nil"/>
                    <w:tr2bl w:val="nil"/>
                  </w:tcBorders>
                  <w:vAlign w:val="center"/>
                </w:tcPr>
                <w:p w14:paraId="71BFDEE1">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90</w:t>
                  </w:r>
                </w:p>
              </w:tc>
              <w:tc>
                <w:tcPr>
                  <w:tcW w:w="1250" w:type="pct"/>
                  <w:tcBorders>
                    <w:tl2br w:val="nil"/>
                    <w:tr2bl w:val="nil"/>
                  </w:tcBorders>
                  <w:vAlign w:val="center"/>
                </w:tcPr>
                <w:p w14:paraId="68D641EA">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褪黑素/白藜芦醇/香紫苏醇</w:t>
                  </w:r>
                </w:p>
              </w:tc>
              <w:tc>
                <w:tcPr>
                  <w:tcW w:w="1250" w:type="pct"/>
                  <w:tcBorders>
                    <w:tl2br w:val="nil"/>
                    <w:tr2bl w:val="nil"/>
                  </w:tcBorders>
                  <w:vAlign w:val="center"/>
                </w:tcPr>
                <w:p w14:paraId="7EABA8A9">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0.9</w:t>
                  </w:r>
                </w:p>
              </w:tc>
            </w:tr>
            <w:tr w14:paraId="7E316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460" w:type="pct"/>
                  <w:tcBorders>
                    <w:tl2br w:val="nil"/>
                    <w:tr2bl w:val="nil"/>
                  </w:tcBorders>
                  <w:vAlign w:val="center"/>
                </w:tcPr>
                <w:p w14:paraId="322D975D">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乙醇</w:t>
                  </w:r>
                </w:p>
              </w:tc>
              <w:tc>
                <w:tcPr>
                  <w:tcW w:w="1038" w:type="pct"/>
                  <w:tcBorders>
                    <w:tl2br w:val="nil"/>
                    <w:tr2bl w:val="nil"/>
                  </w:tcBorders>
                  <w:vAlign w:val="center"/>
                </w:tcPr>
                <w:p w14:paraId="1A14A3A7">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90</w:t>
                  </w:r>
                </w:p>
              </w:tc>
              <w:tc>
                <w:tcPr>
                  <w:tcW w:w="1250" w:type="pct"/>
                  <w:tcBorders>
                    <w:tl2br w:val="nil"/>
                    <w:tr2bl w:val="nil"/>
                  </w:tcBorders>
                  <w:vAlign w:val="center"/>
                </w:tcPr>
                <w:p w14:paraId="24D7017B">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固液分离</w:t>
                  </w:r>
                  <w:r>
                    <w:rPr>
                      <w:color w:val="000000" w:themeColor="text1"/>
                      <w:kern w:val="0"/>
                      <w:szCs w:val="21"/>
                      <w14:textFill>
                        <w14:solidFill>
                          <w14:schemeClr w14:val="tx1"/>
                        </w14:solidFill>
                      </w14:textFill>
                    </w:rPr>
                    <w:t>废气</w:t>
                  </w:r>
                </w:p>
              </w:tc>
              <w:tc>
                <w:tcPr>
                  <w:tcW w:w="1250" w:type="pct"/>
                  <w:tcBorders>
                    <w:tl2br w:val="nil"/>
                    <w:tr2bl w:val="nil"/>
                  </w:tcBorders>
                  <w:vAlign w:val="center"/>
                </w:tcPr>
                <w:p w14:paraId="67608DEB">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p>
              </w:tc>
            </w:tr>
            <w:tr w14:paraId="256E5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tcBorders>
                    <w:tl2br w:val="nil"/>
                    <w:tr2bl w:val="nil"/>
                  </w:tcBorders>
                  <w:vAlign w:val="center"/>
                </w:tcPr>
                <w:p w14:paraId="47402587">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纯水</w:t>
                  </w:r>
                </w:p>
              </w:tc>
              <w:tc>
                <w:tcPr>
                  <w:tcW w:w="1038" w:type="pct"/>
                  <w:tcBorders>
                    <w:tl2br w:val="nil"/>
                    <w:tr2bl w:val="nil"/>
                  </w:tcBorders>
                  <w:vAlign w:val="center"/>
                </w:tcPr>
                <w:p w14:paraId="02EC7780">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240</w:t>
                  </w:r>
                </w:p>
              </w:tc>
              <w:tc>
                <w:tcPr>
                  <w:tcW w:w="1250" w:type="pct"/>
                  <w:tcBorders>
                    <w:tl2br w:val="nil"/>
                    <w:tr2bl w:val="nil"/>
                  </w:tcBorders>
                  <w:vAlign w:val="center"/>
                </w:tcPr>
                <w:p w14:paraId="44B1199B">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析晶过滤废气</w:t>
                  </w:r>
                </w:p>
              </w:tc>
              <w:tc>
                <w:tcPr>
                  <w:tcW w:w="1250" w:type="pct"/>
                  <w:tcBorders>
                    <w:tl2br w:val="nil"/>
                    <w:tr2bl w:val="nil"/>
                  </w:tcBorders>
                  <w:vAlign w:val="center"/>
                </w:tcPr>
                <w:p w14:paraId="59301A50">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p>
              </w:tc>
            </w:tr>
            <w:tr w14:paraId="4C498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tcBorders>
                    <w:tl2br w:val="nil"/>
                    <w:tr2bl w:val="nil"/>
                  </w:tcBorders>
                  <w:vAlign w:val="center"/>
                </w:tcPr>
                <w:p w14:paraId="155C7BA9">
                  <w:pPr>
                    <w:autoSpaceDE w:val="0"/>
                    <w:autoSpaceDN w:val="0"/>
                    <w:adjustRightInd w:val="0"/>
                    <w:snapToGrid w:val="0"/>
                    <w:jc w:val="center"/>
                    <w:rPr>
                      <w:color w:val="000000" w:themeColor="text1"/>
                      <w:kern w:val="0"/>
                      <w:szCs w:val="21"/>
                      <w14:textFill>
                        <w14:solidFill>
                          <w14:schemeClr w14:val="tx1"/>
                        </w14:solidFill>
                      </w14:textFill>
                    </w:rPr>
                  </w:pPr>
                </w:p>
              </w:tc>
              <w:tc>
                <w:tcPr>
                  <w:tcW w:w="1038" w:type="pct"/>
                  <w:tcBorders>
                    <w:tl2br w:val="nil"/>
                    <w:tr2bl w:val="nil"/>
                  </w:tcBorders>
                  <w:vAlign w:val="center"/>
                </w:tcPr>
                <w:p w14:paraId="1800ADA2">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6D11CBE8">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析晶过滤溶液</w:t>
                  </w:r>
                </w:p>
              </w:tc>
              <w:tc>
                <w:tcPr>
                  <w:tcW w:w="1250" w:type="pct"/>
                  <w:tcBorders>
                    <w:tl2br w:val="nil"/>
                    <w:tr2bl w:val="nil"/>
                  </w:tcBorders>
                  <w:vAlign w:val="center"/>
                </w:tcPr>
                <w:p w14:paraId="5EC87BFD">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380.1</w:t>
                  </w:r>
                </w:p>
              </w:tc>
            </w:tr>
            <w:tr w14:paraId="2BF3D2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tcBorders>
                    <w:tl2br w:val="nil"/>
                    <w:tr2bl w:val="nil"/>
                  </w:tcBorders>
                  <w:vAlign w:val="center"/>
                </w:tcPr>
                <w:p w14:paraId="3C5BD80A">
                  <w:pPr>
                    <w:autoSpaceDE w:val="0"/>
                    <w:autoSpaceDN w:val="0"/>
                    <w:adjustRightInd w:val="0"/>
                    <w:snapToGrid w:val="0"/>
                    <w:jc w:val="center"/>
                    <w:rPr>
                      <w:color w:val="000000" w:themeColor="text1"/>
                      <w:kern w:val="0"/>
                      <w:szCs w:val="21"/>
                      <w14:textFill>
                        <w14:solidFill>
                          <w14:schemeClr w14:val="tx1"/>
                        </w14:solidFill>
                      </w14:textFill>
                    </w:rPr>
                  </w:pPr>
                </w:p>
              </w:tc>
              <w:tc>
                <w:tcPr>
                  <w:tcW w:w="1038" w:type="pct"/>
                  <w:tcBorders>
                    <w:tl2br w:val="nil"/>
                    <w:tr2bl w:val="nil"/>
                  </w:tcBorders>
                  <w:vAlign w:val="center"/>
                </w:tcPr>
                <w:p w14:paraId="2A7BC2A3">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68E6BA3C">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菌渣</w:t>
                  </w:r>
                </w:p>
              </w:tc>
              <w:tc>
                <w:tcPr>
                  <w:tcW w:w="1250" w:type="pct"/>
                  <w:tcBorders>
                    <w:tl2br w:val="nil"/>
                    <w:tr2bl w:val="nil"/>
                  </w:tcBorders>
                  <w:vAlign w:val="center"/>
                </w:tcPr>
                <w:p w14:paraId="76837386">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w:t>
                  </w:r>
                </w:p>
              </w:tc>
            </w:tr>
            <w:tr w14:paraId="4E208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tcBorders>
                    <w:tl2br w:val="nil"/>
                    <w:tr2bl w:val="nil"/>
                  </w:tcBorders>
                  <w:vAlign w:val="center"/>
                </w:tcPr>
                <w:p w14:paraId="43EB6E92">
                  <w:pPr>
                    <w:pStyle w:val="88"/>
                    <w:spacing w:line="70" w:lineRule="atLeas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总计</w:t>
                  </w:r>
                </w:p>
              </w:tc>
              <w:tc>
                <w:tcPr>
                  <w:tcW w:w="1038" w:type="pct"/>
                  <w:tcBorders>
                    <w:tl2br w:val="nil"/>
                    <w:tr2bl w:val="nil"/>
                  </w:tcBorders>
                  <w:vAlign w:val="center"/>
                </w:tcPr>
                <w:p w14:paraId="39FDBE4A">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420</w:t>
                  </w:r>
                </w:p>
              </w:tc>
              <w:tc>
                <w:tcPr>
                  <w:tcW w:w="1250" w:type="pct"/>
                  <w:tcBorders>
                    <w:tl2br w:val="nil"/>
                    <w:tr2bl w:val="nil"/>
                  </w:tcBorders>
                  <w:vAlign w:val="center"/>
                </w:tcPr>
                <w:p w14:paraId="567A0242">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总计</w:t>
                  </w:r>
                </w:p>
              </w:tc>
              <w:tc>
                <w:tcPr>
                  <w:tcW w:w="1250" w:type="pct"/>
                  <w:tcBorders>
                    <w:tl2br w:val="nil"/>
                    <w:tr2bl w:val="nil"/>
                  </w:tcBorders>
                  <w:vAlign w:val="center"/>
                </w:tcPr>
                <w:p w14:paraId="21B594F7">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420</w:t>
                  </w:r>
                </w:p>
              </w:tc>
            </w:tr>
          </w:tbl>
          <w:p w14:paraId="51B2D470">
            <w:pPr>
              <w:autoSpaceDE w:val="0"/>
              <w:autoSpaceDN w:val="0"/>
              <w:adjustRightInd w:val="0"/>
              <w:snapToGri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本项目年使用溶剂萃取法提纯物料30批次。</w:t>
            </w:r>
          </w:p>
          <w:p w14:paraId="548CB98F">
            <w:pPr>
              <w:autoSpaceDE w:val="0"/>
              <w:autoSpaceDN w:val="0"/>
              <w:adjustRightInd w:val="0"/>
              <w:snapToGrid w:val="0"/>
              <w:spacing w:line="480" w:lineRule="exact"/>
              <w:ind w:firstLine="240" w:firstLineChars="100"/>
              <w:rPr>
                <w:b/>
                <w:bCs/>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（3）吸附分离</w:t>
            </w:r>
            <w:r>
              <w:rPr>
                <w:color w:val="000000" w:themeColor="text1"/>
                <w:sz w:val="24"/>
                <w14:textFill>
                  <w14:solidFill>
                    <w14:schemeClr w14:val="tx1"/>
                  </w14:solidFill>
                </w14:textFill>
              </w:rPr>
              <w:t>法</w:t>
            </w:r>
            <w:r>
              <w:rPr>
                <w:rFonts w:hint="eastAsia"/>
                <w:color w:val="000000" w:themeColor="text1"/>
                <w:sz w:val="24"/>
                <w14:textFill>
                  <w14:solidFill>
                    <w14:schemeClr w14:val="tx1"/>
                  </w14:solidFill>
                </w14:textFill>
              </w:rPr>
              <w:t>物料</w:t>
            </w:r>
            <w:r>
              <w:rPr>
                <w:color w:val="000000" w:themeColor="text1"/>
                <w:sz w:val="24"/>
                <w14:textFill>
                  <w14:solidFill>
                    <w14:schemeClr w14:val="tx1"/>
                  </w14:solidFill>
                </w14:textFill>
              </w:rPr>
              <w:t>平衡</w:t>
            </w:r>
          </w:p>
          <w:p w14:paraId="35B779DE">
            <w:pPr>
              <w:autoSpaceDE w:val="0"/>
              <w:autoSpaceDN w:val="0"/>
              <w:adjustRightInd w:val="0"/>
              <w:snapToGrid w:val="0"/>
              <w:jc w:val="center"/>
              <w:rPr>
                <w:b/>
                <w:bCs/>
                <w:color w:val="000000" w:themeColor="text1"/>
                <w:kern w:val="0"/>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4683760" cy="3083560"/>
                  <wp:effectExtent l="0" t="0" r="2540" b="254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13"/>
                          <a:stretch>
                            <a:fillRect/>
                          </a:stretch>
                        </pic:blipFill>
                        <pic:spPr>
                          <a:xfrm>
                            <a:off x="0" y="0"/>
                            <a:ext cx="4683760" cy="3083560"/>
                          </a:xfrm>
                          <a:prstGeom prst="rect">
                            <a:avLst/>
                          </a:prstGeom>
                          <a:noFill/>
                          <a:ln>
                            <a:noFill/>
                          </a:ln>
                        </pic:spPr>
                      </pic:pic>
                    </a:graphicData>
                  </a:graphic>
                </wp:inline>
              </w:drawing>
            </w:r>
          </w:p>
          <w:p w14:paraId="5ACB0819">
            <w:pPr>
              <w:autoSpaceDE w:val="0"/>
              <w:autoSpaceDN w:val="0"/>
              <w:adjustRightInd w:val="0"/>
              <w:snapToGrid w:val="0"/>
              <w:spacing w:before="120" w:beforeLines="50" w:after="120" w:afterLines="50" w:line="360" w:lineRule="exact"/>
              <w:jc w:val="center"/>
              <w:rPr>
                <w:color w:val="000000" w:themeColor="text1"/>
                <w14:textFill>
                  <w14:solidFill>
                    <w14:schemeClr w14:val="tx1"/>
                  </w14:solidFill>
                </w14:textFill>
              </w:rPr>
            </w:pPr>
            <w:r>
              <w:rPr>
                <w:b/>
                <w:bCs/>
                <w:color w:val="000000" w:themeColor="text1"/>
                <w:kern w:val="0"/>
                <w:szCs w:val="21"/>
                <w14:textFill>
                  <w14:solidFill>
                    <w14:schemeClr w14:val="tx1"/>
                  </w14:solidFill>
                </w14:textFill>
              </w:rPr>
              <w:t>图2-</w:t>
            </w:r>
            <w:r>
              <w:rPr>
                <w:rFonts w:hint="eastAsia"/>
                <w:b/>
                <w:bCs/>
                <w:color w:val="000000" w:themeColor="text1"/>
                <w:kern w:val="0"/>
                <w:szCs w:val="21"/>
                <w14:textFill>
                  <w14:solidFill>
                    <w14:schemeClr w14:val="tx1"/>
                  </w14:solidFill>
                </w14:textFill>
              </w:rPr>
              <w:t>4</w:t>
            </w:r>
            <w:r>
              <w:rPr>
                <w:b/>
                <w:bCs/>
                <w:color w:val="000000" w:themeColor="text1"/>
                <w:kern w:val="0"/>
                <w:szCs w:val="21"/>
                <w14:textFill>
                  <w14:solidFill>
                    <w14:schemeClr w14:val="tx1"/>
                  </w14:solidFill>
                </w14:textFill>
              </w:rPr>
              <w:t xml:space="preserve"> </w:t>
            </w:r>
            <w:r>
              <w:rPr>
                <w:rFonts w:hint="eastAsia"/>
                <w:b/>
                <w:bCs/>
                <w:color w:val="000000" w:themeColor="text1"/>
                <w:kern w:val="0"/>
                <w:szCs w:val="21"/>
                <w14:textFill>
                  <w14:solidFill>
                    <w14:schemeClr w14:val="tx1"/>
                  </w14:solidFill>
                </w14:textFill>
              </w:rPr>
              <w:t>批次吸附分离法物料平衡</w:t>
            </w:r>
            <w:r>
              <w:rPr>
                <w:b/>
                <w:bCs/>
                <w:color w:val="000000" w:themeColor="text1"/>
                <w:kern w:val="0"/>
                <w:szCs w:val="21"/>
                <w14:textFill>
                  <w14:solidFill>
                    <w14:schemeClr w14:val="tx1"/>
                  </w14:solidFill>
                </w14:textFill>
              </w:rPr>
              <w:t>图（kg/</w:t>
            </w:r>
            <w:r>
              <w:rPr>
                <w:rFonts w:hint="eastAsia"/>
                <w:b/>
                <w:bCs/>
                <w:color w:val="000000" w:themeColor="text1"/>
                <w:kern w:val="0"/>
                <w:szCs w:val="21"/>
                <w14:textFill>
                  <w14:solidFill>
                    <w14:schemeClr w14:val="tx1"/>
                  </w14:solidFill>
                </w14:textFill>
              </w:rPr>
              <w:t>批次</w:t>
            </w:r>
            <w:r>
              <w:rPr>
                <w:b/>
                <w:bCs/>
                <w:color w:val="000000" w:themeColor="text1"/>
                <w:kern w:val="0"/>
                <w:szCs w:val="21"/>
                <w14:textFill>
                  <w14:solidFill>
                    <w14:schemeClr w14:val="tx1"/>
                  </w14:solidFill>
                </w14:textFill>
              </w:rPr>
              <w:t>）</w:t>
            </w:r>
          </w:p>
          <w:p w14:paraId="3A0287BD">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表2-</w:t>
            </w:r>
            <w:r>
              <w:rPr>
                <w:rFonts w:hint="eastAsia"/>
                <w:b/>
                <w:bCs/>
                <w:color w:val="000000" w:themeColor="text1"/>
                <w:kern w:val="0"/>
                <w:szCs w:val="21"/>
                <w14:textFill>
                  <w14:solidFill>
                    <w14:schemeClr w14:val="tx1"/>
                  </w14:solidFill>
                </w14:textFill>
              </w:rPr>
              <w:t>11</w:t>
            </w:r>
            <w:r>
              <w:rPr>
                <w:b/>
                <w:bCs/>
                <w:color w:val="000000" w:themeColor="text1"/>
                <w:kern w:val="0"/>
                <w:szCs w:val="21"/>
                <w14:textFill>
                  <w14:solidFill>
                    <w14:schemeClr w14:val="tx1"/>
                  </w14:solidFill>
                </w14:textFill>
              </w:rPr>
              <w:t xml:space="preserve">  </w:t>
            </w:r>
            <w:r>
              <w:rPr>
                <w:rFonts w:hint="eastAsia"/>
                <w:b/>
                <w:color w:val="000000" w:themeColor="text1"/>
                <w:szCs w:val="21"/>
                <w14:textFill>
                  <w14:solidFill>
                    <w14:schemeClr w14:val="tx1"/>
                  </w14:solidFill>
                </w14:textFill>
              </w:rPr>
              <w:t>批次</w:t>
            </w:r>
            <w:r>
              <w:rPr>
                <w:rFonts w:hint="eastAsia"/>
                <w:b/>
                <w:bCs/>
                <w:color w:val="000000" w:themeColor="text1"/>
                <w:kern w:val="0"/>
                <w:szCs w:val="21"/>
                <w14:textFill>
                  <w14:solidFill>
                    <w14:schemeClr w14:val="tx1"/>
                  </w14:solidFill>
                </w14:textFill>
              </w:rPr>
              <w:t>吸附分离法</w:t>
            </w:r>
            <w:r>
              <w:rPr>
                <w:b/>
                <w:bCs/>
                <w:color w:val="000000" w:themeColor="text1"/>
                <w:kern w:val="0"/>
                <w:szCs w:val="21"/>
                <w14:textFill>
                  <w14:solidFill>
                    <w14:schemeClr w14:val="tx1"/>
                  </w14:solidFill>
                </w14:textFill>
              </w:rPr>
              <w:t>物料平衡</w:t>
            </w:r>
            <w:r>
              <w:rPr>
                <w:rFonts w:hint="eastAsia"/>
                <w:b/>
                <w:bCs/>
                <w:color w:val="000000" w:themeColor="text1"/>
                <w:kern w:val="0"/>
                <w:szCs w:val="21"/>
                <w14:textFill>
                  <w14:solidFill>
                    <w14:schemeClr w14:val="tx1"/>
                  </w14:solidFill>
                </w14:textFill>
              </w:rPr>
              <w:t>表</w:t>
            </w:r>
            <w:r>
              <w:rPr>
                <w:b/>
                <w:bCs/>
                <w:color w:val="000000" w:themeColor="text1"/>
                <w:kern w:val="0"/>
                <w:szCs w:val="21"/>
                <w14:textFill>
                  <w14:solidFill>
                    <w14:schemeClr w14:val="tx1"/>
                  </w14:solidFill>
                </w14:textFill>
              </w:rPr>
              <w:t>（kg/</w:t>
            </w:r>
            <w:r>
              <w:rPr>
                <w:rFonts w:hint="eastAsia"/>
                <w:b/>
                <w:bCs/>
                <w:color w:val="000000" w:themeColor="text1"/>
                <w:kern w:val="0"/>
                <w:szCs w:val="21"/>
                <w14:textFill>
                  <w14:solidFill>
                    <w14:schemeClr w14:val="tx1"/>
                  </w14:solidFill>
                </w14:textFill>
              </w:rPr>
              <w:t>批次</w:t>
            </w:r>
            <w:r>
              <w:rPr>
                <w:b/>
                <w:bCs/>
                <w:color w:val="000000" w:themeColor="text1"/>
                <w:kern w:val="0"/>
                <w:szCs w:val="21"/>
                <w14:textFill>
                  <w14:solidFill>
                    <w14:schemeClr w14:val="tx1"/>
                  </w14:solidFill>
                </w14:textFill>
              </w:rPr>
              <w:t>）</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3"/>
              <w:gridCol w:w="1771"/>
              <w:gridCol w:w="2483"/>
              <w:gridCol w:w="2323"/>
            </w:tblGrid>
            <w:tr w14:paraId="6B96A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3" w:type="pct"/>
                  <w:gridSpan w:val="2"/>
                  <w:tcBorders>
                    <w:tl2br w:val="nil"/>
                    <w:tr2bl w:val="nil"/>
                  </w:tcBorders>
                  <w:vAlign w:val="center"/>
                </w:tcPr>
                <w:p w14:paraId="0E1E43A4">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输入</w:t>
                  </w:r>
                </w:p>
              </w:tc>
              <w:tc>
                <w:tcPr>
                  <w:tcW w:w="2586" w:type="pct"/>
                  <w:gridSpan w:val="2"/>
                  <w:tcBorders>
                    <w:tl2br w:val="nil"/>
                    <w:tr2bl w:val="nil"/>
                  </w:tcBorders>
                  <w:vAlign w:val="center"/>
                </w:tcPr>
                <w:p w14:paraId="3A15A639">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输出</w:t>
                  </w:r>
                </w:p>
              </w:tc>
            </w:tr>
            <w:tr w14:paraId="1C0F4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0" w:type="pct"/>
                  <w:tcBorders>
                    <w:tl2br w:val="nil"/>
                    <w:tr2bl w:val="nil"/>
                  </w:tcBorders>
                  <w:vAlign w:val="center"/>
                </w:tcPr>
                <w:p w14:paraId="0CEB11F4">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发酵液</w:t>
                  </w:r>
                </w:p>
              </w:tc>
              <w:tc>
                <w:tcPr>
                  <w:tcW w:w="953" w:type="pct"/>
                  <w:tcBorders>
                    <w:tl2br w:val="nil"/>
                    <w:tr2bl w:val="nil"/>
                  </w:tcBorders>
                  <w:vAlign w:val="center"/>
                </w:tcPr>
                <w:p w14:paraId="311C6820">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1336" w:type="pct"/>
                  <w:tcBorders>
                    <w:tl2br w:val="nil"/>
                    <w:tr2bl w:val="nil"/>
                  </w:tcBorders>
                  <w:vAlign w:val="center"/>
                </w:tcPr>
                <w:p w14:paraId="29D36D17">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色氨酸/5-羟基色氨酸</w:t>
                  </w:r>
                </w:p>
              </w:tc>
              <w:tc>
                <w:tcPr>
                  <w:tcW w:w="1250" w:type="pct"/>
                  <w:tcBorders>
                    <w:tl2br w:val="nil"/>
                    <w:tr2bl w:val="nil"/>
                  </w:tcBorders>
                  <w:vAlign w:val="center"/>
                </w:tcPr>
                <w:p w14:paraId="2F0CE08D">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0.1</w:t>
                  </w:r>
                </w:p>
              </w:tc>
            </w:tr>
            <w:tr w14:paraId="5A418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460" w:type="pct"/>
                  <w:tcBorders>
                    <w:tl2br w:val="nil"/>
                    <w:tr2bl w:val="nil"/>
                  </w:tcBorders>
                  <w:vAlign w:val="center"/>
                </w:tcPr>
                <w:p w14:paraId="116AC5EA">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纯水</w:t>
                  </w:r>
                </w:p>
              </w:tc>
              <w:tc>
                <w:tcPr>
                  <w:tcW w:w="953" w:type="pct"/>
                  <w:tcBorders>
                    <w:tl2br w:val="nil"/>
                    <w:tr2bl w:val="nil"/>
                  </w:tcBorders>
                  <w:vAlign w:val="center"/>
                </w:tcPr>
                <w:p w14:paraId="48375901">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24.973</w:t>
                  </w:r>
                </w:p>
              </w:tc>
              <w:tc>
                <w:tcPr>
                  <w:tcW w:w="1336" w:type="pct"/>
                  <w:tcBorders>
                    <w:tl2br w:val="nil"/>
                    <w:tr2bl w:val="nil"/>
                  </w:tcBorders>
                  <w:vAlign w:val="center"/>
                </w:tcPr>
                <w:p w14:paraId="0E5E61A5">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菌渣</w:t>
                  </w:r>
                </w:p>
              </w:tc>
              <w:tc>
                <w:tcPr>
                  <w:tcW w:w="1250" w:type="pct"/>
                  <w:tcBorders>
                    <w:tl2br w:val="nil"/>
                    <w:tr2bl w:val="nil"/>
                  </w:tcBorders>
                  <w:vAlign w:val="center"/>
                </w:tcPr>
                <w:p w14:paraId="55D4A818">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3E225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tcBorders>
                    <w:tl2br w:val="nil"/>
                    <w:tr2bl w:val="nil"/>
                  </w:tcBorders>
                  <w:vAlign w:val="center"/>
                </w:tcPr>
                <w:p w14:paraId="1DED8747">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氢氧化钠</w:t>
                  </w:r>
                </w:p>
              </w:tc>
              <w:tc>
                <w:tcPr>
                  <w:tcW w:w="953" w:type="pct"/>
                  <w:tcBorders>
                    <w:tl2br w:val="nil"/>
                    <w:tr2bl w:val="nil"/>
                  </w:tcBorders>
                  <w:vAlign w:val="center"/>
                </w:tcPr>
                <w:p w14:paraId="3C6B7168">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0.027</w:t>
                  </w:r>
                </w:p>
              </w:tc>
              <w:tc>
                <w:tcPr>
                  <w:tcW w:w="1336" w:type="pct"/>
                  <w:tcBorders>
                    <w:tl2br w:val="nil"/>
                    <w:tr2bl w:val="nil"/>
                  </w:tcBorders>
                  <w:vAlign w:val="center"/>
                </w:tcPr>
                <w:p w14:paraId="00EA689E">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废液</w:t>
                  </w:r>
                </w:p>
              </w:tc>
              <w:tc>
                <w:tcPr>
                  <w:tcW w:w="1250" w:type="pct"/>
                  <w:tcBorders>
                    <w:tl2br w:val="nil"/>
                    <w:tr2bl w:val="nil"/>
                  </w:tcBorders>
                  <w:vAlign w:val="center"/>
                </w:tcPr>
                <w:p w14:paraId="3BBC33F7">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26.9</w:t>
                  </w:r>
                </w:p>
              </w:tc>
            </w:tr>
            <w:tr w14:paraId="3CE8D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tcBorders>
                    <w:tl2br w:val="nil"/>
                    <w:tr2bl w:val="nil"/>
                  </w:tcBorders>
                  <w:vAlign w:val="center"/>
                </w:tcPr>
                <w:p w14:paraId="46934808">
                  <w:pPr>
                    <w:pStyle w:val="88"/>
                    <w:spacing w:line="70" w:lineRule="atLeas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总计</w:t>
                  </w:r>
                </w:p>
              </w:tc>
              <w:tc>
                <w:tcPr>
                  <w:tcW w:w="953" w:type="pct"/>
                  <w:tcBorders>
                    <w:tl2br w:val="nil"/>
                    <w:tr2bl w:val="nil"/>
                  </w:tcBorders>
                  <w:vAlign w:val="center"/>
                </w:tcPr>
                <w:p w14:paraId="1B3F3233">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28</w:t>
                  </w:r>
                </w:p>
              </w:tc>
              <w:tc>
                <w:tcPr>
                  <w:tcW w:w="1336" w:type="pct"/>
                  <w:tcBorders>
                    <w:tl2br w:val="nil"/>
                    <w:tr2bl w:val="nil"/>
                  </w:tcBorders>
                  <w:vAlign w:val="center"/>
                </w:tcPr>
                <w:p w14:paraId="62759974">
                  <w:pPr>
                    <w:pStyle w:val="88"/>
                    <w:spacing w:line="70" w:lineRule="atLeas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总计</w:t>
                  </w:r>
                </w:p>
              </w:tc>
              <w:tc>
                <w:tcPr>
                  <w:tcW w:w="1250" w:type="pct"/>
                  <w:tcBorders>
                    <w:tl2br w:val="nil"/>
                    <w:tr2bl w:val="nil"/>
                  </w:tcBorders>
                  <w:vAlign w:val="center"/>
                </w:tcPr>
                <w:p w14:paraId="548CE98E">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28</w:t>
                  </w:r>
                </w:p>
              </w:tc>
            </w:tr>
          </w:tbl>
          <w:p w14:paraId="4B2A9D16">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表2-</w:t>
            </w:r>
            <w:r>
              <w:rPr>
                <w:rFonts w:hint="eastAsia"/>
                <w:b/>
                <w:bCs/>
                <w:color w:val="000000" w:themeColor="text1"/>
                <w:kern w:val="0"/>
                <w:szCs w:val="21"/>
                <w14:textFill>
                  <w14:solidFill>
                    <w14:schemeClr w14:val="tx1"/>
                  </w14:solidFill>
                </w14:textFill>
              </w:rPr>
              <w:t>12</w:t>
            </w:r>
            <w:r>
              <w:rPr>
                <w:b/>
                <w:bCs/>
                <w:color w:val="000000" w:themeColor="text1"/>
                <w:kern w:val="0"/>
                <w:szCs w:val="21"/>
                <w14:textFill>
                  <w14:solidFill>
                    <w14:schemeClr w14:val="tx1"/>
                  </w14:solidFill>
                </w14:textFill>
              </w:rPr>
              <w:t xml:space="preserve">  </w:t>
            </w:r>
            <w:r>
              <w:rPr>
                <w:rFonts w:hint="eastAsia"/>
                <w:b/>
                <w:color w:val="000000" w:themeColor="text1"/>
                <w:szCs w:val="21"/>
                <w14:textFill>
                  <w14:solidFill>
                    <w14:schemeClr w14:val="tx1"/>
                  </w14:solidFill>
                </w14:textFill>
              </w:rPr>
              <w:t>年</w:t>
            </w:r>
            <w:r>
              <w:rPr>
                <w:rFonts w:hint="eastAsia"/>
                <w:b/>
                <w:bCs/>
                <w:color w:val="000000" w:themeColor="text1"/>
                <w:kern w:val="0"/>
                <w:szCs w:val="21"/>
                <w14:textFill>
                  <w14:solidFill>
                    <w14:schemeClr w14:val="tx1"/>
                  </w14:solidFill>
                </w14:textFill>
              </w:rPr>
              <w:t>吸附分离法</w:t>
            </w:r>
            <w:r>
              <w:rPr>
                <w:b/>
                <w:bCs/>
                <w:color w:val="000000" w:themeColor="text1"/>
                <w:kern w:val="0"/>
                <w:szCs w:val="21"/>
                <w14:textFill>
                  <w14:solidFill>
                    <w14:schemeClr w14:val="tx1"/>
                  </w14:solidFill>
                </w14:textFill>
              </w:rPr>
              <w:t>物料平衡</w:t>
            </w:r>
            <w:r>
              <w:rPr>
                <w:rFonts w:hint="eastAsia"/>
                <w:b/>
                <w:bCs/>
                <w:color w:val="000000" w:themeColor="text1"/>
                <w:kern w:val="0"/>
                <w:szCs w:val="21"/>
                <w14:textFill>
                  <w14:solidFill>
                    <w14:schemeClr w14:val="tx1"/>
                  </w14:solidFill>
                </w14:textFill>
              </w:rPr>
              <w:t>表</w:t>
            </w:r>
            <w:r>
              <w:rPr>
                <w:b/>
                <w:bCs/>
                <w:color w:val="000000" w:themeColor="text1"/>
                <w:kern w:val="0"/>
                <w:szCs w:val="21"/>
                <w14:textFill>
                  <w14:solidFill>
                    <w14:schemeClr w14:val="tx1"/>
                  </w14:solidFill>
                </w14:textFill>
              </w:rPr>
              <w:t>（kg/</w:t>
            </w:r>
            <w:r>
              <w:rPr>
                <w:rFonts w:hint="eastAsia"/>
                <w:b/>
                <w:bCs/>
                <w:color w:val="000000" w:themeColor="text1"/>
                <w:kern w:val="0"/>
                <w:szCs w:val="21"/>
                <w14:textFill>
                  <w14:solidFill>
                    <w14:schemeClr w14:val="tx1"/>
                  </w14:solidFill>
                </w14:textFill>
              </w:rPr>
              <w:t>a</w:t>
            </w:r>
            <w:r>
              <w:rPr>
                <w:b/>
                <w:bCs/>
                <w:color w:val="000000" w:themeColor="text1"/>
                <w:kern w:val="0"/>
                <w:szCs w:val="21"/>
                <w14:textFill>
                  <w14:solidFill>
                    <w14:schemeClr w14:val="tx1"/>
                  </w14:solidFill>
                </w14:textFill>
              </w:rPr>
              <w:t>）</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3"/>
              <w:gridCol w:w="1771"/>
              <w:gridCol w:w="2483"/>
              <w:gridCol w:w="2323"/>
            </w:tblGrid>
            <w:tr w14:paraId="15D17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3" w:type="pct"/>
                  <w:gridSpan w:val="2"/>
                  <w:tcBorders>
                    <w:tl2br w:val="nil"/>
                    <w:tr2bl w:val="nil"/>
                  </w:tcBorders>
                  <w:vAlign w:val="center"/>
                </w:tcPr>
                <w:p w14:paraId="3CD92B03">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输入</w:t>
                  </w:r>
                </w:p>
              </w:tc>
              <w:tc>
                <w:tcPr>
                  <w:tcW w:w="2586" w:type="pct"/>
                  <w:gridSpan w:val="2"/>
                  <w:tcBorders>
                    <w:tl2br w:val="nil"/>
                    <w:tr2bl w:val="nil"/>
                  </w:tcBorders>
                  <w:vAlign w:val="center"/>
                </w:tcPr>
                <w:p w14:paraId="7253D9A5">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输出</w:t>
                  </w:r>
                </w:p>
              </w:tc>
            </w:tr>
            <w:tr w14:paraId="7DD6F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0" w:type="pct"/>
                  <w:tcBorders>
                    <w:tl2br w:val="nil"/>
                    <w:tr2bl w:val="nil"/>
                  </w:tcBorders>
                  <w:vAlign w:val="center"/>
                </w:tcPr>
                <w:p w14:paraId="205C9392">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发酵液</w:t>
                  </w:r>
                </w:p>
              </w:tc>
              <w:tc>
                <w:tcPr>
                  <w:tcW w:w="953" w:type="pct"/>
                  <w:tcBorders>
                    <w:tl2br w:val="nil"/>
                    <w:tr2bl w:val="nil"/>
                  </w:tcBorders>
                  <w:vAlign w:val="center"/>
                </w:tcPr>
                <w:p w14:paraId="1A961584">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60</w:t>
                  </w:r>
                </w:p>
              </w:tc>
              <w:tc>
                <w:tcPr>
                  <w:tcW w:w="1336" w:type="pct"/>
                  <w:tcBorders>
                    <w:tl2br w:val="nil"/>
                    <w:tr2bl w:val="nil"/>
                  </w:tcBorders>
                  <w:vAlign w:val="center"/>
                </w:tcPr>
                <w:p w14:paraId="0AC43BC1">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色氨酸/5-羟基色氨酸</w:t>
                  </w:r>
                </w:p>
              </w:tc>
              <w:tc>
                <w:tcPr>
                  <w:tcW w:w="1250" w:type="pct"/>
                  <w:tcBorders>
                    <w:tl2br w:val="nil"/>
                    <w:tr2bl w:val="nil"/>
                  </w:tcBorders>
                  <w:vAlign w:val="center"/>
                </w:tcPr>
                <w:p w14:paraId="25350394">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r w14:paraId="2BFD6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460" w:type="pct"/>
                  <w:tcBorders>
                    <w:tl2br w:val="nil"/>
                    <w:tr2bl w:val="nil"/>
                  </w:tcBorders>
                  <w:vAlign w:val="center"/>
                </w:tcPr>
                <w:p w14:paraId="3B7CAE81">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纯水</w:t>
                  </w:r>
                </w:p>
              </w:tc>
              <w:tc>
                <w:tcPr>
                  <w:tcW w:w="953" w:type="pct"/>
                  <w:tcBorders>
                    <w:tl2br w:val="nil"/>
                    <w:tr2bl w:val="nil"/>
                  </w:tcBorders>
                  <w:vAlign w:val="center"/>
                </w:tcPr>
                <w:p w14:paraId="393F6EE5">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499.46</w:t>
                  </w:r>
                </w:p>
              </w:tc>
              <w:tc>
                <w:tcPr>
                  <w:tcW w:w="1336" w:type="pct"/>
                  <w:tcBorders>
                    <w:tl2br w:val="nil"/>
                    <w:tr2bl w:val="nil"/>
                  </w:tcBorders>
                  <w:vAlign w:val="center"/>
                </w:tcPr>
                <w:p w14:paraId="518E0D79">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菌渣</w:t>
                  </w:r>
                </w:p>
              </w:tc>
              <w:tc>
                <w:tcPr>
                  <w:tcW w:w="1250" w:type="pct"/>
                  <w:tcBorders>
                    <w:tl2br w:val="nil"/>
                    <w:tr2bl w:val="nil"/>
                  </w:tcBorders>
                  <w:vAlign w:val="center"/>
                </w:tcPr>
                <w:p w14:paraId="51A7C355">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r>
            <w:tr w14:paraId="2BCF0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tcBorders>
                    <w:tl2br w:val="nil"/>
                    <w:tr2bl w:val="nil"/>
                  </w:tcBorders>
                  <w:vAlign w:val="center"/>
                </w:tcPr>
                <w:p w14:paraId="348C5BD6">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氢氧化钠</w:t>
                  </w:r>
                </w:p>
              </w:tc>
              <w:tc>
                <w:tcPr>
                  <w:tcW w:w="953" w:type="pct"/>
                  <w:tcBorders>
                    <w:tl2br w:val="nil"/>
                    <w:tr2bl w:val="nil"/>
                  </w:tcBorders>
                  <w:vAlign w:val="center"/>
                </w:tcPr>
                <w:p w14:paraId="07ABEAED">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0.54</w:t>
                  </w:r>
                </w:p>
              </w:tc>
              <w:tc>
                <w:tcPr>
                  <w:tcW w:w="1336" w:type="pct"/>
                  <w:tcBorders>
                    <w:tl2br w:val="nil"/>
                    <w:tr2bl w:val="nil"/>
                  </w:tcBorders>
                  <w:vAlign w:val="center"/>
                </w:tcPr>
                <w:p w14:paraId="696032D4">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废液</w:t>
                  </w:r>
                </w:p>
              </w:tc>
              <w:tc>
                <w:tcPr>
                  <w:tcW w:w="1250" w:type="pct"/>
                  <w:tcBorders>
                    <w:tl2br w:val="nil"/>
                    <w:tr2bl w:val="nil"/>
                  </w:tcBorders>
                  <w:vAlign w:val="center"/>
                </w:tcPr>
                <w:p w14:paraId="2A8AD9B7">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538</w:t>
                  </w:r>
                </w:p>
              </w:tc>
            </w:tr>
            <w:tr w14:paraId="21967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tcBorders>
                    <w:tl2br w:val="nil"/>
                    <w:tr2bl w:val="nil"/>
                  </w:tcBorders>
                  <w:vAlign w:val="center"/>
                </w:tcPr>
                <w:p w14:paraId="415E0139">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 </w:t>
                  </w:r>
                  <w:r>
                    <w:rPr>
                      <w:color w:val="000000" w:themeColor="text1"/>
                      <w:kern w:val="0"/>
                      <w:szCs w:val="21"/>
                      <w14:textFill>
                        <w14:solidFill>
                          <w14:schemeClr w14:val="tx1"/>
                        </w14:solidFill>
                      </w14:textFill>
                    </w:rPr>
                    <w:t>总计</w:t>
                  </w:r>
                </w:p>
              </w:tc>
              <w:tc>
                <w:tcPr>
                  <w:tcW w:w="953" w:type="pct"/>
                  <w:tcBorders>
                    <w:tl2br w:val="nil"/>
                    <w:tr2bl w:val="nil"/>
                  </w:tcBorders>
                  <w:vAlign w:val="center"/>
                </w:tcPr>
                <w:p w14:paraId="4E61BD80">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560</w:t>
                  </w:r>
                </w:p>
              </w:tc>
              <w:tc>
                <w:tcPr>
                  <w:tcW w:w="1336" w:type="pct"/>
                  <w:tcBorders>
                    <w:tl2br w:val="nil"/>
                    <w:tr2bl w:val="nil"/>
                  </w:tcBorders>
                  <w:vAlign w:val="center"/>
                </w:tcPr>
                <w:p w14:paraId="16AFB08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总计</w:t>
                  </w:r>
                </w:p>
              </w:tc>
              <w:tc>
                <w:tcPr>
                  <w:tcW w:w="1250" w:type="pct"/>
                  <w:tcBorders>
                    <w:tl2br w:val="nil"/>
                    <w:tr2bl w:val="nil"/>
                  </w:tcBorders>
                  <w:vAlign w:val="center"/>
                </w:tcPr>
                <w:p w14:paraId="6D1389B3">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560</w:t>
                  </w:r>
                </w:p>
              </w:tc>
            </w:tr>
          </w:tbl>
          <w:p w14:paraId="24953839">
            <w:pPr>
              <w:autoSpaceDE w:val="0"/>
              <w:autoSpaceDN w:val="0"/>
              <w:adjustRightInd w:val="0"/>
              <w:snapToGri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本项目年使用吸附分离法提纯物料20批次。</w:t>
            </w:r>
          </w:p>
          <w:p w14:paraId="0B9A9669">
            <w:pPr>
              <w:autoSpaceDE w:val="0"/>
              <w:autoSpaceDN w:val="0"/>
              <w:adjustRightInd w:val="0"/>
              <w:snapToGrid w:val="0"/>
              <w:spacing w:line="480" w:lineRule="exact"/>
              <w:ind w:firstLine="240" w:firstLineChars="1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（4）溶剂萃取法乙醇平衡</w:t>
            </w:r>
          </w:p>
          <w:p w14:paraId="4488FA5C">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表2-</w:t>
            </w:r>
            <w:r>
              <w:rPr>
                <w:rFonts w:hint="eastAsia"/>
                <w:b/>
                <w:bCs/>
                <w:color w:val="000000" w:themeColor="text1"/>
                <w:kern w:val="0"/>
                <w:szCs w:val="21"/>
                <w14:textFill>
                  <w14:solidFill>
                    <w14:schemeClr w14:val="tx1"/>
                  </w14:solidFill>
                </w14:textFill>
              </w:rPr>
              <w:t>13</w:t>
            </w:r>
            <w:r>
              <w:rPr>
                <w:b/>
                <w:bCs/>
                <w:color w:val="000000" w:themeColor="text1"/>
                <w:kern w:val="0"/>
                <w:szCs w:val="21"/>
                <w14:textFill>
                  <w14:solidFill>
                    <w14:schemeClr w14:val="tx1"/>
                  </w14:solidFill>
                </w14:textFill>
              </w:rPr>
              <w:t xml:space="preserve">  </w:t>
            </w:r>
            <w:r>
              <w:rPr>
                <w:rFonts w:hint="eastAsia"/>
                <w:b/>
                <w:color w:val="000000" w:themeColor="text1"/>
                <w:szCs w:val="21"/>
                <w14:textFill>
                  <w14:solidFill>
                    <w14:schemeClr w14:val="tx1"/>
                  </w14:solidFill>
                </w14:textFill>
              </w:rPr>
              <w:t>年</w:t>
            </w:r>
            <w:r>
              <w:rPr>
                <w:rFonts w:hint="eastAsia"/>
                <w:b/>
                <w:bCs/>
                <w:color w:val="000000" w:themeColor="text1"/>
                <w:kern w:val="0"/>
                <w:szCs w:val="21"/>
                <w14:textFill>
                  <w14:solidFill>
                    <w14:schemeClr w14:val="tx1"/>
                  </w14:solidFill>
                </w14:textFill>
              </w:rPr>
              <w:t>溶剂萃取法乙醇</w:t>
            </w:r>
            <w:r>
              <w:rPr>
                <w:b/>
                <w:bCs/>
                <w:color w:val="000000" w:themeColor="text1"/>
                <w:kern w:val="0"/>
                <w:szCs w:val="21"/>
                <w14:textFill>
                  <w14:solidFill>
                    <w14:schemeClr w14:val="tx1"/>
                  </w14:solidFill>
                </w14:textFill>
              </w:rPr>
              <w:t>平衡</w:t>
            </w:r>
            <w:r>
              <w:rPr>
                <w:rFonts w:hint="eastAsia"/>
                <w:b/>
                <w:bCs/>
                <w:color w:val="000000" w:themeColor="text1"/>
                <w:kern w:val="0"/>
                <w:szCs w:val="21"/>
                <w14:textFill>
                  <w14:solidFill>
                    <w14:schemeClr w14:val="tx1"/>
                  </w14:solidFill>
                </w14:textFill>
              </w:rPr>
              <w:t>表</w:t>
            </w:r>
            <w:r>
              <w:rPr>
                <w:b/>
                <w:bCs/>
                <w:color w:val="000000" w:themeColor="text1"/>
                <w:kern w:val="0"/>
                <w:szCs w:val="21"/>
                <w14:textFill>
                  <w14:solidFill>
                    <w14:schemeClr w14:val="tx1"/>
                  </w14:solidFill>
                </w14:textFill>
              </w:rPr>
              <w:t>（kg/</w:t>
            </w:r>
            <w:r>
              <w:rPr>
                <w:rFonts w:hint="eastAsia"/>
                <w:b/>
                <w:bCs/>
                <w:color w:val="000000" w:themeColor="text1"/>
                <w:kern w:val="0"/>
                <w:szCs w:val="21"/>
                <w14:textFill>
                  <w14:solidFill>
                    <w14:schemeClr w14:val="tx1"/>
                  </w14:solidFill>
                </w14:textFill>
              </w:rPr>
              <w:t>a</w:t>
            </w:r>
            <w:r>
              <w:rPr>
                <w:b/>
                <w:bCs/>
                <w:color w:val="000000" w:themeColor="text1"/>
                <w:kern w:val="0"/>
                <w:szCs w:val="21"/>
                <w14:textFill>
                  <w14:solidFill>
                    <w14:schemeClr w14:val="tx1"/>
                  </w14:solidFill>
                </w14:textFill>
              </w:rPr>
              <w:t>）</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3"/>
              <w:gridCol w:w="1931"/>
              <w:gridCol w:w="2323"/>
              <w:gridCol w:w="2323"/>
            </w:tblGrid>
            <w:tr w14:paraId="25385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gridSpan w:val="2"/>
                  <w:tcBorders>
                    <w:tl2br w:val="nil"/>
                    <w:tr2bl w:val="nil"/>
                  </w:tcBorders>
                  <w:vAlign w:val="center"/>
                </w:tcPr>
                <w:p w14:paraId="55F96872">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输入</w:t>
                  </w:r>
                </w:p>
              </w:tc>
              <w:tc>
                <w:tcPr>
                  <w:tcW w:w="2500" w:type="pct"/>
                  <w:gridSpan w:val="2"/>
                  <w:tcBorders>
                    <w:tl2br w:val="nil"/>
                    <w:tr2bl w:val="nil"/>
                  </w:tcBorders>
                  <w:vAlign w:val="center"/>
                </w:tcPr>
                <w:p w14:paraId="5C28D320">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输出</w:t>
                  </w:r>
                </w:p>
              </w:tc>
            </w:tr>
            <w:tr w14:paraId="1B9DF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0" w:type="pct"/>
                  <w:tcBorders>
                    <w:tl2br w:val="nil"/>
                    <w:tr2bl w:val="nil"/>
                  </w:tcBorders>
                  <w:vAlign w:val="center"/>
                </w:tcPr>
                <w:p w14:paraId="7DE84B3B">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外购乙醇</w:t>
                  </w:r>
                </w:p>
              </w:tc>
              <w:tc>
                <w:tcPr>
                  <w:tcW w:w="1038" w:type="pct"/>
                  <w:tcBorders>
                    <w:tl2br w:val="nil"/>
                    <w:tr2bl w:val="nil"/>
                  </w:tcBorders>
                  <w:vAlign w:val="center"/>
                </w:tcPr>
                <w:p w14:paraId="539B234C">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54</w:t>
                  </w:r>
                </w:p>
              </w:tc>
              <w:tc>
                <w:tcPr>
                  <w:tcW w:w="1250" w:type="pct"/>
                  <w:tcBorders>
                    <w:tl2br w:val="nil"/>
                    <w:tr2bl w:val="nil"/>
                  </w:tcBorders>
                  <w:vAlign w:val="center"/>
                </w:tcPr>
                <w:p w14:paraId="01A60709">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废气</w:t>
                  </w:r>
                </w:p>
              </w:tc>
              <w:tc>
                <w:tcPr>
                  <w:tcW w:w="1250" w:type="pct"/>
                  <w:tcBorders>
                    <w:tl2br w:val="nil"/>
                    <w:tr2bl w:val="nil"/>
                  </w:tcBorders>
                  <w:vAlign w:val="center"/>
                </w:tcPr>
                <w:p w14:paraId="59689160">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w:t>
                  </w:r>
                </w:p>
              </w:tc>
            </w:tr>
            <w:tr w14:paraId="04CCF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460" w:type="pct"/>
                  <w:tcBorders>
                    <w:tl2br w:val="nil"/>
                    <w:tr2bl w:val="nil"/>
                  </w:tcBorders>
                  <w:vAlign w:val="center"/>
                </w:tcPr>
                <w:p w14:paraId="161B9799">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回用乙醇</w:t>
                  </w:r>
                </w:p>
              </w:tc>
              <w:tc>
                <w:tcPr>
                  <w:tcW w:w="1038" w:type="pct"/>
                  <w:tcBorders>
                    <w:tl2br w:val="nil"/>
                    <w:tr2bl w:val="nil"/>
                  </w:tcBorders>
                  <w:vAlign w:val="center"/>
                </w:tcPr>
                <w:p w14:paraId="3B93954F">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36</w:t>
                  </w:r>
                </w:p>
              </w:tc>
              <w:tc>
                <w:tcPr>
                  <w:tcW w:w="1250" w:type="pct"/>
                  <w:tcBorders>
                    <w:tl2br w:val="nil"/>
                    <w:tr2bl w:val="nil"/>
                  </w:tcBorders>
                  <w:vAlign w:val="center"/>
                </w:tcPr>
                <w:p w14:paraId="27D3D18A">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固废</w:t>
                  </w:r>
                </w:p>
              </w:tc>
              <w:tc>
                <w:tcPr>
                  <w:tcW w:w="1250" w:type="pct"/>
                  <w:tcBorders>
                    <w:tl2br w:val="nil"/>
                    <w:tr2bl w:val="nil"/>
                  </w:tcBorders>
                  <w:vAlign w:val="center"/>
                </w:tcPr>
                <w:p w14:paraId="041A6CCF">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36</w:t>
                  </w:r>
                </w:p>
              </w:tc>
            </w:tr>
            <w:tr w14:paraId="5AF9F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tcBorders>
                    <w:tl2br w:val="nil"/>
                    <w:tr2bl w:val="nil"/>
                  </w:tcBorders>
                  <w:vAlign w:val="center"/>
                </w:tcPr>
                <w:p w14:paraId="45C2234C">
                  <w:pPr>
                    <w:autoSpaceDE w:val="0"/>
                    <w:autoSpaceDN w:val="0"/>
                    <w:adjustRightInd w:val="0"/>
                    <w:snapToGrid w:val="0"/>
                    <w:jc w:val="center"/>
                    <w:rPr>
                      <w:color w:val="000000" w:themeColor="text1"/>
                      <w:kern w:val="0"/>
                      <w:szCs w:val="21"/>
                      <w14:textFill>
                        <w14:solidFill>
                          <w14:schemeClr w14:val="tx1"/>
                        </w14:solidFill>
                      </w14:textFill>
                    </w:rPr>
                  </w:pPr>
                </w:p>
              </w:tc>
              <w:tc>
                <w:tcPr>
                  <w:tcW w:w="1038" w:type="pct"/>
                  <w:tcBorders>
                    <w:tl2br w:val="nil"/>
                    <w:tr2bl w:val="nil"/>
                  </w:tcBorders>
                  <w:vAlign w:val="center"/>
                </w:tcPr>
                <w:p w14:paraId="43D0E65D">
                  <w:pPr>
                    <w:autoSpaceDE w:val="0"/>
                    <w:autoSpaceDN w:val="0"/>
                    <w:adjustRightInd w:val="0"/>
                    <w:snapToGrid w:val="0"/>
                    <w:jc w:val="center"/>
                    <w:rPr>
                      <w:color w:val="000000" w:themeColor="text1"/>
                      <w:kern w:val="0"/>
                      <w:szCs w:val="21"/>
                      <w14:textFill>
                        <w14:solidFill>
                          <w14:schemeClr w14:val="tx1"/>
                        </w14:solidFill>
                      </w14:textFill>
                    </w:rPr>
                  </w:pPr>
                </w:p>
              </w:tc>
              <w:tc>
                <w:tcPr>
                  <w:tcW w:w="1250" w:type="pct"/>
                  <w:tcBorders>
                    <w:tl2br w:val="nil"/>
                    <w:tr2bl w:val="nil"/>
                  </w:tcBorders>
                  <w:vAlign w:val="center"/>
                </w:tcPr>
                <w:p w14:paraId="402249C3">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回用</w:t>
                  </w:r>
                </w:p>
              </w:tc>
              <w:tc>
                <w:tcPr>
                  <w:tcW w:w="1250" w:type="pct"/>
                  <w:tcBorders>
                    <w:tl2br w:val="nil"/>
                    <w:tr2bl w:val="nil"/>
                  </w:tcBorders>
                  <w:vAlign w:val="center"/>
                </w:tcPr>
                <w:p w14:paraId="7E749EB8">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36</w:t>
                  </w:r>
                </w:p>
              </w:tc>
            </w:tr>
            <w:tr w14:paraId="6777C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tcBorders>
                    <w:tl2br w:val="nil"/>
                    <w:tr2bl w:val="nil"/>
                  </w:tcBorders>
                  <w:vAlign w:val="center"/>
                </w:tcPr>
                <w:p w14:paraId="4207FC37">
                  <w:pPr>
                    <w:pStyle w:val="88"/>
                    <w:spacing w:line="70" w:lineRule="atLeas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总计</w:t>
                  </w:r>
                </w:p>
              </w:tc>
              <w:tc>
                <w:tcPr>
                  <w:tcW w:w="1038" w:type="pct"/>
                  <w:tcBorders>
                    <w:tl2br w:val="nil"/>
                    <w:tr2bl w:val="nil"/>
                  </w:tcBorders>
                  <w:vAlign w:val="center"/>
                </w:tcPr>
                <w:p w14:paraId="4763950F">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90</w:t>
                  </w:r>
                </w:p>
              </w:tc>
              <w:tc>
                <w:tcPr>
                  <w:tcW w:w="1250" w:type="pct"/>
                  <w:tcBorders>
                    <w:tl2br w:val="nil"/>
                    <w:tr2bl w:val="nil"/>
                  </w:tcBorders>
                  <w:vAlign w:val="center"/>
                </w:tcPr>
                <w:p w14:paraId="525A3A7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总计</w:t>
                  </w:r>
                </w:p>
              </w:tc>
              <w:tc>
                <w:tcPr>
                  <w:tcW w:w="1250" w:type="pct"/>
                  <w:tcBorders>
                    <w:tl2br w:val="nil"/>
                    <w:tr2bl w:val="nil"/>
                  </w:tcBorders>
                  <w:vAlign w:val="center"/>
                </w:tcPr>
                <w:p w14:paraId="6A80BA4B">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90</w:t>
                  </w:r>
                </w:p>
              </w:tc>
            </w:tr>
          </w:tbl>
          <w:p w14:paraId="7910CF73">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10</w:t>
            </w:r>
            <w:r>
              <w:rPr>
                <w:b/>
                <w:bCs/>
                <w:color w:val="000000" w:themeColor="text1"/>
                <w:kern w:val="0"/>
                <w:sz w:val="24"/>
                <w14:textFill>
                  <w14:solidFill>
                    <w14:schemeClr w14:val="tx1"/>
                  </w14:solidFill>
                </w14:textFill>
              </w:rPr>
              <w:t>、劳动定员及工作制度</w:t>
            </w:r>
          </w:p>
          <w:p w14:paraId="14F359DA">
            <w:pPr>
              <w:spacing w:line="48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职工人数：本项目员工10人。</w:t>
            </w:r>
          </w:p>
          <w:p w14:paraId="56CAC966">
            <w:pPr>
              <w:spacing w:line="48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工作制度：年工作300天，白班制，每班8h。</w:t>
            </w:r>
          </w:p>
          <w:p w14:paraId="3C9D39A7">
            <w:pPr>
              <w:spacing w:line="48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生活设施：不设食堂、宿舍、浴室。</w:t>
            </w:r>
          </w:p>
          <w:p w14:paraId="76B98F36">
            <w:pPr>
              <w:autoSpaceDE w:val="0"/>
              <w:autoSpaceDN w:val="0"/>
              <w:adjustRightInd w:val="0"/>
              <w:snapToGrid w:val="0"/>
              <w:spacing w:line="480" w:lineRule="exac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w:t>
            </w:r>
            <w:r>
              <w:rPr>
                <w:rFonts w:hint="eastAsia"/>
                <w:b/>
                <w:bCs/>
                <w:color w:val="000000" w:themeColor="text1"/>
                <w:kern w:val="0"/>
                <w:sz w:val="24"/>
                <w14:textFill>
                  <w14:solidFill>
                    <w14:schemeClr w14:val="tx1"/>
                  </w14:solidFill>
                </w14:textFill>
              </w:rPr>
              <w:t>1</w:t>
            </w:r>
            <w:r>
              <w:rPr>
                <w:b/>
                <w:bCs/>
                <w:color w:val="000000" w:themeColor="text1"/>
                <w:kern w:val="0"/>
                <w:sz w:val="24"/>
                <w14:textFill>
                  <w14:solidFill>
                    <w14:schemeClr w14:val="tx1"/>
                  </w14:solidFill>
                </w14:textFill>
              </w:rPr>
              <w:t>、周边概况及厂区平面布置情况</w:t>
            </w:r>
          </w:p>
          <w:p w14:paraId="47B7F8C3">
            <w:pPr>
              <w:spacing w:line="480" w:lineRule="exact"/>
              <w:ind w:firstLine="472" w:firstLineChars="200"/>
              <w:rPr>
                <w:color w:val="000000" w:themeColor="text1"/>
                <w:spacing w:val="-2"/>
                <w:sz w:val="24"/>
                <w14:textFill>
                  <w14:solidFill>
                    <w14:schemeClr w14:val="tx1"/>
                  </w14:solidFill>
                </w14:textFill>
              </w:rPr>
            </w:pPr>
            <w:r>
              <w:rPr>
                <w:rFonts w:hint="eastAsia"/>
                <w:color w:val="000000" w:themeColor="text1"/>
                <w:spacing w:val="-2"/>
                <w:sz w:val="24"/>
                <w14:textFill>
                  <w14:solidFill>
                    <w14:schemeClr w14:val="tx1"/>
                  </w14:solidFill>
                </w14:textFill>
              </w:rPr>
              <w:t>（1）周边概况</w:t>
            </w:r>
          </w:p>
          <w:p w14:paraId="77CF2B46">
            <w:pPr>
              <w:spacing w:line="480" w:lineRule="exact"/>
              <w:ind w:firstLine="472" w:firstLineChars="200"/>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本项目位于江苏省常州市金坛区金城镇西城路118号，金坛经开区合成生物产业园9号楼2层。9号楼1层为常州新一产生命科技有限公司，9号楼2层</w:t>
            </w:r>
            <w:r>
              <w:rPr>
                <w:rFonts w:hint="eastAsia"/>
                <w:color w:val="000000" w:themeColor="text1"/>
                <w:spacing w:val="-2"/>
                <w:sz w:val="24"/>
                <w14:textFill>
                  <w14:solidFill>
                    <w14:schemeClr w14:val="tx1"/>
                  </w14:solidFill>
                </w14:textFill>
              </w:rPr>
              <w:t>南</w:t>
            </w:r>
            <w:r>
              <w:rPr>
                <w:color w:val="000000" w:themeColor="text1"/>
                <w:spacing w:val="-2"/>
                <w:sz w:val="24"/>
                <w14:textFill>
                  <w14:solidFill>
                    <w14:schemeClr w14:val="tx1"/>
                  </w14:solidFill>
                </w14:textFill>
              </w:rPr>
              <w:t>侧为</w:t>
            </w:r>
            <w:r>
              <w:rPr>
                <w:rFonts w:hint="eastAsia"/>
                <w:color w:val="000000" w:themeColor="text1"/>
                <w:spacing w:val="-2"/>
                <w:sz w:val="24"/>
                <w14:textFill>
                  <w14:solidFill>
                    <w14:schemeClr w14:val="tx1"/>
                  </w14:solidFill>
                </w14:textFill>
              </w:rPr>
              <w:t>博帝生物技术（常州）有限公司</w:t>
            </w:r>
            <w:r>
              <w:rPr>
                <w:color w:val="000000" w:themeColor="text1"/>
                <w:spacing w:val="-2"/>
                <w:sz w:val="24"/>
                <w14:textFill>
                  <w14:solidFill>
                    <w14:schemeClr w14:val="tx1"/>
                  </w14:solidFill>
                </w14:textFill>
              </w:rPr>
              <w:t>，西侧为常州新一产生命科技有限公司。距离本项目最近的敏感点为西南侧的元巷村，最近距离约</w:t>
            </w:r>
            <w:r>
              <w:rPr>
                <w:rFonts w:hint="eastAsia"/>
                <w:color w:val="000000" w:themeColor="text1"/>
                <w:spacing w:val="-2"/>
                <w:sz w:val="24"/>
                <w14:textFill>
                  <w14:solidFill>
                    <w14:schemeClr w14:val="tx1"/>
                  </w14:solidFill>
                </w14:textFill>
              </w:rPr>
              <w:t>196</w:t>
            </w:r>
            <w:r>
              <w:rPr>
                <w:color w:val="000000" w:themeColor="text1"/>
                <w:spacing w:val="-2"/>
                <w:sz w:val="24"/>
                <w14:textFill>
                  <w14:solidFill>
                    <w14:schemeClr w14:val="tx1"/>
                  </w14:solidFill>
                </w14:textFill>
              </w:rPr>
              <w:t>米。</w:t>
            </w:r>
          </w:p>
          <w:p w14:paraId="61BC25D9">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项目四周均为金坛经开区合成生物产业园内企业。金坛经开区合成生物产业园东侧为丹阳门北路，南侧为良常路，西侧为西城路，北侧为空地。项目周边500米范围土地利用现状图见附图2。</w:t>
            </w:r>
          </w:p>
          <w:p w14:paraId="0A04D4C5">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（2）厂区平面布置</w:t>
            </w:r>
          </w:p>
          <w:p w14:paraId="7663425C">
            <w:pPr>
              <w:spacing w:line="480" w:lineRule="exact"/>
              <w:ind w:firstLine="480" w:firstLineChars="200"/>
              <w:rPr>
                <w:color w:val="000000" w:themeColor="text1"/>
                <w:spacing w:val="-2"/>
                <w:sz w:val="24"/>
                <w14:textFill>
                  <w14:solidFill>
                    <w14:schemeClr w14:val="tx1"/>
                  </w14:solidFill>
                </w14:textFill>
              </w:rPr>
            </w:pPr>
            <w:r>
              <w:rPr>
                <w:rFonts w:hint="eastAsia"/>
                <w:color w:val="000000" w:themeColor="text1"/>
                <w:sz w:val="24"/>
                <w14:textFill>
                  <w14:solidFill>
                    <w14:schemeClr w14:val="tx1"/>
                  </w14:solidFill>
                </w14:textFill>
              </w:rPr>
              <w:t>本项目位于</w:t>
            </w:r>
            <w:r>
              <w:rPr>
                <w:color w:val="000000" w:themeColor="text1"/>
                <w:spacing w:val="-2"/>
                <w:sz w:val="24"/>
                <w14:textFill>
                  <w14:solidFill>
                    <w14:schemeClr w14:val="tx1"/>
                  </w14:solidFill>
                </w14:textFill>
              </w:rPr>
              <w:t>金坛经开区合成生物产业园9号楼2层</w:t>
            </w:r>
            <w:r>
              <w:rPr>
                <w:rFonts w:hint="eastAsia"/>
                <w:color w:val="000000" w:themeColor="text1"/>
                <w:spacing w:val="-2"/>
                <w:sz w:val="24"/>
                <w14:textFill>
                  <w14:solidFill>
                    <w14:schemeClr w14:val="tx1"/>
                  </w14:solidFill>
                </w14:textFill>
              </w:rPr>
              <w:t>东北侧，设置实验室区以及办公区。试验区内划分试剂间、种子间、危废仓库、液相室等区域，各类仪器摆放于试验台上，实验室平面布置图见附图4。</w:t>
            </w:r>
          </w:p>
        </w:tc>
      </w:tr>
    </w:tbl>
    <w:p w14:paraId="658CF7D2">
      <w:pPr>
        <w:spacing w:line="360" w:lineRule="exact"/>
        <w:rPr>
          <w:color w:val="000000" w:themeColor="text1"/>
          <w:spacing w:val="-2"/>
          <w:szCs w:val="21"/>
          <w14:textFill>
            <w14:solidFill>
              <w14:schemeClr w14:val="tx1"/>
            </w14:solidFill>
          </w14:textFill>
        </w:rPr>
        <w:sectPr>
          <w:pgSz w:w="11906" w:h="16838"/>
          <w:pgMar w:top="1440" w:right="1080" w:bottom="1440" w:left="1080" w:header="851" w:footer="851" w:gutter="0"/>
          <w:cols w:space="720" w:num="1"/>
          <w:docGrid w:linePitch="312" w:charSpace="0"/>
        </w:sectPr>
      </w:pP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9"/>
        <w:gridCol w:w="9533"/>
      </w:tblGrid>
      <w:tr w14:paraId="0807C7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9" w:type="dxa"/>
            <w:vAlign w:val="center"/>
          </w:tcPr>
          <w:p w14:paraId="6C0C2314">
            <w:pPr>
              <w:pStyle w:val="21"/>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工艺流程和产排污环节</w:t>
            </w:r>
          </w:p>
        </w:tc>
        <w:tc>
          <w:tcPr>
            <w:tcW w:w="9533" w:type="dxa"/>
          </w:tcPr>
          <w:p w14:paraId="28AAB6C5">
            <w:pPr>
              <w:pStyle w:val="8"/>
              <w:numPr>
                <w:ilvl w:val="0"/>
                <w:numId w:val="6"/>
              </w:numPr>
              <w:snapToGrid/>
              <w:spacing w:before="0" w:after="0" w:line="480" w:lineRule="exact"/>
              <w:ind w:left="0" w:right="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一、</w:t>
            </w:r>
            <w:r>
              <w:rPr>
                <w:b/>
                <w:bCs/>
                <w:color w:val="000000" w:themeColor="text1"/>
                <w:sz w:val="24"/>
                <w:szCs w:val="24"/>
                <w14:textFill>
                  <w14:solidFill>
                    <w14:schemeClr w14:val="tx1"/>
                  </w14:solidFill>
                </w14:textFill>
              </w:rPr>
              <w:t>施工期</w:t>
            </w:r>
          </w:p>
          <w:p w14:paraId="38326AD3">
            <w:pPr>
              <w:pStyle w:val="8"/>
              <w:snapToGrid/>
              <w:spacing w:before="0" w:after="0" w:line="480" w:lineRule="exact"/>
              <w:ind w:right="0" w:firstLine="480" w:firstLineChars="200"/>
              <w:rPr>
                <w:bCs/>
                <w:color w:val="000000" w:themeColor="text1"/>
                <w:kern w:val="2"/>
                <w:sz w:val="24"/>
                <w:szCs w:val="24"/>
                <w14:textFill>
                  <w14:solidFill>
                    <w14:schemeClr w14:val="tx1"/>
                  </w14:solidFill>
                </w14:textFill>
              </w:rPr>
            </w:pPr>
            <w:r>
              <w:rPr>
                <w:bCs/>
                <w:color w:val="000000" w:themeColor="text1"/>
                <w:kern w:val="2"/>
                <w:sz w:val="24"/>
                <w:szCs w:val="24"/>
                <w14:textFill>
                  <w14:solidFill>
                    <w14:schemeClr w14:val="tx1"/>
                  </w14:solidFill>
                </w14:textFill>
              </w:rPr>
              <w:t>本项目施工期不涉及生产车间建设，只需购置、安装设备，对周围环境产生影响很小，本次环评将不予论述。</w:t>
            </w:r>
          </w:p>
          <w:p w14:paraId="0138F088">
            <w:pPr>
              <w:pStyle w:val="8"/>
              <w:snapToGrid/>
              <w:spacing w:before="0" w:after="0" w:line="480" w:lineRule="exact"/>
              <w:ind w:right="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二、营运期</w:t>
            </w:r>
          </w:p>
          <w:p w14:paraId="007036A6">
            <w:pPr>
              <w:pStyle w:val="8"/>
              <w:snapToGrid/>
              <w:spacing w:before="0" w:after="0" w:line="480" w:lineRule="exact"/>
              <w:ind w:right="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1、工艺流程简述及产污环节分析</w:t>
            </w:r>
          </w:p>
          <w:p w14:paraId="6BED3C58">
            <w:pPr>
              <w:autoSpaceDE w:val="0"/>
              <w:autoSpaceDN w:val="0"/>
              <w:adjustRightInd w:val="0"/>
              <w:snapToGrid w:val="0"/>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本项目5种目标产物发酵载体均使用大肠杆菌，由于基因改造过程中插入的目的基因不同，表达的产物不同。</w:t>
            </w:r>
          </w:p>
          <w:p w14:paraId="0730F099">
            <w:pPr>
              <w:pStyle w:val="87"/>
              <w:tabs>
                <w:tab w:val="left" w:pos="2121"/>
              </w:tabs>
              <w:spacing w:line="480" w:lineRule="exact"/>
              <w:ind w:firstLine="480" w:firstLineChars="200"/>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（1）菌种构建工艺流程</w:t>
            </w:r>
          </w:p>
          <w:p w14:paraId="7B8AC2AB">
            <w:pPr>
              <w:pStyle w:val="87"/>
              <w:tabs>
                <w:tab w:val="left" w:pos="2121"/>
              </w:tabs>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16295" cy="4548505"/>
                  <wp:effectExtent l="0" t="0" r="8255" b="444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4"/>
                          <a:stretch>
                            <a:fillRect/>
                          </a:stretch>
                        </pic:blipFill>
                        <pic:spPr>
                          <a:xfrm>
                            <a:off x="0" y="0"/>
                            <a:ext cx="5916295" cy="4548505"/>
                          </a:xfrm>
                          <a:prstGeom prst="rect">
                            <a:avLst/>
                          </a:prstGeom>
                          <a:noFill/>
                          <a:ln>
                            <a:noFill/>
                          </a:ln>
                        </pic:spPr>
                      </pic:pic>
                    </a:graphicData>
                  </a:graphic>
                </wp:inline>
              </w:drawing>
            </w:r>
          </w:p>
          <w:p w14:paraId="155B16F4">
            <w:pPr>
              <w:pStyle w:val="87"/>
              <w:tabs>
                <w:tab w:val="left" w:pos="2121"/>
              </w:tabs>
              <w:spacing w:line="360" w:lineRule="auto"/>
              <w:jc w:val="center"/>
              <w:rPr>
                <w:b/>
                <w:color w:val="000000" w:themeColor="text1"/>
                <w14:textFill>
                  <w14:solidFill>
                    <w14:schemeClr w14:val="tx1"/>
                  </w14:solidFill>
                </w14:textFill>
              </w:rPr>
            </w:pPr>
            <w:r>
              <w:rPr>
                <w:b/>
                <w:color w:val="000000" w:themeColor="text1"/>
                <w:sz w:val="21"/>
                <w:szCs w:val="21"/>
                <w14:textFill>
                  <w14:solidFill>
                    <w14:schemeClr w14:val="tx1"/>
                  </w14:solidFill>
                </w14:textFill>
              </w:rPr>
              <w:t>图2-</w:t>
            </w:r>
            <w:r>
              <w:rPr>
                <w:rFonts w:hint="eastAsia"/>
                <w:b/>
                <w:color w:val="000000" w:themeColor="text1"/>
                <w:sz w:val="21"/>
                <w:szCs w:val="21"/>
                <w14:textFill>
                  <w14:solidFill>
                    <w14:schemeClr w14:val="tx1"/>
                  </w14:solidFill>
                </w14:textFill>
              </w:rPr>
              <w:t>5</w:t>
            </w:r>
            <w:r>
              <w:rPr>
                <w:b/>
                <w:color w:val="000000" w:themeColor="text1"/>
                <w:sz w:val="21"/>
                <w:szCs w:val="21"/>
                <w14:textFill>
                  <w14:solidFill>
                    <w14:schemeClr w14:val="tx1"/>
                  </w14:solidFill>
                </w14:textFill>
              </w:rPr>
              <w:t xml:space="preserve"> 菌种构建和培养工艺流程图</w:t>
            </w:r>
          </w:p>
          <w:p w14:paraId="628C59CB">
            <w:pPr>
              <w:pStyle w:val="87"/>
              <w:tabs>
                <w:tab w:val="left" w:pos="2121"/>
              </w:tabs>
              <w:spacing w:line="48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配制培养基：</w:t>
            </w:r>
            <w:r>
              <w:rPr>
                <w:rFonts w:hint="eastAsia"/>
                <w:color w:val="000000" w:themeColor="text1"/>
                <w14:textFill>
                  <w14:solidFill>
                    <w14:schemeClr w14:val="tx1"/>
                  </w14:solidFill>
                </w14:textFill>
              </w:rPr>
              <w:t>使用甘油、葡萄糖、蔗糖、蛋白胨、琼脂粉、氯化钠、酵母提取物、氨苄青霉素钠、盐酸壮观霉素、硫酸卡那霉素、纯水等按照一定比例配制成相应的液体培养基、固体培养基，并使用</w:t>
            </w:r>
            <w:r>
              <w:rPr>
                <w:color w:val="000000" w:themeColor="text1"/>
                <w14:textFill>
                  <w14:solidFill>
                    <w14:schemeClr w14:val="tx1"/>
                  </w14:solidFill>
                </w14:textFill>
              </w:rPr>
              <w:t>灭菌锅</w:t>
            </w:r>
            <w:r>
              <w:rPr>
                <w:rFonts w:hint="eastAsia"/>
                <w:color w:val="000000" w:themeColor="text1"/>
                <w14:textFill>
                  <w14:solidFill>
                    <w14:schemeClr w14:val="tx1"/>
                  </w14:solidFill>
                </w14:textFill>
              </w:rPr>
              <w:t>进行灭菌。</w:t>
            </w:r>
            <w:r>
              <w:rPr>
                <w:rFonts w:hint="eastAsia"/>
                <w:color w:val="FF0000"/>
              </w:rPr>
              <w:t>配料、称量工段均在通风橱内进行，操作过程会有少量粉状物料以粉尘形式逸散，由于本项目粉料用量较少，本次评价不做定量分析。</w:t>
            </w:r>
          </w:p>
          <w:p w14:paraId="3D5DA1B4">
            <w:pPr>
              <w:pStyle w:val="87"/>
              <w:tabs>
                <w:tab w:val="left" w:pos="2121"/>
              </w:tabs>
              <w:spacing w:line="480" w:lineRule="exact"/>
              <w:ind w:firstLine="482" w:firstLineChars="200"/>
              <w:rPr>
                <w:color w:val="000000" w:themeColor="text1"/>
                <w14:textFill>
                  <w14:solidFill>
                    <w14:schemeClr w14:val="tx1"/>
                  </w14:solidFill>
                </w14:textFill>
              </w:rPr>
            </w:pPr>
            <w:r>
              <w:rPr>
                <w:b/>
                <w:bCs/>
                <w:color w:val="000000" w:themeColor="text1"/>
                <w14:textFill>
                  <w14:solidFill>
                    <w14:schemeClr w14:val="tx1"/>
                  </w14:solidFill>
                </w14:textFill>
              </w:rPr>
              <w:t>目标基因获取：</w:t>
            </w:r>
            <w:r>
              <w:rPr>
                <w:color w:val="000000" w:themeColor="text1"/>
                <w14:textFill>
                  <w14:solidFill>
                    <w14:schemeClr w14:val="tx1"/>
                  </w14:solidFill>
                </w14:textFill>
              </w:rPr>
              <w:t>根据模板</w:t>
            </w:r>
            <w:r>
              <w:rPr>
                <w:rFonts w:hint="eastAsia"/>
                <w:color w:val="000000" w:themeColor="text1"/>
                <w14:textFill>
                  <w14:solidFill>
                    <w14:schemeClr w14:val="tx1"/>
                  </w14:solidFill>
                </w14:textFill>
              </w:rPr>
              <w:t>DNA</w:t>
            </w:r>
            <w:r>
              <w:rPr>
                <w:color w:val="000000" w:themeColor="text1"/>
                <w14:textFill>
                  <w14:solidFill>
                    <w14:schemeClr w14:val="tx1"/>
                  </w14:solidFill>
                </w14:textFill>
              </w:rPr>
              <w:t>序列设计特异性引物，使用移液枪准确加样PCR扩增试剂，涡旋振荡后短暂离心，</w:t>
            </w:r>
            <w:r>
              <w:rPr>
                <w:rFonts w:hint="eastAsia"/>
                <w:color w:val="000000" w:themeColor="text1"/>
                <w14:textFill>
                  <w14:solidFill>
                    <w14:schemeClr w14:val="tx1"/>
                  </w14:solidFill>
                </w14:textFill>
              </w:rPr>
              <w:t>然后</w:t>
            </w:r>
            <w:r>
              <w:rPr>
                <w:color w:val="000000" w:themeColor="text1"/>
                <w14:textFill>
                  <w14:solidFill>
                    <w14:schemeClr w14:val="tx1"/>
                  </w14:solidFill>
                </w14:textFill>
              </w:rPr>
              <w:t>将反应管置于PCR仪中进行扩增。使用核酸电泳仪在约120 V条件下运行20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30分钟，</w:t>
            </w:r>
            <w:r>
              <w:rPr>
                <w:rFonts w:hint="eastAsia"/>
                <w:color w:val="000000" w:themeColor="text1"/>
                <w14:textFill>
                  <w14:solidFill>
                    <w14:schemeClr w14:val="tx1"/>
                  </w14:solidFill>
                </w14:textFill>
              </w:rPr>
              <w:t>进一步</w:t>
            </w:r>
            <w:r>
              <w:rPr>
                <w:color w:val="000000" w:themeColor="text1"/>
                <w14:textFill>
                  <w14:solidFill>
                    <w14:schemeClr w14:val="tx1"/>
                  </w14:solidFill>
                </w14:textFill>
              </w:rPr>
              <w:t>扩增产物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通过照胶仪观察目标条带，切胶并使用硅胶</w:t>
            </w:r>
            <w:r>
              <w:rPr>
                <w:rFonts w:hint="eastAsia"/>
                <w:color w:val="000000" w:themeColor="text1"/>
                <w14:textFill>
                  <w14:solidFill>
                    <w14:schemeClr w14:val="tx1"/>
                  </w14:solidFill>
                </w14:textFill>
              </w:rPr>
              <w:t>回收</w:t>
            </w:r>
            <w:r>
              <w:rPr>
                <w:color w:val="000000" w:themeColor="text1"/>
                <w14:textFill>
                  <w14:solidFill>
                    <w14:schemeClr w14:val="tx1"/>
                  </w14:solidFill>
                </w14:textFill>
              </w:rPr>
              <w:t>试剂盒回收DNA，以获得后续构建表达载体所需的目的基因</w:t>
            </w:r>
            <w:r>
              <w:rPr>
                <w:rFonts w:hint="eastAsia"/>
                <w:color w:val="000000" w:themeColor="text1"/>
                <w14:textFill>
                  <w14:solidFill>
                    <w14:schemeClr w14:val="tx1"/>
                  </w14:solidFill>
                </w14:textFill>
              </w:rPr>
              <w:t>片段</w:t>
            </w:r>
            <w:r>
              <w:rPr>
                <w:color w:val="000000" w:themeColor="text1"/>
                <w14:textFill>
                  <w14:solidFill>
                    <w14:schemeClr w14:val="tx1"/>
                  </w14:solidFill>
                </w14:textFill>
              </w:rPr>
              <w:t>。</w:t>
            </w:r>
          </w:p>
          <w:p w14:paraId="4C1151E1">
            <w:pPr>
              <w:pStyle w:val="87"/>
              <w:tabs>
                <w:tab w:val="left" w:pos="2121"/>
              </w:tabs>
              <w:spacing w:line="480" w:lineRule="exact"/>
              <w:ind w:firstLine="482" w:firstLineChars="200"/>
              <w:rPr>
                <w:color w:val="000000" w:themeColor="text1"/>
                <w14:textFill>
                  <w14:solidFill>
                    <w14:schemeClr w14:val="tx1"/>
                  </w14:solidFill>
                </w14:textFill>
              </w:rPr>
            </w:pPr>
            <w:r>
              <w:rPr>
                <w:b/>
                <w:bCs/>
                <w:color w:val="000000" w:themeColor="text1"/>
                <w14:textFill>
                  <w14:solidFill>
                    <w14:schemeClr w14:val="tx1"/>
                  </w14:solidFill>
                </w14:textFill>
              </w:rPr>
              <w:t>表达载体构建</w:t>
            </w:r>
            <w:r>
              <w:rPr>
                <w:color w:val="000000" w:themeColor="text1"/>
                <w14:textFill>
                  <w14:solidFill>
                    <w14:schemeClr w14:val="tx1"/>
                  </w14:solidFill>
                </w14:textFill>
              </w:rPr>
              <w:t>：将目的基因</w:t>
            </w:r>
            <w:r>
              <w:rPr>
                <w:rFonts w:hint="eastAsia"/>
                <w:color w:val="000000" w:themeColor="text1"/>
                <w14:textFill>
                  <w14:solidFill>
                    <w14:schemeClr w14:val="tx1"/>
                  </w14:solidFill>
                </w14:textFill>
              </w:rPr>
              <w:t>片段</w:t>
            </w:r>
            <w:r>
              <w:rPr>
                <w:color w:val="000000" w:themeColor="text1"/>
                <w14:textFill>
                  <w14:solidFill>
                    <w14:schemeClr w14:val="tx1"/>
                  </w14:solidFill>
                </w14:textFill>
              </w:rPr>
              <w:t>配制Gibson连接体系，涡旋振荡后短暂离心，再将反应管置于金属浴中于50℃孵育15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60 min，构建重组表达载体。</w:t>
            </w:r>
          </w:p>
          <w:p w14:paraId="4F7EF642">
            <w:pPr>
              <w:pStyle w:val="87"/>
              <w:tabs>
                <w:tab w:val="left" w:pos="2121"/>
              </w:tabs>
              <w:spacing w:line="480" w:lineRule="exact"/>
              <w:ind w:firstLine="482" w:firstLineChars="200"/>
              <w:rPr>
                <w:color w:val="000000" w:themeColor="text1"/>
                <w14:textFill>
                  <w14:solidFill>
                    <w14:schemeClr w14:val="tx1"/>
                  </w14:solidFill>
                </w14:textFill>
              </w:rPr>
            </w:pPr>
            <w:r>
              <w:rPr>
                <w:b/>
                <w:bCs/>
                <w:color w:val="000000" w:themeColor="text1"/>
                <w14:textFill>
                  <w14:solidFill>
                    <w14:schemeClr w14:val="tx1"/>
                  </w14:solidFill>
                </w14:textFill>
              </w:rPr>
              <w:t>遗传转化与筛选：</w:t>
            </w:r>
            <w:r>
              <w:rPr>
                <w:color w:val="000000" w:themeColor="text1"/>
                <w14:textFill>
                  <w14:solidFill>
                    <w14:schemeClr w14:val="tx1"/>
                  </w14:solidFill>
                </w14:textFill>
              </w:rPr>
              <w:t>从冰箱中取出感受态细胞，放置于冰盒中进行冰浴，使其保持低温状态，然后在超净台内向冻融后的感受态细胞中加入10μL重组表达载体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依次</w:t>
            </w:r>
            <w:r>
              <w:rPr>
                <w:rFonts w:hint="eastAsia"/>
                <w:color w:val="000000" w:themeColor="text1"/>
                <w14:textFill>
                  <w14:solidFill>
                    <w14:schemeClr w14:val="tx1"/>
                  </w14:solidFill>
                </w14:textFill>
              </w:rPr>
              <w:t>进行</w:t>
            </w:r>
            <w:r>
              <w:rPr>
                <w:color w:val="000000" w:themeColor="text1"/>
                <w14:textFill>
                  <w14:solidFill>
                    <w14:schemeClr w14:val="tx1"/>
                  </w14:solidFill>
                </w14:textFill>
              </w:rPr>
              <w:t>冰浴30</w:t>
            </w:r>
            <w:r>
              <w:rPr>
                <w:rFonts w:hint="eastAsia"/>
                <w:color w:val="000000" w:themeColor="text1"/>
                <w14:textFill>
                  <w14:solidFill>
                    <w14:schemeClr w14:val="tx1"/>
                  </w14:solidFill>
                </w14:textFill>
              </w:rPr>
              <w:t>min</w:t>
            </w:r>
            <w:r>
              <w:rPr>
                <w:color w:val="000000" w:themeColor="text1"/>
                <w14:textFill>
                  <w14:solidFill>
                    <w14:schemeClr w14:val="tx1"/>
                  </w14:solidFill>
                </w14:textFill>
              </w:rPr>
              <w:t>、热激1min、冰浴1</w:t>
            </w:r>
            <w:r>
              <w:rPr>
                <w:rFonts w:hint="eastAsia"/>
                <w:color w:val="000000" w:themeColor="text1"/>
                <w14:textFill>
                  <w14:solidFill>
                    <w14:schemeClr w14:val="tx1"/>
                  </w14:solidFill>
                </w14:textFill>
              </w:rPr>
              <w:t>min，</w:t>
            </w:r>
            <w:r>
              <w:rPr>
                <w:color w:val="000000" w:themeColor="text1"/>
                <w14:textFill>
                  <w14:solidFill>
                    <w14:schemeClr w14:val="tx1"/>
                  </w14:solidFill>
                </w14:textFill>
              </w:rPr>
              <w:t>以促进DNA进入细胞。</w:t>
            </w:r>
            <w:r>
              <w:rPr>
                <w:rFonts w:hint="eastAsia"/>
                <w:color w:val="000000" w:themeColor="text1"/>
                <w14:textFill>
                  <w14:solidFill>
                    <w14:schemeClr w14:val="tx1"/>
                  </w14:solidFill>
                </w14:textFill>
              </w:rPr>
              <w:t>细胞放入</w:t>
            </w:r>
            <w:r>
              <w:rPr>
                <w:color w:val="000000" w:themeColor="text1"/>
                <w14:textFill>
                  <w14:solidFill>
                    <w14:schemeClr w14:val="tx1"/>
                  </w14:solidFill>
                </w14:textFill>
              </w:rPr>
              <w:t>约1 mL</w:t>
            </w:r>
            <w:r>
              <w:rPr>
                <w:rFonts w:hint="eastAsia"/>
                <w:color w:val="000000" w:themeColor="text1"/>
                <w14:textFill>
                  <w14:solidFill>
                    <w14:schemeClr w14:val="tx1"/>
                  </w14:solidFill>
                </w14:textFill>
              </w:rPr>
              <w:t>液体培养基中</w:t>
            </w:r>
            <w:r>
              <w:rPr>
                <w:color w:val="000000" w:themeColor="text1"/>
                <w14:textFill>
                  <w14:solidFill>
                    <w14:schemeClr w14:val="tx1"/>
                  </w14:solidFill>
                </w14:textFill>
              </w:rPr>
              <w:t>，并置于摇床上以37℃、220 rpm</w:t>
            </w:r>
            <w:r>
              <w:rPr>
                <w:rFonts w:hint="eastAsia"/>
                <w:color w:val="000000" w:themeColor="text1"/>
                <w14:textFill>
                  <w14:solidFill>
                    <w14:schemeClr w14:val="tx1"/>
                  </w14:solidFill>
                </w14:textFill>
              </w:rPr>
              <w:t>的条件</w:t>
            </w:r>
            <w:r>
              <w:rPr>
                <w:color w:val="000000" w:themeColor="text1"/>
                <w14:textFill>
                  <w14:solidFill>
                    <w14:schemeClr w14:val="tx1"/>
                  </w14:solidFill>
                </w14:textFill>
              </w:rPr>
              <w:t>复苏培养1小时，</w:t>
            </w:r>
            <w:r>
              <w:rPr>
                <w:rFonts w:hint="eastAsia"/>
                <w:color w:val="000000" w:themeColor="text1"/>
                <w14:textFill>
                  <w14:solidFill>
                    <w14:schemeClr w14:val="tx1"/>
                  </w14:solidFill>
                </w14:textFill>
              </w:rPr>
              <w:t>然后</w:t>
            </w:r>
            <w:r>
              <w:rPr>
                <w:color w:val="000000" w:themeColor="text1"/>
                <w14:textFill>
                  <w14:solidFill>
                    <w14:schemeClr w14:val="tx1"/>
                  </w14:solidFill>
                </w14:textFill>
              </w:rPr>
              <w:t>使用台式离心机收集菌体，弃部分上清后重悬并均匀涂布至含有抗生素的平板</w:t>
            </w:r>
            <w:r>
              <w:rPr>
                <w:rFonts w:hint="eastAsia"/>
                <w:color w:val="000000" w:themeColor="text1"/>
                <w14:textFill>
                  <w14:solidFill>
                    <w14:schemeClr w14:val="tx1"/>
                  </w14:solidFill>
                </w14:textFill>
              </w:rPr>
              <w:t>培养基中</w:t>
            </w:r>
            <w:r>
              <w:rPr>
                <w:color w:val="000000" w:themeColor="text1"/>
                <w14:textFill>
                  <w14:solidFill>
                    <w14:schemeClr w14:val="tx1"/>
                  </w14:solidFill>
                </w14:textFill>
              </w:rPr>
              <w:t>，在37℃生化培养箱中培养12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16小时以获得单克隆菌落。在PCR仪中验证是否成功插入片段，克隆进一步送测序确认序列无误。最终在超净工作台挑取正确单克隆</w:t>
            </w:r>
            <w:r>
              <w:rPr>
                <w:rFonts w:hint="eastAsia"/>
                <w:color w:val="000000" w:themeColor="text1"/>
                <w14:textFill>
                  <w14:solidFill>
                    <w14:schemeClr w14:val="tx1"/>
                  </w14:solidFill>
                </w14:textFill>
              </w:rPr>
              <w:t>菌落，在</w:t>
            </w:r>
            <w:r>
              <w:rPr>
                <w:color w:val="000000" w:themeColor="text1"/>
                <w14:textFill>
                  <w14:solidFill>
                    <w14:schemeClr w14:val="tx1"/>
                  </w14:solidFill>
                </w14:textFill>
              </w:rPr>
              <w:t>37℃、220rpm</w:t>
            </w:r>
            <w:r>
              <w:rPr>
                <w:rFonts w:hint="eastAsia"/>
                <w:color w:val="000000" w:themeColor="text1"/>
                <w14:textFill>
                  <w14:solidFill>
                    <w14:schemeClr w14:val="tx1"/>
                  </w14:solidFill>
                </w14:textFill>
              </w:rPr>
              <w:t>的条件下</w:t>
            </w:r>
            <w:r>
              <w:rPr>
                <w:color w:val="000000" w:themeColor="text1"/>
                <w14:textFill>
                  <w14:solidFill>
                    <w14:schemeClr w14:val="tx1"/>
                  </w14:solidFill>
                </w14:textFill>
              </w:rPr>
              <w:t>进行液体</w:t>
            </w:r>
            <w:r>
              <w:rPr>
                <w:rFonts w:hint="eastAsia"/>
                <w:color w:val="000000" w:themeColor="text1"/>
                <w14:textFill>
                  <w14:solidFill>
                    <w14:schemeClr w14:val="tx1"/>
                  </w14:solidFill>
                </w14:textFill>
              </w:rPr>
              <w:t>过夜</w:t>
            </w:r>
            <w:r>
              <w:rPr>
                <w:color w:val="000000" w:themeColor="text1"/>
                <w14:textFill>
                  <w14:solidFill>
                    <w14:schemeClr w14:val="tx1"/>
                  </w14:solidFill>
                </w14:textFill>
              </w:rPr>
              <w:t>培养。</w:t>
            </w:r>
          </w:p>
          <w:p w14:paraId="54BA33CB">
            <w:pPr>
              <w:pStyle w:val="87"/>
              <w:tabs>
                <w:tab w:val="left" w:pos="2121"/>
              </w:tabs>
              <w:spacing w:line="480" w:lineRule="exact"/>
              <w:ind w:firstLine="482" w:firstLineChars="200"/>
              <w:rPr>
                <w:color w:val="000000" w:themeColor="text1"/>
                <w14:textFill>
                  <w14:solidFill>
                    <w14:schemeClr w14:val="tx1"/>
                  </w14:solidFill>
                </w14:textFill>
              </w:rPr>
            </w:pPr>
            <w:r>
              <w:rPr>
                <w:b/>
                <w:bCs/>
                <w:color w:val="000000" w:themeColor="text1"/>
                <w14:textFill>
                  <w14:solidFill>
                    <w14:schemeClr w14:val="tx1"/>
                  </w14:solidFill>
                </w14:textFill>
              </w:rPr>
              <w:t>质粒提取：</w:t>
            </w:r>
            <w:r>
              <w:rPr>
                <w:color w:val="000000" w:themeColor="text1"/>
                <w14:textFill>
                  <w14:solidFill>
                    <w14:schemeClr w14:val="tx1"/>
                  </w14:solidFill>
                </w14:textFill>
              </w:rPr>
              <w:t>取5 mL过夜培养的含质粒菌液，使用台式离心机</w:t>
            </w:r>
            <w:r>
              <w:rPr>
                <w:rFonts w:hint="eastAsia"/>
                <w:color w:val="000000" w:themeColor="text1"/>
                <w14:textFill>
                  <w14:solidFill>
                    <w14:schemeClr w14:val="tx1"/>
                  </w14:solidFill>
                </w14:textFill>
              </w:rPr>
              <w:t>以</w:t>
            </w:r>
            <w:r>
              <w:rPr>
                <w:color w:val="000000" w:themeColor="text1"/>
                <w14:textFill>
                  <w14:solidFill>
                    <w14:schemeClr w14:val="tx1"/>
                  </w14:solidFill>
                </w14:textFill>
              </w:rPr>
              <w:t>37℃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12000 rpm</w:t>
            </w:r>
            <w:r>
              <w:rPr>
                <w:rFonts w:hint="eastAsia"/>
                <w:color w:val="000000" w:themeColor="text1"/>
                <w14:textFill>
                  <w14:solidFill>
                    <w14:schemeClr w14:val="tx1"/>
                  </w14:solidFill>
                </w14:textFill>
              </w:rPr>
              <w:t>的条件</w:t>
            </w:r>
            <w:r>
              <w:rPr>
                <w:color w:val="000000" w:themeColor="text1"/>
                <w14:textFill>
                  <w14:solidFill>
                    <w14:schemeClr w14:val="tx1"/>
                  </w14:solidFill>
                </w14:textFill>
              </w:rPr>
              <w:t>离心2分钟收集菌体并弃上清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然后加入裂解液后上下颠倒，使细胞在强碱性与SDS</w:t>
            </w:r>
            <w:r>
              <w:rPr>
                <w:rFonts w:hint="eastAsia"/>
                <w:color w:val="000000" w:themeColor="text1"/>
                <w14:textFill>
                  <w14:solidFill>
                    <w14:schemeClr w14:val="tx1"/>
                  </w14:solidFill>
                </w14:textFill>
              </w:rPr>
              <w:t>（十二烷基硫酸钠）</w:t>
            </w:r>
            <w:r>
              <w:rPr>
                <w:color w:val="000000" w:themeColor="text1"/>
                <w14:textFill>
                  <w14:solidFill>
                    <w14:schemeClr w14:val="tx1"/>
                  </w14:solidFill>
                </w14:textFill>
              </w:rPr>
              <w:t>的作用下裂解</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再加入中和液，通过高盐使SDS-蛋白复合物和基因组DNA沉淀，质粒DNA则保持在上清液中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上下颠倒后12000rpm离心10分钟，将上清液转移至含有硅胶膜的吸附柱；质粒DNA在高盐条件下结合至硅胶膜，之后利用漂洗液清除蛋白质和盐分。洗涤后再次12000 rpm离心并去除残留</w:t>
            </w:r>
            <w:r>
              <w:rPr>
                <w:rFonts w:hint="eastAsia"/>
                <w:color w:val="000000" w:themeColor="text1"/>
                <w14:textFill>
                  <w14:solidFill>
                    <w14:schemeClr w14:val="tx1"/>
                  </w14:solidFill>
                </w14:textFill>
              </w:rPr>
              <w:t>液体</w:t>
            </w:r>
            <w:r>
              <w:rPr>
                <w:color w:val="000000" w:themeColor="text1"/>
                <w14:textFill>
                  <w14:solidFill>
                    <w14:schemeClr w14:val="tx1"/>
                  </w14:solidFill>
                </w14:textFill>
              </w:rPr>
              <w:t>，最后加入50μL的洗脱缓冲液并静置2分钟，通过12000rpm离心完成洗脱，即可获得纯化的质粒。</w:t>
            </w:r>
          </w:p>
          <w:p w14:paraId="0661C938">
            <w:pPr>
              <w:pStyle w:val="87"/>
              <w:tabs>
                <w:tab w:val="left" w:pos="2121"/>
              </w:tabs>
              <w:spacing w:line="480" w:lineRule="exact"/>
              <w:ind w:firstLine="482" w:firstLineChars="200"/>
              <w:rPr>
                <w:color w:val="000000" w:themeColor="text1"/>
                <w14:textFill>
                  <w14:solidFill>
                    <w14:schemeClr w14:val="tx1"/>
                  </w14:solidFill>
                </w14:textFill>
              </w:rPr>
            </w:pPr>
            <w:r>
              <w:rPr>
                <w:b/>
                <w:bCs/>
                <w:color w:val="000000" w:themeColor="text1"/>
                <w14:textFill>
                  <w14:solidFill>
                    <w14:schemeClr w14:val="tx1"/>
                  </w14:solidFill>
                </w14:textFill>
              </w:rPr>
              <w:t>工程菌的获得</w:t>
            </w:r>
            <w:r>
              <w:rPr>
                <w:color w:val="000000" w:themeColor="text1"/>
                <w14:textFill>
                  <w14:solidFill>
                    <w14:schemeClr w14:val="tx1"/>
                  </w14:solidFill>
                </w14:textFill>
              </w:rPr>
              <w:t>：在超净台中准备感受态底盘菌株</w:t>
            </w:r>
            <w:r>
              <w:rPr>
                <w:rFonts w:hint="eastAsia"/>
                <w:color w:val="000000" w:themeColor="text1"/>
                <w14:textFill>
                  <w14:solidFill>
                    <w14:schemeClr w14:val="tx1"/>
                  </w14:solidFill>
                </w14:textFill>
              </w:rPr>
              <w:t>（大肠杆菌）</w:t>
            </w:r>
            <w:r>
              <w:rPr>
                <w:color w:val="000000" w:themeColor="text1"/>
                <w14:textFill>
                  <w14:solidFill>
                    <w14:schemeClr w14:val="tx1"/>
                  </w14:solidFill>
                </w14:textFill>
              </w:rPr>
              <w:t>，将定量的目标质粒加入感受态底盘菌株中轻轻混匀，</w:t>
            </w:r>
            <w:r>
              <w:rPr>
                <w:rFonts w:hint="eastAsia"/>
                <w:color w:val="000000" w:themeColor="text1"/>
                <w14:textFill>
                  <w14:solidFill>
                    <w14:schemeClr w14:val="tx1"/>
                  </w14:solidFill>
                </w14:textFill>
              </w:rPr>
              <w:t>放入电感仪</w:t>
            </w:r>
            <w:r>
              <w:rPr>
                <w:color w:val="000000" w:themeColor="text1"/>
                <w14:textFill>
                  <w14:solidFill>
                    <w14:schemeClr w14:val="tx1"/>
                  </w14:solidFill>
                </w14:textFill>
              </w:rPr>
              <w:t>使质粒进入细胞</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随后涂布至平板</w:t>
            </w:r>
            <w:r>
              <w:rPr>
                <w:rFonts w:hint="eastAsia"/>
                <w:color w:val="000000" w:themeColor="text1"/>
                <w14:textFill>
                  <w14:solidFill>
                    <w14:schemeClr w14:val="tx1"/>
                  </w14:solidFill>
                </w14:textFill>
              </w:rPr>
              <w:t>培养基</w:t>
            </w:r>
            <w:r>
              <w:rPr>
                <w:color w:val="000000" w:themeColor="text1"/>
                <w14:textFill>
                  <w14:solidFill>
                    <w14:schemeClr w14:val="tx1"/>
                  </w14:solidFill>
                </w14:textFill>
              </w:rPr>
              <w:t>上，并在生化培养箱中培养12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16小时以获得单克隆菌落。挑取单克隆</w:t>
            </w:r>
            <w:r>
              <w:rPr>
                <w:rFonts w:hint="eastAsia"/>
                <w:color w:val="000000" w:themeColor="text1"/>
                <w14:textFill>
                  <w14:solidFill>
                    <w14:schemeClr w14:val="tx1"/>
                  </w14:solidFill>
                </w14:textFill>
              </w:rPr>
              <w:t>菌落</w:t>
            </w:r>
            <w:r>
              <w:rPr>
                <w:color w:val="000000" w:themeColor="text1"/>
                <w14:textFill>
                  <w14:solidFill>
                    <w14:schemeClr w14:val="tx1"/>
                  </w14:solidFill>
                </w14:textFill>
              </w:rPr>
              <w:t>进行PCR及测序验证，以确认质粒在底盘菌株中正确表达且无突变，即获得工程菌株。</w:t>
            </w:r>
          </w:p>
          <w:p w14:paraId="70710DFB">
            <w:pPr>
              <w:pStyle w:val="87"/>
              <w:tabs>
                <w:tab w:val="left" w:pos="2121"/>
              </w:tabs>
              <w:spacing w:line="480" w:lineRule="exact"/>
              <w:ind w:firstLine="482" w:firstLineChars="200"/>
              <w:rPr>
                <w:color w:val="000000" w:themeColor="text1"/>
                <w14:textFill>
                  <w14:solidFill>
                    <w14:schemeClr w14:val="tx1"/>
                  </w14:solidFill>
                </w14:textFill>
              </w:rPr>
            </w:pPr>
            <w:r>
              <w:rPr>
                <w:b/>
                <w:bCs/>
                <w:color w:val="000000" w:themeColor="text1"/>
                <w14:textFill>
                  <w14:solidFill>
                    <w14:schemeClr w14:val="tx1"/>
                  </w14:solidFill>
                </w14:textFill>
              </w:rPr>
              <w:t>高产菌验证：</w:t>
            </w:r>
            <w:r>
              <w:rPr>
                <w:color w:val="000000" w:themeColor="text1"/>
                <w14:textFill>
                  <w14:solidFill>
                    <w14:schemeClr w14:val="tx1"/>
                  </w14:solidFill>
                </w14:textFill>
              </w:rPr>
              <w:t>将菌种接种于</w:t>
            </w:r>
            <w:r>
              <w:rPr>
                <w:rFonts w:hint="eastAsia"/>
                <w:color w:val="000000" w:themeColor="text1"/>
                <w14:textFill>
                  <w14:solidFill>
                    <w14:schemeClr w14:val="tx1"/>
                  </w14:solidFill>
                </w14:textFill>
              </w:rPr>
              <w:t>液体培养基</w:t>
            </w:r>
            <w:r>
              <w:rPr>
                <w:color w:val="000000" w:themeColor="text1"/>
                <w14:textFill>
                  <w14:solidFill>
                    <w14:schemeClr w14:val="tx1"/>
                  </w14:solidFill>
                </w14:textFill>
              </w:rPr>
              <w:t>，在37℃、220 rpm</w:t>
            </w:r>
            <w:r>
              <w:rPr>
                <w:rFonts w:hint="eastAsia"/>
                <w:color w:val="000000" w:themeColor="text1"/>
                <w14:textFill>
                  <w14:solidFill>
                    <w14:schemeClr w14:val="tx1"/>
                  </w14:solidFill>
                </w14:textFill>
              </w:rPr>
              <w:t>条件</w:t>
            </w:r>
            <w:r>
              <w:rPr>
                <w:color w:val="000000" w:themeColor="text1"/>
                <w14:textFill>
                  <w14:solidFill>
                    <w14:schemeClr w14:val="tx1"/>
                  </w14:solidFill>
                </w14:textFill>
              </w:rPr>
              <w:t>下培养，并定时测定培养液的OD600与产物浓度。当菌体生长达到设定阶段后适时补加</w:t>
            </w:r>
            <w:r>
              <w:rPr>
                <w:rFonts w:hint="eastAsia"/>
                <w:color w:val="000000" w:themeColor="text1"/>
                <w14:textFill>
                  <w14:solidFill>
                    <w14:schemeClr w14:val="tx1"/>
                  </w14:solidFill>
                </w14:textFill>
              </w:rPr>
              <w:t>葡萄糖、甘油等碳源</w:t>
            </w:r>
            <w:r>
              <w:rPr>
                <w:color w:val="000000" w:themeColor="text1"/>
                <w14:textFill>
                  <w14:solidFill>
                    <w14:schemeClr w14:val="tx1"/>
                  </w14:solidFill>
                </w14:textFill>
              </w:rPr>
              <w:t>，继续发酵至产物不再明显上升。结束后离心取上清，测定目标产物含量，将不同克隆的产量进行比较，筛选表现最佳的高产工程菌株。</w:t>
            </w:r>
          </w:p>
          <w:p w14:paraId="3C324F91">
            <w:pPr>
              <w:pStyle w:val="87"/>
              <w:tabs>
                <w:tab w:val="left" w:pos="2121"/>
              </w:tabs>
              <w:spacing w:line="480" w:lineRule="exact"/>
              <w:ind w:firstLine="482" w:firstLineChars="200"/>
              <w:rPr>
                <w:color w:val="000000" w:themeColor="text1"/>
                <w14:textFill>
                  <w14:solidFill>
                    <w14:schemeClr w14:val="tx1"/>
                  </w14:solidFill>
                </w14:textFill>
              </w:rPr>
            </w:pPr>
            <w:r>
              <w:rPr>
                <w:b/>
                <w:bCs/>
                <w:color w:val="000000" w:themeColor="text1"/>
                <w14:textFill>
                  <w14:solidFill>
                    <w14:schemeClr w14:val="tx1"/>
                  </w14:solidFill>
                </w14:textFill>
              </w:rPr>
              <w:t>菌种保藏：</w:t>
            </w:r>
            <w:r>
              <w:rPr>
                <w:color w:val="000000" w:themeColor="text1"/>
                <w14:textFill>
                  <w14:solidFill>
                    <w14:schemeClr w14:val="tx1"/>
                  </w14:solidFill>
                </w14:textFill>
              </w:rPr>
              <w:t>从平板培养基上挑取单菌落于液体培养基中，振荡培养至对数生长期，将菌液转移至冻存管，并加入甘油，使得甘油终浓度为15%-25%。最后标注编号，菌株名称，日期和姓名等信息，置于冰箱保藏。</w:t>
            </w:r>
          </w:p>
          <w:p w14:paraId="71235167">
            <w:pPr>
              <w:pStyle w:val="87"/>
              <w:tabs>
                <w:tab w:val="left" w:pos="2121"/>
              </w:tabs>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菌种构建在实验室中进行，每批次实验使用物料量较少，且实验过程多次使用检验设备，产污在检验环节中一并分析。</w:t>
            </w:r>
          </w:p>
          <w:p w14:paraId="72F6D38D">
            <w:pPr>
              <w:pStyle w:val="87"/>
              <w:tabs>
                <w:tab w:val="left" w:pos="2121"/>
              </w:tabs>
              <w:spacing w:line="480" w:lineRule="exact"/>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（2）检验工艺</w:t>
            </w:r>
          </w:p>
          <w:p w14:paraId="021EC13C">
            <w:pPr>
              <w:pStyle w:val="87"/>
              <w:tabs>
                <w:tab w:val="left" w:pos="2121"/>
              </w:tabs>
              <w:spacing w:line="480" w:lineRule="exact"/>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本项目实验室</w:t>
            </w:r>
            <w:r>
              <w:rPr>
                <w:rFonts w:hint="eastAsia"/>
                <w:bCs/>
                <w:color w:val="000000" w:themeColor="text1"/>
                <w14:textFill>
                  <w14:solidFill>
                    <w14:schemeClr w14:val="tx1"/>
                  </w14:solidFill>
                </w14:textFill>
              </w:rPr>
              <w:t>检验的仪器</w:t>
            </w:r>
            <w:r>
              <w:rPr>
                <w:bCs/>
                <w:color w:val="000000" w:themeColor="text1"/>
                <w14:textFill>
                  <w14:solidFill>
                    <w14:schemeClr w14:val="tx1"/>
                  </w14:solidFill>
                </w14:textFill>
              </w:rPr>
              <w:t>包括分光光度计</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天平</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PH计</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高效液相</w:t>
            </w:r>
            <w:r>
              <w:rPr>
                <w:rFonts w:hint="eastAsia"/>
                <w:bCs/>
                <w:color w:val="000000" w:themeColor="text1"/>
                <w14:textFill>
                  <w14:solidFill>
                    <w14:schemeClr w14:val="tx1"/>
                  </w14:solidFill>
                </w14:textFill>
              </w:rPr>
              <w:t>色谱仪、</w:t>
            </w:r>
            <w:r>
              <w:rPr>
                <w:bCs/>
                <w:color w:val="000000" w:themeColor="text1"/>
                <w14:textFill>
                  <w14:solidFill>
                    <w14:schemeClr w14:val="tx1"/>
                  </w14:solidFill>
                </w14:textFill>
              </w:rPr>
              <w:t>核酸电泳仪等。</w:t>
            </w:r>
            <w:r>
              <w:rPr>
                <w:rFonts w:hint="eastAsia"/>
                <w:bCs/>
                <w:color w:val="000000" w:themeColor="text1"/>
                <w14:textFill>
                  <w14:solidFill>
                    <w14:schemeClr w14:val="tx1"/>
                  </w14:solidFill>
                </w14:textFill>
              </w:rPr>
              <w:t>主要检测溶液中目标物质浓度和最终目标产物的纯度。</w:t>
            </w:r>
          </w:p>
          <w:p w14:paraId="70E7DBC2">
            <w:pPr>
              <w:pStyle w:val="87"/>
              <w:tabs>
                <w:tab w:val="left" w:pos="2121"/>
              </w:tabs>
              <w:spacing w:line="480" w:lineRule="exact"/>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实验完成后，将实验数据传到北京研发中心，进行复现使用获得高产菌株</w:t>
            </w:r>
            <w:r>
              <w:rPr>
                <w:rFonts w:hint="eastAsia"/>
                <w:bCs/>
                <w:color w:val="000000" w:themeColor="text1"/>
                <w14:textFill>
                  <w14:solidFill>
                    <w14:schemeClr w14:val="tx1"/>
                  </w14:solidFill>
                </w14:textFill>
              </w:rPr>
              <w:t>。本项目制得的目标产物S1-1检测后作为危险废物</w:t>
            </w:r>
            <w:r>
              <w:rPr>
                <w:bCs/>
                <w:color w:val="000000" w:themeColor="text1"/>
                <w14:textFill>
                  <w14:solidFill>
                    <w14:schemeClr w14:val="tx1"/>
                  </w14:solidFill>
                </w14:textFill>
              </w:rPr>
              <w:t>委托有资质单位处置。</w:t>
            </w:r>
          </w:p>
          <w:p w14:paraId="09E68DD4">
            <w:pPr>
              <w:pStyle w:val="87"/>
              <w:tabs>
                <w:tab w:val="left" w:pos="2121"/>
              </w:tabs>
              <w:spacing w:line="480" w:lineRule="exact"/>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实验过程使用的挥发性试剂主要为乙腈、甲醇，</w:t>
            </w:r>
            <w:r>
              <w:rPr>
                <w:color w:val="000000" w:themeColor="text1"/>
                <w14:textFill>
                  <w14:solidFill>
                    <w14:schemeClr w14:val="tx1"/>
                  </w14:solidFill>
                </w14:textFill>
              </w:rPr>
              <w:t>在配制及使用环节会产生</w:t>
            </w:r>
            <w:r>
              <w:rPr>
                <w:rFonts w:hint="eastAsia"/>
                <w:color w:val="000000" w:themeColor="text1"/>
                <w14:textFill>
                  <w14:solidFill>
                    <w14:schemeClr w14:val="tx1"/>
                  </w14:solidFill>
                </w14:textFill>
              </w:rPr>
              <w:t>检验废气G1-1；</w:t>
            </w:r>
            <w:r>
              <w:rPr>
                <w:color w:val="000000" w:themeColor="text1"/>
                <w14:textFill>
                  <w14:solidFill>
                    <w14:schemeClr w14:val="tx1"/>
                  </w14:solidFill>
                </w14:textFill>
              </w:rPr>
              <w:t>实验过程中</w:t>
            </w:r>
            <w:r>
              <w:rPr>
                <w:rFonts w:hint="eastAsia"/>
                <w:color w:val="000000" w:themeColor="text1"/>
                <w14:textFill>
                  <w14:solidFill>
                    <w14:schemeClr w14:val="tx1"/>
                  </w14:solidFill>
                </w14:textFill>
              </w:rPr>
              <w:t>会</w:t>
            </w:r>
            <w:r>
              <w:rPr>
                <w:color w:val="000000" w:themeColor="text1"/>
                <w14:textFill>
                  <w14:solidFill>
                    <w14:schemeClr w14:val="tx1"/>
                  </w14:solidFill>
                </w14:textFill>
              </w:rPr>
              <w:t>产生</w:t>
            </w:r>
            <w:r>
              <w:rPr>
                <w:rFonts w:hint="eastAsia"/>
                <w:color w:val="000000" w:themeColor="text1"/>
                <w14:textFill>
                  <w14:solidFill>
                    <w14:schemeClr w14:val="tx1"/>
                  </w14:solidFill>
                </w14:textFill>
              </w:rPr>
              <w:t>废</w:t>
            </w:r>
            <w:r>
              <w:rPr>
                <w:color w:val="000000" w:themeColor="text1"/>
                <w14:textFill>
                  <w14:solidFill>
                    <w14:schemeClr w14:val="tx1"/>
                  </w14:solidFill>
                </w14:textFill>
              </w:rPr>
              <w:t>试剂瓶、</w:t>
            </w:r>
            <w:r>
              <w:rPr>
                <w:rFonts w:hint="eastAsia"/>
                <w:color w:val="000000" w:themeColor="text1"/>
                <w14:textFill>
                  <w14:solidFill>
                    <w14:schemeClr w14:val="tx1"/>
                  </w14:solidFill>
                </w14:textFill>
              </w:rPr>
              <w:t>废</w:t>
            </w:r>
            <w:r>
              <w:rPr>
                <w:color w:val="000000" w:themeColor="text1"/>
                <w14:textFill>
                  <w14:solidFill>
                    <w14:schemeClr w14:val="tx1"/>
                  </w14:solidFill>
                </w14:textFill>
              </w:rPr>
              <w:t>实验用品</w:t>
            </w:r>
            <w:r>
              <w:rPr>
                <w:rFonts w:hint="eastAsia"/>
                <w:color w:val="000000" w:themeColor="text1"/>
                <w14:textFill>
                  <w14:solidFill>
                    <w14:schemeClr w14:val="tx1"/>
                  </w14:solidFill>
                </w14:textFill>
              </w:rPr>
              <w:t>、废培养基</w:t>
            </w:r>
            <w:r>
              <w:rPr>
                <w:color w:val="000000" w:themeColor="text1"/>
                <w14:textFill>
                  <w14:solidFill>
                    <w14:schemeClr w14:val="tx1"/>
                  </w14:solidFill>
                </w14:textFill>
              </w:rPr>
              <w:t>等实验废物S</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实验</w:t>
            </w:r>
            <w:r>
              <w:rPr>
                <w:rFonts w:hint="eastAsia"/>
                <w:color w:val="000000" w:themeColor="text1"/>
                <w14:textFill>
                  <w14:solidFill>
                    <w14:schemeClr w14:val="tx1"/>
                  </w14:solidFill>
                </w14:textFill>
              </w:rPr>
              <w:t>过程中会产生</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溶</w:t>
            </w:r>
            <w:r>
              <w:rPr>
                <w:color w:val="000000" w:themeColor="text1"/>
                <w14:textFill>
                  <w14:solidFill>
                    <w14:schemeClr w14:val="tx1"/>
                  </w14:solidFill>
                </w14:textFill>
              </w:rPr>
              <w:t>液</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，运行过程中会产生实验</w:t>
            </w:r>
            <w:r>
              <w:rPr>
                <w:rFonts w:hint="eastAsia"/>
                <w:color w:val="000000" w:themeColor="text1"/>
                <w14:textFill>
                  <w14:solidFill>
                    <w14:schemeClr w14:val="tx1"/>
                  </w14:solidFill>
                </w14:textFill>
              </w:rPr>
              <w:t>废液S1-3。</w:t>
            </w:r>
          </w:p>
          <w:p w14:paraId="6CDBBB3B">
            <w:pPr>
              <w:pStyle w:val="87"/>
              <w:tabs>
                <w:tab w:val="left" w:pos="2121"/>
              </w:tabs>
              <w:spacing w:line="480" w:lineRule="exact"/>
              <w:ind w:firstLine="482" w:firstLineChars="200"/>
              <w:rPr>
                <w:bCs/>
                <w:color w:val="000000" w:themeColor="text1"/>
                <w14:textFill>
                  <w14:solidFill>
                    <w14:schemeClr w14:val="tx1"/>
                  </w14:solidFill>
                </w14:textFill>
              </w:rPr>
            </w:pP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3</w:t>
            </w:r>
            <w:r>
              <w:rPr>
                <w:b/>
                <w:color w:val="000000" w:themeColor="text1"/>
                <w14:textFill>
                  <w14:solidFill>
                    <w14:schemeClr w14:val="tx1"/>
                  </w14:solidFill>
                </w14:textFill>
              </w:rPr>
              <w:t>）发酵工艺流程</w:t>
            </w:r>
          </w:p>
          <w:p w14:paraId="44AAAFA2">
            <w:pPr>
              <w:snapToGrid w:val="0"/>
              <w:jc w:val="center"/>
              <w:rPr>
                <w:b/>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349240" cy="3313430"/>
                  <wp:effectExtent l="0" t="0" r="3810" b="127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5"/>
                          <a:stretch>
                            <a:fillRect/>
                          </a:stretch>
                        </pic:blipFill>
                        <pic:spPr>
                          <a:xfrm>
                            <a:off x="0" y="0"/>
                            <a:ext cx="5349240" cy="3313430"/>
                          </a:xfrm>
                          <a:prstGeom prst="rect">
                            <a:avLst/>
                          </a:prstGeom>
                          <a:noFill/>
                          <a:ln>
                            <a:noFill/>
                          </a:ln>
                        </pic:spPr>
                      </pic:pic>
                    </a:graphicData>
                  </a:graphic>
                </wp:inline>
              </w:drawing>
            </w:r>
          </w:p>
          <w:p w14:paraId="6320B497">
            <w:pPr>
              <w:pStyle w:val="87"/>
              <w:tabs>
                <w:tab w:val="left" w:pos="2121"/>
              </w:tabs>
              <w:spacing w:line="360" w:lineRule="auto"/>
              <w:jc w:val="center"/>
              <w:rPr>
                <w:b/>
                <w:color w:val="000000" w:themeColor="text1"/>
                <w14:textFill>
                  <w14:solidFill>
                    <w14:schemeClr w14:val="tx1"/>
                  </w14:solidFill>
                </w14:textFill>
              </w:rPr>
            </w:pPr>
            <w:r>
              <w:rPr>
                <w:b/>
                <w:color w:val="000000" w:themeColor="text1"/>
                <w:sz w:val="21"/>
                <w:szCs w:val="21"/>
                <w14:textFill>
                  <w14:solidFill>
                    <w14:schemeClr w14:val="tx1"/>
                  </w14:solidFill>
                </w14:textFill>
              </w:rPr>
              <w:t>图2-</w:t>
            </w:r>
            <w:r>
              <w:rPr>
                <w:rFonts w:hint="eastAsia"/>
                <w:b/>
                <w:color w:val="000000" w:themeColor="text1"/>
                <w:sz w:val="21"/>
                <w:szCs w:val="21"/>
                <w14:textFill>
                  <w14:solidFill>
                    <w14:schemeClr w14:val="tx1"/>
                  </w14:solidFill>
                </w14:textFill>
              </w:rPr>
              <w:t>6</w:t>
            </w:r>
            <w:r>
              <w:rPr>
                <w:b/>
                <w:color w:val="000000" w:themeColor="text1"/>
                <w:sz w:val="21"/>
                <w:szCs w:val="21"/>
                <w14:textFill>
                  <w14:solidFill>
                    <w14:schemeClr w14:val="tx1"/>
                  </w14:solidFill>
                </w14:textFill>
              </w:rPr>
              <w:t xml:space="preserve"> 发酵工艺流程图</w:t>
            </w:r>
          </w:p>
          <w:p w14:paraId="78BCDD6B">
            <w:pPr>
              <w:spacing w:line="480" w:lineRule="exact"/>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种子培养</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人工在种子瓶中将蛋白胨、酵母粉、氯化钠、纯水按一定比例配置成种子培养基，并使用</w:t>
            </w:r>
            <w:r>
              <w:rPr>
                <w:color w:val="000000" w:themeColor="text1"/>
                <w:sz w:val="24"/>
                <w14:textFill>
                  <w14:solidFill>
                    <w14:schemeClr w14:val="tx1"/>
                  </w14:solidFill>
                </w14:textFill>
              </w:rPr>
              <w:t>灭菌锅</w:t>
            </w:r>
            <w:r>
              <w:rPr>
                <w:rFonts w:hint="eastAsia"/>
                <w:color w:val="000000" w:themeColor="text1"/>
                <w:sz w:val="24"/>
                <w14:textFill>
                  <w14:solidFill>
                    <w14:schemeClr w14:val="tx1"/>
                  </w14:solidFill>
                </w14:textFill>
              </w:rPr>
              <w:t>进行灭菌。然后将菌种</w:t>
            </w:r>
            <w:r>
              <w:rPr>
                <w:bCs/>
                <w:color w:val="000000" w:themeColor="text1"/>
                <w:sz w:val="24"/>
                <w14:textFill>
                  <w14:solidFill>
                    <w14:schemeClr w14:val="tx1"/>
                  </w14:solidFill>
                </w14:textFill>
              </w:rPr>
              <w:t>（大肠杆菌）</w:t>
            </w:r>
            <w:r>
              <w:rPr>
                <w:rFonts w:hint="eastAsia"/>
                <w:color w:val="000000" w:themeColor="text1"/>
                <w:sz w:val="24"/>
                <w14:textFill>
                  <w14:solidFill>
                    <w14:schemeClr w14:val="tx1"/>
                  </w14:solidFill>
                </w14:textFill>
              </w:rPr>
              <w:t>接入种子培养基，于生化培养箱中培养</w:t>
            </w:r>
            <w:r>
              <w:rPr>
                <w:color w:val="000000" w:themeColor="text1"/>
                <w:sz w:val="24"/>
                <w14:textFill>
                  <w14:solidFill>
                    <w14:schemeClr w14:val="tx1"/>
                  </w14:solidFill>
                </w14:textFill>
              </w:rPr>
              <w:t>约</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小时</w:t>
            </w:r>
            <w:r>
              <w:rPr>
                <w:rFonts w:hint="eastAsia"/>
                <w:color w:val="000000" w:themeColor="text1"/>
                <w:sz w:val="24"/>
                <w14:textFill>
                  <w14:solidFill>
                    <w14:schemeClr w14:val="tx1"/>
                  </w14:solidFill>
                </w14:textFill>
              </w:rPr>
              <w:t>，设定培养条件为</w:t>
            </w:r>
            <w:r>
              <w:rPr>
                <w:color w:val="000000" w:themeColor="text1"/>
                <w:sz w:val="24"/>
                <w14:textFill>
                  <w14:solidFill>
                    <w14:schemeClr w14:val="tx1"/>
                  </w14:solidFill>
                </w14:textFill>
              </w:rPr>
              <w:t>37℃</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200rpm</w:t>
            </w:r>
            <w:r>
              <w:rPr>
                <w:rFonts w:hint="eastAsia"/>
                <w:color w:val="000000" w:themeColor="text1"/>
                <w:sz w:val="24"/>
                <w14:textFill>
                  <w14:solidFill>
                    <w14:schemeClr w14:val="tx1"/>
                  </w14:solidFill>
                </w14:textFill>
              </w:rPr>
              <w:t>，得到种子液。</w:t>
            </w:r>
            <w:r>
              <w:rPr>
                <w:color w:val="000000" w:themeColor="text1"/>
                <w:sz w:val="24"/>
                <w14:textFill>
                  <w14:solidFill>
                    <w14:schemeClr w14:val="tx1"/>
                  </w14:solidFill>
                </w14:textFill>
              </w:rPr>
              <w:t>培养周期</w:t>
            </w:r>
            <w:r>
              <w:rPr>
                <w:rFonts w:hint="eastAsia"/>
                <w:color w:val="000000" w:themeColor="text1"/>
                <w:sz w:val="24"/>
                <w14:textFill>
                  <w14:solidFill>
                    <w14:schemeClr w14:val="tx1"/>
                  </w14:solidFill>
                </w14:textFill>
              </w:rPr>
              <w:t>中</w:t>
            </w:r>
            <w:r>
              <w:rPr>
                <w:color w:val="000000" w:themeColor="text1"/>
                <w:sz w:val="24"/>
                <w14:textFill>
                  <w14:solidFill>
                    <w14:schemeClr w14:val="tx1"/>
                  </w14:solidFill>
                </w14:textFill>
              </w:rPr>
              <w:t>制作菌浓生长曲线，确定最佳</w:t>
            </w:r>
            <w:r>
              <w:rPr>
                <w:rFonts w:hint="eastAsia"/>
                <w:color w:val="000000" w:themeColor="text1"/>
                <w:sz w:val="24"/>
                <w14:textFill>
                  <w14:solidFill>
                    <w14:schemeClr w14:val="tx1"/>
                  </w14:solidFill>
                </w14:textFill>
              </w:rPr>
              <w:t>发酵</w:t>
            </w:r>
            <w:r>
              <w:rPr>
                <w:color w:val="000000" w:themeColor="text1"/>
                <w:sz w:val="24"/>
                <w14:textFill>
                  <w14:solidFill>
                    <w14:schemeClr w14:val="tx1"/>
                  </w14:solidFill>
                </w14:textFill>
              </w:rPr>
              <w:t>时长。</w:t>
            </w:r>
            <w:r>
              <w:rPr>
                <w:rFonts w:hint="eastAsia"/>
                <w:color w:val="FF0000"/>
                <w:sz w:val="24"/>
              </w:rPr>
              <w:t>配料、称量工段均在通风橱内进行，操作过程会有少量粉状物料以粉尘形式逸散，由于本项目粉料用量较少，本次评价不做定量分析。</w:t>
            </w:r>
          </w:p>
          <w:p w14:paraId="0087468A">
            <w:pPr>
              <w:spacing w:line="480" w:lineRule="exact"/>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配料：</w:t>
            </w:r>
            <w:r>
              <w:rPr>
                <w:rFonts w:hint="eastAsia"/>
                <w:bCs/>
                <w:color w:val="000000" w:themeColor="text1"/>
                <w:sz w:val="24"/>
                <w14:textFill>
                  <w14:solidFill>
                    <w14:schemeClr w14:val="tx1"/>
                  </w14:solidFill>
                </w14:textFill>
              </w:rPr>
              <w:t>将</w:t>
            </w:r>
            <w:r>
              <w:rPr>
                <w:bCs/>
                <w:color w:val="000000" w:themeColor="text1"/>
                <w:sz w:val="24"/>
                <w14:textFill>
                  <w14:solidFill>
                    <w14:schemeClr w14:val="tx1"/>
                  </w14:solidFill>
                </w14:textFill>
              </w:rPr>
              <w:t>甘油、葡萄糖、磷酸氢二钾、磷酸二氢钾、硫酸镁、氯化钙、氯化钠、硫酸铵、玉米浆粉、纯水</w:t>
            </w:r>
            <w:r>
              <w:rPr>
                <w:rFonts w:hint="eastAsia"/>
                <w:bCs/>
                <w:color w:val="000000" w:themeColor="text1"/>
                <w:sz w:val="24"/>
                <w14:textFill>
                  <w14:solidFill>
                    <w14:schemeClr w14:val="tx1"/>
                  </w14:solidFill>
                </w14:textFill>
              </w:rPr>
              <w:t>等</w:t>
            </w:r>
            <w:r>
              <w:rPr>
                <w:bCs/>
                <w:color w:val="000000" w:themeColor="text1"/>
                <w:sz w:val="24"/>
                <w14:textFill>
                  <w14:solidFill>
                    <w14:schemeClr w14:val="tx1"/>
                  </w14:solidFill>
                </w14:textFill>
              </w:rPr>
              <w:t>按比例配置</w:t>
            </w:r>
            <w:r>
              <w:rPr>
                <w:rFonts w:hint="eastAsia"/>
                <w:bCs/>
                <w:color w:val="000000" w:themeColor="text1"/>
                <w:sz w:val="24"/>
                <w14:textFill>
                  <w14:solidFill>
                    <w14:schemeClr w14:val="tx1"/>
                  </w14:solidFill>
                </w14:textFill>
              </w:rPr>
              <w:t>发酵培养基，人工投入发酵罐内；同时将补料瓶、碱液瓶和消泡剂瓶分别注入葡萄糖、氢氧化钠、消泡剂，分别连接至发酵罐的对应管路</w:t>
            </w:r>
            <w:r>
              <w:rPr>
                <w:bCs/>
                <w:color w:val="000000" w:themeColor="text1"/>
                <w:sz w:val="24"/>
                <w14:textFill>
                  <w14:solidFill>
                    <w14:schemeClr w14:val="tx1"/>
                  </w14:solidFill>
                </w14:textFill>
              </w:rPr>
              <w:t>。随后关闭罐体</w:t>
            </w:r>
            <w:r>
              <w:rPr>
                <w:rFonts w:hint="eastAsia"/>
                <w:bCs/>
                <w:color w:val="000000" w:themeColor="text1"/>
                <w:sz w:val="24"/>
                <w14:textFill>
                  <w14:solidFill>
                    <w14:schemeClr w14:val="tx1"/>
                  </w14:solidFill>
                </w14:textFill>
              </w:rPr>
              <w:t>，使用隔套蒸汽对发酵罐整体进行灭菌，</w:t>
            </w:r>
            <w:r>
              <w:rPr>
                <w:bCs/>
                <w:color w:val="000000" w:themeColor="text1"/>
                <w:sz w:val="24"/>
                <w14:textFill>
                  <w14:solidFill>
                    <w14:schemeClr w14:val="tx1"/>
                  </w14:solidFill>
                </w14:textFill>
              </w:rPr>
              <w:t>保持</w:t>
            </w:r>
            <w:r>
              <w:rPr>
                <w:rFonts w:hint="eastAsia"/>
                <w:bCs/>
                <w:color w:val="000000" w:themeColor="text1"/>
                <w:sz w:val="24"/>
                <w14:textFill>
                  <w14:solidFill>
                    <w14:schemeClr w14:val="tx1"/>
                  </w14:solidFill>
                </w14:textFill>
              </w:rPr>
              <w:t>121</w:t>
            </w:r>
            <w:r>
              <w:rPr>
                <w:bCs/>
                <w:color w:val="000000" w:themeColor="text1"/>
                <w:sz w:val="24"/>
                <w14:textFill>
                  <w14:solidFill>
                    <w14:schemeClr w14:val="tx1"/>
                  </w14:solidFill>
                </w14:textFill>
              </w:rPr>
              <w:t>°C</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灭菌</w:t>
            </w:r>
            <w:r>
              <w:rPr>
                <w:rFonts w:hint="eastAsia"/>
                <w:bCs/>
                <w:color w:val="000000" w:themeColor="text1"/>
                <w:sz w:val="24"/>
                <w14:textFill>
                  <w14:solidFill>
                    <w14:schemeClr w14:val="tx1"/>
                  </w14:solidFill>
                </w14:textFill>
              </w:rPr>
              <w:t>时间为</w:t>
            </w:r>
            <w:r>
              <w:rPr>
                <w:bCs/>
                <w:color w:val="000000" w:themeColor="text1"/>
                <w:sz w:val="24"/>
                <w14:textFill>
                  <w14:solidFill>
                    <w14:schemeClr w14:val="tx1"/>
                  </w14:solidFill>
                </w14:textFill>
              </w:rPr>
              <w:t>20~30min</w:t>
            </w:r>
            <w:r>
              <w:rPr>
                <w:rFonts w:hint="eastAsia"/>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配料、称量工段均在通风橱内进行，操作过程会有少量粉状物料以粉尘形式逸散，由于本项目粉料用量较少，本次评价不做定量分析。此过程会产生隔套灭菌冷凝水W2-1。</w:t>
            </w:r>
          </w:p>
          <w:p w14:paraId="60A9C890">
            <w:pPr>
              <w:pStyle w:val="87"/>
              <w:tabs>
                <w:tab w:val="left" w:pos="2121"/>
              </w:tabs>
              <w:spacing w:line="480" w:lineRule="exact"/>
              <w:ind w:firstLine="482" w:firstLineChars="200"/>
              <w:rPr>
                <w:bCs/>
                <w:color w:val="000000" w:themeColor="text1"/>
                <w14:textFill>
                  <w14:solidFill>
                    <w14:schemeClr w14:val="tx1"/>
                  </w14:solidFill>
                </w14:textFill>
              </w:rPr>
            </w:pPr>
            <w:r>
              <w:rPr>
                <w:b/>
                <w:color w:val="000000" w:themeColor="text1"/>
                <w14:textFill>
                  <w14:solidFill>
                    <w14:schemeClr w14:val="tx1"/>
                  </w14:solidFill>
                </w14:textFill>
              </w:rPr>
              <w:t>发酵罐培养：</w:t>
            </w:r>
            <w:r>
              <w:rPr>
                <w:rFonts w:hint="eastAsia"/>
                <w:bCs/>
                <w:color w:val="000000" w:themeColor="text1"/>
                <w14:textFill>
                  <w14:solidFill>
                    <w14:schemeClr w14:val="tx1"/>
                  </w14:solidFill>
                </w14:textFill>
              </w:rPr>
              <w:t>发酵罐中的</w:t>
            </w:r>
            <w:r>
              <w:rPr>
                <w:bCs/>
                <w:color w:val="000000" w:themeColor="text1"/>
                <w14:textFill>
                  <w14:solidFill>
                    <w14:schemeClr w14:val="tx1"/>
                  </w14:solidFill>
                </w14:textFill>
              </w:rPr>
              <w:t>培养液冷却</w:t>
            </w:r>
            <w:r>
              <w:rPr>
                <w:rFonts w:hint="eastAsia"/>
                <w:bCs/>
                <w:color w:val="000000" w:themeColor="text1"/>
                <w14:textFill>
                  <w14:solidFill>
                    <w14:schemeClr w14:val="tx1"/>
                  </w14:solidFill>
                </w14:textFill>
              </w:rPr>
              <w:t>至室温</w:t>
            </w:r>
            <w:r>
              <w:rPr>
                <w:bCs/>
                <w:color w:val="000000" w:themeColor="text1"/>
                <w14:textFill>
                  <w14:solidFill>
                    <w14:schemeClr w14:val="tx1"/>
                  </w14:solidFill>
                </w14:textFill>
              </w:rPr>
              <w:t>后，通入无菌空气并保持供气稳定，确认所有阀门、过滤器和外接路线均无泄漏。接种前将罐温升至设定的发酵温度，调节搅拌速度与空气流量以确保溶氧达到初始设定值。将生长至对数期的种子液接入发酵罐，正式启动发酵过程。</w:t>
            </w:r>
          </w:p>
          <w:p w14:paraId="4D8ED483">
            <w:pPr>
              <w:pStyle w:val="87"/>
              <w:tabs>
                <w:tab w:val="left" w:pos="2121"/>
              </w:tabs>
              <w:spacing w:line="480" w:lineRule="exact"/>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发酵期间维持罐内温度、搅拌速度和通气量，通过自动控制补加碱液</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消泡剂和碳源</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OD、</w:t>
            </w:r>
            <w:r>
              <w:rPr>
                <w:rFonts w:hint="eastAsia"/>
                <w:bCs/>
                <w:color w:val="000000" w:themeColor="text1"/>
                <w14:textFill>
                  <w14:solidFill>
                    <w14:schemeClr w14:val="tx1"/>
                  </w14:solidFill>
                </w14:textFill>
              </w:rPr>
              <w:t>浓度</w:t>
            </w:r>
            <w:r>
              <w:rPr>
                <w:bCs/>
                <w:color w:val="000000" w:themeColor="text1"/>
                <w14:textFill>
                  <w14:solidFill>
                    <w14:schemeClr w14:val="tx1"/>
                  </w14:solidFill>
                </w14:textFill>
              </w:rPr>
              <w:t>基本不增长即可放罐</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放罐前降低转速，罐压控制0.04Mpa左右，培养过程控制温度10~25℃</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整个发酵周期</w:t>
            </w:r>
            <w:r>
              <w:rPr>
                <w:rFonts w:hint="eastAsia"/>
                <w:bCs/>
                <w:color w:val="000000" w:themeColor="text1"/>
                <w14:textFill>
                  <w14:solidFill>
                    <w14:schemeClr w14:val="tx1"/>
                  </w14:solidFill>
                </w14:textFill>
              </w:rPr>
              <w:t>约为36~45</w:t>
            </w:r>
            <w:r>
              <w:rPr>
                <w:bCs/>
                <w:color w:val="000000" w:themeColor="text1"/>
                <w14:textFill>
                  <w14:solidFill>
                    <w14:schemeClr w14:val="tx1"/>
                  </w14:solidFill>
                </w14:textFill>
              </w:rPr>
              <w:t>小时</w:t>
            </w:r>
            <w:r>
              <w:rPr>
                <w:rFonts w:hint="eastAsia"/>
                <w:bCs/>
                <w:color w:val="000000" w:themeColor="text1"/>
                <w14:textFill>
                  <w14:solidFill>
                    <w14:schemeClr w14:val="tx1"/>
                  </w14:solidFill>
                </w14:textFill>
              </w:rPr>
              <w:t>，最终得到发酵液。</w:t>
            </w:r>
            <w:r>
              <w:rPr>
                <w:rFonts w:hint="eastAsia"/>
                <w:bCs/>
                <w:color w:val="FF0000"/>
              </w:rPr>
              <w:t>本项目发酵过程的以甘油、葡萄糖为主，含氮以及含硫物料使用量较少，且不属于腐败发酵或者厌氧发酵，基本不会产生氨气及硫化氢，本项目</w:t>
            </w:r>
            <w:r>
              <w:rPr>
                <w:rFonts w:hint="eastAsia"/>
                <w:bCs/>
                <w:color w:val="FF0000"/>
                <w:lang w:val="en-US" w:eastAsia="zh-CN"/>
              </w:rPr>
              <w:t>不定量分析</w:t>
            </w:r>
            <w:r>
              <w:rPr>
                <w:rFonts w:hint="eastAsia"/>
                <w:bCs/>
                <w:color w:val="FF0000"/>
              </w:rPr>
              <w:t>。</w:t>
            </w:r>
            <w:r>
              <w:rPr>
                <w:rFonts w:hint="eastAsia"/>
                <w:bCs/>
                <w:color w:val="000000" w:themeColor="text1"/>
                <w14:textFill>
                  <w14:solidFill>
                    <w14:schemeClr w14:val="tx1"/>
                  </w14:solidFill>
                </w14:textFill>
              </w:rPr>
              <w:t>培养过程中少量细胞呼吸尾气通过发酵罐排气口处小型过滤器排出，本项目此过程产生发酵废气G2-1（CO</w:t>
            </w:r>
            <w:r>
              <w:rPr>
                <w:rFonts w:hint="eastAsia"/>
                <w:bCs/>
                <w:color w:val="000000" w:themeColor="text1"/>
                <w:vertAlign w:val="subscript"/>
                <w14:textFill>
                  <w14:solidFill>
                    <w14:schemeClr w14:val="tx1"/>
                  </w14:solidFill>
                </w14:textFill>
              </w:rPr>
              <w:t>2</w:t>
            </w:r>
            <w:r>
              <w:rPr>
                <w:rFonts w:hint="eastAsia"/>
                <w:bCs/>
                <w:color w:val="000000" w:themeColor="text1"/>
                <w14:textFill>
                  <w14:solidFill>
                    <w14:schemeClr w14:val="tx1"/>
                  </w14:solidFill>
                </w14:textFill>
              </w:rPr>
              <w:t>、水汽）</w:t>
            </w:r>
            <w:r>
              <w:rPr>
                <w:bCs/>
                <w:color w:val="000000" w:themeColor="text1"/>
                <w14:textFill>
                  <w14:solidFill>
                    <w14:schemeClr w14:val="tx1"/>
                  </w14:solidFill>
                </w14:textFill>
              </w:rPr>
              <w:t>。</w:t>
            </w:r>
          </w:p>
          <w:p w14:paraId="0CF7E41A">
            <w:pPr>
              <w:pStyle w:val="87"/>
              <w:tabs>
                <w:tab w:val="left" w:pos="2121"/>
              </w:tabs>
              <w:spacing w:line="480" w:lineRule="exact"/>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发酵罐开始运行后</w:t>
            </w:r>
            <w:r>
              <w:rPr>
                <w:rFonts w:hint="eastAsia"/>
                <w:bCs/>
                <w:color w:val="000000" w:themeColor="text1"/>
                <w14:textFill>
                  <w14:solidFill>
                    <w14:schemeClr w14:val="tx1"/>
                  </w14:solidFill>
                </w14:textFill>
              </w:rPr>
              <w:t>定时检</w:t>
            </w:r>
            <w:r>
              <w:rPr>
                <w:bCs/>
                <w:color w:val="000000" w:themeColor="text1"/>
                <w14:textFill>
                  <w14:solidFill>
                    <w14:schemeClr w14:val="tx1"/>
                  </w14:solidFill>
                </w14:textFill>
              </w:rPr>
              <w:t>测pH和OD值，</w:t>
            </w:r>
            <w:r>
              <w:rPr>
                <w:rFonts w:hint="eastAsia"/>
                <w:bCs/>
                <w:color w:val="000000" w:themeColor="text1"/>
                <w14:textFill>
                  <w14:solidFill>
                    <w14:schemeClr w14:val="tx1"/>
                  </w14:solidFill>
                </w14:textFill>
              </w:rPr>
              <w:t>判断</w:t>
            </w:r>
            <w:r>
              <w:rPr>
                <w:bCs/>
                <w:color w:val="000000" w:themeColor="text1"/>
                <w14:textFill>
                  <w14:solidFill>
                    <w14:schemeClr w14:val="tx1"/>
                  </w14:solidFill>
                </w14:textFill>
              </w:rPr>
              <w:t>菌体生长的环境pH和菌体的增长速度，观察指标是否在工艺要求范围内，确定产物表达的最佳工艺条件。</w:t>
            </w:r>
          </w:p>
          <w:p w14:paraId="1CF682CD">
            <w:pPr>
              <w:pStyle w:val="87"/>
              <w:tabs>
                <w:tab w:val="left" w:pos="2121"/>
              </w:tabs>
              <w:spacing w:line="480" w:lineRule="exact"/>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（4）提取</w:t>
            </w:r>
            <w:r>
              <w:rPr>
                <w:bCs/>
                <w:color w:val="000000" w:themeColor="text1"/>
                <w14:textFill>
                  <w14:solidFill>
                    <w14:schemeClr w14:val="tx1"/>
                  </w14:solidFill>
                </w14:textFill>
              </w:rPr>
              <w:t>工艺</w:t>
            </w:r>
            <w:r>
              <w:rPr>
                <w:rFonts w:hint="eastAsia"/>
                <w:bCs/>
                <w:color w:val="000000" w:themeColor="text1"/>
                <w14:textFill>
                  <w14:solidFill>
                    <w14:schemeClr w14:val="tx1"/>
                  </w14:solidFill>
                </w14:textFill>
              </w:rPr>
              <w:t>流程</w:t>
            </w:r>
          </w:p>
          <w:p w14:paraId="3804C5A5">
            <w:pPr>
              <w:pStyle w:val="87"/>
              <w:tabs>
                <w:tab w:val="left" w:pos="2121"/>
              </w:tabs>
              <w:spacing w:line="480" w:lineRule="exact"/>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本项目体提取工艺主要分为溶剂萃取法和吸附分离法。褪黑素、白藜芦醇、香紫苏醇使用溶剂萃取法；色氨酸、5-羟基色氨酸使用吸附分离法。</w:t>
            </w:r>
          </w:p>
          <w:p w14:paraId="2A1F163F">
            <w:pPr>
              <w:pStyle w:val="87"/>
              <w:tabs>
                <w:tab w:val="left" w:pos="2121"/>
              </w:tabs>
              <w:spacing w:line="480" w:lineRule="exact"/>
              <w:ind w:left="420" w:left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①溶剂萃取法：</w:t>
            </w:r>
          </w:p>
          <w:p w14:paraId="05A5376C">
            <w:pPr>
              <w:pStyle w:val="87"/>
              <w:tabs>
                <w:tab w:val="left" w:pos="2121"/>
              </w:tabs>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027930" cy="2987675"/>
                  <wp:effectExtent l="0" t="0" r="1270" b="317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6"/>
                          <a:stretch>
                            <a:fillRect/>
                          </a:stretch>
                        </pic:blipFill>
                        <pic:spPr>
                          <a:xfrm>
                            <a:off x="0" y="0"/>
                            <a:ext cx="5027930" cy="2987675"/>
                          </a:xfrm>
                          <a:prstGeom prst="rect">
                            <a:avLst/>
                          </a:prstGeom>
                          <a:noFill/>
                          <a:ln>
                            <a:noFill/>
                          </a:ln>
                        </pic:spPr>
                      </pic:pic>
                    </a:graphicData>
                  </a:graphic>
                </wp:inline>
              </w:drawing>
            </w:r>
          </w:p>
          <w:p w14:paraId="2E4BD71E">
            <w:pPr>
              <w:pStyle w:val="87"/>
              <w:tabs>
                <w:tab w:val="left" w:pos="2121"/>
              </w:tabs>
              <w:spacing w:line="360" w:lineRule="auto"/>
              <w:jc w:val="center"/>
              <w:rPr>
                <w:b/>
                <w:color w:val="000000" w:themeColor="text1"/>
                <w14:textFill>
                  <w14:solidFill>
                    <w14:schemeClr w14:val="tx1"/>
                  </w14:solidFill>
                </w14:textFill>
              </w:rPr>
            </w:pPr>
            <w:r>
              <w:rPr>
                <w:b/>
                <w:color w:val="000000" w:themeColor="text1"/>
                <w:sz w:val="21"/>
                <w:szCs w:val="21"/>
                <w14:textFill>
                  <w14:solidFill>
                    <w14:schemeClr w14:val="tx1"/>
                  </w14:solidFill>
                </w14:textFill>
              </w:rPr>
              <w:t>图2-</w:t>
            </w:r>
            <w:r>
              <w:rPr>
                <w:rFonts w:hint="eastAsia"/>
                <w:b/>
                <w:color w:val="000000" w:themeColor="text1"/>
                <w:sz w:val="21"/>
                <w:szCs w:val="21"/>
                <w14:textFill>
                  <w14:solidFill>
                    <w14:schemeClr w14:val="tx1"/>
                  </w14:solidFill>
                </w14:textFill>
              </w:rPr>
              <w:t>7</w:t>
            </w:r>
            <w:r>
              <w:rPr>
                <w:b/>
                <w:color w:val="000000" w:themeColor="text1"/>
                <w:sz w:val="21"/>
                <w:szCs w:val="21"/>
                <w14:textFill>
                  <w14:solidFill>
                    <w14:schemeClr w14:val="tx1"/>
                  </w14:solidFill>
                </w14:textFill>
              </w:rPr>
              <w:t xml:space="preserve"> </w:t>
            </w:r>
            <w:r>
              <w:rPr>
                <w:rFonts w:hint="eastAsia"/>
                <w:b/>
                <w:color w:val="000000" w:themeColor="text1"/>
                <w:sz w:val="21"/>
                <w:szCs w:val="21"/>
                <w14:textFill>
                  <w14:solidFill>
                    <w14:schemeClr w14:val="tx1"/>
                  </w14:solidFill>
                </w14:textFill>
              </w:rPr>
              <w:t>溶剂萃取法提取</w:t>
            </w:r>
            <w:r>
              <w:rPr>
                <w:b/>
                <w:color w:val="000000" w:themeColor="text1"/>
                <w:sz w:val="21"/>
                <w:szCs w:val="21"/>
                <w14:textFill>
                  <w14:solidFill>
                    <w14:schemeClr w14:val="tx1"/>
                  </w14:solidFill>
                </w14:textFill>
              </w:rPr>
              <w:t>工艺流程图</w:t>
            </w:r>
          </w:p>
          <w:p w14:paraId="2E886C2C">
            <w:pPr>
              <w:pStyle w:val="87"/>
              <w:tabs>
                <w:tab w:val="left" w:pos="2121"/>
              </w:tabs>
              <w:spacing w:line="480" w:lineRule="exact"/>
              <w:ind w:firstLine="482" w:firstLineChars="200"/>
              <w:rPr>
                <w:bCs/>
                <w:color w:val="000000" w:themeColor="text1"/>
                <w14:textFill>
                  <w14:solidFill>
                    <w14:schemeClr w14:val="tx1"/>
                  </w14:solidFill>
                </w14:textFill>
              </w:rPr>
            </w:pPr>
            <w:r>
              <w:rPr>
                <w:rFonts w:hint="eastAsia"/>
                <w:b/>
                <w:color w:val="000000" w:themeColor="text1"/>
                <w14:textFill>
                  <w14:solidFill>
                    <w14:schemeClr w14:val="tx1"/>
                  </w14:solidFill>
                </w14:textFill>
              </w:rPr>
              <w:t>固液分离：</w:t>
            </w:r>
            <w:r>
              <w:rPr>
                <w:rFonts w:hint="eastAsia"/>
                <w:bCs/>
                <w:color w:val="000000" w:themeColor="text1"/>
                <w14:textFill>
                  <w14:solidFill>
                    <w14:schemeClr w14:val="tx1"/>
                  </w14:solidFill>
                </w14:textFill>
              </w:rPr>
              <w:t>将发酵液与乙醇在大烧杯中搅拌混合均匀，然后使用</w:t>
            </w:r>
            <w:r>
              <w:rPr>
                <w:rFonts w:hint="eastAsia"/>
                <w:bCs/>
                <w:color w:val="000000" w:themeColor="text1"/>
                <w:lang w:val="en-US" w:eastAsia="zh-CN"/>
                <w14:textFill>
                  <w14:solidFill>
                    <w14:schemeClr w14:val="tx1"/>
                  </w14:solidFill>
                </w14:textFill>
              </w:rPr>
              <w:t>有机膜小试系统和</w:t>
            </w:r>
            <w:r>
              <w:rPr>
                <w:rFonts w:hint="eastAsia"/>
                <w:bCs/>
                <w:color w:val="000000" w:themeColor="text1"/>
                <w14:textFill>
                  <w14:solidFill>
                    <w14:schemeClr w14:val="tx1"/>
                  </w14:solidFill>
                </w14:textFill>
              </w:rPr>
              <w:t>布氏漏斗</w:t>
            </w:r>
            <w:r>
              <w:rPr>
                <w:rFonts w:hint="eastAsia"/>
                <w:bCs/>
                <w:color w:val="000000" w:themeColor="text1"/>
                <w:lang w:val="en-US" w:eastAsia="zh-CN"/>
                <w14:textFill>
                  <w14:solidFill>
                    <w14:schemeClr w14:val="tx1"/>
                  </w14:solidFill>
                </w14:textFill>
              </w:rPr>
              <w:t>过</w:t>
            </w:r>
            <w:r>
              <w:rPr>
                <w:rFonts w:hint="eastAsia"/>
                <w:bCs/>
                <w:color w:val="000000" w:themeColor="text1"/>
                <w14:textFill>
                  <w14:solidFill>
                    <w14:schemeClr w14:val="tx1"/>
                  </w14:solidFill>
                </w14:textFill>
              </w:rPr>
              <w:t>滤，将菌体和料液分离。此过程产生固液分离废气G3-1、菌渣S3-1。</w:t>
            </w:r>
          </w:p>
          <w:p w14:paraId="42AA9865">
            <w:pPr>
              <w:pStyle w:val="87"/>
              <w:tabs>
                <w:tab w:val="left" w:pos="2121"/>
              </w:tabs>
              <w:spacing w:line="480" w:lineRule="exact"/>
              <w:ind w:firstLine="482" w:firstLineChars="200"/>
              <w:rPr>
                <w:bCs/>
                <w:color w:val="000000" w:themeColor="text1"/>
                <w14:textFill>
                  <w14:solidFill>
                    <w14:schemeClr w14:val="tx1"/>
                  </w14:solidFill>
                </w14:textFill>
              </w:rPr>
            </w:pPr>
            <w:r>
              <w:rPr>
                <w:rFonts w:hint="eastAsia"/>
                <w:b/>
                <w:color w:val="000000" w:themeColor="text1"/>
                <w14:textFill>
                  <w14:solidFill>
                    <w14:schemeClr w14:val="tx1"/>
                  </w14:solidFill>
                </w14:textFill>
              </w:rPr>
              <w:t>析晶过滤：</w:t>
            </w:r>
            <w:r>
              <w:rPr>
                <w:rFonts w:hint="eastAsia"/>
                <w:bCs/>
                <w:color w:val="000000" w:themeColor="text1"/>
                <w14:textFill>
                  <w14:solidFill>
                    <w14:schemeClr w14:val="tx1"/>
                  </w14:solidFill>
                </w14:textFill>
              </w:rPr>
              <w:t>将料液中与纯水在大烧杯中搅拌混合均匀，然后使用布氏漏斗</w:t>
            </w:r>
            <w:r>
              <w:rPr>
                <w:rFonts w:hint="eastAsia"/>
                <w:bCs/>
                <w:color w:val="000000" w:themeColor="text1"/>
                <w:lang w:val="en-US" w:eastAsia="zh-CN"/>
                <w14:textFill>
                  <w14:solidFill>
                    <w14:schemeClr w14:val="tx1"/>
                  </w14:solidFill>
                </w14:textFill>
              </w:rPr>
              <w:t>过</w:t>
            </w:r>
            <w:r>
              <w:rPr>
                <w:rFonts w:hint="eastAsia"/>
                <w:bCs/>
                <w:color w:val="000000" w:themeColor="text1"/>
                <w14:textFill>
                  <w14:solidFill>
                    <w14:schemeClr w14:val="tx1"/>
                  </w14:solidFill>
                </w14:textFill>
              </w:rPr>
              <w:t>滤，得到晶体。晶体使用干燥箱进行</w:t>
            </w:r>
            <w:r>
              <w:rPr>
                <w:rFonts w:hint="eastAsia"/>
                <w:bCs/>
                <w:color w:val="000000" w:themeColor="text1"/>
                <w:lang w:val="en-US" w:eastAsia="zh-CN"/>
                <w14:textFill>
                  <w14:solidFill>
                    <w14:schemeClr w14:val="tx1"/>
                  </w14:solidFill>
                </w14:textFill>
              </w:rPr>
              <w:t>干燥</w:t>
            </w:r>
            <w:r>
              <w:rPr>
                <w:rFonts w:hint="eastAsia"/>
                <w:bCs/>
                <w:color w:val="000000" w:themeColor="text1"/>
                <w14:textFill>
                  <w14:solidFill>
                    <w14:schemeClr w14:val="tx1"/>
                  </w14:solidFill>
                </w14:textFill>
              </w:rPr>
              <w:t>，最终得到目标产物：褪黑素/白藜芦醇/香紫苏醇。此过程产生析晶过滤废气G3-2。由于本项目干燥物料较少，本次不定量分析粉尘产生量。</w:t>
            </w:r>
          </w:p>
          <w:p w14:paraId="25A52E50">
            <w:pPr>
              <w:pStyle w:val="87"/>
              <w:tabs>
                <w:tab w:val="left" w:pos="2121"/>
              </w:tabs>
              <w:spacing w:line="480" w:lineRule="exact"/>
              <w:ind w:firstLine="482" w:firstLineChars="200"/>
              <w:rPr>
                <w:bCs/>
                <w:color w:val="000000" w:themeColor="text1"/>
                <w14:textFill>
                  <w14:solidFill>
                    <w14:schemeClr w14:val="tx1"/>
                  </w14:solidFill>
                </w14:textFill>
              </w:rPr>
            </w:pPr>
            <w:r>
              <w:rPr>
                <w:rFonts w:hint="eastAsia"/>
                <w:b/>
                <w:color w:val="000000" w:themeColor="text1"/>
                <w14:textFill>
                  <w14:solidFill>
                    <w14:schemeClr w14:val="tx1"/>
                  </w14:solidFill>
                </w14:textFill>
              </w:rPr>
              <w:t>乙醇回收：</w:t>
            </w:r>
            <w:r>
              <w:rPr>
                <w:rFonts w:hint="eastAsia"/>
                <w:bCs/>
                <w:color w:val="000000" w:themeColor="text1"/>
                <w14:textFill>
                  <w14:solidFill>
                    <w14:schemeClr w14:val="tx1"/>
                  </w14:solidFill>
                </w14:textFill>
              </w:rPr>
              <w:t>析晶过滤剩下的溶液使用旋转蒸发仪加热（密闭设备）40-50℃，时间约4-5h，溶液中的乙醇挥发后通过冷凝器回流收集，剩下的废液作为危废处置。此过程产生乙醇回收废气G3-3、乙醇回收废液S3-2。</w:t>
            </w:r>
          </w:p>
          <w:p w14:paraId="4CEE81D0">
            <w:pPr>
              <w:pStyle w:val="87"/>
              <w:tabs>
                <w:tab w:val="left" w:pos="2121"/>
              </w:tabs>
              <w:spacing w:line="480" w:lineRule="exact"/>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②吸附分离法</w:t>
            </w:r>
          </w:p>
          <w:p w14:paraId="74F6DEBA">
            <w:pPr>
              <w:pStyle w:val="87"/>
              <w:tabs>
                <w:tab w:val="left" w:pos="2121"/>
              </w:tabs>
              <w:jc w:val="center"/>
              <w:rPr>
                <w:b/>
                <w:color w:val="000000" w:themeColor="text1"/>
                <w14:textFill>
                  <w14:solidFill>
                    <w14:schemeClr w14:val="tx1"/>
                  </w14:solidFill>
                </w14:textFill>
              </w:rPr>
            </w:pPr>
            <w:r>
              <w:drawing>
                <wp:inline distT="0" distB="0" distL="114300" distR="114300">
                  <wp:extent cx="5476240" cy="3681095"/>
                  <wp:effectExtent l="0" t="0" r="10160" b="1460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7"/>
                          <a:stretch>
                            <a:fillRect/>
                          </a:stretch>
                        </pic:blipFill>
                        <pic:spPr>
                          <a:xfrm>
                            <a:off x="0" y="0"/>
                            <a:ext cx="5476240" cy="3681095"/>
                          </a:xfrm>
                          <a:prstGeom prst="rect">
                            <a:avLst/>
                          </a:prstGeom>
                          <a:noFill/>
                          <a:ln>
                            <a:noFill/>
                          </a:ln>
                        </pic:spPr>
                      </pic:pic>
                    </a:graphicData>
                  </a:graphic>
                </wp:inline>
              </w:drawing>
            </w:r>
          </w:p>
          <w:p w14:paraId="3DCB816D">
            <w:pPr>
              <w:pStyle w:val="87"/>
              <w:tabs>
                <w:tab w:val="left" w:pos="2121"/>
              </w:tabs>
              <w:spacing w:line="360" w:lineRule="auto"/>
              <w:jc w:val="center"/>
              <w:rPr>
                <w:b/>
                <w:color w:val="000000" w:themeColor="text1"/>
                <w14:textFill>
                  <w14:solidFill>
                    <w14:schemeClr w14:val="tx1"/>
                  </w14:solidFill>
                </w14:textFill>
              </w:rPr>
            </w:pPr>
            <w:r>
              <w:rPr>
                <w:b/>
                <w:color w:val="000000" w:themeColor="text1"/>
                <w:sz w:val="21"/>
                <w:szCs w:val="21"/>
                <w14:textFill>
                  <w14:solidFill>
                    <w14:schemeClr w14:val="tx1"/>
                  </w14:solidFill>
                </w14:textFill>
              </w:rPr>
              <w:t>图2-</w:t>
            </w:r>
            <w:r>
              <w:rPr>
                <w:rFonts w:hint="eastAsia"/>
                <w:b/>
                <w:color w:val="000000" w:themeColor="text1"/>
                <w:sz w:val="21"/>
                <w:szCs w:val="21"/>
                <w14:textFill>
                  <w14:solidFill>
                    <w14:schemeClr w14:val="tx1"/>
                  </w14:solidFill>
                </w14:textFill>
              </w:rPr>
              <w:t>8</w:t>
            </w:r>
            <w:r>
              <w:rPr>
                <w:b/>
                <w:color w:val="000000" w:themeColor="text1"/>
                <w:sz w:val="21"/>
                <w:szCs w:val="21"/>
                <w14:textFill>
                  <w14:solidFill>
                    <w14:schemeClr w14:val="tx1"/>
                  </w14:solidFill>
                </w14:textFill>
              </w:rPr>
              <w:t xml:space="preserve"> </w:t>
            </w:r>
            <w:r>
              <w:rPr>
                <w:rFonts w:hint="eastAsia"/>
                <w:b/>
                <w:color w:val="000000" w:themeColor="text1"/>
                <w:sz w:val="21"/>
                <w:szCs w:val="21"/>
                <w14:textFill>
                  <w14:solidFill>
                    <w14:schemeClr w14:val="tx1"/>
                  </w14:solidFill>
                </w14:textFill>
              </w:rPr>
              <w:t>吸附分离法提取</w:t>
            </w:r>
            <w:r>
              <w:rPr>
                <w:b/>
                <w:color w:val="000000" w:themeColor="text1"/>
                <w:sz w:val="21"/>
                <w:szCs w:val="21"/>
                <w14:textFill>
                  <w14:solidFill>
                    <w14:schemeClr w14:val="tx1"/>
                  </w14:solidFill>
                </w14:textFill>
              </w:rPr>
              <w:t>工艺流程图</w:t>
            </w:r>
          </w:p>
          <w:p w14:paraId="4331162D">
            <w:pPr>
              <w:pStyle w:val="87"/>
              <w:tabs>
                <w:tab w:val="left" w:pos="2121"/>
              </w:tabs>
              <w:spacing w:line="480" w:lineRule="exact"/>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固液分离：</w:t>
            </w:r>
            <w:r>
              <w:rPr>
                <w:rFonts w:hint="eastAsia"/>
                <w:bCs/>
                <w:color w:val="000000" w:themeColor="text1"/>
                <w14:textFill>
                  <w14:solidFill>
                    <w14:schemeClr w14:val="tx1"/>
                  </w14:solidFill>
                </w14:textFill>
              </w:rPr>
              <w:t>将发酵液与纯水在大烧杯中搅拌混合均匀，然后使用</w:t>
            </w:r>
            <w:r>
              <w:rPr>
                <w:rFonts w:hint="eastAsia"/>
                <w:bCs/>
                <w:color w:val="000000" w:themeColor="text1"/>
                <w:lang w:val="en-US" w:eastAsia="zh-CN"/>
                <w14:textFill>
                  <w14:solidFill>
                    <w14:schemeClr w14:val="tx1"/>
                  </w14:solidFill>
                </w14:textFill>
              </w:rPr>
              <w:t>有机膜小试系统和</w:t>
            </w:r>
            <w:r>
              <w:rPr>
                <w:rFonts w:hint="eastAsia"/>
                <w:bCs/>
                <w:color w:val="000000" w:themeColor="text1"/>
                <w14:textFill>
                  <w14:solidFill>
                    <w14:schemeClr w14:val="tx1"/>
                  </w14:solidFill>
                </w14:textFill>
              </w:rPr>
              <w:t>布氏漏斗</w:t>
            </w:r>
            <w:r>
              <w:rPr>
                <w:rFonts w:hint="eastAsia"/>
                <w:bCs/>
                <w:color w:val="000000" w:themeColor="text1"/>
                <w:lang w:val="en-US" w:eastAsia="zh-CN"/>
                <w14:textFill>
                  <w14:solidFill>
                    <w14:schemeClr w14:val="tx1"/>
                  </w14:solidFill>
                </w14:textFill>
              </w:rPr>
              <w:t>过</w:t>
            </w:r>
            <w:r>
              <w:rPr>
                <w:rFonts w:hint="eastAsia"/>
                <w:bCs/>
                <w:color w:val="000000" w:themeColor="text1"/>
                <w14:textFill>
                  <w14:solidFill>
                    <w14:schemeClr w14:val="tx1"/>
                  </w14:solidFill>
                </w14:textFill>
              </w:rPr>
              <w:t>滤，将菌体和料液分离。此过程产生菌渣S4-1。</w:t>
            </w:r>
          </w:p>
          <w:p w14:paraId="4D2CA58C">
            <w:pPr>
              <w:pStyle w:val="33"/>
              <w:ind w:firstLine="482" w:firstLineChars="200"/>
              <w:rPr>
                <w:rFonts w:hint="default" w:ascii="Times New Roman" w:eastAsia="宋体" w:cs="Times New Roman"/>
                <w:b w:val="0"/>
                <w:bCs/>
                <w:color w:val="000000" w:themeColor="text1"/>
                <w:kern w:val="0"/>
                <w:lang w:val="en-US" w:eastAsia="zh-CN"/>
                <w14:textFill>
                  <w14:solidFill>
                    <w14:schemeClr w14:val="tx1"/>
                  </w14:solidFill>
                </w14:textFill>
              </w:rPr>
            </w:pPr>
            <w:r>
              <w:rPr>
                <w:rFonts w:hint="eastAsia" w:ascii="Times New Roman" w:eastAsia="宋体" w:cs="Times New Roman"/>
                <w:color w:val="000000" w:themeColor="text1"/>
                <w:kern w:val="0"/>
                <w14:textFill>
                  <w14:solidFill>
                    <w14:schemeClr w14:val="tx1"/>
                  </w14:solidFill>
                </w14:textFill>
              </w:rPr>
              <w:t>树脂富集：</w:t>
            </w:r>
            <w:r>
              <w:rPr>
                <w:rFonts w:hint="eastAsia" w:ascii="Times New Roman" w:eastAsia="宋体" w:cs="Times New Roman"/>
                <w:b w:val="0"/>
                <w:bCs/>
                <w:color w:val="000000" w:themeColor="text1"/>
                <w:kern w:val="0"/>
                <w14:textFill>
                  <w14:solidFill>
                    <w14:schemeClr w14:val="tx1"/>
                  </w14:solidFill>
                </w14:textFill>
              </w:rPr>
              <w:t>料液进入大孔树脂柱，目标物质吸附在树脂柱上，剩下溶液流过树脂柱。然后加入0.3%的氢氧化钠溶液，将目标物质洗脱下来。此过程产生废液S4-2。</w:t>
            </w:r>
            <w:r>
              <w:rPr>
                <w:rFonts w:hint="eastAsia" w:ascii="Times New Roman" w:eastAsia="宋体" w:cs="Times New Roman"/>
                <w:b w:val="0"/>
                <w:bCs/>
                <w:color w:val="FF0000"/>
                <w:kern w:val="0"/>
                <w:lang w:val="en-US" w:eastAsia="zh-CN"/>
              </w:rPr>
              <w:t>大孔树脂柱定期更换，会产生废树脂S4-3。</w:t>
            </w:r>
          </w:p>
          <w:p w14:paraId="44D7C699">
            <w:pPr>
              <w:pStyle w:val="33"/>
              <w:ind w:firstLine="482" w:firstLineChars="200"/>
              <w:rPr>
                <w:rFonts w:ascii="Times New Roman" w:eastAsia="宋体" w:cs="Times New Roman"/>
                <w:b w:val="0"/>
                <w:bCs/>
                <w:color w:val="000000" w:themeColor="text1"/>
                <w:kern w:val="0"/>
                <w14:textFill>
                  <w14:solidFill>
                    <w14:schemeClr w14:val="tx1"/>
                  </w14:solidFill>
                </w14:textFill>
              </w:rPr>
            </w:pPr>
            <w:r>
              <w:rPr>
                <w:rFonts w:hint="eastAsia" w:ascii="Times New Roman" w:eastAsia="宋体" w:cs="Times New Roman"/>
                <w:color w:val="000000" w:themeColor="text1"/>
                <w:kern w:val="0"/>
                <w14:textFill>
                  <w14:solidFill>
                    <w14:schemeClr w14:val="tx1"/>
                  </w14:solidFill>
                </w14:textFill>
              </w:rPr>
              <w:t>树脂纯化：</w:t>
            </w:r>
            <w:r>
              <w:rPr>
                <w:rFonts w:hint="eastAsia" w:ascii="Times New Roman" w:eastAsia="宋体" w:cs="Times New Roman"/>
                <w:b w:val="0"/>
                <w:bCs/>
                <w:color w:val="000000" w:themeColor="text1"/>
                <w:kern w:val="0"/>
                <w14:textFill>
                  <w14:solidFill>
                    <w14:schemeClr w14:val="tx1"/>
                  </w14:solidFill>
                </w14:textFill>
              </w:rPr>
              <w:t>洗脱下来的料液继续进入大孔树脂柱，目标物质吸附在树脂柱上，剩下溶液流过树脂柱。然后加入纯水，将目标物质洗脱下来。此过程产生废液S4-</w:t>
            </w:r>
            <w:r>
              <w:rPr>
                <w:rFonts w:hint="eastAsia" w:ascii="Times New Roman" w:eastAsia="宋体" w:cs="Times New Roman"/>
                <w:b w:val="0"/>
                <w:bCs/>
                <w:color w:val="000000" w:themeColor="text1"/>
                <w:kern w:val="0"/>
                <w:lang w:val="en-US" w:eastAsia="zh-CN"/>
                <w14:textFill>
                  <w14:solidFill>
                    <w14:schemeClr w14:val="tx1"/>
                  </w14:solidFill>
                </w14:textFill>
              </w:rPr>
              <w:t>4</w:t>
            </w:r>
            <w:r>
              <w:rPr>
                <w:rFonts w:hint="eastAsia" w:ascii="Times New Roman" w:eastAsia="宋体" w:cs="Times New Roman"/>
                <w:b w:val="0"/>
                <w:bCs/>
                <w:color w:val="000000" w:themeColor="text1"/>
                <w:kern w:val="0"/>
                <w14:textFill>
                  <w14:solidFill>
                    <w14:schemeClr w14:val="tx1"/>
                  </w14:solidFill>
                </w14:textFill>
              </w:rPr>
              <w:t>。</w:t>
            </w:r>
            <w:r>
              <w:rPr>
                <w:rFonts w:hint="eastAsia" w:ascii="Times New Roman" w:eastAsia="宋体" w:cs="Times New Roman"/>
                <w:b w:val="0"/>
                <w:bCs/>
                <w:color w:val="FF0000"/>
                <w:kern w:val="0"/>
                <w:lang w:val="en-US" w:eastAsia="zh-CN"/>
              </w:rPr>
              <w:t>大孔树脂柱定期更换，会产生废树脂S4-3。</w:t>
            </w:r>
          </w:p>
          <w:p w14:paraId="24EAB426">
            <w:pPr>
              <w:pStyle w:val="33"/>
              <w:ind w:firstLine="482" w:firstLineChars="200"/>
              <w:rPr>
                <w:rFonts w:ascii="Times New Roman" w:eastAsia="宋体" w:cs="Times New Roman"/>
                <w:b w:val="0"/>
                <w:bCs/>
                <w:color w:val="000000" w:themeColor="text1"/>
                <w:kern w:val="0"/>
                <w14:textFill>
                  <w14:solidFill>
                    <w14:schemeClr w14:val="tx1"/>
                  </w14:solidFill>
                </w14:textFill>
              </w:rPr>
            </w:pPr>
            <w:r>
              <w:rPr>
                <w:rFonts w:hint="eastAsia" w:ascii="Times New Roman" w:eastAsia="宋体" w:cs="Times New Roman"/>
                <w:color w:val="000000" w:themeColor="text1"/>
                <w:kern w:val="0"/>
                <w14:textFill>
                  <w14:solidFill>
                    <w14:schemeClr w14:val="tx1"/>
                  </w14:solidFill>
                </w14:textFill>
              </w:rPr>
              <w:t>浓缩析晶、干燥：</w:t>
            </w:r>
            <w:r>
              <w:rPr>
                <w:rFonts w:hint="eastAsia" w:ascii="Times New Roman" w:eastAsia="宋体" w:cs="Times New Roman"/>
                <w:b w:val="0"/>
                <w:bCs/>
                <w:color w:val="000000" w:themeColor="text1"/>
                <w:kern w:val="0"/>
                <w14:textFill>
                  <w14:solidFill>
                    <w14:schemeClr w14:val="tx1"/>
                  </w14:solidFill>
                </w14:textFill>
              </w:rPr>
              <w:t>洗脱下来的料液使用旋转蒸发仪加热30-40℃，时间约2-3h，然后使用低温恒温反应浴降温，得到固液混合物。固液混合物使用</w:t>
            </w:r>
            <w:r>
              <w:rPr>
                <w:rFonts w:hint="eastAsia" w:ascii="Times New Roman" w:eastAsia="宋体" w:cs="Times New Roman"/>
                <w:b w:val="0"/>
                <w:bCs/>
                <w:color w:val="000000" w:themeColor="text1"/>
                <w:kern w:val="0"/>
                <w:lang w:val="en-US" w:eastAsia="zh-CN"/>
                <w14:textFill>
                  <w14:solidFill>
                    <w14:schemeClr w14:val="tx1"/>
                  </w14:solidFill>
                </w14:textFill>
              </w:rPr>
              <w:t>离心机过滤</w:t>
            </w:r>
            <w:r>
              <w:rPr>
                <w:rFonts w:hint="eastAsia" w:ascii="Times New Roman" w:eastAsia="宋体" w:cs="Times New Roman"/>
                <w:b w:val="0"/>
                <w:bCs/>
                <w:color w:val="000000" w:themeColor="text1"/>
                <w:kern w:val="0"/>
                <w14:textFill>
                  <w14:solidFill>
                    <w14:schemeClr w14:val="tx1"/>
                  </w14:solidFill>
                </w14:textFill>
              </w:rPr>
              <w:t>，得到晶体，然后使用干燥箱进一步烘干，最终得到目标产物。此过程产生废液S4-</w:t>
            </w:r>
            <w:r>
              <w:rPr>
                <w:rFonts w:hint="eastAsia" w:ascii="Times New Roman" w:eastAsia="宋体" w:cs="Times New Roman"/>
                <w:b w:val="0"/>
                <w:bCs/>
                <w:color w:val="000000" w:themeColor="text1"/>
                <w:kern w:val="0"/>
                <w:lang w:val="en-US" w:eastAsia="zh-CN"/>
                <w14:textFill>
                  <w14:solidFill>
                    <w14:schemeClr w14:val="tx1"/>
                  </w14:solidFill>
                </w14:textFill>
              </w:rPr>
              <w:t>5</w:t>
            </w:r>
            <w:r>
              <w:rPr>
                <w:rFonts w:hint="eastAsia" w:ascii="Times New Roman" w:eastAsia="宋体" w:cs="Times New Roman"/>
                <w:b w:val="0"/>
                <w:bCs/>
                <w:color w:val="000000" w:themeColor="text1"/>
                <w:kern w:val="0"/>
                <w14:textFill>
                  <w14:solidFill>
                    <w14:schemeClr w14:val="tx1"/>
                  </w14:solidFill>
                </w14:textFill>
              </w:rPr>
              <w:t>。由于本项目干燥物料较少，本次不定量分析粉尘产生量。</w:t>
            </w:r>
          </w:p>
          <w:p w14:paraId="5B0DE41A">
            <w:pPr>
              <w:snapToGrid w:val="0"/>
              <w:spacing w:line="480" w:lineRule="exact"/>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（5）</w:t>
            </w:r>
            <w:r>
              <w:rPr>
                <w:b/>
                <w:color w:val="000000" w:themeColor="text1"/>
                <w:kern w:val="0"/>
                <w:sz w:val="24"/>
                <w14:textFill>
                  <w14:solidFill>
                    <w14:schemeClr w14:val="tx1"/>
                  </w14:solidFill>
                </w14:textFill>
              </w:rPr>
              <w:t>其他污染工序：</w:t>
            </w:r>
          </w:p>
          <w:p w14:paraId="3EF4B288">
            <w:pPr>
              <w:snapToGrid w:val="0"/>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①</w:t>
            </w:r>
            <w:r>
              <w:rPr>
                <w:rFonts w:hint="eastAsia"/>
                <w:bCs/>
                <w:color w:val="FF0000"/>
                <w:sz w:val="24"/>
              </w:rPr>
              <w:t>本项目烧杯、旋蒸仪</w:t>
            </w:r>
            <w:r>
              <w:rPr>
                <w:rFonts w:hint="eastAsia"/>
                <w:bCs/>
                <w:color w:val="FF0000"/>
                <w:sz w:val="24"/>
                <w:lang w:eastAsia="zh-CN"/>
              </w:rPr>
              <w:t>、</w:t>
            </w:r>
            <w:r>
              <w:rPr>
                <w:rFonts w:hint="eastAsia"/>
                <w:bCs/>
                <w:color w:val="FF0000"/>
                <w:sz w:val="24"/>
                <w:lang w:val="en-US" w:eastAsia="zh-CN"/>
              </w:rPr>
              <w:t>发酵罐</w:t>
            </w:r>
            <w:r>
              <w:rPr>
                <w:rFonts w:hint="eastAsia"/>
                <w:bCs/>
                <w:color w:val="FF0000"/>
                <w:sz w:val="24"/>
              </w:rPr>
              <w:t>等仪器设备定期</w:t>
            </w:r>
            <w:r>
              <w:rPr>
                <w:rFonts w:hint="eastAsia"/>
                <w:bCs/>
                <w:color w:val="FF0000"/>
                <w:sz w:val="24"/>
                <w:lang w:val="en-US" w:eastAsia="zh-CN"/>
              </w:rPr>
              <w:t>清洗</w:t>
            </w:r>
            <w:r>
              <w:rPr>
                <w:rFonts w:hint="eastAsia"/>
                <w:bCs/>
                <w:color w:val="FF0000"/>
                <w:sz w:val="24"/>
              </w:rPr>
              <w:t>，产生器材清洗废液S5-1。</w:t>
            </w:r>
          </w:p>
          <w:p w14:paraId="4C71D343">
            <w:pPr>
              <w:snapToGrid w:val="0"/>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②本项目</w:t>
            </w:r>
            <w:r>
              <w:rPr>
                <w:bCs/>
                <w:color w:val="000000" w:themeColor="text1"/>
                <w:sz w:val="24"/>
                <w14:textFill>
                  <w14:solidFill>
                    <w14:schemeClr w14:val="tx1"/>
                  </w14:solidFill>
                </w14:textFill>
              </w:rPr>
              <w:t>实验室设备表面、手部使用乙醇</w:t>
            </w:r>
            <w:r>
              <w:rPr>
                <w:rFonts w:hint="eastAsia"/>
                <w:bCs/>
                <w:color w:val="000000" w:themeColor="text1"/>
                <w:sz w:val="24"/>
                <w14:textFill>
                  <w14:solidFill>
                    <w14:schemeClr w14:val="tx1"/>
                  </w14:solidFill>
                </w14:textFill>
              </w:rPr>
              <w:t>进行</w:t>
            </w:r>
            <w:r>
              <w:rPr>
                <w:bCs/>
                <w:color w:val="000000" w:themeColor="text1"/>
                <w:sz w:val="24"/>
                <w14:textFill>
                  <w14:solidFill>
                    <w14:schemeClr w14:val="tx1"/>
                  </w14:solidFill>
                </w14:textFill>
              </w:rPr>
              <w:t>消毒</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产生消毒废气</w:t>
            </w:r>
            <w:r>
              <w:rPr>
                <w:rFonts w:hint="eastAsia"/>
                <w:bCs/>
                <w:color w:val="000000" w:themeColor="text1"/>
                <w:sz w:val="24"/>
                <w14:textFill>
                  <w14:solidFill>
                    <w14:schemeClr w14:val="tx1"/>
                  </w14:solidFill>
                </w14:textFill>
              </w:rPr>
              <w:t>G5-1。</w:t>
            </w:r>
          </w:p>
          <w:p w14:paraId="45C29299">
            <w:pPr>
              <w:snapToGrid w:val="0"/>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③本项目</w:t>
            </w:r>
            <w:r>
              <w:rPr>
                <w:bCs/>
                <w:color w:val="000000" w:themeColor="text1"/>
                <w:sz w:val="24"/>
                <w14:textFill>
                  <w14:solidFill>
                    <w14:schemeClr w14:val="tx1"/>
                  </w14:solidFill>
                </w14:textFill>
              </w:rPr>
              <w:t>包装拆解产生</w:t>
            </w:r>
            <w:r>
              <w:rPr>
                <w:rFonts w:hint="eastAsia"/>
                <w:bCs/>
                <w:color w:val="000000" w:themeColor="text1"/>
                <w:sz w:val="24"/>
                <w14:textFill>
                  <w14:solidFill>
                    <w14:schemeClr w14:val="tx1"/>
                  </w14:solidFill>
                </w14:textFill>
              </w:rPr>
              <w:t>废试剂瓶S5-2、废包装材料S5-3</w:t>
            </w:r>
            <w:r>
              <w:rPr>
                <w:bCs/>
                <w:color w:val="000000" w:themeColor="text1"/>
                <w:sz w:val="24"/>
                <w14:textFill>
                  <w14:solidFill>
                    <w14:schemeClr w14:val="tx1"/>
                  </w14:solidFill>
                </w14:textFill>
              </w:rPr>
              <w:t>。</w:t>
            </w:r>
          </w:p>
          <w:p w14:paraId="547EC894">
            <w:pPr>
              <w:snapToGrid w:val="0"/>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④本项目地面定期清洗，产生地面清洗废液S5-4。</w:t>
            </w:r>
          </w:p>
          <w:p w14:paraId="1EE1BD2B">
            <w:pPr>
              <w:snapToGrid w:val="0"/>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⑤本项目配备金属浴、核酸电泳仪、水浴锅、灭菌锅、冷水机等实验设备，均需添加纯水，定期更换，产生实验设备废水液S5-5。</w:t>
            </w:r>
          </w:p>
          <w:p w14:paraId="5522E792">
            <w:pPr>
              <w:snapToGrid w:val="0"/>
              <w:spacing w:line="480" w:lineRule="exact"/>
              <w:ind w:firstLine="480" w:firstLineChars="200"/>
              <w:rPr>
                <w:color w:val="000000" w:themeColor="text1"/>
                <w14:textFill>
                  <w14:solidFill>
                    <w14:schemeClr w14:val="tx1"/>
                  </w14:solidFill>
                </w14:textFill>
              </w:rPr>
            </w:pPr>
            <w:r>
              <w:rPr>
                <w:rFonts w:hint="eastAsia"/>
                <w:bCs/>
                <w:color w:val="000000" w:themeColor="text1"/>
                <w:sz w:val="24"/>
                <w14:textFill>
                  <w14:solidFill>
                    <w14:schemeClr w14:val="tx1"/>
                  </w14:solidFill>
                </w14:textFill>
              </w:rPr>
              <w:t>⑥活性炭吸附装置运行过程中会产生废活性炭S5-6。</w:t>
            </w:r>
          </w:p>
          <w:p w14:paraId="371ABAC9">
            <w:pPr>
              <w:snapToGrid w:val="0"/>
              <w:jc w:val="center"/>
              <w:rPr>
                <w:bCs/>
                <w:color w:val="000000" w:themeColor="text1"/>
                <w:szCs w:val="21"/>
                <w14:textFill>
                  <w14:solidFill>
                    <w14:schemeClr w14:val="tx1"/>
                  </w14:solidFill>
                </w14:textFill>
              </w:rPr>
            </w:pPr>
            <w:r>
              <w:rPr>
                <w:b/>
                <w:color w:val="000000" w:themeColor="text1"/>
                <w:szCs w:val="21"/>
                <w14:textFill>
                  <w14:solidFill>
                    <w14:schemeClr w14:val="tx1"/>
                  </w14:solidFill>
                </w14:textFill>
              </w:rPr>
              <w:t>表2-1</w:t>
            </w:r>
            <w:r>
              <w:rPr>
                <w:rFonts w:hint="eastAsia"/>
                <w:b/>
                <w:color w:val="000000" w:themeColor="text1"/>
                <w:szCs w:val="21"/>
                <w14:textFill>
                  <w14:solidFill>
                    <w14:schemeClr w14:val="tx1"/>
                  </w14:solidFill>
                </w14:textFill>
              </w:rPr>
              <w:t>4</w:t>
            </w:r>
            <w:r>
              <w:rPr>
                <w:b/>
                <w:color w:val="000000" w:themeColor="text1"/>
                <w:szCs w:val="21"/>
                <w14:textFill>
                  <w14:solidFill>
                    <w14:schemeClr w14:val="tx1"/>
                  </w14:solidFill>
                </w14:textFill>
              </w:rPr>
              <w:t xml:space="preserve">  主要污染工序</w:t>
            </w:r>
          </w:p>
          <w:tbl>
            <w:tblPr>
              <w:tblStyle w:val="25"/>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2738"/>
              <w:gridCol w:w="3047"/>
              <w:gridCol w:w="2304"/>
            </w:tblGrid>
            <w:tr w14:paraId="3A39A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Align w:val="center"/>
                </w:tcPr>
                <w:p w14:paraId="177C765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1469" w:type="pct"/>
                  <w:vAlign w:val="center"/>
                </w:tcPr>
                <w:p w14:paraId="1CD44F0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污染工序</w:t>
                  </w:r>
                </w:p>
              </w:tc>
              <w:tc>
                <w:tcPr>
                  <w:tcW w:w="1635" w:type="pct"/>
                  <w:vAlign w:val="center"/>
                </w:tcPr>
                <w:p w14:paraId="17E8A99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污染类型</w:t>
                  </w:r>
                </w:p>
              </w:tc>
              <w:tc>
                <w:tcPr>
                  <w:tcW w:w="1237" w:type="pct"/>
                  <w:vAlign w:val="center"/>
                </w:tcPr>
                <w:p w14:paraId="53BDFA5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污染因子</w:t>
                  </w:r>
                </w:p>
              </w:tc>
            </w:tr>
            <w:tr w14:paraId="4F93E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restart"/>
                  <w:vAlign w:val="center"/>
                </w:tcPr>
                <w:p w14:paraId="51B676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1469" w:type="pct"/>
                  <w:vAlign w:val="center"/>
                </w:tcPr>
                <w:p w14:paraId="5FE5AD6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职工生活</w:t>
                  </w:r>
                </w:p>
              </w:tc>
              <w:tc>
                <w:tcPr>
                  <w:tcW w:w="1635" w:type="pct"/>
                  <w:vAlign w:val="center"/>
                </w:tcPr>
                <w:p w14:paraId="093A608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1237" w:type="pct"/>
                  <w:vAlign w:val="center"/>
                </w:tcPr>
                <w:p w14:paraId="1F95C42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pH、</w:t>
                  </w:r>
                  <w:r>
                    <w:rPr>
                      <w:color w:val="000000" w:themeColor="text1"/>
                      <w:szCs w:val="21"/>
                      <w14:textFill>
                        <w14:solidFill>
                          <w14:schemeClr w14:val="tx1"/>
                        </w14:solidFill>
                      </w14:textFill>
                    </w:rPr>
                    <w:t>COD、SS、NH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-N、TP、TN</w:t>
                  </w:r>
                </w:p>
              </w:tc>
            </w:tr>
            <w:tr w14:paraId="43B68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7831CF63">
                  <w:pPr>
                    <w:jc w:val="center"/>
                    <w:rPr>
                      <w:color w:val="000000" w:themeColor="text1"/>
                      <w:szCs w:val="21"/>
                      <w14:textFill>
                        <w14:solidFill>
                          <w14:schemeClr w14:val="tx1"/>
                        </w14:solidFill>
                      </w14:textFill>
                    </w:rPr>
                  </w:pPr>
                </w:p>
              </w:tc>
              <w:tc>
                <w:tcPr>
                  <w:tcW w:w="1469" w:type="pct"/>
                  <w:vAlign w:val="center"/>
                </w:tcPr>
                <w:p w14:paraId="29EDF03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高温灭菌</w:t>
                  </w:r>
                </w:p>
              </w:tc>
              <w:tc>
                <w:tcPr>
                  <w:tcW w:w="1635" w:type="pct"/>
                  <w:vAlign w:val="center"/>
                </w:tcPr>
                <w:p w14:paraId="2825538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隔套灭菌冷凝水W2-1</w:t>
                  </w:r>
                </w:p>
              </w:tc>
              <w:tc>
                <w:tcPr>
                  <w:tcW w:w="1237" w:type="pct"/>
                  <w:vAlign w:val="center"/>
                </w:tcPr>
                <w:p w14:paraId="3B0180C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pH、</w:t>
                  </w:r>
                  <w:r>
                    <w:rPr>
                      <w:color w:val="000000" w:themeColor="text1"/>
                      <w:szCs w:val="21"/>
                      <w14:textFill>
                        <w14:solidFill>
                          <w14:schemeClr w14:val="tx1"/>
                        </w14:solidFill>
                      </w14:textFill>
                    </w:rPr>
                    <w:t>COD、SS</w:t>
                  </w:r>
                </w:p>
              </w:tc>
            </w:tr>
            <w:tr w14:paraId="6EB63F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57" w:type="pct"/>
                  <w:vMerge w:val="restart"/>
                  <w:vAlign w:val="center"/>
                </w:tcPr>
                <w:p w14:paraId="4B9A925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1469" w:type="pct"/>
                  <w:vAlign w:val="center"/>
                </w:tcPr>
                <w:p w14:paraId="03ECACB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检验</w:t>
                  </w:r>
                </w:p>
              </w:tc>
              <w:tc>
                <w:tcPr>
                  <w:tcW w:w="1635" w:type="pct"/>
                  <w:vAlign w:val="center"/>
                </w:tcPr>
                <w:p w14:paraId="29AA6FD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检验废气G1-1</w:t>
                  </w:r>
                </w:p>
              </w:tc>
              <w:tc>
                <w:tcPr>
                  <w:tcW w:w="1237" w:type="pct"/>
                  <w:vAlign w:val="center"/>
                </w:tcPr>
                <w:p w14:paraId="0A90C3D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甲醇、非甲烷总烃</w:t>
                  </w:r>
                </w:p>
              </w:tc>
            </w:tr>
            <w:tr w14:paraId="72D0C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57" w:type="pct"/>
                  <w:vMerge w:val="continue"/>
                  <w:vAlign w:val="center"/>
                </w:tcPr>
                <w:p w14:paraId="60B427F4">
                  <w:pPr>
                    <w:jc w:val="center"/>
                    <w:rPr>
                      <w:color w:val="000000" w:themeColor="text1"/>
                      <w:szCs w:val="21"/>
                      <w14:textFill>
                        <w14:solidFill>
                          <w14:schemeClr w14:val="tx1"/>
                        </w14:solidFill>
                      </w14:textFill>
                    </w:rPr>
                  </w:pPr>
                </w:p>
              </w:tc>
              <w:tc>
                <w:tcPr>
                  <w:tcW w:w="1469" w:type="pct"/>
                  <w:vAlign w:val="center"/>
                </w:tcPr>
                <w:p w14:paraId="7A6DB07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发酵</w:t>
                  </w:r>
                </w:p>
              </w:tc>
              <w:tc>
                <w:tcPr>
                  <w:tcW w:w="1635" w:type="pct"/>
                  <w:vAlign w:val="center"/>
                </w:tcPr>
                <w:p w14:paraId="5D1732C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发酵废气G2-1</w:t>
                  </w:r>
                </w:p>
              </w:tc>
              <w:tc>
                <w:tcPr>
                  <w:tcW w:w="1237" w:type="pct"/>
                  <w:vAlign w:val="center"/>
                </w:tcPr>
                <w:p w14:paraId="5E04A23C">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CO</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、水汽</w:t>
                  </w:r>
                  <w:r>
                    <w:rPr>
                      <w:rFonts w:hint="eastAsia"/>
                      <w:color w:val="000000" w:themeColor="text1"/>
                      <w:szCs w:val="21"/>
                      <w:lang w:eastAsia="zh-CN"/>
                      <w14:textFill>
                        <w14:solidFill>
                          <w14:schemeClr w14:val="tx1"/>
                        </w14:solidFill>
                      </w14:textFill>
                    </w:rPr>
                    <w:t>、</w:t>
                  </w:r>
                  <w:r>
                    <w:rPr>
                      <w:rFonts w:hint="eastAsia"/>
                      <w:color w:val="FF0000"/>
                      <w:szCs w:val="21"/>
                      <w:lang w:val="en-US" w:eastAsia="zh-CN"/>
                    </w:rPr>
                    <w:t>氨、硫化氢、臭气浓度</w:t>
                  </w:r>
                </w:p>
              </w:tc>
            </w:tr>
            <w:tr w14:paraId="7BF18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57" w:type="pct"/>
                  <w:vMerge w:val="continue"/>
                  <w:vAlign w:val="center"/>
                </w:tcPr>
                <w:p w14:paraId="4E8B85BC">
                  <w:pPr>
                    <w:jc w:val="center"/>
                    <w:rPr>
                      <w:color w:val="000000" w:themeColor="text1"/>
                      <w:szCs w:val="21"/>
                      <w14:textFill>
                        <w14:solidFill>
                          <w14:schemeClr w14:val="tx1"/>
                        </w14:solidFill>
                      </w14:textFill>
                    </w:rPr>
                  </w:pPr>
                </w:p>
              </w:tc>
              <w:tc>
                <w:tcPr>
                  <w:tcW w:w="1469" w:type="pct"/>
                  <w:vAlign w:val="center"/>
                </w:tcPr>
                <w:p w14:paraId="599662A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固液分离</w:t>
                  </w:r>
                </w:p>
              </w:tc>
              <w:tc>
                <w:tcPr>
                  <w:tcW w:w="1635" w:type="pct"/>
                  <w:vAlign w:val="center"/>
                </w:tcPr>
                <w:p w14:paraId="7954577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固液分离废气G3-1</w:t>
                  </w:r>
                </w:p>
              </w:tc>
              <w:tc>
                <w:tcPr>
                  <w:tcW w:w="1237" w:type="pct"/>
                  <w:vAlign w:val="center"/>
                </w:tcPr>
                <w:p w14:paraId="33AC818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r>
            <w:tr w14:paraId="0C6FA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57" w:type="pct"/>
                  <w:vMerge w:val="continue"/>
                  <w:vAlign w:val="center"/>
                </w:tcPr>
                <w:p w14:paraId="7BC4F5F7">
                  <w:pPr>
                    <w:jc w:val="center"/>
                    <w:rPr>
                      <w:color w:val="000000" w:themeColor="text1"/>
                      <w:szCs w:val="21"/>
                      <w14:textFill>
                        <w14:solidFill>
                          <w14:schemeClr w14:val="tx1"/>
                        </w14:solidFill>
                      </w14:textFill>
                    </w:rPr>
                  </w:pPr>
                </w:p>
              </w:tc>
              <w:tc>
                <w:tcPr>
                  <w:tcW w:w="1469" w:type="pct"/>
                  <w:vAlign w:val="center"/>
                </w:tcPr>
                <w:p w14:paraId="4E1CFE0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析晶过滤</w:t>
                  </w:r>
                </w:p>
              </w:tc>
              <w:tc>
                <w:tcPr>
                  <w:tcW w:w="1635" w:type="pct"/>
                  <w:vAlign w:val="center"/>
                </w:tcPr>
                <w:p w14:paraId="494AA27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析晶过滤废气G3-2</w:t>
                  </w:r>
                </w:p>
              </w:tc>
              <w:tc>
                <w:tcPr>
                  <w:tcW w:w="1237" w:type="pct"/>
                  <w:vAlign w:val="center"/>
                </w:tcPr>
                <w:p w14:paraId="4F47B17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r>
            <w:tr w14:paraId="3C389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57" w:type="pct"/>
                  <w:vMerge w:val="continue"/>
                  <w:vAlign w:val="center"/>
                </w:tcPr>
                <w:p w14:paraId="31E06913">
                  <w:pPr>
                    <w:jc w:val="center"/>
                    <w:rPr>
                      <w:color w:val="000000" w:themeColor="text1"/>
                      <w:szCs w:val="21"/>
                      <w14:textFill>
                        <w14:solidFill>
                          <w14:schemeClr w14:val="tx1"/>
                        </w14:solidFill>
                      </w14:textFill>
                    </w:rPr>
                  </w:pPr>
                </w:p>
              </w:tc>
              <w:tc>
                <w:tcPr>
                  <w:tcW w:w="1469" w:type="pct"/>
                  <w:vAlign w:val="center"/>
                </w:tcPr>
                <w:p w14:paraId="092BD63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乙醇回收</w:t>
                  </w:r>
                </w:p>
              </w:tc>
              <w:tc>
                <w:tcPr>
                  <w:tcW w:w="1635" w:type="pct"/>
                  <w:vAlign w:val="center"/>
                </w:tcPr>
                <w:p w14:paraId="71C6E84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乙醇回收废气G3-3</w:t>
                  </w:r>
                </w:p>
              </w:tc>
              <w:tc>
                <w:tcPr>
                  <w:tcW w:w="1237" w:type="pct"/>
                  <w:vAlign w:val="center"/>
                </w:tcPr>
                <w:p w14:paraId="76C9F13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r>
            <w:tr w14:paraId="1B78E9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57" w:type="pct"/>
                  <w:vMerge w:val="continue"/>
                  <w:vAlign w:val="center"/>
                </w:tcPr>
                <w:p w14:paraId="631EEF61">
                  <w:pPr>
                    <w:jc w:val="center"/>
                    <w:rPr>
                      <w:color w:val="000000" w:themeColor="text1"/>
                      <w:szCs w:val="21"/>
                      <w14:textFill>
                        <w14:solidFill>
                          <w14:schemeClr w14:val="tx1"/>
                        </w14:solidFill>
                      </w14:textFill>
                    </w:rPr>
                  </w:pPr>
                </w:p>
              </w:tc>
              <w:tc>
                <w:tcPr>
                  <w:tcW w:w="1469" w:type="pct"/>
                  <w:vAlign w:val="center"/>
                </w:tcPr>
                <w:p w14:paraId="34D2478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消毒</w:t>
                  </w:r>
                </w:p>
              </w:tc>
              <w:tc>
                <w:tcPr>
                  <w:tcW w:w="1635" w:type="pct"/>
                  <w:vAlign w:val="center"/>
                </w:tcPr>
                <w:p w14:paraId="020F30C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消毒废气</w:t>
                  </w:r>
                  <w:r>
                    <w:rPr>
                      <w:rFonts w:hint="eastAsia"/>
                      <w:color w:val="000000" w:themeColor="text1"/>
                      <w:kern w:val="0"/>
                      <w:szCs w:val="21"/>
                      <w14:textFill>
                        <w14:solidFill>
                          <w14:schemeClr w14:val="tx1"/>
                        </w14:solidFill>
                      </w14:textFill>
                    </w:rPr>
                    <w:t>G5-1</w:t>
                  </w:r>
                </w:p>
              </w:tc>
              <w:tc>
                <w:tcPr>
                  <w:tcW w:w="1237" w:type="pct"/>
                  <w:vAlign w:val="center"/>
                </w:tcPr>
                <w:p w14:paraId="1BD0271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非甲烷总烃</w:t>
                  </w:r>
                </w:p>
              </w:tc>
            </w:tr>
            <w:tr w14:paraId="5C431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Align w:val="center"/>
                </w:tcPr>
                <w:p w14:paraId="08989D0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1469" w:type="pct"/>
                  <w:vAlign w:val="center"/>
                </w:tcPr>
                <w:p w14:paraId="61CC130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生产设备</w:t>
                  </w:r>
                </w:p>
              </w:tc>
              <w:tc>
                <w:tcPr>
                  <w:tcW w:w="1635" w:type="pct"/>
                  <w:vAlign w:val="center"/>
                </w:tcPr>
                <w:p w14:paraId="6D02709E">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设备噪声</w:t>
                  </w:r>
                </w:p>
              </w:tc>
              <w:tc>
                <w:tcPr>
                  <w:tcW w:w="1237" w:type="pct"/>
                  <w:vAlign w:val="center"/>
                </w:tcPr>
                <w:p w14:paraId="11A75A6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LAeq</w:t>
                  </w:r>
                </w:p>
              </w:tc>
            </w:tr>
            <w:tr w14:paraId="0DBE0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restart"/>
                  <w:vAlign w:val="center"/>
                </w:tcPr>
                <w:p w14:paraId="1469F3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1469" w:type="pct"/>
                  <w:vAlign w:val="center"/>
                </w:tcPr>
                <w:p w14:paraId="3FAEE6E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检验</w:t>
                  </w:r>
                </w:p>
              </w:tc>
              <w:tc>
                <w:tcPr>
                  <w:tcW w:w="1635" w:type="pct"/>
                  <w:vAlign w:val="center"/>
                </w:tcPr>
                <w:p w14:paraId="33DC828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目标产物S1-1</w:t>
                  </w:r>
                </w:p>
              </w:tc>
              <w:tc>
                <w:tcPr>
                  <w:tcW w:w="1237" w:type="pct"/>
                  <w:vAlign w:val="center"/>
                </w:tcPr>
                <w:p w14:paraId="2D89779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5AA0B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4DEB5558">
                  <w:pPr>
                    <w:jc w:val="center"/>
                    <w:rPr>
                      <w:color w:val="000000" w:themeColor="text1"/>
                      <w:szCs w:val="21"/>
                      <w14:textFill>
                        <w14:solidFill>
                          <w14:schemeClr w14:val="tx1"/>
                        </w14:solidFill>
                      </w14:textFill>
                    </w:rPr>
                  </w:pPr>
                </w:p>
              </w:tc>
              <w:tc>
                <w:tcPr>
                  <w:tcW w:w="1469" w:type="pct"/>
                  <w:vAlign w:val="center"/>
                </w:tcPr>
                <w:p w14:paraId="5835F8F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检验</w:t>
                  </w:r>
                </w:p>
              </w:tc>
              <w:tc>
                <w:tcPr>
                  <w:tcW w:w="1635" w:type="pct"/>
                  <w:vAlign w:val="center"/>
                </w:tcPr>
                <w:p w14:paraId="299D206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实验室废物S1-2</w:t>
                  </w:r>
                </w:p>
              </w:tc>
              <w:tc>
                <w:tcPr>
                  <w:tcW w:w="1237" w:type="pct"/>
                  <w:vAlign w:val="center"/>
                </w:tcPr>
                <w:p w14:paraId="0BF1E9B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159EC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63F14B6F">
                  <w:pPr>
                    <w:jc w:val="center"/>
                    <w:rPr>
                      <w:color w:val="000000" w:themeColor="text1"/>
                      <w:szCs w:val="21"/>
                      <w14:textFill>
                        <w14:solidFill>
                          <w14:schemeClr w14:val="tx1"/>
                        </w14:solidFill>
                      </w14:textFill>
                    </w:rPr>
                  </w:pPr>
                </w:p>
              </w:tc>
              <w:tc>
                <w:tcPr>
                  <w:tcW w:w="1469" w:type="pct"/>
                  <w:vAlign w:val="center"/>
                </w:tcPr>
                <w:p w14:paraId="3AE7BFF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检验</w:t>
                  </w:r>
                </w:p>
              </w:tc>
              <w:tc>
                <w:tcPr>
                  <w:tcW w:w="1635" w:type="pct"/>
                  <w:vAlign w:val="center"/>
                </w:tcPr>
                <w:p w14:paraId="67BC03A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实验室废液S1-3</w:t>
                  </w:r>
                </w:p>
              </w:tc>
              <w:tc>
                <w:tcPr>
                  <w:tcW w:w="1237" w:type="pct"/>
                  <w:vAlign w:val="center"/>
                </w:tcPr>
                <w:p w14:paraId="32E4FB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3E865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0647D99B">
                  <w:pPr>
                    <w:jc w:val="center"/>
                    <w:rPr>
                      <w:color w:val="000000" w:themeColor="text1"/>
                      <w:szCs w:val="21"/>
                      <w14:textFill>
                        <w14:solidFill>
                          <w14:schemeClr w14:val="tx1"/>
                        </w14:solidFill>
                      </w14:textFill>
                    </w:rPr>
                  </w:pPr>
                </w:p>
              </w:tc>
              <w:tc>
                <w:tcPr>
                  <w:tcW w:w="1469" w:type="pct"/>
                  <w:vAlign w:val="center"/>
                </w:tcPr>
                <w:p w14:paraId="0D73CCE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固液分离</w:t>
                  </w:r>
                </w:p>
              </w:tc>
              <w:tc>
                <w:tcPr>
                  <w:tcW w:w="1635" w:type="pct"/>
                  <w:vAlign w:val="center"/>
                </w:tcPr>
                <w:p w14:paraId="2E88793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菌渣S3-1</w:t>
                  </w:r>
                </w:p>
              </w:tc>
              <w:tc>
                <w:tcPr>
                  <w:tcW w:w="1237" w:type="pct"/>
                  <w:vAlign w:val="center"/>
                </w:tcPr>
                <w:p w14:paraId="449FB8E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78100B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43A6C69C">
                  <w:pPr>
                    <w:jc w:val="center"/>
                    <w:rPr>
                      <w:color w:val="000000" w:themeColor="text1"/>
                      <w:szCs w:val="21"/>
                      <w14:textFill>
                        <w14:solidFill>
                          <w14:schemeClr w14:val="tx1"/>
                        </w14:solidFill>
                      </w14:textFill>
                    </w:rPr>
                  </w:pPr>
                </w:p>
              </w:tc>
              <w:tc>
                <w:tcPr>
                  <w:tcW w:w="1469" w:type="pct"/>
                  <w:vAlign w:val="center"/>
                </w:tcPr>
                <w:p w14:paraId="701E2D7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乙醇回收</w:t>
                  </w:r>
                </w:p>
              </w:tc>
              <w:tc>
                <w:tcPr>
                  <w:tcW w:w="1635" w:type="pct"/>
                  <w:vAlign w:val="center"/>
                </w:tcPr>
                <w:p w14:paraId="50C2B2B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乙醇回收废液S3-2</w:t>
                  </w:r>
                </w:p>
              </w:tc>
              <w:tc>
                <w:tcPr>
                  <w:tcW w:w="1237" w:type="pct"/>
                  <w:vAlign w:val="center"/>
                </w:tcPr>
                <w:p w14:paraId="584F5F8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20FB5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1A979D01">
                  <w:pPr>
                    <w:jc w:val="center"/>
                    <w:rPr>
                      <w:color w:val="000000" w:themeColor="text1"/>
                      <w:szCs w:val="21"/>
                      <w14:textFill>
                        <w14:solidFill>
                          <w14:schemeClr w14:val="tx1"/>
                        </w14:solidFill>
                      </w14:textFill>
                    </w:rPr>
                  </w:pPr>
                </w:p>
              </w:tc>
              <w:tc>
                <w:tcPr>
                  <w:tcW w:w="1469" w:type="pct"/>
                  <w:vAlign w:val="center"/>
                </w:tcPr>
                <w:p w14:paraId="456EEA2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固液分离</w:t>
                  </w:r>
                </w:p>
              </w:tc>
              <w:tc>
                <w:tcPr>
                  <w:tcW w:w="1635" w:type="pct"/>
                  <w:vAlign w:val="center"/>
                </w:tcPr>
                <w:p w14:paraId="4B1AD71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菌渣S4-1</w:t>
                  </w:r>
                </w:p>
              </w:tc>
              <w:tc>
                <w:tcPr>
                  <w:tcW w:w="1237" w:type="pct"/>
                  <w:vAlign w:val="center"/>
                </w:tcPr>
                <w:p w14:paraId="5FBAEBF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617BC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65127363">
                  <w:pPr>
                    <w:jc w:val="center"/>
                    <w:rPr>
                      <w:color w:val="000000" w:themeColor="text1"/>
                      <w:szCs w:val="21"/>
                      <w14:textFill>
                        <w14:solidFill>
                          <w14:schemeClr w14:val="tx1"/>
                        </w14:solidFill>
                      </w14:textFill>
                    </w:rPr>
                  </w:pPr>
                </w:p>
              </w:tc>
              <w:tc>
                <w:tcPr>
                  <w:tcW w:w="1469" w:type="pct"/>
                  <w:vAlign w:val="center"/>
                </w:tcPr>
                <w:p w14:paraId="0FE176E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树脂富集</w:t>
                  </w:r>
                </w:p>
              </w:tc>
              <w:tc>
                <w:tcPr>
                  <w:tcW w:w="1635" w:type="pct"/>
                  <w:vAlign w:val="center"/>
                </w:tcPr>
                <w:p w14:paraId="579A6E6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废液S4-2</w:t>
                  </w:r>
                </w:p>
              </w:tc>
              <w:tc>
                <w:tcPr>
                  <w:tcW w:w="1237" w:type="pct"/>
                  <w:vAlign w:val="center"/>
                </w:tcPr>
                <w:p w14:paraId="5A89548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48C2B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76B7D667">
                  <w:pPr>
                    <w:jc w:val="center"/>
                    <w:rPr>
                      <w:color w:val="000000" w:themeColor="text1"/>
                      <w:szCs w:val="21"/>
                      <w14:textFill>
                        <w14:solidFill>
                          <w14:schemeClr w14:val="tx1"/>
                        </w14:solidFill>
                      </w14:textFill>
                    </w:rPr>
                  </w:pPr>
                </w:p>
              </w:tc>
              <w:tc>
                <w:tcPr>
                  <w:tcW w:w="1469" w:type="pct"/>
                  <w:vAlign w:val="center"/>
                </w:tcPr>
                <w:p w14:paraId="5AF89D5D">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树脂富集</w:t>
                  </w:r>
                </w:p>
              </w:tc>
              <w:tc>
                <w:tcPr>
                  <w:tcW w:w="1635" w:type="pct"/>
                  <w:vAlign w:val="center"/>
                </w:tcPr>
                <w:p w14:paraId="00895CD3">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废树脂</w:t>
                  </w:r>
                  <w:r>
                    <w:rPr>
                      <w:rFonts w:hint="eastAsia"/>
                      <w:color w:val="000000" w:themeColor="text1"/>
                      <w:szCs w:val="21"/>
                      <w14:textFill>
                        <w14:solidFill>
                          <w14:schemeClr w14:val="tx1"/>
                        </w14:solidFill>
                      </w14:textFill>
                    </w:rPr>
                    <w:t>S4-3</w:t>
                  </w:r>
                </w:p>
              </w:tc>
              <w:tc>
                <w:tcPr>
                  <w:tcW w:w="1237" w:type="pct"/>
                  <w:vAlign w:val="center"/>
                </w:tcPr>
                <w:p w14:paraId="6321AF7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17811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1A116B92">
                  <w:pPr>
                    <w:jc w:val="center"/>
                    <w:rPr>
                      <w:color w:val="000000" w:themeColor="text1"/>
                      <w:szCs w:val="21"/>
                      <w14:textFill>
                        <w14:solidFill>
                          <w14:schemeClr w14:val="tx1"/>
                        </w14:solidFill>
                      </w14:textFill>
                    </w:rPr>
                  </w:pPr>
                </w:p>
              </w:tc>
              <w:tc>
                <w:tcPr>
                  <w:tcW w:w="1469" w:type="pct"/>
                  <w:vAlign w:val="center"/>
                </w:tcPr>
                <w:p w14:paraId="7E47BBF0">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树脂纯化</w:t>
                  </w:r>
                </w:p>
              </w:tc>
              <w:tc>
                <w:tcPr>
                  <w:tcW w:w="1635" w:type="pct"/>
                  <w:vAlign w:val="center"/>
                </w:tcPr>
                <w:p w14:paraId="0D899BA1">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废液S4-</w:t>
                  </w:r>
                  <w:r>
                    <w:rPr>
                      <w:rFonts w:hint="eastAsia"/>
                      <w:color w:val="000000" w:themeColor="text1"/>
                      <w:szCs w:val="21"/>
                      <w:lang w:val="en-US" w:eastAsia="zh-CN"/>
                      <w14:textFill>
                        <w14:solidFill>
                          <w14:schemeClr w14:val="tx1"/>
                        </w14:solidFill>
                      </w14:textFill>
                    </w:rPr>
                    <w:t>4</w:t>
                  </w:r>
                </w:p>
              </w:tc>
              <w:tc>
                <w:tcPr>
                  <w:tcW w:w="1237" w:type="pct"/>
                  <w:vAlign w:val="center"/>
                </w:tcPr>
                <w:p w14:paraId="5229AC1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7F14F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50A271DE">
                  <w:pPr>
                    <w:jc w:val="center"/>
                    <w:rPr>
                      <w:color w:val="000000" w:themeColor="text1"/>
                      <w:szCs w:val="21"/>
                      <w14:textFill>
                        <w14:solidFill>
                          <w14:schemeClr w14:val="tx1"/>
                        </w14:solidFill>
                      </w14:textFill>
                    </w:rPr>
                  </w:pPr>
                </w:p>
              </w:tc>
              <w:tc>
                <w:tcPr>
                  <w:tcW w:w="1469" w:type="pct"/>
                  <w:vAlign w:val="center"/>
                </w:tcPr>
                <w:p w14:paraId="7AC07C9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树脂纯化</w:t>
                  </w:r>
                </w:p>
              </w:tc>
              <w:tc>
                <w:tcPr>
                  <w:tcW w:w="1635" w:type="pct"/>
                  <w:vAlign w:val="center"/>
                </w:tcPr>
                <w:p w14:paraId="4579C284">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废树脂</w:t>
                  </w:r>
                  <w:r>
                    <w:rPr>
                      <w:rFonts w:hint="eastAsia"/>
                      <w:color w:val="000000" w:themeColor="text1"/>
                      <w:szCs w:val="21"/>
                      <w14:textFill>
                        <w14:solidFill>
                          <w14:schemeClr w14:val="tx1"/>
                        </w14:solidFill>
                      </w14:textFill>
                    </w:rPr>
                    <w:t>S4-3</w:t>
                  </w:r>
                </w:p>
              </w:tc>
              <w:tc>
                <w:tcPr>
                  <w:tcW w:w="1237" w:type="pct"/>
                  <w:vAlign w:val="center"/>
                </w:tcPr>
                <w:p w14:paraId="6B282B6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7F33C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618247AB">
                  <w:pPr>
                    <w:jc w:val="center"/>
                    <w:rPr>
                      <w:color w:val="000000" w:themeColor="text1"/>
                      <w:szCs w:val="21"/>
                      <w14:textFill>
                        <w14:solidFill>
                          <w14:schemeClr w14:val="tx1"/>
                        </w14:solidFill>
                      </w14:textFill>
                    </w:rPr>
                  </w:pPr>
                </w:p>
              </w:tc>
              <w:tc>
                <w:tcPr>
                  <w:tcW w:w="1469" w:type="pct"/>
                  <w:vAlign w:val="center"/>
                </w:tcPr>
                <w:p w14:paraId="5E04488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浓缩析晶、干燥</w:t>
                  </w:r>
                </w:p>
              </w:tc>
              <w:tc>
                <w:tcPr>
                  <w:tcW w:w="1635" w:type="pct"/>
                  <w:vAlign w:val="center"/>
                </w:tcPr>
                <w:p w14:paraId="65605CD4">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废液S4-</w:t>
                  </w:r>
                  <w:r>
                    <w:rPr>
                      <w:rFonts w:hint="eastAsia"/>
                      <w:color w:val="000000" w:themeColor="text1"/>
                      <w:szCs w:val="21"/>
                      <w:lang w:val="en-US" w:eastAsia="zh-CN"/>
                      <w14:textFill>
                        <w14:solidFill>
                          <w14:schemeClr w14:val="tx1"/>
                        </w14:solidFill>
                      </w14:textFill>
                    </w:rPr>
                    <w:t>5</w:t>
                  </w:r>
                </w:p>
              </w:tc>
              <w:tc>
                <w:tcPr>
                  <w:tcW w:w="1237" w:type="pct"/>
                  <w:vAlign w:val="center"/>
                </w:tcPr>
                <w:p w14:paraId="3CD62A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02E1C5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0177F740">
                  <w:pPr>
                    <w:jc w:val="center"/>
                    <w:rPr>
                      <w:color w:val="000000" w:themeColor="text1"/>
                      <w:szCs w:val="21"/>
                      <w14:textFill>
                        <w14:solidFill>
                          <w14:schemeClr w14:val="tx1"/>
                        </w14:solidFill>
                      </w14:textFill>
                    </w:rPr>
                  </w:pPr>
                </w:p>
              </w:tc>
              <w:tc>
                <w:tcPr>
                  <w:tcW w:w="1469" w:type="pct"/>
                  <w:vAlign w:val="center"/>
                </w:tcPr>
                <w:p w14:paraId="7255005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仪器设备清洗</w:t>
                  </w:r>
                </w:p>
              </w:tc>
              <w:tc>
                <w:tcPr>
                  <w:tcW w:w="1635" w:type="pct"/>
                  <w:vAlign w:val="center"/>
                </w:tcPr>
                <w:p w14:paraId="41FA8B8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器材清洗废液S5-1</w:t>
                  </w:r>
                </w:p>
              </w:tc>
              <w:tc>
                <w:tcPr>
                  <w:tcW w:w="1237" w:type="pct"/>
                  <w:vAlign w:val="center"/>
                </w:tcPr>
                <w:p w14:paraId="43C8A15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04CE4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2A6AF225">
                  <w:pPr>
                    <w:jc w:val="center"/>
                    <w:rPr>
                      <w:color w:val="000000" w:themeColor="text1"/>
                      <w:szCs w:val="21"/>
                      <w14:textFill>
                        <w14:solidFill>
                          <w14:schemeClr w14:val="tx1"/>
                        </w14:solidFill>
                      </w14:textFill>
                    </w:rPr>
                  </w:pPr>
                </w:p>
              </w:tc>
              <w:tc>
                <w:tcPr>
                  <w:tcW w:w="1469" w:type="pct"/>
                  <w:vAlign w:val="center"/>
                </w:tcPr>
                <w:p w14:paraId="63D8482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包装拆解</w:t>
                  </w:r>
                </w:p>
              </w:tc>
              <w:tc>
                <w:tcPr>
                  <w:tcW w:w="1635" w:type="pct"/>
                  <w:vAlign w:val="center"/>
                </w:tcPr>
                <w:p w14:paraId="7B55521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废试剂瓶S5-2</w:t>
                  </w:r>
                </w:p>
              </w:tc>
              <w:tc>
                <w:tcPr>
                  <w:tcW w:w="1237" w:type="pct"/>
                  <w:vAlign w:val="center"/>
                </w:tcPr>
                <w:p w14:paraId="133C211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34012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77AA228B">
                  <w:pPr>
                    <w:jc w:val="center"/>
                    <w:rPr>
                      <w:color w:val="000000" w:themeColor="text1"/>
                      <w:szCs w:val="21"/>
                      <w14:textFill>
                        <w14:solidFill>
                          <w14:schemeClr w14:val="tx1"/>
                        </w14:solidFill>
                      </w14:textFill>
                    </w:rPr>
                  </w:pPr>
                </w:p>
              </w:tc>
              <w:tc>
                <w:tcPr>
                  <w:tcW w:w="1469" w:type="pct"/>
                  <w:vAlign w:val="center"/>
                </w:tcPr>
                <w:p w14:paraId="54FC16B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包装拆解</w:t>
                  </w:r>
                </w:p>
              </w:tc>
              <w:tc>
                <w:tcPr>
                  <w:tcW w:w="1635" w:type="pct"/>
                  <w:vAlign w:val="center"/>
                </w:tcPr>
                <w:p w14:paraId="6600842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废包装材料S5-3</w:t>
                  </w:r>
                </w:p>
              </w:tc>
              <w:tc>
                <w:tcPr>
                  <w:tcW w:w="1237" w:type="pct"/>
                  <w:vAlign w:val="center"/>
                </w:tcPr>
                <w:p w14:paraId="3CDAE14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一般固废</w:t>
                  </w:r>
                </w:p>
              </w:tc>
            </w:tr>
            <w:tr w14:paraId="683C5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2B1F8DF6">
                  <w:pPr>
                    <w:jc w:val="center"/>
                    <w:rPr>
                      <w:color w:val="000000" w:themeColor="text1"/>
                      <w:szCs w:val="21"/>
                      <w14:textFill>
                        <w14:solidFill>
                          <w14:schemeClr w14:val="tx1"/>
                        </w14:solidFill>
                      </w14:textFill>
                    </w:rPr>
                  </w:pPr>
                </w:p>
              </w:tc>
              <w:tc>
                <w:tcPr>
                  <w:tcW w:w="1469" w:type="pct"/>
                  <w:vAlign w:val="center"/>
                </w:tcPr>
                <w:p w14:paraId="7495DA0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地面清洗</w:t>
                  </w:r>
                </w:p>
              </w:tc>
              <w:tc>
                <w:tcPr>
                  <w:tcW w:w="1635" w:type="pct"/>
                  <w:vAlign w:val="center"/>
                </w:tcPr>
                <w:p w14:paraId="33DA1935">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地面清洗废液</w:t>
                  </w:r>
                  <w:r>
                    <w:rPr>
                      <w:rFonts w:hint="eastAsia"/>
                      <w:color w:val="000000" w:themeColor="text1"/>
                      <w:kern w:val="0"/>
                      <w:szCs w:val="21"/>
                      <w14:textFill>
                        <w14:solidFill>
                          <w14:schemeClr w14:val="tx1"/>
                        </w14:solidFill>
                      </w14:textFill>
                    </w:rPr>
                    <w:t>S5-4</w:t>
                  </w:r>
                </w:p>
              </w:tc>
              <w:tc>
                <w:tcPr>
                  <w:tcW w:w="1237" w:type="pct"/>
                  <w:vAlign w:val="center"/>
                </w:tcPr>
                <w:p w14:paraId="5105D80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7B333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6E168B86">
                  <w:pPr>
                    <w:jc w:val="center"/>
                    <w:rPr>
                      <w:color w:val="000000" w:themeColor="text1"/>
                      <w:szCs w:val="21"/>
                      <w14:textFill>
                        <w14:solidFill>
                          <w14:schemeClr w14:val="tx1"/>
                        </w14:solidFill>
                      </w14:textFill>
                    </w:rPr>
                  </w:pPr>
                </w:p>
              </w:tc>
              <w:tc>
                <w:tcPr>
                  <w:tcW w:w="1469" w:type="pct"/>
                  <w:vAlign w:val="center"/>
                </w:tcPr>
                <w:p w14:paraId="71F3862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实验设备使用</w:t>
                  </w:r>
                </w:p>
              </w:tc>
              <w:tc>
                <w:tcPr>
                  <w:tcW w:w="1635" w:type="pct"/>
                  <w:vAlign w:val="center"/>
                </w:tcPr>
                <w:p w14:paraId="266F0E7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实验设备废</w:t>
                  </w:r>
                  <w:r>
                    <w:rPr>
                      <w:rFonts w:hint="eastAsia"/>
                      <w:color w:val="000000" w:themeColor="text1"/>
                      <w:kern w:val="0"/>
                      <w:szCs w:val="21"/>
                      <w14:textFill>
                        <w14:solidFill>
                          <w14:schemeClr w14:val="tx1"/>
                        </w14:solidFill>
                      </w14:textFill>
                    </w:rPr>
                    <w:t>液</w:t>
                  </w:r>
                  <w:r>
                    <w:rPr>
                      <w:color w:val="000000" w:themeColor="text1"/>
                      <w:kern w:val="0"/>
                      <w:szCs w:val="21"/>
                      <w14:textFill>
                        <w14:solidFill>
                          <w14:schemeClr w14:val="tx1"/>
                        </w14:solidFill>
                      </w14:textFill>
                    </w:rPr>
                    <w:t>S5-5</w:t>
                  </w:r>
                </w:p>
              </w:tc>
              <w:tc>
                <w:tcPr>
                  <w:tcW w:w="1237" w:type="pct"/>
                  <w:vAlign w:val="center"/>
                </w:tcPr>
                <w:p w14:paraId="0D89D16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66D2A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773C6D91">
                  <w:pPr>
                    <w:jc w:val="center"/>
                    <w:rPr>
                      <w:color w:val="000000" w:themeColor="text1"/>
                      <w:szCs w:val="21"/>
                      <w14:textFill>
                        <w14:solidFill>
                          <w14:schemeClr w14:val="tx1"/>
                        </w14:solidFill>
                      </w14:textFill>
                    </w:rPr>
                  </w:pPr>
                </w:p>
              </w:tc>
              <w:tc>
                <w:tcPr>
                  <w:tcW w:w="1469" w:type="pct"/>
                  <w:vAlign w:val="center"/>
                </w:tcPr>
                <w:p w14:paraId="644451A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废气处理</w:t>
                  </w:r>
                </w:p>
              </w:tc>
              <w:tc>
                <w:tcPr>
                  <w:tcW w:w="1635" w:type="pct"/>
                  <w:vAlign w:val="center"/>
                </w:tcPr>
                <w:p w14:paraId="2BFC745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废活性炭S5-6</w:t>
                  </w:r>
                </w:p>
              </w:tc>
              <w:tc>
                <w:tcPr>
                  <w:tcW w:w="1237" w:type="pct"/>
                  <w:vAlign w:val="center"/>
                </w:tcPr>
                <w:p w14:paraId="0F08FCB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r>
            <w:tr w14:paraId="7C2F1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vMerge w:val="continue"/>
                  <w:vAlign w:val="center"/>
                </w:tcPr>
                <w:p w14:paraId="3AEF6386">
                  <w:pPr>
                    <w:jc w:val="center"/>
                    <w:rPr>
                      <w:color w:val="000000" w:themeColor="text1"/>
                      <w:szCs w:val="21"/>
                      <w14:textFill>
                        <w14:solidFill>
                          <w14:schemeClr w14:val="tx1"/>
                        </w14:solidFill>
                      </w14:textFill>
                    </w:rPr>
                  </w:pPr>
                </w:p>
              </w:tc>
              <w:tc>
                <w:tcPr>
                  <w:tcW w:w="1469" w:type="pct"/>
                  <w:vAlign w:val="center"/>
                </w:tcPr>
                <w:p w14:paraId="0CC9D87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员工生活</w:t>
                  </w:r>
                </w:p>
              </w:tc>
              <w:tc>
                <w:tcPr>
                  <w:tcW w:w="1635" w:type="pct"/>
                  <w:vAlign w:val="center"/>
                </w:tcPr>
                <w:p w14:paraId="3682C7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1237" w:type="pct"/>
                  <w:vAlign w:val="center"/>
                </w:tcPr>
                <w:p w14:paraId="522BFA5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14:paraId="364ED113">
            <w:pPr>
              <w:pStyle w:val="87"/>
              <w:tabs>
                <w:tab w:val="left" w:pos="2121"/>
              </w:tabs>
              <w:spacing w:line="360" w:lineRule="auto"/>
              <w:rPr>
                <w:bCs/>
                <w:color w:val="000000" w:themeColor="text1"/>
                <w14:textFill>
                  <w14:solidFill>
                    <w14:schemeClr w14:val="tx1"/>
                  </w14:solidFill>
                </w14:textFill>
              </w:rPr>
            </w:pPr>
          </w:p>
          <w:p w14:paraId="08B7A37E">
            <w:pPr>
              <w:pStyle w:val="87"/>
              <w:tabs>
                <w:tab w:val="left" w:pos="2121"/>
              </w:tabs>
              <w:spacing w:line="360" w:lineRule="auto"/>
              <w:rPr>
                <w:bCs/>
                <w:color w:val="000000" w:themeColor="text1"/>
                <w14:textFill>
                  <w14:solidFill>
                    <w14:schemeClr w14:val="tx1"/>
                  </w14:solidFill>
                </w14:textFill>
              </w:rPr>
            </w:pPr>
          </w:p>
        </w:tc>
      </w:tr>
      <w:tr w14:paraId="0B5D43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2" w:hRule="atLeast"/>
          <w:jc w:val="center"/>
        </w:trPr>
        <w:tc>
          <w:tcPr>
            <w:tcW w:w="429" w:type="dxa"/>
            <w:vAlign w:val="center"/>
          </w:tcPr>
          <w:p w14:paraId="2D72ED97">
            <w:pPr>
              <w:jc w:val="center"/>
              <w:rPr>
                <w:color w:val="000000" w:themeColor="text1"/>
                <w:szCs w:val="21"/>
                <w14:textFill>
                  <w14:solidFill>
                    <w14:schemeClr w14:val="tx1"/>
                  </w14:solidFill>
                </w14:textFill>
              </w:rPr>
            </w:pPr>
            <w:r>
              <w:rPr>
                <w:bCs/>
                <w:color w:val="000000" w:themeColor="text1"/>
                <w:sz w:val="24"/>
                <w14:textFill>
                  <w14:solidFill>
                    <w14:schemeClr w14:val="tx1"/>
                  </w14:solidFill>
                </w14:textFill>
              </w:rPr>
              <w:t>与项目有关的原有环境污染问题</w:t>
            </w:r>
          </w:p>
        </w:tc>
        <w:tc>
          <w:tcPr>
            <w:tcW w:w="9533" w:type="dxa"/>
          </w:tcPr>
          <w:p w14:paraId="2D117473">
            <w:pPr>
              <w:spacing w:line="48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一、本项目有关的原有污染情况及主要环境问题</w:t>
            </w:r>
          </w:p>
          <w:p w14:paraId="11AD3B45">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金坛经开区合成生物产业园由江苏金坛经济开发区管理委员会管理，暂无不动产权证。</w:t>
            </w:r>
          </w:p>
          <w:p w14:paraId="3DC7713A">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金坛经开区合成生物产业园内雨、污水管网已铺设完善，厂区内电网、给水管网铺设完善，事故应急池及切断阀等应急设施完善。园区共11栋建筑物，其中1-4栋作为办公区，5-11栋作为生产区、仓库。办公室主要位于园区北侧，生产区、仓库主要位于园区南侧。</w:t>
            </w:r>
          </w:p>
          <w:p w14:paraId="274F8986">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金坛经开区合成生物产业园9号楼建筑面积为14074平方米，建筑层数2层，建筑高度10米，为丙类厂房，耐火等级为二级。</w:t>
            </w:r>
            <w:r>
              <w:rPr>
                <w:rFonts w:hint="eastAsia"/>
                <w:color w:val="000000" w:themeColor="text1"/>
                <w:sz w:val="24"/>
                <w14:textFill>
                  <w14:solidFill>
                    <w14:schemeClr w14:val="tx1"/>
                  </w14:solidFill>
                </w14:textFill>
              </w:rPr>
              <w:t>项目租用园区</w:t>
            </w:r>
            <w:r>
              <w:rPr>
                <w:color w:val="000000" w:themeColor="text1"/>
                <w:spacing w:val="-2"/>
                <w:sz w:val="24"/>
                <w14:textFill>
                  <w14:solidFill>
                    <w14:schemeClr w14:val="tx1"/>
                  </w14:solidFill>
                </w14:textFill>
              </w:rPr>
              <w:t>9号楼2层</w:t>
            </w:r>
            <w:r>
              <w:rPr>
                <w:rFonts w:hint="eastAsia"/>
                <w:color w:val="000000" w:themeColor="text1"/>
                <w:spacing w:val="-2"/>
                <w:sz w:val="24"/>
                <w14:textFill>
                  <w14:solidFill>
                    <w14:schemeClr w14:val="tx1"/>
                  </w14:solidFill>
                </w14:textFill>
              </w:rPr>
              <w:t>东北侧厂房156</w:t>
            </w:r>
            <w:r>
              <w:rPr>
                <w:color w:val="000000" w:themeColor="text1"/>
                <w14:textFill>
                  <w14:solidFill>
                    <w14:schemeClr w14:val="tx1"/>
                  </w14:solidFill>
                </w14:textFill>
              </w:rPr>
              <w:t>平方米</w:t>
            </w:r>
            <w:r>
              <w:rPr>
                <w:rFonts w:hint="eastAsia"/>
                <w:color w:val="000000" w:themeColor="text1"/>
                <w:spacing w:val="-2"/>
                <w:sz w:val="24"/>
                <w14:textFill>
                  <w14:solidFill>
                    <w14:schemeClr w14:val="tx1"/>
                  </w14:solidFill>
                </w14:textFill>
              </w:rPr>
              <w:t>，</w:t>
            </w:r>
            <w:r>
              <w:rPr>
                <w:color w:val="000000" w:themeColor="text1"/>
                <w:sz w:val="24"/>
                <w14:textFill>
                  <w14:solidFill>
                    <w14:schemeClr w14:val="tx1"/>
                  </w14:solidFill>
                </w14:textFill>
              </w:rPr>
              <w:t>租用前厂房闲置，未进行生产经营活动，无环境遗留问题。</w:t>
            </w:r>
          </w:p>
          <w:p w14:paraId="315BB026">
            <w:pPr>
              <w:spacing w:line="48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二、本项目与</w:t>
            </w:r>
            <w:r>
              <w:rPr>
                <w:rFonts w:hint="eastAsia"/>
                <w:b/>
                <w:color w:val="000000" w:themeColor="text1"/>
                <w:sz w:val="24"/>
                <w14:textFill>
                  <w14:solidFill>
                    <w14:schemeClr w14:val="tx1"/>
                  </w14:solidFill>
                </w14:textFill>
              </w:rPr>
              <w:t>租赁单位</w:t>
            </w:r>
            <w:r>
              <w:rPr>
                <w:b/>
                <w:color w:val="000000" w:themeColor="text1"/>
                <w:sz w:val="24"/>
                <w14:textFill>
                  <w14:solidFill>
                    <w14:schemeClr w14:val="tx1"/>
                  </w14:solidFill>
                </w14:textFill>
              </w:rPr>
              <w:t>依托关系：</w:t>
            </w:r>
          </w:p>
          <w:p w14:paraId="25816CCF">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博帝生物技术（常州）有限公司</w:t>
            </w:r>
            <w:r>
              <w:rPr>
                <w:color w:val="000000" w:themeColor="text1"/>
                <w:sz w:val="24"/>
                <w14:textFill>
                  <w14:solidFill>
                    <w14:schemeClr w14:val="tx1"/>
                  </w14:solidFill>
                </w14:textFill>
              </w:rPr>
              <w:t>租用金坛经开区合成生物产业园已建标准厂房（9号楼2F东</w:t>
            </w:r>
            <w:r>
              <w:rPr>
                <w:rFonts w:hint="eastAsia"/>
                <w:color w:val="000000" w:themeColor="text1"/>
                <w:sz w:val="24"/>
                <w14:textFill>
                  <w14:solidFill>
                    <w14:schemeClr w14:val="tx1"/>
                  </w14:solidFill>
                </w14:textFill>
              </w:rPr>
              <w:t>北</w:t>
            </w:r>
            <w:r>
              <w:rPr>
                <w:color w:val="000000" w:themeColor="text1"/>
                <w:sz w:val="24"/>
                <w14:textFill>
                  <w14:solidFill>
                    <w14:schemeClr w14:val="tx1"/>
                  </w14:solidFill>
                </w14:textFill>
              </w:rPr>
              <w:t>侧）进行生产。经与建设单位核实，本项目与其依托关系如下：</w:t>
            </w:r>
          </w:p>
          <w:p w14:paraId="71381438">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供水由市政给水管网提供，依托园区已建管网；生活污水依托园区已建管网和排污口，接管至金坛第二污水处理厂；雨水依托园区现有雨水管网及雨水排口；供电由园区电网提供，依托园区已建电网及变压器；事故状态下依托园区已建事故应急池和雨水排放口阀门。</w:t>
            </w:r>
          </w:p>
          <w:p w14:paraId="0F6C8C14">
            <w:pPr>
              <w:spacing w:line="48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三、责任主体</w:t>
            </w:r>
          </w:p>
          <w:p w14:paraId="524685C0">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本项目生产过程中保持独立，设置独立的生产设施和独立的环保工程（主要为废气处理设施、危废仓库、一般固废仓库），与</w:t>
            </w:r>
            <w:r>
              <w:rPr>
                <w:rFonts w:hint="eastAsia"/>
                <w:color w:val="000000" w:themeColor="text1"/>
                <w:sz w:val="24"/>
                <w14:textFill>
                  <w14:solidFill>
                    <w14:schemeClr w14:val="tx1"/>
                  </w14:solidFill>
                </w14:textFill>
              </w:rPr>
              <w:t>园区</w:t>
            </w:r>
            <w:r>
              <w:rPr>
                <w:color w:val="000000" w:themeColor="text1"/>
                <w:sz w:val="24"/>
                <w14:textFill>
                  <w14:solidFill>
                    <w14:schemeClr w14:val="tx1"/>
                  </w14:solidFill>
                </w14:textFill>
              </w:rPr>
              <w:t>无依托关系。</w:t>
            </w:r>
            <w:r>
              <w:rPr>
                <w:rFonts w:hint="eastAsia"/>
                <w:color w:val="000000" w:themeColor="text1"/>
                <w:sz w:val="24"/>
                <w14:textFill>
                  <w14:solidFill>
                    <w14:schemeClr w14:val="tx1"/>
                  </w14:solidFill>
                </w14:textFill>
              </w:rPr>
              <w:t>博帝生物技术（常州）有限公司</w:t>
            </w:r>
            <w:r>
              <w:rPr>
                <w:color w:val="000000" w:themeColor="text1"/>
                <w:sz w:val="24"/>
                <w14:textFill>
                  <w14:solidFill>
                    <w14:schemeClr w14:val="tx1"/>
                  </w14:solidFill>
                </w14:textFill>
              </w:rPr>
              <w:t>应落实废水、废气、噪声、固废等污染防治措施，并严格执行环保“三同时”验收制度，确保达标排放，即项目自有工程环保责任主体为</w:t>
            </w:r>
            <w:r>
              <w:rPr>
                <w:rFonts w:hint="eastAsia"/>
                <w:color w:val="000000" w:themeColor="text1"/>
                <w:sz w:val="24"/>
                <w14:textFill>
                  <w14:solidFill>
                    <w14:schemeClr w14:val="tx1"/>
                  </w14:solidFill>
                </w14:textFill>
              </w:rPr>
              <w:t>博帝生物技术（常州）有限公司</w:t>
            </w:r>
            <w:r>
              <w:rPr>
                <w:color w:val="000000" w:themeColor="text1"/>
                <w:sz w:val="24"/>
                <w14:textFill>
                  <w14:solidFill>
                    <w14:schemeClr w14:val="tx1"/>
                  </w14:solidFill>
                </w14:textFill>
              </w:rPr>
              <w:t>。</w:t>
            </w:r>
          </w:p>
          <w:p w14:paraId="7685F036">
            <w:pPr>
              <w:spacing w:line="480" w:lineRule="exact"/>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本项目租用9号楼部分区域，无法单独设置污水排放口，依托园区现有，若发生废水环境污染事件，由园区负责。本项目依托园区事故应急池以及雨水排放口阀门，若发生火灾、泄露等环境污染事件，园区负责监控及切断措施，风险应急责任主体为园区</w:t>
            </w:r>
            <w:r>
              <w:rPr>
                <w:bCs/>
                <w:color w:val="000000" w:themeColor="text1"/>
                <w:sz w:val="24"/>
                <w14:textFill>
                  <w14:solidFill>
                    <w14:schemeClr w14:val="tx1"/>
                  </w14:solidFill>
                </w14:textFill>
              </w:rPr>
              <w:t>。</w:t>
            </w:r>
          </w:p>
        </w:tc>
      </w:tr>
    </w:tbl>
    <w:p w14:paraId="13E6DD0F">
      <w:pPr>
        <w:rPr>
          <w:color w:val="000000" w:themeColor="text1"/>
          <w14:textFill>
            <w14:solidFill>
              <w14:schemeClr w14:val="tx1"/>
            </w14:solidFill>
          </w14:textFill>
        </w:rPr>
        <w:sectPr>
          <w:pgSz w:w="11906" w:h="16838"/>
          <w:pgMar w:top="1440" w:right="1080" w:bottom="1440" w:left="1080" w:header="851" w:footer="851" w:gutter="0"/>
          <w:cols w:space="720" w:num="1"/>
          <w:docGrid w:linePitch="312" w:charSpace="0"/>
        </w:sectPr>
      </w:pPr>
    </w:p>
    <w:p w14:paraId="1ABB3569">
      <w:pPr>
        <w:pStyle w:val="21"/>
        <w:spacing w:before="0" w:beforeAutospacing="0" w:after="0" w:afterAutospacing="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t>三、区域环境质量现状、环境保护目标及评价标准</w:t>
      </w:r>
    </w:p>
    <w:tbl>
      <w:tblPr>
        <w:tblStyle w:val="25"/>
        <w:tblpPr w:leftFromText="180" w:rightFromText="180" w:vertAnchor="text" w:tblpXSpec="center" w:tblpY="1"/>
        <w:tblOverlap w:val="never"/>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507"/>
      </w:tblGrid>
      <w:tr w14:paraId="25AB64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op w:val="single" w:color="auto" w:sz="4" w:space="0"/>
              <w:left w:val="single" w:color="auto" w:sz="4" w:space="0"/>
              <w:bottom w:val="single" w:color="auto" w:sz="4" w:space="0"/>
            </w:tcBorders>
            <w:vAlign w:val="center"/>
          </w:tcPr>
          <w:p w14:paraId="1AFCB006">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14:paraId="6AF99677">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040E4D98">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14:paraId="33C36529">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现状</w:t>
            </w:r>
          </w:p>
        </w:tc>
        <w:tc>
          <w:tcPr>
            <w:tcW w:w="9534" w:type="dxa"/>
            <w:tcBorders>
              <w:top w:val="single" w:color="auto" w:sz="4" w:space="0"/>
              <w:bottom w:val="single" w:color="auto" w:sz="4" w:space="0"/>
              <w:right w:val="single" w:color="auto" w:sz="4" w:space="0"/>
            </w:tcBorders>
            <w:vAlign w:val="center"/>
          </w:tcPr>
          <w:p w14:paraId="6A0C9E6C">
            <w:pPr>
              <w:adjustRightInd w:val="0"/>
              <w:snapToGrid w:val="0"/>
              <w:spacing w:line="480" w:lineRule="exac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1、大气环境</w:t>
            </w:r>
          </w:p>
          <w:p w14:paraId="01268ED9">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（1）区域达标判定</w:t>
            </w:r>
          </w:p>
          <w:p w14:paraId="3F42C6BE">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根据《环境影响评价技术导则大气环境》（HJ2.2-2018），项目所在区域达标情况判定优先采用国家或地方生态环境主管部门公开发布的环境质量报告或环境质量报告书中的数据或结论。</w:t>
            </w:r>
          </w:p>
          <w:p w14:paraId="7FCF2B6E">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本次评价选取2024年作为评价基准年，根据《2024年常州市生态环境状况公报》，常州市区大气基本污染物环境质量现状见表3-1。</w:t>
            </w:r>
          </w:p>
          <w:p w14:paraId="49C22068">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表3-1 常州市区大气基本污染物环境质量现状</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565"/>
              <w:gridCol w:w="2148"/>
              <w:gridCol w:w="1116"/>
              <w:gridCol w:w="1354"/>
              <w:gridCol w:w="1797"/>
              <w:gridCol w:w="1103"/>
              <w:gridCol w:w="658"/>
              <w:gridCol w:w="550"/>
            </w:tblGrid>
            <w:tr w14:paraId="1D9C66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70" w:hRule="atLeast"/>
                <w:jc w:val="center"/>
              </w:trPr>
              <w:tc>
                <w:tcPr>
                  <w:tcW w:w="0" w:type="auto"/>
                  <w:vMerge w:val="restart"/>
                  <w:tcBorders>
                    <w:tl2br w:val="nil"/>
                    <w:tr2bl w:val="nil"/>
                  </w:tcBorders>
                  <w:vAlign w:val="center"/>
                </w:tcPr>
                <w:p w14:paraId="376222F4">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污染物</w:t>
                  </w:r>
                </w:p>
              </w:tc>
              <w:tc>
                <w:tcPr>
                  <w:tcW w:w="0" w:type="auto"/>
                  <w:vMerge w:val="restart"/>
                  <w:tcBorders>
                    <w:tl2br w:val="nil"/>
                    <w:tr2bl w:val="nil"/>
                  </w:tcBorders>
                  <w:vAlign w:val="center"/>
                </w:tcPr>
                <w:p w14:paraId="4AE3B711">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年平均指标</w:t>
                  </w:r>
                </w:p>
              </w:tc>
              <w:tc>
                <w:tcPr>
                  <w:tcW w:w="0" w:type="auto"/>
                  <w:vMerge w:val="restart"/>
                  <w:tcBorders>
                    <w:tl2br w:val="nil"/>
                    <w:tr2bl w:val="nil"/>
                  </w:tcBorders>
                  <w:vAlign w:val="center"/>
                </w:tcPr>
                <w:p w14:paraId="1CF2EB82">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现状浓度μg/m</w:t>
                  </w:r>
                  <w:r>
                    <w:rPr>
                      <w:b/>
                      <w:color w:val="000000" w:themeColor="text1"/>
                      <w:szCs w:val="21"/>
                      <w:vertAlign w:val="superscript"/>
                      <w14:textFill>
                        <w14:solidFill>
                          <w14:schemeClr w14:val="tx1"/>
                        </w14:solidFill>
                      </w14:textFill>
                    </w:rPr>
                    <w:t>3</w:t>
                  </w:r>
                </w:p>
              </w:tc>
              <w:tc>
                <w:tcPr>
                  <w:tcW w:w="1354" w:type="dxa"/>
                  <w:vMerge w:val="restart"/>
                  <w:tcBorders>
                    <w:tl2br w:val="nil"/>
                    <w:tr2bl w:val="nil"/>
                  </w:tcBorders>
                  <w:vAlign w:val="center"/>
                </w:tcPr>
                <w:p w14:paraId="2E419605">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GB3095-20</w:t>
                  </w:r>
                  <w:r>
                    <w:rPr>
                      <w:rFonts w:hint="eastAsia"/>
                      <w:b/>
                      <w:color w:val="000000" w:themeColor="text1"/>
                      <w:szCs w:val="21"/>
                      <w:lang w:val="en-US" w:eastAsia="zh-CN"/>
                      <w14:textFill>
                        <w14:solidFill>
                          <w14:schemeClr w14:val="tx1"/>
                        </w14:solidFill>
                      </w14:textFill>
                    </w:rPr>
                    <w:t>12浓度</w:t>
                  </w:r>
                  <w:r>
                    <w:rPr>
                      <w:b/>
                      <w:color w:val="000000" w:themeColor="text1"/>
                      <w:szCs w:val="21"/>
                      <w14:textFill>
                        <w14:solidFill>
                          <w14:schemeClr w14:val="tx1"/>
                        </w14:solidFill>
                      </w14:textFill>
                    </w:rPr>
                    <w:t>限值μg/m</w:t>
                  </w:r>
                  <w:r>
                    <w:rPr>
                      <w:b/>
                      <w:color w:val="000000" w:themeColor="text1"/>
                      <w:szCs w:val="21"/>
                      <w:vertAlign w:val="superscript"/>
                      <w14:textFill>
                        <w14:solidFill>
                          <w14:schemeClr w14:val="tx1"/>
                        </w14:solidFill>
                      </w14:textFill>
                    </w:rPr>
                    <w:t>3</w:t>
                  </w:r>
                </w:p>
              </w:tc>
              <w:tc>
                <w:tcPr>
                  <w:tcW w:w="2900" w:type="dxa"/>
                  <w:gridSpan w:val="2"/>
                  <w:tcBorders>
                    <w:tl2br w:val="nil"/>
                    <w:tr2bl w:val="nil"/>
                  </w:tcBorders>
                  <w:vAlign w:val="center"/>
                </w:tcPr>
                <w:p w14:paraId="24DF882A">
                  <w:pPr>
                    <w:adjustRightInd w:val="0"/>
                    <w:snapToGrid w:val="0"/>
                    <w:jc w:val="center"/>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GB3095-20</w:t>
                  </w:r>
                  <w:r>
                    <w:rPr>
                      <w:rFonts w:hint="eastAsia"/>
                      <w:b/>
                      <w:color w:val="000000" w:themeColor="text1"/>
                      <w:szCs w:val="21"/>
                      <w:lang w:val="en-US" w:eastAsia="zh-CN"/>
                      <w14:textFill>
                        <w14:solidFill>
                          <w14:schemeClr w14:val="tx1"/>
                        </w14:solidFill>
                      </w14:textFill>
                    </w:rPr>
                    <w:t>26浓度</w:t>
                  </w:r>
                  <w:r>
                    <w:rPr>
                      <w:b/>
                      <w:color w:val="000000" w:themeColor="text1"/>
                      <w:szCs w:val="21"/>
                      <w14:textFill>
                        <w14:solidFill>
                          <w14:schemeClr w14:val="tx1"/>
                        </w14:solidFill>
                      </w14:textFill>
                    </w:rPr>
                    <w:t>限值μg/m</w:t>
                  </w:r>
                  <w:r>
                    <w:rPr>
                      <w:b/>
                      <w:color w:val="000000" w:themeColor="text1"/>
                      <w:szCs w:val="21"/>
                      <w:vertAlign w:val="superscript"/>
                      <w14:textFill>
                        <w14:solidFill>
                          <w14:schemeClr w14:val="tx1"/>
                        </w14:solidFill>
                      </w14:textFill>
                    </w:rPr>
                    <w:t>3</w:t>
                  </w:r>
                </w:p>
              </w:tc>
              <w:tc>
                <w:tcPr>
                  <w:tcW w:w="0" w:type="auto"/>
                  <w:vMerge w:val="restart"/>
                  <w:tcBorders>
                    <w:tl2br w:val="nil"/>
                    <w:tr2bl w:val="nil"/>
                  </w:tcBorders>
                  <w:vAlign w:val="center"/>
                </w:tcPr>
                <w:p w14:paraId="252515B6">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达标率%</w:t>
                  </w:r>
                </w:p>
              </w:tc>
              <w:tc>
                <w:tcPr>
                  <w:tcW w:w="0" w:type="auto"/>
                  <w:vMerge w:val="restart"/>
                  <w:tcBorders>
                    <w:tl2br w:val="nil"/>
                    <w:tr2bl w:val="nil"/>
                  </w:tcBorders>
                  <w:vAlign w:val="center"/>
                </w:tcPr>
                <w:p w14:paraId="1ABE9D11">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达标情况</w:t>
                  </w:r>
                </w:p>
              </w:tc>
            </w:tr>
            <w:tr w14:paraId="390894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70" w:hRule="atLeast"/>
                <w:jc w:val="center"/>
              </w:trPr>
              <w:tc>
                <w:tcPr>
                  <w:tcW w:w="0" w:type="auto"/>
                  <w:vMerge w:val="continue"/>
                  <w:tcBorders>
                    <w:tl2br w:val="nil"/>
                    <w:tr2bl w:val="nil"/>
                  </w:tcBorders>
                  <w:vAlign w:val="center"/>
                </w:tcPr>
                <w:p w14:paraId="774952C2">
                  <w:pPr>
                    <w:adjustRightInd w:val="0"/>
                    <w:snapToGrid w:val="0"/>
                    <w:jc w:val="center"/>
                  </w:pPr>
                </w:p>
              </w:tc>
              <w:tc>
                <w:tcPr>
                  <w:tcW w:w="0" w:type="auto"/>
                  <w:vMerge w:val="continue"/>
                  <w:tcBorders>
                    <w:tl2br w:val="nil"/>
                    <w:tr2bl w:val="nil"/>
                  </w:tcBorders>
                  <w:vAlign w:val="center"/>
                </w:tcPr>
                <w:p w14:paraId="4740A2DD">
                  <w:pPr>
                    <w:adjustRightInd w:val="0"/>
                    <w:snapToGrid w:val="0"/>
                    <w:jc w:val="center"/>
                  </w:pPr>
                </w:p>
              </w:tc>
              <w:tc>
                <w:tcPr>
                  <w:tcW w:w="0" w:type="auto"/>
                  <w:vMerge w:val="continue"/>
                  <w:tcBorders>
                    <w:tl2br w:val="nil"/>
                    <w:tr2bl w:val="nil"/>
                  </w:tcBorders>
                  <w:vAlign w:val="center"/>
                </w:tcPr>
                <w:p w14:paraId="740A7558">
                  <w:pPr>
                    <w:adjustRightInd w:val="0"/>
                    <w:snapToGrid w:val="0"/>
                    <w:jc w:val="center"/>
                  </w:pPr>
                </w:p>
              </w:tc>
              <w:tc>
                <w:tcPr>
                  <w:tcW w:w="1354" w:type="dxa"/>
                  <w:vMerge w:val="continue"/>
                  <w:tcBorders>
                    <w:tl2br w:val="nil"/>
                    <w:tr2bl w:val="nil"/>
                  </w:tcBorders>
                  <w:vAlign w:val="center"/>
                </w:tcPr>
                <w:p w14:paraId="3CE4C438">
                  <w:pPr>
                    <w:adjustRightInd w:val="0"/>
                    <w:snapToGrid w:val="0"/>
                    <w:jc w:val="center"/>
                  </w:pPr>
                </w:p>
              </w:tc>
              <w:tc>
                <w:tcPr>
                  <w:tcW w:w="1797" w:type="dxa"/>
                  <w:tcBorders>
                    <w:tl2br w:val="nil"/>
                    <w:tr2bl w:val="nil"/>
                  </w:tcBorders>
                  <w:vAlign w:val="center"/>
                </w:tcPr>
                <w:p w14:paraId="2D7E9C36">
                  <w:pPr>
                    <w:adjustRightInd w:val="0"/>
                    <w:snapToGrid w:val="0"/>
                    <w:jc w:val="center"/>
                    <w:rPr>
                      <w:rFonts w:hint="default" w:eastAsia="宋体"/>
                      <w:b/>
                      <w:bCs/>
                      <w:lang w:val="en-US" w:eastAsia="zh-CN"/>
                    </w:rPr>
                  </w:pPr>
                  <w:r>
                    <w:rPr>
                      <w:rFonts w:hint="eastAsia"/>
                      <w:b/>
                      <w:bCs/>
                      <w:lang w:val="en-US" w:eastAsia="zh-CN"/>
                    </w:rPr>
                    <w:t>过渡阶段浓度限值</w:t>
                  </w:r>
                </w:p>
              </w:tc>
              <w:tc>
                <w:tcPr>
                  <w:tcW w:w="1103" w:type="dxa"/>
                  <w:tcBorders>
                    <w:tl2br w:val="nil"/>
                    <w:tr2bl w:val="nil"/>
                  </w:tcBorders>
                  <w:vAlign w:val="center"/>
                </w:tcPr>
                <w:p w14:paraId="7068619B">
                  <w:pPr>
                    <w:adjustRightInd w:val="0"/>
                    <w:snapToGrid w:val="0"/>
                    <w:jc w:val="center"/>
                    <w:rPr>
                      <w:b/>
                      <w:bCs/>
                    </w:rPr>
                  </w:pPr>
                  <w:r>
                    <w:rPr>
                      <w:rFonts w:hint="eastAsia"/>
                      <w:b/>
                      <w:bCs/>
                      <w:lang w:val="en-US" w:eastAsia="zh-CN"/>
                    </w:rPr>
                    <w:t>浓度限值</w:t>
                  </w:r>
                </w:p>
              </w:tc>
              <w:tc>
                <w:tcPr>
                  <w:tcW w:w="0" w:type="auto"/>
                  <w:vMerge w:val="continue"/>
                  <w:tcBorders>
                    <w:tl2br w:val="nil"/>
                    <w:tr2bl w:val="nil"/>
                  </w:tcBorders>
                  <w:vAlign w:val="center"/>
                </w:tcPr>
                <w:p w14:paraId="2C6E58A8">
                  <w:pPr>
                    <w:adjustRightInd w:val="0"/>
                    <w:snapToGrid w:val="0"/>
                    <w:jc w:val="center"/>
                  </w:pPr>
                </w:p>
              </w:tc>
              <w:tc>
                <w:tcPr>
                  <w:tcW w:w="0" w:type="auto"/>
                  <w:vMerge w:val="continue"/>
                  <w:tcBorders>
                    <w:tl2br w:val="nil"/>
                    <w:tr2bl w:val="nil"/>
                  </w:tcBorders>
                  <w:vAlign w:val="center"/>
                </w:tcPr>
                <w:p w14:paraId="22F25FD7">
                  <w:pPr>
                    <w:adjustRightInd w:val="0"/>
                    <w:snapToGrid w:val="0"/>
                    <w:jc w:val="center"/>
                  </w:pPr>
                </w:p>
              </w:tc>
            </w:tr>
            <w:tr w14:paraId="5D2BDD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0" w:type="auto"/>
                  <w:vMerge w:val="restart"/>
                  <w:tcBorders>
                    <w:tl2br w:val="nil"/>
                    <w:tr2bl w:val="nil"/>
                  </w:tcBorders>
                  <w:vAlign w:val="center"/>
                </w:tcPr>
                <w:p w14:paraId="1419CC9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PM</w:t>
                  </w:r>
                  <w:r>
                    <w:rPr>
                      <w:color w:val="000000" w:themeColor="text1"/>
                      <w:kern w:val="0"/>
                      <w:szCs w:val="21"/>
                      <w:vertAlign w:val="subscript"/>
                      <w14:textFill>
                        <w14:solidFill>
                          <w14:schemeClr w14:val="tx1"/>
                        </w14:solidFill>
                      </w14:textFill>
                    </w:rPr>
                    <w:t>2.5</w:t>
                  </w:r>
                </w:p>
              </w:tc>
              <w:tc>
                <w:tcPr>
                  <w:tcW w:w="0" w:type="auto"/>
                  <w:tcBorders>
                    <w:tl2br w:val="nil"/>
                    <w:tr2bl w:val="nil"/>
                  </w:tcBorders>
                  <w:vAlign w:val="center"/>
                </w:tcPr>
                <w:p w14:paraId="3CCB574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年平均质量浓度</w:t>
                  </w:r>
                </w:p>
              </w:tc>
              <w:tc>
                <w:tcPr>
                  <w:tcW w:w="0" w:type="auto"/>
                  <w:tcBorders>
                    <w:tl2br w:val="nil"/>
                    <w:tr2bl w:val="nil"/>
                  </w:tcBorders>
                  <w:vAlign w:val="center"/>
                </w:tcPr>
                <w:p w14:paraId="5FDF6FF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32</w:t>
                  </w:r>
                </w:p>
              </w:tc>
              <w:tc>
                <w:tcPr>
                  <w:tcW w:w="1354" w:type="dxa"/>
                  <w:tcBorders>
                    <w:tl2br w:val="nil"/>
                    <w:tr2bl w:val="nil"/>
                  </w:tcBorders>
                  <w:vAlign w:val="center"/>
                </w:tcPr>
                <w:p w14:paraId="19D753A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35</w:t>
                  </w:r>
                </w:p>
              </w:tc>
              <w:tc>
                <w:tcPr>
                  <w:tcW w:w="1797" w:type="dxa"/>
                  <w:tcBorders>
                    <w:tl2br w:val="nil"/>
                    <w:tr2bl w:val="nil"/>
                  </w:tcBorders>
                  <w:vAlign w:val="center"/>
                </w:tcPr>
                <w:p w14:paraId="4F0D8677">
                  <w:pPr>
                    <w:adjustRightInd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30</w:t>
                  </w:r>
                </w:p>
              </w:tc>
              <w:tc>
                <w:tcPr>
                  <w:tcW w:w="1103" w:type="dxa"/>
                  <w:tcBorders>
                    <w:tl2br w:val="nil"/>
                    <w:tr2bl w:val="nil"/>
                  </w:tcBorders>
                  <w:vAlign w:val="center"/>
                </w:tcPr>
                <w:p w14:paraId="7D51683B">
                  <w:pPr>
                    <w:adjustRightInd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w:t>
                  </w:r>
                </w:p>
              </w:tc>
              <w:tc>
                <w:tcPr>
                  <w:tcW w:w="0" w:type="auto"/>
                  <w:tcBorders>
                    <w:tl2br w:val="nil"/>
                    <w:tr2bl w:val="nil"/>
                  </w:tcBorders>
                  <w:vAlign w:val="center"/>
                </w:tcPr>
                <w:p w14:paraId="74B0662F">
                  <w:pPr>
                    <w:adjustRightInd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0" w:type="auto"/>
                  <w:vMerge w:val="restart"/>
                  <w:tcBorders>
                    <w:tl2br w:val="nil"/>
                    <w:tr2bl w:val="nil"/>
                  </w:tcBorders>
                  <w:vAlign w:val="center"/>
                </w:tcPr>
                <w:p w14:paraId="2E4D0E57">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不达标</w:t>
                  </w:r>
                </w:p>
              </w:tc>
            </w:tr>
            <w:tr w14:paraId="694007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0" w:type="auto"/>
                  <w:vMerge w:val="continue"/>
                  <w:tcBorders>
                    <w:tl2br w:val="nil"/>
                    <w:tr2bl w:val="nil"/>
                  </w:tcBorders>
                  <w:vAlign w:val="center"/>
                </w:tcPr>
                <w:p w14:paraId="76DA4C73">
                  <w:pPr>
                    <w:adjustRightInd w:val="0"/>
                    <w:snapToGrid w:val="0"/>
                    <w:jc w:val="center"/>
                    <w:rPr>
                      <w:color w:val="000000" w:themeColor="text1"/>
                      <w:kern w:val="0"/>
                      <w:szCs w:val="21"/>
                      <w14:textFill>
                        <w14:solidFill>
                          <w14:schemeClr w14:val="tx1"/>
                        </w14:solidFill>
                      </w14:textFill>
                    </w:rPr>
                  </w:pPr>
                </w:p>
              </w:tc>
              <w:tc>
                <w:tcPr>
                  <w:tcW w:w="0" w:type="auto"/>
                  <w:tcBorders>
                    <w:tl2br w:val="nil"/>
                    <w:tr2bl w:val="nil"/>
                  </w:tcBorders>
                  <w:vAlign w:val="center"/>
                </w:tcPr>
                <w:p w14:paraId="2FB3DE46">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日平均浓度</w:t>
                  </w:r>
                </w:p>
              </w:tc>
              <w:tc>
                <w:tcPr>
                  <w:tcW w:w="0" w:type="auto"/>
                  <w:tcBorders>
                    <w:tl2br w:val="nil"/>
                    <w:tr2bl w:val="nil"/>
                  </w:tcBorders>
                  <w:vAlign w:val="center"/>
                </w:tcPr>
                <w:p w14:paraId="2262FF12">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5-157</w:t>
                  </w:r>
                </w:p>
              </w:tc>
              <w:tc>
                <w:tcPr>
                  <w:tcW w:w="1354" w:type="dxa"/>
                  <w:tcBorders>
                    <w:tl2br w:val="nil"/>
                    <w:tr2bl w:val="nil"/>
                  </w:tcBorders>
                  <w:vAlign w:val="center"/>
                </w:tcPr>
                <w:p w14:paraId="4AE00EA2">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75</w:t>
                  </w:r>
                </w:p>
              </w:tc>
              <w:tc>
                <w:tcPr>
                  <w:tcW w:w="1797" w:type="dxa"/>
                  <w:tcBorders>
                    <w:tl2br w:val="nil"/>
                    <w:tr2bl w:val="nil"/>
                  </w:tcBorders>
                  <w:vAlign w:val="center"/>
                </w:tcPr>
                <w:p w14:paraId="5ACE6218">
                  <w:pPr>
                    <w:adjustRightInd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w:t>
                  </w:r>
                </w:p>
              </w:tc>
              <w:tc>
                <w:tcPr>
                  <w:tcW w:w="1103" w:type="dxa"/>
                  <w:tcBorders>
                    <w:tl2br w:val="nil"/>
                    <w:tr2bl w:val="nil"/>
                  </w:tcBorders>
                  <w:vAlign w:val="center"/>
                </w:tcPr>
                <w:p w14:paraId="58B4832E">
                  <w:pPr>
                    <w:adjustRightInd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w:t>
                  </w:r>
                </w:p>
              </w:tc>
              <w:tc>
                <w:tcPr>
                  <w:tcW w:w="0" w:type="auto"/>
                  <w:tcBorders>
                    <w:tl2br w:val="nil"/>
                    <w:tr2bl w:val="nil"/>
                  </w:tcBorders>
                  <w:vAlign w:val="center"/>
                </w:tcPr>
                <w:p w14:paraId="109E466E">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93.2</w:t>
                  </w:r>
                </w:p>
              </w:tc>
              <w:tc>
                <w:tcPr>
                  <w:tcW w:w="0" w:type="auto"/>
                  <w:vMerge w:val="continue"/>
                  <w:tcBorders>
                    <w:tl2br w:val="nil"/>
                    <w:tr2bl w:val="nil"/>
                  </w:tcBorders>
                  <w:vAlign w:val="center"/>
                </w:tcPr>
                <w:p w14:paraId="23009AD1">
                  <w:pPr>
                    <w:adjustRightInd w:val="0"/>
                    <w:snapToGrid w:val="0"/>
                    <w:jc w:val="center"/>
                    <w:rPr>
                      <w:color w:val="000000" w:themeColor="text1"/>
                      <w:kern w:val="0"/>
                      <w:szCs w:val="21"/>
                      <w14:textFill>
                        <w14:solidFill>
                          <w14:schemeClr w14:val="tx1"/>
                        </w14:solidFill>
                      </w14:textFill>
                    </w:rPr>
                  </w:pPr>
                </w:p>
              </w:tc>
            </w:tr>
            <w:tr w14:paraId="5BC746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0" w:type="auto"/>
                  <w:vMerge w:val="restart"/>
                  <w:tcBorders>
                    <w:tl2br w:val="nil"/>
                    <w:tr2bl w:val="nil"/>
                  </w:tcBorders>
                  <w:vAlign w:val="center"/>
                </w:tcPr>
                <w:p w14:paraId="587B5FA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PM</w:t>
                  </w:r>
                  <w:r>
                    <w:rPr>
                      <w:color w:val="000000" w:themeColor="text1"/>
                      <w:kern w:val="0"/>
                      <w:szCs w:val="21"/>
                      <w:vertAlign w:val="subscript"/>
                      <w14:textFill>
                        <w14:solidFill>
                          <w14:schemeClr w14:val="tx1"/>
                        </w14:solidFill>
                      </w14:textFill>
                    </w:rPr>
                    <w:t>10</w:t>
                  </w:r>
                </w:p>
              </w:tc>
              <w:tc>
                <w:tcPr>
                  <w:tcW w:w="0" w:type="auto"/>
                  <w:tcBorders>
                    <w:tl2br w:val="nil"/>
                    <w:tr2bl w:val="nil"/>
                  </w:tcBorders>
                  <w:vAlign w:val="center"/>
                </w:tcPr>
                <w:p w14:paraId="1010D7B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年平均质量浓度</w:t>
                  </w:r>
                </w:p>
              </w:tc>
              <w:tc>
                <w:tcPr>
                  <w:tcW w:w="0" w:type="auto"/>
                  <w:tcBorders>
                    <w:tl2br w:val="nil"/>
                    <w:tr2bl w:val="nil"/>
                  </w:tcBorders>
                  <w:vAlign w:val="center"/>
                </w:tcPr>
                <w:p w14:paraId="712F753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52</w:t>
                  </w:r>
                </w:p>
              </w:tc>
              <w:tc>
                <w:tcPr>
                  <w:tcW w:w="1354" w:type="dxa"/>
                  <w:tcBorders>
                    <w:tl2br w:val="nil"/>
                    <w:tr2bl w:val="nil"/>
                  </w:tcBorders>
                  <w:vAlign w:val="center"/>
                </w:tcPr>
                <w:p w14:paraId="44B0CFF7">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70</w:t>
                  </w:r>
                </w:p>
              </w:tc>
              <w:tc>
                <w:tcPr>
                  <w:tcW w:w="1797" w:type="dxa"/>
                  <w:tcBorders>
                    <w:tl2br w:val="nil"/>
                    <w:tr2bl w:val="nil"/>
                  </w:tcBorders>
                  <w:vAlign w:val="center"/>
                </w:tcPr>
                <w:p w14:paraId="5ECD518F">
                  <w:pPr>
                    <w:snapToGrid w:val="0"/>
                    <w:jc w:val="center"/>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60</w:t>
                  </w:r>
                </w:p>
              </w:tc>
              <w:tc>
                <w:tcPr>
                  <w:tcW w:w="1103" w:type="dxa"/>
                  <w:tcBorders>
                    <w:tl2br w:val="nil"/>
                    <w:tr2bl w:val="nil"/>
                  </w:tcBorders>
                  <w:vAlign w:val="center"/>
                </w:tcPr>
                <w:p w14:paraId="6B13E75B">
                  <w:pPr>
                    <w:snapToGrid w:val="0"/>
                    <w:jc w:val="center"/>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50</w:t>
                  </w:r>
                </w:p>
              </w:tc>
              <w:tc>
                <w:tcPr>
                  <w:tcW w:w="0" w:type="auto"/>
                  <w:tcBorders>
                    <w:tl2br w:val="nil"/>
                    <w:tr2bl w:val="nil"/>
                  </w:tcBorders>
                  <w:vAlign w:val="center"/>
                </w:tcPr>
                <w:p w14:paraId="4E2722DA">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0" w:type="auto"/>
                  <w:vMerge w:val="restart"/>
                  <w:tcBorders>
                    <w:tl2br w:val="nil"/>
                    <w:tr2bl w:val="nil"/>
                  </w:tcBorders>
                  <w:vAlign w:val="center"/>
                </w:tcPr>
                <w:p w14:paraId="4E70E32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1ABDFC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0" w:type="auto"/>
                  <w:vMerge w:val="continue"/>
                  <w:tcBorders>
                    <w:tl2br w:val="nil"/>
                    <w:tr2bl w:val="nil"/>
                  </w:tcBorders>
                  <w:vAlign w:val="center"/>
                </w:tcPr>
                <w:p w14:paraId="06F50FEE">
                  <w:pPr>
                    <w:adjustRightInd w:val="0"/>
                    <w:snapToGrid w:val="0"/>
                    <w:jc w:val="center"/>
                    <w:rPr>
                      <w:color w:val="000000" w:themeColor="text1"/>
                      <w:kern w:val="0"/>
                      <w:szCs w:val="21"/>
                      <w14:textFill>
                        <w14:solidFill>
                          <w14:schemeClr w14:val="tx1"/>
                        </w14:solidFill>
                      </w14:textFill>
                    </w:rPr>
                  </w:pPr>
                </w:p>
              </w:tc>
              <w:tc>
                <w:tcPr>
                  <w:tcW w:w="0" w:type="auto"/>
                  <w:tcBorders>
                    <w:tl2br w:val="nil"/>
                    <w:tr2bl w:val="nil"/>
                  </w:tcBorders>
                  <w:vAlign w:val="center"/>
                </w:tcPr>
                <w:p w14:paraId="0270D9EF">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日平均浓度</w:t>
                  </w:r>
                </w:p>
              </w:tc>
              <w:tc>
                <w:tcPr>
                  <w:tcW w:w="0" w:type="auto"/>
                  <w:tcBorders>
                    <w:tl2br w:val="nil"/>
                    <w:tr2bl w:val="nil"/>
                  </w:tcBorders>
                  <w:vAlign w:val="center"/>
                </w:tcPr>
                <w:p w14:paraId="3E654957">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9-206</w:t>
                  </w:r>
                </w:p>
              </w:tc>
              <w:tc>
                <w:tcPr>
                  <w:tcW w:w="1354" w:type="dxa"/>
                  <w:tcBorders>
                    <w:tl2br w:val="nil"/>
                    <w:tr2bl w:val="nil"/>
                  </w:tcBorders>
                  <w:vAlign w:val="center"/>
                </w:tcPr>
                <w:p w14:paraId="4EBB6C31">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150</w:t>
                  </w:r>
                </w:p>
              </w:tc>
              <w:tc>
                <w:tcPr>
                  <w:tcW w:w="1797" w:type="dxa"/>
                  <w:tcBorders>
                    <w:tl2br w:val="nil"/>
                    <w:tr2bl w:val="nil"/>
                  </w:tcBorders>
                  <w:vAlign w:val="center"/>
                </w:tcPr>
                <w:p w14:paraId="23A17977">
                  <w:pPr>
                    <w:snapToGrid w:val="0"/>
                    <w:jc w:val="center"/>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120</w:t>
                  </w:r>
                </w:p>
              </w:tc>
              <w:tc>
                <w:tcPr>
                  <w:tcW w:w="1103" w:type="dxa"/>
                  <w:tcBorders>
                    <w:tl2br w:val="nil"/>
                    <w:tr2bl w:val="nil"/>
                  </w:tcBorders>
                  <w:vAlign w:val="center"/>
                </w:tcPr>
                <w:p w14:paraId="5B31E621">
                  <w:pPr>
                    <w:snapToGrid w:val="0"/>
                    <w:jc w:val="center"/>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100</w:t>
                  </w:r>
                </w:p>
              </w:tc>
              <w:tc>
                <w:tcPr>
                  <w:tcW w:w="0" w:type="auto"/>
                  <w:tcBorders>
                    <w:tl2br w:val="nil"/>
                    <w:tr2bl w:val="nil"/>
                  </w:tcBorders>
                  <w:vAlign w:val="center"/>
                </w:tcPr>
                <w:p w14:paraId="07327FA0">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98.3</w:t>
                  </w:r>
                </w:p>
              </w:tc>
              <w:tc>
                <w:tcPr>
                  <w:tcW w:w="0" w:type="auto"/>
                  <w:vMerge w:val="continue"/>
                  <w:tcBorders>
                    <w:tl2br w:val="nil"/>
                    <w:tr2bl w:val="nil"/>
                  </w:tcBorders>
                  <w:vAlign w:val="center"/>
                </w:tcPr>
                <w:p w14:paraId="3756DF36">
                  <w:pPr>
                    <w:adjustRightInd w:val="0"/>
                    <w:snapToGrid w:val="0"/>
                    <w:jc w:val="center"/>
                    <w:rPr>
                      <w:color w:val="000000" w:themeColor="text1"/>
                      <w:kern w:val="0"/>
                      <w:szCs w:val="21"/>
                      <w14:textFill>
                        <w14:solidFill>
                          <w14:schemeClr w14:val="tx1"/>
                        </w14:solidFill>
                      </w14:textFill>
                    </w:rPr>
                  </w:pPr>
                </w:p>
              </w:tc>
            </w:tr>
            <w:tr w14:paraId="35F2EF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0" w:type="auto"/>
                  <w:vMerge w:val="restart"/>
                  <w:tcBorders>
                    <w:tl2br w:val="nil"/>
                    <w:tr2bl w:val="nil"/>
                  </w:tcBorders>
                  <w:vAlign w:val="center"/>
                </w:tcPr>
                <w:p w14:paraId="0588B079">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SO</w:t>
                  </w:r>
                  <w:r>
                    <w:rPr>
                      <w:color w:val="000000" w:themeColor="text1"/>
                      <w:kern w:val="0"/>
                      <w:szCs w:val="21"/>
                      <w:vertAlign w:val="subscript"/>
                      <w14:textFill>
                        <w14:solidFill>
                          <w14:schemeClr w14:val="tx1"/>
                        </w14:solidFill>
                      </w14:textFill>
                    </w:rPr>
                    <w:t>2</w:t>
                  </w:r>
                </w:p>
              </w:tc>
              <w:tc>
                <w:tcPr>
                  <w:tcW w:w="0" w:type="auto"/>
                  <w:tcBorders>
                    <w:tl2br w:val="nil"/>
                    <w:tr2bl w:val="nil"/>
                  </w:tcBorders>
                  <w:vAlign w:val="center"/>
                </w:tcPr>
                <w:p w14:paraId="67E6B625">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年平均质量浓度</w:t>
                  </w:r>
                </w:p>
              </w:tc>
              <w:tc>
                <w:tcPr>
                  <w:tcW w:w="0" w:type="auto"/>
                  <w:tcBorders>
                    <w:tl2br w:val="nil"/>
                    <w:tr2bl w:val="nil"/>
                  </w:tcBorders>
                  <w:vAlign w:val="center"/>
                </w:tcPr>
                <w:p w14:paraId="18E69F6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w:t>
                  </w:r>
                </w:p>
              </w:tc>
              <w:tc>
                <w:tcPr>
                  <w:tcW w:w="1354" w:type="dxa"/>
                  <w:tcBorders>
                    <w:tl2br w:val="nil"/>
                    <w:tr2bl w:val="nil"/>
                  </w:tcBorders>
                  <w:vAlign w:val="center"/>
                </w:tcPr>
                <w:p w14:paraId="627D225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60</w:t>
                  </w:r>
                </w:p>
              </w:tc>
              <w:tc>
                <w:tcPr>
                  <w:tcW w:w="1797" w:type="dxa"/>
                  <w:tcBorders>
                    <w:tl2br w:val="nil"/>
                    <w:tr2bl w:val="nil"/>
                  </w:tcBorders>
                  <w:shd w:val="clear" w:color="auto" w:fill="auto"/>
                  <w:vAlign w:val="center"/>
                </w:tcPr>
                <w:p w14:paraId="4D0FB935">
                  <w:pPr>
                    <w:adjustRightInd w:val="0"/>
                    <w:snapToGrid w:val="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60</w:t>
                  </w:r>
                </w:p>
              </w:tc>
              <w:tc>
                <w:tcPr>
                  <w:tcW w:w="1103" w:type="dxa"/>
                  <w:tcBorders>
                    <w:tl2br w:val="nil"/>
                    <w:tr2bl w:val="nil"/>
                  </w:tcBorders>
                  <w:vAlign w:val="center"/>
                </w:tcPr>
                <w:p w14:paraId="5F8D1DDD">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w:t>
                  </w:r>
                </w:p>
              </w:tc>
              <w:tc>
                <w:tcPr>
                  <w:tcW w:w="0" w:type="auto"/>
                  <w:tcBorders>
                    <w:tl2br w:val="nil"/>
                    <w:tr2bl w:val="nil"/>
                  </w:tcBorders>
                  <w:vAlign w:val="center"/>
                </w:tcPr>
                <w:p w14:paraId="759AE567">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0" w:type="auto"/>
                  <w:vMerge w:val="restart"/>
                  <w:tcBorders>
                    <w:tl2br w:val="nil"/>
                    <w:tr2bl w:val="nil"/>
                  </w:tcBorders>
                  <w:vAlign w:val="center"/>
                </w:tcPr>
                <w:p w14:paraId="525F880B">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18052F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0" w:type="auto"/>
                  <w:vMerge w:val="continue"/>
                  <w:tcBorders>
                    <w:tl2br w:val="nil"/>
                    <w:tr2bl w:val="nil"/>
                  </w:tcBorders>
                  <w:vAlign w:val="center"/>
                </w:tcPr>
                <w:p w14:paraId="43EB4072">
                  <w:pPr>
                    <w:adjustRightInd w:val="0"/>
                    <w:snapToGrid w:val="0"/>
                    <w:jc w:val="center"/>
                    <w:rPr>
                      <w:color w:val="000000" w:themeColor="text1"/>
                      <w:kern w:val="0"/>
                      <w:szCs w:val="21"/>
                      <w14:textFill>
                        <w14:solidFill>
                          <w14:schemeClr w14:val="tx1"/>
                        </w14:solidFill>
                      </w14:textFill>
                    </w:rPr>
                  </w:pPr>
                </w:p>
              </w:tc>
              <w:tc>
                <w:tcPr>
                  <w:tcW w:w="0" w:type="auto"/>
                  <w:tcBorders>
                    <w:tl2br w:val="nil"/>
                    <w:tr2bl w:val="nil"/>
                  </w:tcBorders>
                  <w:vAlign w:val="center"/>
                </w:tcPr>
                <w:p w14:paraId="33143E17">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日平均浓度</w:t>
                  </w:r>
                </w:p>
              </w:tc>
              <w:tc>
                <w:tcPr>
                  <w:tcW w:w="0" w:type="auto"/>
                  <w:tcBorders>
                    <w:tl2br w:val="nil"/>
                    <w:tr2bl w:val="nil"/>
                  </w:tcBorders>
                  <w:vAlign w:val="center"/>
                </w:tcPr>
                <w:p w14:paraId="2A9EC8AE">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5-15</w:t>
                  </w:r>
                </w:p>
              </w:tc>
              <w:tc>
                <w:tcPr>
                  <w:tcW w:w="1354" w:type="dxa"/>
                  <w:tcBorders>
                    <w:tl2br w:val="nil"/>
                    <w:tr2bl w:val="nil"/>
                  </w:tcBorders>
                  <w:vAlign w:val="center"/>
                </w:tcPr>
                <w:p w14:paraId="28858A43">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150</w:t>
                  </w:r>
                </w:p>
              </w:tc>
              <w:tc>
                <w:tcPr>
                  <w:tcW w:w="1797" w:type="dxa"/>
                  <w:tcBorders>
                    <w:tl2br w:val="nil"/>
                    <w:tr2bl w:val="nil"/>
                  </w:tcBorders>
                  <w:shd w:val="clear" w:color="auto" w:fill="auto"/>
                  <w:vAlign w:val="center"/>
                </w:tcPr>
                <w:p w14:paraId="37464667">
                  <w:pPr>
                    <w:snapToGrid w:val="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150</w:t>
                  </w:r>
                </w:p>
              </w:tc>
              <w:tc>
                <w:tcPr>
                  <w:tcW w:w="1103" w:type="dxa"/>
                  <w:tcBorders>
                    <w:tl2br w:val="nil"/>
                    <w:tr2bl w:val="nil"/>
                  </w:tcBorders>
                  <w:vAlign w:val="center"/>
                </w:tcPr>
                <w:p w14:paraId="61CE1690">
                  <w:pPr>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50</w:t>
                  </w:r>
                </w:p>
              </w:tc>
              <w:tc>
                <w:tcPr>
                  <w:tcW w:w="0" w:type="auto"/>
                  <w:tcBorders>
                    <w:tl2br w:val="nil"/>
                    <w:tr2bl w:val="nil"/>
                  </w:tcBorders>
                  <w:vAlign w:val="center"/>
                </w:tcPr>
                <w:p w14:paraId="2615F805">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w:t>
                  </w:r>
                </w:p>
              </w:tc>
              <w:tc>
                <w:tcPr>
                  <w:tcW w:w="0" w:type="auto"/>
                  <w:vMerge w:val="continue"/>
                  <w:tcBorders>
                    <w:tl2br w:val="nil"/>
                    <w:tr2bl w:val="nil"/>
                  </w:tcBorders>
                  <w:vAlign w:val="center"/>
                </w:tcPr>
                <w:p w14:paraId="33D89CD4">
                  <w:pPr>
                    <w:adjustRightInd w:val="0"/>
                    <w:snapToGrid w:val="0"/>
                    <w:jc w:val="center"/>
                    <w:rPr>
                      <w:color w:val="000000" w:themeColor="text1"/>
                      <w:kern w:val="0"/>
                      <w:szCs w:val="21"/>
                      <w14:textFill>
                        <w14:solidFill>
                          <w14:schemeClr w14:val="tx1"/>
                        </w14:solidFill>
                      </w14:textFill>
                    </w:rPr>
                  </w:pPr>
                </w:p>
              </w:tc>
            </w:tr>
            <w:tr w14:paraId="05BEB3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0" w:type="auto"/>
                  <w:vMerge w:val="restart"/>
                  <w:tcBorders>
                    <w:tl2br w:val="nil"/>
                    <w:tr2bl w:val="nil"/>
                  </w:tcBorders>
                  <w:vAlign w:val="center"/>
                </w:tcPr>
                <w:p w14:paraId="1A02142E">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NO</w:t>
                  </w:r>
                  <w:r>
                    <w:rPr>
                      <w:color w:val="000000" w:themeColor="text1"/>
                      <w:kern w:val="0"/>
                      <w:szCs w:val="21"/>
                      <w:vertAlign w:val="subscript"/>
                      <w14:textFill>
                        <w14:solidFill>
                          <w14:schemeClr w14:val="tx1"/>
                        </w14:solidFill>
                      </w14:textFill>
                    </w:rPr>
                    <w:t>2</w:t>
                  </w:r>
                </w:p>
              </w:tc>
              <w:tc>
                <w:tcPr>
                  <w:tcW w:w="0" w:type="auto"/>
                  <w:tcBorders>
                    <w:tl2br w:val="nil"/>
                    <w:tr2bl w:val="nil"/>
                  </w:tcBorders>
                  <w:vAlign w:val="center"/>
                </w:tcPr>
                <w:p w14:paraId="5CCCDB8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年平均质量浓度</w:t>
                  </w:r>
                </w:p>
              </w:tc>
              <w:tc>
                <w:tcPr>
                  <w:tcW w:w="0" w:type="auto"/>
                  <w:tcBorders>
                    <w:tl2br w:val="nil"/>
                    <w:tr2bl w:val="nil"/>
                  </w:tcBorders>
                  <w:vAlign w:val="center"/>
                </w:tcPr>
                <w:p w14:paraId="3A0E1046">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26</w:t>
                  </w:r>
                </w:p>
              </w:tc>
              <w:tc>
                <w:tcPr>
                  <w:tcW w:w="1354" w:type="dxa"/>
                  <w:tcBorders>
                    <w:tl2br w:val="nil"/>
                    <w:tr2bl w:val="nil"/>
                  </w:tcBorders>
                  <w:vAlign w:val="center"/>
                </w:tcPr>
                <w:p w14:paraId="4893258C">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w:t>
                  </w:r>
                </w:p>
              </w:tc>
              <w:tc>
                <w:tcPr>
                  <w:tcW w:w="1797" w:type="dxa"/>
                  <w:tcBorders>
                    <w:tl2br w:val="nil"/>
                    <w:tr2bl w:val="nil"/>
                  </w:tcBorders>
                  <w:shd w:val="clear" w:color="auto" w:fill="auto"/>
                  <w:vAlign w:val="center"/>
                </w:tcPr>
                <w:p w14:paraId="239F3144">
                  <w:pPr>
                    <w:adjustRightInd w:val="0"/>
                    <w:snapToGrid w:val="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40</w:t>
                  </w:r>
                </w:p>
              </w:tc>
              <w:tc>
                <w:tcPr>
                  <w:tcW w:w="1103" w:type="dxa"/>
                  <w:tcBorders>
                    <w:tl2br w:val="nil"/>
                    <w:tr2bl w:val="nil"/>
                  </w:tcBorders>
                  <w:vAlign w:val="center"/>
                </w:tcPr>
                <w:p w14:paraId="2C80A4A9">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30</w:t>
                  </w:r>
                </w:p>
              </w:tc>
              <w:tc>
                <w:tcPr>
                  <w:tcW w:w="0" w:type="auto"/>
                  <w:tcBorders>
                    <w:tl2br w:val="nil"/>
                    <w:tr2bl w:val="nil"/>
                  </w:tcBorders>
                  <w:vAlign w:val="center"/>
                </w:tcPr>
                <w:p w14:paraId="501436B6">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0" w:type="auto"/>
                  <w:vMerge w:val="restart"/>
                  <w:tcBorders>
                    <w:tl2br w:val="nil"/>
                    <w:tr2bl w:val="nil"/>
                  </w:tcBorders>
                  <w:vAlign w:val="center"/>
                </w:tcPr>
                <w:p w14:paraId="3283CF9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7440BD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0" w:type="auto"/>
                  <w:vMerge w:val="continue"/>
                  <w:tcBorders>
                    <w:tl2br w:val="nil"/>
                    <w:tr2bl w:val="nil"/>
                  </w:tcBorders>
                  <w:vAlign w:val="center"/>
                </w:tcPr>
                <w:p w14:paraId="7FF0C78A">
                  <w:pPr>
                    <w:adjustRightInd w:val="0"/>
                    <w:snapToGrid w:val="0"/>
                    <w:jc w:val="center"/>
                    <w:rPr>
                      <w:color w:val="000000" w:themeColor="text1"/>
                      <w:kern w:val="0"/>
                      <w:szCs w:val="21"/>
                      <w14:textFill>
                        <w14:solidFill>
                          <w14:schemeClr w14:val="tx1"/>
                        </w14:solidFill>
                      </w14:textFill>
                    </w:rPr>
                  </w:pPr>
                </w:p>
              </w:tc>
              <w:tc>
                <w:tcPr>
                  <w:tcW w:w="0" w:type="auto"/>
                  <w:tcBorders>
                    <w:tl2br w:val="nil"/>
                    <w:tr2bl w:val="nil"/>
                  </w:tcBorders>
                  <w:vAlign w:val="center"/>
                </w:tcPr>
                <w:p w14:paraId="5323F909">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日平均浓度</w:t>
                  </w:r>
                </w:p>
              </w:tc>
              <w:tc>
                <w:tcPr>
                  <w:tcW w:w="0" w:type="auto"/>
                  <w:tcBorders>
                    <w:tl2br w:val="nil"/>
                    <w:tr2bl w:val="nil"/>
                  </w:tcBorders>
                  <w:vAlign w:val="center"/>
                </w:tcPr>
                <w:p w14:paraId="2615AA82">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5-92</w:t>
                  </w:r>
                </w:p>
              </w:tc>
              <w:tc>
                <w:tcPr>
                  <w:tcW w:w="1354" w:type="dxa"/>
                  <w:tcBorders>
                    <w:tl2br w:val="nil"/>
                    <w:tr2bl w:val="nil"/>
                  </w:tcBorders>
                  <w:vAlign w:val="center"/>
                </w:tcPr>
                <w:p w14:paraId="283B07B5">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80</w:t>
                  </w:r>
                </w:p>
              </w:tc>
              <w:tc>
                <w:tcPr>
                  <w:tcW w:w="1797" w:type="dxa"/>
                  <w:tcBorders>
                    <w:tl2br w:val="nil"/>
                    <w:tr2bl w:val="nil"/>
                  </w:tcBorders>
                  <w:shd w:val="clear" w:color="auto" w:fill="auto"/>
                  <w:vAlign w:val="center"/>
                </w:tcPr>
                <w:p w14:paraId="25004180">
                  <w:pPr>
                    <w:snapToGrid w:val="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80</w:t>
                  </w:r>
                </w:p>
              </w:tc>
              <w:tc>
                <w:tcPr>
                  <w:tcW w:w="1103" w:type="dxa"/>
                  <w:tcBorders>
                    <w:tl2br w:val="nil"/>
                    <w:tr2bl w:val="nil"/>
                  </w:tcBorders>
                  <w:vAlign w:val="center"/>
                </w:tcPr>
                <w:p w14:paraId="6DDF4E07">
                  <w:pPr>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50</w:t>
                  </w:r>
                </w:p>
              </w:tc>
              <w:tc>
                <w:tcPr>
                  <w:tcW w:w="0" w:type="auto"/>
                  <w:tcBorders>
                    <w:tl2br w:val="nil"/>
                    <w:tr2bl w:val="nil"/>
                  </w:tcBorders>
                  <w:vAlign w:val="center"/>
                </w:tcPr>
                <w:p w14:paraId="7BA3735B">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99.2</w:t>
                  </w:r>
                </w:p>
              </w:tc>
              <w:tc>
                <w:tcPr>
                  <w:tcW w:w="0" w:type="auto"/>
                  <w:vMerge w:val="continue"/>
                  <w:tcBorders>
                    <w:tl2br w:val="nil"/>
                    <w:tr2bl w:val="nil"/>
                  </w:tcBorders>
                  <w:vAlign w:val="center"/>
                </w:tcPr>
                <w:p w14:paraId="488D6AA3">
                  <w:pPr>
                    <w:adjustRightInd w:val="0"/>
                    <w:snapToGrid w:val="0"/>
                    <w:jc w:val="center"/>
                    <w:rPr>
                      <w:color w:val="000000" w:themeColor="text1"/>
                      <w:kern w:val="0"/>
                      <w:szCs w:val="21"/>
                      <w14:textFill>
                        <w14:solidFill>
                          <w14:schemeClr w14:val="tx1"/>
                        </w14:solidFill>
                      </w14:textFill>
                    </w:rPr>
                  </w:pPr>
                </w:p>
              </w:tc>
            </w:tr>
            <w:tr w14:paraId="002BFA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0" w:type="auto"/>
                  <w:vMerge w:val="restart"/>
                  <w:tcBorders>
                    <w:tl2br w:val="nil"/>
                    <w:tr2bl w:val="nil"/>
                  </w:tcBorders>
                  <w:vAlign w:val="center"/>
                </w:tcPr>
                <w:p w14:paraId="72AD83EE">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w:t>
                  </w:r>
                </w:p>
              </w:tc>
              <w:tc>
                <w:tcPr>
                  <w:tcW w:w="0" w:type="auto"/>
                  <w:tcBorders>
                    <w:tl2br w:val="nil"/>
                    <w:tr2bl w:val="nil"/>
                  </w:tcBorders>
                  <w:vAlign w:val="center"/>
                </w:tcPr>
                <w:p w14:paraId="05AB381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日均值的第95百分位数</w:t>
                  </w:r>
                </w:p>
              </w:tc>
              <w:tc>
                <w:tcPr>
                  <w:tcW w:w="0" w:type="auto"/>
                  <w:tcBorders>
                    <w:tl2br w:val="nil"/>
                    <w:tr2bl w:val="nil"/>
                  </w:tcBorders>
                  <w:vAlign w:val="center"/>
                </w:tcPr>
                <w:p w14:paraId="1492F91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1100</w:t>
                  </w:r>
                </w:p>
              </w:tc>
              <w:tc>
                <w:tcPr>
                  <w:tcW w:w="1354" w:type="dxa"/>
                  <w:tcBorders>
                    <w:tl2br w:val="nil"/>
                    <w:tr2bl w:val="nil"/>
                  </w:tcBorders>
                  <w:vAlign w:val="center"/>
                </w:tcPr>
                <w:p w14:paraId="65698B37">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4000</w:t>
                  </w:r>
                </w:p>
              </w:tc>
              <w:tc>
                <w:tcPr>
                  <w:tcW w:w="1797" w:type="dxa"/>
                  <w:tcBorders>
                    <w:tl2br w:val="nil"/>
                    <w:tr2bl w:val="nil"/>
                  </w:tcBorders>
                  <w:shd w:val="clear" w:color="auto" w:fill="auto"/>
                  <w:vAlign w:val="center"/>
                </w:tcPr>
                <w:p w14:paraId="24C77428">
                  <w:pPr>
                    <w:adjustRightInd w:val="0"/>
                    <w:snapToGrid w:val="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4000</w:t>
                  </w:r>
                </w:p>
              </w:tc>
              <w:tc>
                <w:tcPr>
                  <w:tcW w:w="1103" w:type="dxa"/>
                  <w:tcBorders>
                    <w:tl2br w:val="nil"/>
                    <w:tr2bl w:val="nil"/>
                  </w:tcBorders>
                  <w:vAlign w:val="center"/>
                </w:tcPr>
                <w:p w14:paraId="4EBBD30C">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4000</w:t>
                  </w:r>
                </w:p>
              </w:tc>
              <w:tc>
                <w:tcPr>
                  <w:tcW w:w="0" w:type="auto"/>
                  <w:tcBorders>
                    <w:tl2br w:val="nil"/>
                    <w:tr2bl w:val="nil"/>
                  </w:tcBorders>
                  <w:vAlign w:val="center"/>
                </w:tcPr>
                <w:p w14:paraId="1D0EA3DC">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0" w:type="auto"/>
                  <w:vMerge w:val="restart"/>
                  <w:tcBorders>
                    <w:tl2br w:val="nil"/>
                    <w:tr2bl w:val="nil"/>
                  </w:tcBorders>
                  <w:vAlign w:val="center"/>
                </w:tcPr>
                <w:p w14:paraId="55B0F175">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3A572A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0" w:type="auto"/>
                  <w:vMerge w:val="continue"/>
                  <w:tcBorders>
                    <w:tl2br w:val="nil"/>
                    <w:tr2bl w:val="nil"/>
                  </w:tcBorders>
                  <w:vAlign w:val="center"/>
                </w:tcPr>
                <w:p w14:paraId="323EC0FC">
                  <w:pPr>
                    <w:adjustRightInd w:val="0"/>
                    <w:snapToGrid w:val="0"/>
                    <w:jc w:val="center"/>
                    <w:rPr>
                      <w:color w:val="000000" w:themeColor="text1"/>
                      <w:kern w:val="0"/>
                      <w:szCs w:val="21"/>
                      <w14:textFill>
                        <w14:solidFill>
                          <w14:schemeClr w14:val="tx1"/>
                        </w14:solidFill>
                      </w14:textFill>
                    </w:rPr>
                  </w:pPr>
                </w:p>
              </w:tc>
              <w:tc>
                <w:tcPr>
                  <w:tcW w:w="0" w:type="auto"/>
                  <w:tcBorders>
                    <w:tl2br w:val="nil"/>
                    <w:tr2bl w:val="nil"/>
                  </w:tcBorders>
                  <w:vAlign w:val="center"/>
                </w:tcPr>
                <w:p w14:paraId="2C7E505A">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日平均质量浓度范围</w:t>
                  </w:r>
                </w:p>
              </w:tc>
              <w:tc>
                <w:tcPr>
                  <w:tcW w:w="0" w:type="auto"/>
                  <w:tcBorders>
                    <w:tl2br w:val="nil"/>
                    <w:tr2bl w:val="nil"/>
                  </w:tcBorders>
                  <w:vAlign w:val="center"/>
                </w:tcPr>
                <w:p w14:paraId="04DD558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400-1500</w:t>
                  </w:r>
                </w:p>
              </w:tc>
              <w:tc>
                <w:tcPr>
                  <w:tcW w:w="1354" w:type="dxa"/>
                  <w:tcBorders>
                    <w:tl2br w:val="nil"/>
                    <w:tr2bl w:val="nil"/>
                  </w:tcBorders>
                  <w:vAlign w:val="center"/>
                </w:tcPr>
                <w:p w14:paraId="3A26E4C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4000</w:t>
                  </w:r>
                </w:p>
              </w:tc>
              <w:tc>
                <w:tcPr>
                  <w:tcW w:w="1797" w:type="dxa"/>
                  <w:tcBorders>
                    <w:tl2br w:val="nil"/>
                    <w:tr2bl w:val="nil"/>
                  </w:tcBorders>
                  <w:shd w:val="clear" w:color="auto" w:fill="auto"/>
                  <w:vAlign w:val="center"/>
                </w:tcPr>
                <w:p w14:paraId="14CEFAC6">
                  <w:pPr>
                    <w:adjustRightInd w:val="0"/>
                    <w:snapToGrid w:val="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4000</w:t>
                  </w:r>
                </w:p>
              </w:tc>
              <w:tc>
                <w:tcPr>
                  <w:tcW w:w="1103" w:type="dxa"/>
                  <w:tcBorders>
                    <w:tl2br w:val="nil"/>
                    <w:tr2bl w:val="nil"/>
                  </w:tcBorders>
                  <w:vAlign w:val="center"/>
                </w:tcPr>
                <w:p w14:paraId="157FC6F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4000</w:t>
                  </w:r>
                </w:p>
              </w:tc>
              <w:tc>
                <w:tcPr>
                  <w:tcW w:w="0" w:type="auto"/>
                  <w:tcBorders>
                    <w:tl2br w:val="nil"/>
                    <w:tr2bl w:val="nil"/>
                  </w:tcBorders>
                  <w:vAlign w:val="center"/>
                </w:tcPr>
                <w:p w14:paraId="01244E44">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100</w:t>
                  </w:r>
                </w:p>
              </w:tc>
              <w:tc>
                <w:tcPr>
                  <w:tcW w:w="0" w:type="auto"/>
                  <w:vMerge w:val="continue"/>
                  <w:tcBorders>
                    <w:tl2br w:val="nil"/>
                    <w:tr2bl w:val="nil"/>
                  </w:tcBorders>
                  <w:vAlign w:val="center"/>
                </w:tcPr>
                <w:p w14:paraId="68DB263F">
                  <w:pPr>
                    <w:adjustRightInd w:val="0"/>
                    <w:snapToGrid w:val="0"/>
                    <w:jc w:val="center"/>
                    <w:rPr>
                      <w:color w:val="000000" w:themeColor="text1"/>
                      <w:kern w:val="0"/>
                      <w:szCs w:val="21"/>
                      <w14:textFill>
                        <w14:solidFill>
                          <w14:schemeClr w14:val="tx1"/>
                        </w14:solidFill>
                      </w14:textFill>
                    </w:rPr>
                  </w:pPr>
                </w:p>
              </w:tc>
            </w:tr>
            <w:tr w14:paraId="63DF3C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0" w:type="auto"/>
                  <w:vMerge w:val="restart"/>
                  <w:tcBorders>
                    <w:tl2br w:val="nil"/>
                    <w:tr2bl w:val="nil"/>
                  </w:tcBorders>
                  <w:vAlign w:val="center"/>
                </w:tcPr>
                <w:p w14:paraId="3D11358A">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3</w:t>
                  </w:r>
                </w:p>
              </w:tc>
              <w:tc>
                <w:tcPr>
                  <w:tcW w:w="0" w:type="auto"/>
                  <w:tcBorders>
                    <w:tl2br w:val="nil"/>
                    <w:tr2bl w:val="nil"/>
                  </w:tcBorders>
                  <w:vAlign w:val="center"/>
                </w:tcPr>
                <w:p w14:paraId="583FC4C6">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日最大8小时滑动平均值的第90百分位数</w:t>
                  </w:r>
                </w:p>
              </w:tc>
              <w:tc>
                <w:tcPr>
                  <w:tcW w:w="0" w:type="auto"/>
                  <w:tcBorders>
                    <w:tl2br w:val="nil"/>
                    <w:tr2bl w:val="nil"/>
                  </w:tcBorders>
                  <w:vAlign w:val="center"/>
                </w:tcPr>
                <w:p w14:paraId="216CD16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168</w:t>
                  </w:r>
                </w:p>
              </w:tc>
              <w:tc>
                <w:tcPr>
                  <w:tcW w:w="1354" w:type="dxa"/>
                  <w:tcBorders>
                    <w:tl2br w:val="nil"/>
                    <w:tr2bl w:val="nil"/>
                  </w:tcBorders>
                  <w:vAlign w:val="center"/>
                </w:tcPr>
                <w:p w14:paraId="66A9038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160</w:t>
                  </w:r>
                </w:p>
              </w:tc>
              <w:tc>
                <w:tcPr>
                  <w:tcW w:w="1797" w:type="dxa"/>
                  <w:tcBorders>
                    <w:tl2br w:val="nil"/>
                    <w:tr2bl w:val="nil"/>
                  </w:tcBorders>
                  <w:shd w:val="clear" w:color="auto" w:fill="auto"/>
                  <w:vAlign w:val="center"/>
                </w:tcPr>
                <w:p w14:paraId="7316D17C">
                  <w:pPr>
                    <w:adjustRightInd w:val="0"/>
                    <w:snapToGrid w:val="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160</w:t>
                  </w:r>
                </w:p>
              </w:tc>
              <w:tc>
                <w:tcPr>
                  <w:tcW w:w="1103" w:type="dxa"/>
                  <w:tcBorders>
                    <w:tl2br w:val="nil"/>
                    <w:tr2bl w:val="nil"/>
                  </w:tcBorders>
                  <w:vAlign w:val="center"/>
                </w:tcPr>
                <w:p w14:paraId="0E5EE69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160</w:t>
                  </w:r>
                </w:p>
              </w:tc>
              <w:tc>
                <w:tcPr>
                  <w:tcW w:w="0" w:type="auto"/>
                  <w:tcBorders>
                    <w:tl2br w:val="nil"/>
                    <w:tr2bl w:val="nil"/>
                  </w:tcBorders>
                  <w:vAlign w:val="center"/>
                </w:tcPr>
                <w:p w14:paraId="7CF8251B">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0" w:type="auto"/>
                  <w:vMerge w:val="restart"/>
                  <w:tcBorders>
                    <w:tl2br w:val="nil"/>
                    <w:tr2bl w:val="nil"/>
                  </w:tcBorders>
                  <w:vAlign w:val="center"/>
                </w:tcPr>
                <w:p w14:paraId="56B4745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不达标</w:t>
                  </w:r>
                </w:p>
              </w:tc>
            </w:tr>
            <w:tr w14:paraId="4150E1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0" w:type="auto"/>
                  <w:vMerge w:val="continue"/>
                  <w:tcBorders>
                    <w:tl2br w:val="nil"/>
                    <w:tr2bl w:val="nil"/>
                  </w:tcBorders>
                  <w:vAlign w:val="center"/>
                </w:tcPr>
                <w:p w14:paraId="062DCFC9">
                  <w:pPr>
                    <w:adjustRightInd w:val="0"/>
                    <w:snapToGrid w:val="0"/>
                    <w:jc w:val="center"/>
                    <w:rPr>
                      <w:color w:val="000000" w:themeColor="text1"/>
                      <w:kern w:val="0"/>
                      <w:szCs w:val="21"/>
                      <w14:textFill>
                        <w14:solidFill>
                          <w14:schemeClr w14:val="tx1"/>
                        </w14:solidFill>
                      </w14:textFill>
                    </w:rPr>
                  </w:pPr>
                </w:p>
              </w:tc>
              <w:tc>
                <w:tcPr>
                  <w:tcW w:w="0" w:type="auto"/>
                  <w:tcBorders>
                    <w:tl2br w:val="nil"/>
                    <w:tr2bl w:val="nil"/>
                  </w:tcBorders>
                  <w:vAlign w:val="center"/>
                </w:tcPr>
                <w:p w14:paraId="2689170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日平均质量浓度范围</w:t>
                  </w:r>
                </w:p>
              </w:tc>
              <w:tc>
                <w:tcPr>
                  <w:tcW w:w="0" w:type="auto"/>
                  <w:tcBorders>
                    <w:tl2br w:val="nil"/>
                    <w:tr2bl w:val="nil"/>
                  </w:tcBorders>
                  <w:vAlign w:val="center"/>
                </w:tcPr>
                <w:p w14:paraId="74454C8B">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17-253</w:t>
                  </w:r>
                </w:p>
              </w:tc>
              <w:tc>
                <w:tcPr>
                  <w:tcW w:w="1354" w:type="dxa"/>
                  <w:tcBorders>
                    <w:tl2br w:val="nil"/>
                    <w:tr2bl w:val="nil"/>
                  </w:tcBorders>
                  <w:vAlign w:val="center"/>
                </w:tcPr>
                <w:p w14:paraId="21966B0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160</w:t>
                  </w:r>
                </w:p>
              </w:tc>
              <w:tc>
                <w:tcPr>
                  <w:tcW w:w="1797" w:type="dxa"/>
                  <w:tcBorders>
                    <w:tl2br w:val="nil"/>
                    <w:tr2bl w:val="nil"/>
                  </w:tcBorders>
                  <w:shd w:val="clear" w:color="auto" w:fill="auto"/>
                  <w:vAlign w:val="center"/>
                </w:tcPr>
                <w:p w14:paraId="3F79BE5A">
                  <w:pPr>
                    <w:adjustRightInd w:val="0"/>
                    <w:snapToGrid w:val="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160</w:t>
                  </w:r>
                </w:p>
              </w:tc>
              <w:tc>
                <w:tcPr>
                  <w:tcW w:w="1103" w:type="dxa"/>
                  <w:tcBorders>
                    <w:tl2br w:val="nil"/>
                    <w:tr2bl w:val="nil"/>
                  </w:tcBorders>
                  <w:vAlign w:val="center"/>
                </w:tcPr>
                <w:p w14:paraId="675DA67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160</w:t>
                  </w:r>
                </w:p>
              </w:tc>
              <w:tc>
                <w:tcPr>
                  <w:tcW w:w="0" w:type="auto"/>
                  <w:tcBorders>
                    <w:tl2br w:val="nil"/>
                    <w:tr2bl w:val="nil"/>
                  </w:tcBorders>
                  <w:vAlign w:val="center"/>
                </w:tcPr>
                <w:p w14:paraId="2293DE9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86.3</w:t>
                  </w:r>
                </w:p>
              </w:tc>
              <w:tc>
                <w:tcPr>
                  <w:tcW w:w="0" w:type="auto"/>
                  <w:vMerge w:val="continue"/>
                  <w:tcBorders>
                    <w:tl2br w:val="nil"/>
                    <w:tr2bl w:val="nil"/>
                  </w:tcBorders>
                  <w:vAlign w:val="center"/>
                </w:tcPr>
                <w:p w14:paraId="1DCFA099">
                  <w:pPr>
                    <w:adjustRightInd w:val="0"/>
                    <w:snapToGrid w:val="0"/>
                    <w:jc w:val="center"/>
                    <w:rPr>
                      <w:color w:val="000000" w:themeColor="text1"/>
                      <w:kern w:val="0"/>
                      <w:szCs w:val="21"/>
                      <w14:textFill>
                        <w14:solidFill>
                          <w14:schemeClr w14:val="tx1"/>
                        </w14:solidFill>
                      </w14:textFill>
                    </w:rPr>
                  </w:pPr>
                </w:p>
              </w:tc>
            </w:tr>
          </w:tbl>
          <w:p w14:paraId="56EAB5FE">
            <w:pPr>
              <w:ind w:firstLine="422" w:firstLineChars="200"/>
              <w:rPr>
                <w:rFonts w:hint="default" w:eastAsia="宋体"/>
                <w:color w:val="000000" w:themeColor="text1"/>
                <w:szCs w:val="21"/>
                <w:lang w:val="en-US" w:eastAsia="zh-CN"/>
                <w14:textFill>
                  <w14:solidFill>
                    <w14:schemeClr w14:val="tx1"/>
                  </w14:solidFill>
                </w14:textFill>
              </w:rPr>
            </w:pPr>
            <w:r>
              <w:rPr>
                <w:b/>
                <w:bCs/>
                <w:color w:val="000000" w:themeColor="text1"/>
                <w:szCs w:val="21"/>
                <w14:textFill>
                  <w14:solidFill>
                    <w14:schemeClr w14:val="tx1"/>
                  </w14:solidFill>
                </w14:textFill>
              </w:rPr>
              <w:t>注：</w:t>
            </w:r>
            <w:r>
              <w:rPr>
                <w:color w:val="000000" w:themeColor="text1"/>
                <w:szCs w:val="21"/>
                <w14:textFill>
                  <w14:solidFill>
                    <w14:schemeClr w14:val="tx1"/>
                  </w14:solidFill>
                </w14:textFill>
              </w:rPr>
              <w:t>①NO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日平均第98百分位数达标；②PM</w:t>
            </w:r>
            <w:r>
              <w:rPr>
                <w:color w:val="000000" w:themeColor="text1"/>
                <w:szCs w:val="21"/>
                <w:vertAlign w:val="subscript"/>
                <w14:textFill>
                  <w14:solidFill>
                    <w14:schemeClr w14:val="tx1"/>
                  </w14:solidFill>
                </w14:textFill>
              </w:rPr>
              <w:t>10</w:t>
            </w:r>
            <w:r>
              <w:rPr>
                <w:color w:val="000000" w:themeColor="text1"/>
                <w:szCs w:val="21"/>
                <w14:textFill>
                  <w14:solidFill>
                    <w14:schemeClr w14:val="tx1"/>
                  </w14:solidFill>
                </w14:textFill>
              </w:rPr>
              <w:t>日平均第95百分位数达标；③PM</w:t>
            </w:r>
            <w:r>
              <w:rPr>
                <w:color w:val="000000" w:themeColor="text1"/>
                <w:szCs w:val="21"/>
                <w:vertAlign w:val="subscript"/>
                <w14:textFill>
                  <w14:solidFill>
                    <w14:schemeClr w14:val="tx1"/>
                  </w14:solidFill>
                </w14:textFill>
              </w:rPr>
              <w:t>2.5</w:t>
            </w:r>
            <w:r>
              <w:rPr>
                <w:color w:val="000000" w:themeColor="text1"/>
                <w:szCs w:val="21"/>
                <w14:textFill>
                  <w14:solidFill>
                    <w14:schemeClr w14:val="tx1"/>
                  </w14:solidFill>
                </w14:textFill>
              </w:rPr>
              <w:t>日平均第95百分位数超标</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④达标率参照标准为《环境空气质量标准》(GB 3095-2012)。GB 3095-2026中过渡阶段指2026年3月1日起至2030年12月31日，2031年1月1日起，实施基本项目浓度限值。</w:t>
            </w:r>
          </w:p>
          <w:p w14:paraId="0554B934">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2024</w:t>
            </w:r>
            <w:r>
              <w:rPr>
                <w:color w:val="000000" w:themeColor="text1"/>
                <w:sz w:val="24"/>
                <w14:textFill>
                  <w14:solidFill>
                    <w14:schemeClr w14:val="tx1"/>
                  </w14:solidFill>
                </w14:textFill>
              </w:rPr>
              <w:t>年常州市环境空气中SO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、PM</w:t>
            </w:r>
            <w:r>
              <w:rPr>
                <w:color w:val="000000" w:themeColor="text1"/>
                <w:sz w:val="24"/>
                <w:vertAlign w:val="subscript"/>
                <w14:textFill>
                  <w14:solidFill>
                    <w14:schemeClr w14:val="tx1"/>
                  </w14:solidFill>
                </w14:textFill>
              </w:rPr>
              <w:t>10</w:t>
            </w:r>
            <w:r>
              <w:rPr>
                <w:rFonts w:hint="eastAsia"/>
                <w:color w:val="000000" w:themeColor="text1"/>
                <w:sz w:val="24"/>
                <w14:textFill>
                  <w14:solidFill>
                    <w14:schemeClr w14:val="tx1"/>
                  </w14:solidFill>
                </w14:textFill>
              </w:rPr>
              <w:t>、PM</w:t>
            </w:r>
            <w:r>
              <w:rPr>
                <w:rFonts w:hint="eastAsia"/>
                <w:color w:val="000000" w:themeColor="text1"/>
                <w:sz w:val="24"/>
                <w:vertAlign w:val="subscript"/>
                <w14:textFill>
                  <w14:solidFill>
                    <w14:schemeClr w14:val="tx1"/>
                  </w14:solidFill>
                </w14:textFill>
              </w:rPr>
              <w:t>2.5</w:t>
            </w:r>
            <w:r>
              <w:rPr>
                <w:rFonts w:hint="eastAsia"/>
                <w:color w:val="000000" w:themeColor="text1"/>
                <w:sz w:val="24"/>
                <w14:textFill>
                  <w14:solidFill>
                    <w14:schemeClr w14:val="tx1"/>
                  </w14:solidFill>
                </w14:textFill>
              </w:rPr>
              <w:t>年平均值及</w:t>
            </w: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日平均值均</w:t>
            </w:r>
            <w:r>
              <w:rPr>
                <w:color w:val="000000" w:themeColor="text1"/>
                <w:sz w:val="24"/>
                <w14:textFill>
                  <w14:solidFill>
                    <w14:schemeClr w14:val="tx1"/>
                  </w14:solidFill>
                </w14:textFill>
              </w:rPr>
              <w:t>满足《环境空气质量标准》（GB3095-20</w:t>
            </w:r>
            <w:r>
              <w:rPr>
                <w:rFonts w:hint="eastAsia"/>
                <w:color w:val="000000" w:themeColor="text1"/>
                <w:sz w:val="24"/>
                <w:lang w:val="en-US" w:eastAsia="zh-CN"/>
                <w14:textFill>
                  <w14:solidFill>
                    <w14:schemeClr w14:val="tx1"/>
                  </w14:solidFill>
                </w14:textFill>
              </w:rPr>
              <w:t>12</w:t>
            </w:r>
            <w:r>
              <w:rPr>
                <w:color w:val="000000" w:themeColor="text1"/>
                <w:sz w:val="24"/>
                <w14:textFill>
                  <w14:solidFill>
                    <w14:schemeClr w14:val="tx1"/>
                  </w14:solidFill>
                </w14:textFill>
              </w:rPr>
              <w:t>）中二级标准，NO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、PM</w:t>
            </w:r>
            <w:r>
              <w:rPr>
                <w:color w:val="000000" w:themeColor="text1"/>
                <w:sz w:val="24"/>
                <w:vertAlign w:val="subscript"/>
                <w14:textFill>
                  <w14:solidFill>
                    <w14:schemeClr w14:val="tx1"/>
                  </w14:solidFill>
                </w14:textFill>
              </w:rPr>
              <w:t>10</w:t>
            </w:r>
            <w:r>
              <w:rPr>
                <w:rFonts w:hint="eastAsia"/>
                <w:color w:val="000000" w:themeColor="text1"/>
                <w:sz w:val="24"/>
                <w14:textFill>
                  <w14:solidFill>
                    <w14:schemeClr w14:val="tx1"/>
                  </w14:solidFill>
                </w14:textFill>
              </w:rPr>
              <w:t>日平均值浓度达标率满足评价要求；</w:t>
            </w:r>
            <w:r>
              <w:rPr>
                <w:color w:val="000000" w:themeColor="text1"/>
                <w:sz w:val="24"/>
                <w14:textFill>
                  <w14:solidFill>
                    <w14:schemeClr w14:val="tx1"/>
                  </w14:solidFill>
                </w14:textFill>
              </w:rPr>
              <w:t>CO的日均值的第95百分位数</w:t>
            </w:r>
            <w:r>
              <w:rPr>
                <w:rFonts w:hint="eastAsia"/>
                <w:color w:val="000000" w:themeColor="text1"/>
                <w:sz w:val="24"/>
                <w14:textFill>
                  <w14:solidFill>
                    <w14:schemeClr w14:val="tx1"/>
                  </w14:solidFill>
                </w14:textFill>
              </w:rPr>
              <w:t>及日平均值浓度范围满足</w:t>
            </w:r>
            <w:r>
              <w:rPr>
                <w:color w:val="000000" w:themeColor="text1"/>
                <w:sz w:val="24"/>
                <w14:textFill>
                  <w14:solidFill>
                    <w14:schemeClr w14:val="tx1"/>
                  </w14:solidFill>
                </w14:textFill>
              </w:rPr>
              <w:t>《环境空气质量标准》（GB3095-2012）中二级标准</w:t>
            </w:r>
            <w:r>
              <w:rPr>
                <w:rFonts w:hint="eastAsia"/>
                <w:color w:val="000000" w:themeColor="text1"/>
                <w:sz w:val="24"/>
                <w14:textFill>
                  <w14:solidFill>
                    <w14:schemeClr w14:val="tx1"/>
                  </w14:solidFill>
                </w14:textFill>
              </w:rPr>
              <w:t>，PM</w:t>
            </w:r>
            <w:r>
              <w:rPr>
                <w:rFonts w:hint="eastAsia"/>
                <w:color w:val="000000" w:themeColor="text1"/>
                <w:sz w:val="24"/>
                <w:vertAlign w:val="subscript"/>
                <w14:textFill>
                  <w14:solidFill>
                    <w14:schemeClr w14:val="tx1"/>
                  </w14:solidFill>
                </w14:textFill>
              </w:rPr>
              <w:t>2.5</w:t>
            </w:r>
            <w:r>
              <w:rPr>
                <w:rFonts w:hint="eastAsia"/>
                <w:color w:val="000000" w:themeColor="text1"/>
                <w:sz w:val="24"/>
                <w14:textFill>
                  <w14:solidFill>
                    <w14:schemeClr w14:val="tx1"/>
                  </w14:solidFill>
                </w14:textFill>
              </w:rPr>
              <w:t>日均值、</w:t>
            </w:r>
            <w:r>
              <w:rPr>
                <w:color w:val="000000" w:themeColor="text1"/>
                <w:sz w:val="24"/>
                <w14:textFill>
                  <w14:solidFill>
                    <w14:schemeClr w14:val="tx1"/>
                  </w14:solidFill>
                </w14:textFill>
              </w:rPr>
              <w:t>O</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日最大8小时滑动平均值的第90百分位数</w:t>
            </w:r>
            <w:r>
              <w:rPr>
                <w:rFonts w:hint="eastAsia"/>
                <w:color w:val="000000" w:themeColor="text1"/>
                <w:sz w:val="24"/>
                <w14:textFill>
                  <w14:solidFill>
                    <w14:schemeClr w14:val="tx1"/>
                  </w14:solidFill>
                </w14:textFill>
              </w:rPr>
              <w:t>及日平均值浓度范围</w:t>
            </w:r>
            <w:r>
              <w:rPr>
                <w:color w:val="000000" w:themeColor="text1"/>
                <w:sz w:val="24"/>
                <w14:textFill>
                  <w14:solidFill>
                    <w14:schemeClr w14:val="tx1"/>
                  </w14:solidFill>
                </w14:textFill>
              </w:rPr>
              <w:t>超过《环境空气质量标准》（GB3095-2012）中二级标准，因此判定为非达标区域。</w:t>
            </w:r>
          </w:p>
          <w:p w14:paraId="1E51B0E5">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（2）其他污染物环境质量现状评价</w:t>
            </w:r>
          </w:p>
          <w:p w14:paraId="3EFC1317">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①监测/引用点位</w:t>
            </w:r>
          </w:p>
          <w:p w14:paraId="67752149">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本项目所在区域环境空气为二类功能区，执行《环境空气质量标准》（GB3095-20</w:t>
            </w:r>
            <w:r>
              <w:rPr>
                <w:rFonts w:hint="eastAsia"/>
                <w:color w:val="000000" w:themeColor="text1"/>
                <w:sz w:val="24"/>
                <w:lang w:val="en-US" w:eastAsia="zh-CN"/>
                <w14:textFill>
                  <w14:solidFill>
                    <w14:schemeClr w14:val="tx1"/>
                  </w14:solidFill>
                </w14:textFill>
              </w:rPr>
              <w:t>26</w:t>
            </w:r>
            <w:r>
              <w:rPr>
                <w:color w:val="000000" w:themeColor="text1"/>
                <w:sz w:val="24"/>
                <w14:textFill>
                  <w14:solidFill>
                    <w14:schemeClr w14:val="tx1"/>
                  </w14:solidFill>
                </w14:textFill>
              </w:rPr>
              <w:t>）中</w:t>
            </w:r>
            <w:r>
              <w:rPr>
                <w:rFonts w:hint="eastAsia"/>
                <w:color w:val="000000" w:themeColor="text1"/>
                <w:sz w:val="24"/>
                <w:lang w:val="en-US" w:eastAsia="zh-CN"/>
                <w14:textFill>
                  <w14:solidFill>
                    <w14:schemeClr w14:val="tx1"/>
                  </w14:solidFill>
                </w14:textFill>
              </w:rPr>
              <w:t>的过渡阶段浓度限值</w:t>
            </w:r>
            <w:r>
              <w:rPr>
                <w:color w:val="000000" w:themeColor="text1"/>
                <w:sz w:val="24"/>
                <w14:textFill>
                  <w14:solidFill>
                    <w14:schemeClr w14:val="tx1"/>
                  </w14:solidFill>
                </w14:textFill>
              </w:rPr>
              <w:t>二级标准要求。</w:t>
            </w:r>
          </w:p>
          <w:p w14:paraId="138AD5BF">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本次环境空气质量现状布设1个引用点位，O1点位于常州市丹金船闸管理所东侧，引用特斯特(江苏)检测科技有限公司2024年11月11日~17日的历史监测数据，报告编号为：TST202501060。</w:t>
            </w:r>
          </w:p>
          <w:p w14:paraId="5036CD43">
            <w:pPr>
              <w:adjustRightInd w:val="0"/>
              <w:snapToGrid w:val="0"/>
              <w:spacing w:line="480" w:lineRule="exact"/>
              <w:ind w:firstLine="480" w:firstLineChars="200"/>
              <w:jc w:val="left"/>
              <w:rPr>
                <w:b/>
                <w:color w:val="000000" w:themeColor="text1"/>
                <w:szCs w:val="21"/>
                <w14:textFill>
                  <w14:solidFill>
                    <w14:schemeClr w14:val="tx1"/>
                  </w14:solidFill>
                </w14:textFill>
              </w:rPr>
            </w:pPr>
            <w:r>
              <w:rPr>
                <w:color w:val="000000" w:themeColor="text1"/>
                <w:kern w:val="0"/>
                <w:sz w:val="24"/>
                <w14:textFill>
                  <w14:solidFill>
                    <w14:schemeClr w14:val="tx1"/>
                  </w14:solidFill>
                </w14:textFill>
              </w:rPr>
              <w:t xml:space="preserve">其他污染物补充监测点位基本信息见表3-2，其他污染物环境质量现状（监测结果）见表3-3。 </w:t>
            </w:r>
          </w:p>
          <w:p w14:paraId="616D6B1D">
            <w:pPr>
              <w:spacing w:line="3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表3-2  其他污染物补充</w:t>
            </w:r>
            <w:r>
              <w:rPr>
                <w:b/>
                <w:bCs/>
                <w:color w:val="000000" w:themeColor="text1"/>
                <w:szCs w:val="21"/>
                <w14:textFill>
                  <w14:solidFill>
                    <w14:schemeClr w14:val="tx1"/>
                  </w14:solidFill>
                </w14:textFill>
              </w:rPr>
              <w:t>引用</w:t>
            </w:r>
            <w:r>
              <w:rPr>
                <w:b/>
                <w:color w:val="000000" w:themeColor="text1"/>
                <w:szCs w:val="21"/>
                <w14:textFill>
                  <w14:solidFill>
                    <w14:schemeClr w14:val="tx1"/>
                  </w14:solidFill>
                </w14:textFill>
              </w:rPr>
              <w:t>点位基本信息</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1316"/>
              <w:gridCol w:w="1279"/>
              <w:gridCol w:w="1141"/>
              <w:gridCol w:w="1676"/>
              <w:gridCol w:w="1011"/>
              <w:gridCol w:w="1203"/>
            </w:tblGrid>
            <w:tr w14:paraId="160DA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94" w:type="pct"/>
                  <w:vMerge w:val="restart"/>
                  <w:tcBorders>
                    <w:tl2br w:val="nil"/>
                    <w:tr2bl w:val="nil"/>
                  </w:tcBorders>
                  <w:vAlign w:val="center"/>
                </w:tcPr>
                <w:p w14:paraId="3DB32754">
                  <w:pPr>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引用点名称</w:t>
                  </w:r>
                </w:p>
              </w:tc>
              <w:tc>
                <w:tcPr>
                  <w:tcW w:w="1396" w:type="pct"/>
                  <w:gridSpan w:val="2"/>
                  <w:tcBorders>
                    <w:tl2br w:val="nil"/>
                    <w:tr2bl w:val="nil"/>
                  </w:tcBorders>
                  <w:vAlign w:val="center"/>
                </w:tcPr>
                <w:p w14:paraId="1CF89BA8">
                  <w:pPr>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引用点坐标/°</w:t>
                  </w:r>
                </w:p>
              </w:tc>
              <w:tc>
                <w:tcPr>
                  <w:tcW w:w="614" w:type="pct"/>
                  <w:vMerge w:val="restart"/>
                  <w:tcBorders>
                    <w:tl2br w:val="nil"/>
                    <w:tr2bl w:val="nil"/>
                  </w:tcBorders>
                  <w:vAlign w:val="center"/>
                </w:tcPr>
                <w:p w14:paraId="08784338">
                  <w:pPr>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引用项目</w:t>
                  </w:r>
                </w:p>
              </w:tc>
              <w:tc>
                <w:tcPr>
                  <w:tcW w:w="902" w:type="pct"/>
                  <w:vMerge w:val="restart"/>
                  <w:tcBorders>
                    <w:tl2br w:val="nil"/>
                    <w:tr2bl w:val="nil"/>
                  </w:tcBorders>
                  <w:vAlign w:val="center"/>
                </w:tcPr>
                <w:p w14:paraId="08B75DE4">
                  <w:pPr>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引用时段</w:t>
                  </w:r>
                </w:p>
              </w:tc>
              <w:tc>
                <w:tcPr>
                  <w:tcW w:w="544" w:type="pct"/>
                  <w:vMerge w:val="restart"/>
                  <w:tcBorders>
                    <w:tl2br w:val="nil"/>
                    <w:tr2bl w:val="nil"/>
                  </w:tcBorders>
                  <w:vAlign w:val="center"/>
                </w:tcPr>
                <w:p w14:paraId="7D999D2F">
                  <w:pPr>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相对厂址方位</w:t>
                  </w:r>
                </w:p>
              </w:tc>
              <w:tc>
                <w:tcPr>
                  <w:tcW w:w="647" w:type="pct"/>
                  <w:vMerge w:val="restart"/>
                  <w:tcBorders>
                    <w:tl2br w:val="nil"/>
                    <w:tr2bl w:val="nil"/>
                  </w:tcBorders>
                  <w:vAlign w:val="center"/>
                </w:tcPr>
                <w:p w14:paraId="09301E78">
                  <w:pPr>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相对厂界距离/m</w:t>
                  </w:r>
                </w:p>
              </w:tc>
            </w:tr>
            <w:tr w14:paraId="1B9DB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894" w:type="pct"/>
                  <w:vMerge w:val="continue"/>
                  <w:tcBorders>
                    <w:tl2br w:val="nil"/>
                    <w:tr2bl w:val="nil"/>
                  </w:tcBorders>
                  <w:vAlign w:val="center"/>
                </w:tcPr>
                <w:p w14:paraId="24F1049F">
                  <w:pPr>
                    <w:spacing w:line="280" w:lineRule="exact"/>
                    <w:jc w:val="center"/>
                    <w:rPr>
                      <w:color w:val="000000" w:themeColor="text1"/>
                      <w:szCs w:val="21"/>
                      <w14:textFill>
                        <w14:solidFill>
                          <w14:schemeClr w14:val="tx1"/>
                        </w14:solidFill>
                      </w14:textFill>
                    </w:rPr>
                  </w:pPr>
                </w:p>
              </w:tc>
              <w:tc>
                <w:tcPr>
                  <w:tcW w:w="708" w:type="pct"/>
                  <w:tcBorders>
                    <w:tl2br w:val="nil"/>
                    <w:tr2bl w:val="nil"/>
                  </w:tcBorders>
                  <w:vAlign w:val="center"/>
                </w:tcPr>
                <w:p w14:paraId="4D4B1E74">
                  <w:pPr>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东经</w:t>
                  </w:r>
                </w:p>
              </w:tc>
              <w:tc>
                <w:tcPr>
                  <w:tcW w:w="687" w:type="pct"/>
                  <w:tcBorders>
                    <w:tl2br w:val="nil"/>
                    <w:tr2bl w:val="nil"/>
                  </w:tcBorders>
                  <w:vAlign w:val="center"/>
                </w:tcPr>
                <w:p w14:paraId="55DC280C">
                  <w:pPr>
                    <w:spacing w:line="2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北纬</w:t>
                  </w:r>
                </w:p>
              </w:tc>
              <w:tc>
                <w:tcPr>
                  <w:tcW w:w="614" w:type="pct"/>
                  <w:vMerge w:val="continue"/>
                  <w:tcBorders>
                    <w:tl2br w:val="nil"/>
                    <w:tr2bl w:val="nil"/>
                  </w:tcBorders>
                  <w:vAlign w:val="center"/>
                </w:tcPr>
                <w:p w14:paraId="79F94160">
                  <w:pPr>
                    <w:spacing w:line="280" w:lineRule="exact"/>
                    <w:jc w:val="center"/>
                    <w:rPr>
                      <w:color w:val="000000" w:themeColor="text1"/>
                      <w:szCs w:val="21"/>
                      <w14:textFill>
                        <w14:solidFill>
                          <w14:schemeClr w14:val="tx1"/>
                        </w14:solidFill>
                      </w14:textFill>
                    </w:rPr>
                  </w:pPr>
                </w:p>
              </w:tc>
              <w:tc>
                <w:tcPr>
                  <w:tcW w:w="902" w:type="pct"/>
                  <w:vMerge w:val="continue"/>
                  <w:tcBorders>
                    <w:tl2br w:val="nil"/>
                    <w:tr2bl w:val="nil"/>
                  </w:tcBorders>
                  <w:vAlign w:val="center"/>
                </w:tcPr>
                <w:p w14:paraId="6A4E0B17">
                  <w:pPr>
                    <w:spacing w:line="280" w:lineRule="exact"/>
                    <w:jc w:val="center"/>
                    <w:rPr>
                      <w:color w:val="000000" w:themeColor="text1"/>
                      <w:szCs w:val="21"/>
                      <w14:textFill>
                        <w14:solidFill>
                          <w14:schemeClr w14:val="tx1"/>
                        </w14:solidFill>
                      </w14:textFill>
                    </w:rPr>
                  </w:pPr>
                </w:p>
              </w:tc>
              <w:tc>
                <w:tcPr>
                  <w:tcW w:w="544" w:type="pct"/>
                  <w:vMerge w:val="continue"/>
                  <w:tcBorders>
                    <w:tl2br w:val="nil"/>
                    <w:tr2bl w:val="nil"/>
                  </w:tcBorders>
                  <w:vAlign w:val="center"/>
                </w:tcPr>
                <w:p w14:paraId="4F0C5E13">
                  <w:pPr>
                    <w:spacing w:line="280" w:lineRule="exact"/>
                    <w:jc w:val="center"/>
                    <w:rPr>
                      <w:color w:val="000000" w:themeColor="text1"/>
                      <w:szCs w:val="21"/>
                      <w14:textFill>
                        <w14:solidFill>
                          <w14:schemeClr w14:val="tx1"/>
                        </w14:solidFill>
                      </w14:textFill>
                    </w:rPr>
                  </w:pPr>
                </w:p>
              </w:tc>
              <w:tc>
                <w:tcPr>
                  <w:tcW w:w="647" w:type="pct"/>
                  <w:vMerge w:val="continue"/>
                  <w:tcBorders>
                    <w:tl2br w:val="nil"/>
                    <w:tr2bl w:val="nil"/>
                  </w:tcBorders>
                  <w:vAlign w:val="center"/>
                </w:tcPr>
                <w:p w14:paraId="2881EE3F">
                  <w:pPr>
                    <w:spacing w:line="280" w:lineRule="exact"/>
                    <w:jc w:val="center"/>
                    <w:rPr>
                      <w:color w:val="000000" w:themeColor="text1"/>
                      <w:szCs w:val="21"/>
                      <w14:textFill>
                        <w14:solidFill>
                          <w14:schemeClr w14:val="tx1"/>
                        </w14:solidFill>
                      </w14:textFill>
                    </w:rPr>
                  </w:pPr>
                </w:p>
              </w:tc>
            </w:tr>
            <w:tr w14:paraId="6E4A3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94" w:type="pct"/>
                  <w:tcBorders>
                    <w:tl2br w:val="nil"/>
                    <w:tr2bl w:val="nil"/>
                  </w:tcBorders>
                  <w:vAlign w:val="center"/>
                </w:tcPr>
                <w:p w14:paraId="0D7EB6AD">
                  <w:pPr>
                    <w:spacing w:line="280" w:lineRule="exact"/>
                    <w:jc w:val="center"/>
                    <w:rPr>
                      <w:color w:val="000000" w:themeColor="text1"/>
                      <w:szCs w:val="21"/>
                      <w14:textFill>
                        <w14:solidFill>
                          <w14:schemeClr w14:val="tx1"/>
                        </w14:solidFill>
                      </w14:textFill>
                    </w:rPr>
                  </w:pPr>
                  <w:bookmarkStart w:id="17" w:name="OLE_LINK24"/>
                  <w:r>
                    <w:rPr>
                      <w:color w:val="000000" w:themeColor="text1"/>
                      <w:sz w:val="24"/>
                      <w14:textFill>
                        <w14:solidFill>
                          <w14:schemeClr w14:val="tx1"/>
                        </w14:solidFill>
                      </w14:textFill>
                    </w:rPr>
                    <w:t>常州市丹金船闸管理所</w:t>
                  </w:r>
                  <w:bookmarkEnd w:id="17"/>
                  <w:r>
                    <w:rPr>
                      <w:color w:val="000000" w:themeColor="text1"/>
                      <w:sz w:val="24"/>
                      <w14:textFill>
                        <w14:solidFill>
                          <w14:schemeClr w14:val="tx1"/>
                        </w14:solidFill>
                      </w14:textFill>
                    </w:rPr>
                    <w:t>东侧</w:t>
                  </w:r>
                </w:p>
              </w:tc>
              <w:tc>
                <w:tcPr>
                  <w:tcW w:w="708" w:type="pct"/>
                  <w:tcBorders>
                    <w:tl2br w:val="nil"/>
                    <w:tr2bl w:val="nil"/>
                  </w:tcBorders>
                  <w:vAlign w:val="center"/>
                </w:tcPr>
                <w:p w14:paraId="5132D181">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119.56899</w:t>
                  </w:r>
                </w:p>
              </w:tc>
              <w:tc>
                <w:tcPr>
                  <w:tcW w:w="687" w:type="pct"/>
                  <w:tcBorders>
                    <w:tl2br w:val="nil"/>
                    <w:tr2bl w:val="nil"/>
                  </w:tcBorders>
                  <w:vAlign w:val="center"/>
                </w:tcPr>
                <w:p w14:paraId="259C26B8">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31.786031</w:t>
                  </w:r>
                </w:p>
              </w:tc>
              <w:tc>
                <w:tcPr>
                  <w:tcW w:w="614" w:type="pct"/>
                  <w:tcBorders>
                    <w:tl2br w:val="nil"/>
                    <w:tr2bl w:val="nil"/>
                  </w:tcBorders>
                  <w:vAlign w:val="center"/>
                </w:tcPr>
                <w:p w14:paraId="7286270C">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902" w:type="pct"/>
                  <w:tcBorders>
                    <w:tl2br w:val="nil"/>
                    <w:tr2bl w:val="nil"/>
                  </w:tcBorders>
                  <w:vAlign w:val="center"/>
                </w:tcPr>
                <w:p w14:paraId="1F94FF22">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2024.11.11-17</w:t>
                  </w:r>
                </w:p>
              </w:tc>
              <w:tc>
                <w:tcPr>
                  <w:tcW w:w="544" w:type="pct"/>
                  <w:tcBorders>
                    <w:tl2br w:val="nil"/>
                    <w:tr2bl w:val="nil"/>
                  </w:tcBorders>
                  <w:vAlign w:val="center"/>
                </w:tcPr>
                <w:p w14:paraId="320C73EC">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NE</w:t>
                  </w:r>
                </w:p>
              </w:tc>
              <w:tc>
                <w:tcPr>
                  <w:tcW w:w="647" w:type="pct"/>
                  <w:tcBorders>
                    <w:tl2br w:val="nil"/>
                    <w:tr2bl w:val="nil"/>
                  </w:tcBorders>
                  <w:vAlign w:val="center"/>
                </w:tcPr>
                <w:p w14:paraId="22C803E5">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2500</w:t>
                  </w:r>
                </w:p>
              </w:tc>
            </w:tr>
          </w:tbl>
          <w:p w14:paraId="30025388">
            <w:pPr>
              <w:adjustRightInd w:val="0"/>
              <w:snapToGrid w:val="0"/>
              <w:spacing w:line="480" w:lineRule="exact"/>
              <w:ind w:firstLine="480" w:firstLineChars="200"/>
              <w:jc w:val="left"/>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②引</w:t>
            </w:r>
            <w:r>
              <w:rPr>
                <w:color w:val="000000" w:themeColor="text1"/>
                <w:kern w:val="0"/>
                <w:sz w:val="24"/>
                <w14:textFill>
                  <w14:solidFill>
                    <w14:schemeClr w14:val="tx1"/>
                  </w14:solidFill>
                </w14:textFill>
              </w:rPr>
              <w:t>用项目</w:t>
            </w:r>
          </w:p>
          <w:p w14:paraId="644B4ADE">
            <w:pPr>
              <w:spacing w:line="480" w:lineRule="exact"/>
              <w:ind w:firstLine="499" w:firstLineChars="208"/>
              <w:rPr>
                <w:color w:val="000000" w:themeColor="text1"/>
                <w:sz w:val="24"/>
                <w14:textFill>
                  <w14:solidFill>
                    <w14:schemeClr w14:val="tx1"/>
                  </w14:solidFill>
                </w14:textFill>
              </w:rPr>
            </w:pPr>
            <w:r>
              <w:rPr>
                <w:color w:val="000000" w:themeColor="text1"/>
                <w:sz w:val="24"/>
                <w14:textFill>
                  <w14:solidFill>
                    <w14:schemeClr w14:val="tx1"/>
                  </w14:solidFill>
                </w14:textFill>
              </w:rPr>
              <w:t>非甲烷总烃。</w:t>
            </w:r>
          </w:p>
          <w:p w14:paraId="378404E9">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③引用频次</w:t>
            </w:r>
          </w:p>
          <w:p w14:paraId="5EBD2573">
            <w:pPr>
              <w:spacing w:line="480" w:lineRule="exact"/>
              <w:ind w:firstLine="499" w:firstLineChars="208"/>
              <w:rPr>
                <w:color w:val="000000" w:themeColor="text1"/>
                <w:sz w:val="24"/>
                <w14:textFill>
                  <w14:solidFill>
                    <w14:schemeClr w14:val="tx1"/>
                  </w14:solidFill>
                </w14:textFill>
              </w:rPr>
            </w:pPr>
            <w:r>
              <w:rPr>
                <w:color w:val="000000" w:themeColor="text1"/>
                <w:sz w:val="24"/>
                <w14:textFill>
                  <w14:solidFill>
                    <w14:schemeClr w14:val="tx1"/>
                  </w14:solidFill>
                </w14:textFill>
              </w:rPr>
              <w:t>连续监测3天以上，每天采样4次(具体为02、08、14、20时)，每小时采样不少于45分钟。同时调查与监测期间同步的风向、风速、温度、湿度气压等气象参数。</w:t>
            </w:r>
          </w:p>
          <w:p w14:paraId="19529F92">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④引用数据汇总</w:t>
            </w:r>
          </w:p>
          <w:p w14:paraId="11C06202">
            <w:pPr>
              <w:spacing w:line="340" w:lineRule="exact"/>
              <w:ind w:firstLine="413" w:firstLineChars="196"/>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表3-3  其他污染物环境质量现状（监测结果）表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579"/>
              <w:gridCol w:w="875"/>
              <w:gridCol w:w="1024"/>
              <w:gridCol w:w="1310"/>
              <w:gridCol w:w="1721"/>
              <w:gridCol w:w="1226"/>
              <w:gridCol w:w="807"/>
              <w:gridCol w:w="742"/>
            </w:tblGrid>
            <w:tr w14:paraId="7A0E28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850" w:type="pct"/>
                  <w:vAlign w:val="center"/>
                </w:tcPr>
                <w:p w14:paraId="1C7CA286">
                  <w:pPr>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引用</w:t>
                  </w:r>
                </w:p>
                <w:p w14:paraId="7473A03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点位</w:t>
                  </w:r>
                </w:p>
              </w:tc>
              <w:tc>
                <w:tcPr>
                  <w:tcW w:w="471" w:type="pct"/>
                  <w:vAlign w:val="center"/>
                </w:tcPr>
                <w:p w14:paraId="12D5ED9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551" w:type="pct"/>
                  <w:vAlign w:val="center"/>
                </w:tcPr>
                <w:p w14:paraId="3407A52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评价指标</w:t>
                  </w:r>
                </w:p>
              </w:tc>
              <w:tc>
                <w:tcPr>
                  <w:tcW w:w="705" w:type="pct"/>
                  <w:vAlign w:val="center"/>
                </w:tcPr>
                <w:p w14:paraId="2456811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评价标准（</w:t>
                  </w:r>
                  <w:r>
                    <w:rPr>
                      <w:rFonts w:hint="eastAsia"/>
                      <w:b/>
                      <w:bCs/>
                      <w:color w:val="000000" w:themeColor="text1"/>
                      <w:szCs w:val="21"/>
                      <w14:textFill>
                        <w14:solidFill>
                          <w14:schemeClr w14:val="tx1"/>
                        </w14:solidFill>
                      </w14:textFill>
                    </w:rPr>
                    <w:t>m</w:t>
                  </w:r>
                  <w:r>
                    <w:rPr>
                      <w:b/>
                      <w:bCs/>
                      <w:color w:val="000000" w:themeColor="text1"/>
                      <w:szCs w:val="21"/>
                      <w14:textFill>
                        <w14:solidFill>
                          <w14:schemeClr w14:val="tx1"/>
                        </w14:solidFill>
                      </w14:textFill>
                    </w:rPr>
                    <w:t>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926" w:type="pct"/>
                  <w:vAlign w:val="center"/>
                </w:tcPr>
                <w:p w14:paraId="25A3E9C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现状浓度（</w:t>
                  </w:r>
                  <w:r>
                    <w:rPr>
                      <w:rFonts w:hint="eastAsia"/>
                      <w:b/>
                      <w:bCs/>
                      <w:color w:val="000000" w:themeColor="text1"/>
                      <w:szCs w:val="21"/>
                      <w14:textFill>
                        <w14:solidFill>
                          <w14:schemeClr w14:val="tx1"/>
                        </w14:solidFill>
                      </w14:textFill>
                    </w:rPr>
                    <w:t>m</w:t>
                  </w:r>
                  <w:r>
                    <w:rPr>
                      <w:b/>
                      <w:bCs/>
                      <w:color w:val="000000" w:themeColor="text1"/>
                      <w:szCs w:val="21"/>
                      <w14:textFill>
                        <w14:solidFill>
                          <w14:schemeClr w14:val="tx1"/>
                        </w14:solidFill>
                      </w14:textFill>
                    </w:rPr>
                    <w:t>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660" w:type="pct"/>
                  <w:vAlign w:val="center"/>
                </w:tcPr>
                <w:p w14:paraId="1C4BA87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最大浓度占标率/%</w:t>
                  </w:r>
                </w:p>
              </w:tc>
              <w:tc>
                <w:tcPr>
                  <w:tcW w:w="434" w:type="pct"/>
                  <w:vAlign w:val="center"/>
                </w:tcPr>
                <w:p w14:paraId="1D8ADA2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超标率/%</w:t>
                  </w:r>
                </w:p>
              </w:tc>
              <w:tc>
                <w:tcPr>
                  <w:tcW w:w="399" w:type="pct"/>
                  <w:vAlign w:val="center"/>
                </w:tcPr>
                <w:p w14:paraId="72DF42A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r>
            <w:tr w14:paraId="03AABA3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0" w:type="pct"/>
                  <w:vAlign w:val="center"/>
                </w:tcPr>
                <w:p w14:paraId="0C417DE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常州市丹金船闸管理所东侧</w:t>
                  </w:r>
                </w:p>
              </w:tc>
              <w:tc>
                <w:tcPr>
                  <w:tcW w:w="471" w:type="pct"/>
                  <w:vAlign w:val="center"/>
                </w:tcPr>
                <w:p w14:paraId="47889B0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551" w:type="pct"/>
                  <w:vAlign w:val="center"/>
                </w:tcPr>
                <w:p w14:paraId="5EB042A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1小时平均</w:t>
                  </w:r>
                </w:p>
              </w:tc>
              <w:tc>
                <w:tcPr>
                  <w:tcW w:w="705" w:type="pct"/>
                  <w:vAlign w:val="center"/>
                </w:tcPr>
                <w:p w14:paraId="2AF98B6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926" w:type="pct"/>
                  <w:vAlign w:val="center"/>
                </w:tcPr>
                <w:p w14:paraId="42650777">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0.1-0.87</w:t>
                  </w:r>
                </w:p>
              </w:tc>
              <w:tc>
                <w:tcPr>
                  <w:tcW w:w="660" w:type="pct"/>
                  <w:vAlign w:val="center"/>
                </w:tcPr>
                <w:p w14:paraId="38DC4A68">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43.5</w:t>
                  </w:r>
                </w:p>
              </w:tc>
              <w:tc>
                <w:tcPr>
                  <w:tcW w:w="434" w:type="pct"/>
                  <w:vAlign w:val="center"/>
                </w:tcPr>
                <w:p w14:paraId="761F3A0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399" w:type="pct"/>
                  <w:vAlign w:val="center"/>
                </w:tcPr>
                <w:p w14:paraId="27019B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47B73BB4">
            <w:pPr>
              <w:adjustRightInd w:val="0"/>
              <w:snapToGrid w:val="0"/>
              <w:spacing w:line="480" w:lineRule="exact"/>
              <w:ind w:firstLine="720" w:firstLineChars="3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根据表3-3现状监测数据总汇可以看出，</w:t>
            </w:r>
            <w:r>
              <w:rPr>
                <w:color w:val="000000" w:themeColor="text1"/>
                <w:sz w:val="24"/>
                <w14:textFill>
                  <w14:solidFill>
                    <w14:schemeClr w14:val="tx1"/>
                  </w14:solidFill>
                </w14:textFill>
              </w:rPr>
              <w:t>项目所在地附近周围环境空气中非甲烷总烃满足《大气污染物综合排放标准详解》限值要求，</w:t>
            </w:r>
            <w:r>
              <w:rPr>
                <w:color w:val="000000" w:themeColor="text1"/>
                <w:kern w:val="0"/>
                <w:sz w:val="24"/>
                <w14:textFill>
                  <w14:solidFill>
                    <w14:schemeClr w14:val="tx1"/>
                  </w14:solidFill>
                </w14:textFill>
              </w:rPr>
              <w:t>未出现超标现象。</w:t>
            </w:r>
          </w:p>
          <w:p w14:paraId="5B7A5329">
            <w:pPr>
              <w:adjustRightInd w:val="0"/>
              <w:snapToGrid w:val="0"/>
              <w:spacing w:line="480" w:lineRule="exact"/>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（3）引用数据有效性分析</w:t>
            </w:r>
          </w:p>
          <w:p w14:paraId="7ED545E0">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根据《建设项目环境影响报告表编制技术指南（污染影响类）（试行）》：排放国家、地方环境空气质量标准中有标准限值要求的特征污染物时，引用建设项目周边5千米范围内近3年的现有监测数据。</w:t>
            </w:r>
          </w:p>
          <w:p w14:paraId="56E6977D">
            <w:pPr>
              <w:adjustRightInd w:val="0"/>
              <w:snapToGrid w:val="0"/>
              <w:spacing w:line="480" w:lineRule="exact"/>
              <w:ind w:firstLine="480" w:firstLineChars="200"/>
              <w:jc w:val="left"/>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①特斯特(江苏)检测科技有限公司2024年11月11日~17日</w:t>
            </w:r>
            <w:r>
              <w:rPr>
                <w:color w:val="000000" w:themeColor="text1"/>
                <w:kern w:val="0"/>
                <w:sz w:val="24"/>
                <w14:textFill>
                  <w14:solidFill>
                    <w14:schemeClr w14:val="tx1"/>
                  </w14:solidFill>
                </w14:textFill>
              </w:rPr>
              <w:t>于</w:t>
            </w:r>
            <w:r>
              <w:rPr>
                <w:color w:val="000000" w:themeColor="text1"/>
                <w:sz w:val="24"/>
                <w14:textFill>
                  <w14:solidFill>
                    <w14:schemeClr w14:val="tx1"/>
                  </w14:solidFill>
                </w14:textFill>
              </w:rPr>
              <w:t>常州市丹金船闸管理所东侧进行检测</w:t>
            </w:r>
            <w:r>
              <w:rPr>
                <w:color w:val="000000" w:themeColor="text1"/>
                <w:kern w:val="0"/>
                <w:sz w:val="24"/>
                <w14:textFill>
                  <w14:solidFill>
                    <w14:schemeClr w14:val="tx1"/>
                  </w14:solidFill>
                </w14:textFill>
              </w:rPr>
              <w:t>，引用时间均不超过3年，大气环境引用时间有效；</w:t>
            </w:r>
          </w:p>
          <w:p w14:paraId="674E6CA7">
            <w:pPr>
              <w:adjustRightInd w:val="0"/>
              <w:snapToGrid w:val="0"/>
              <w:spacing w:line="480" w:lineRule="exact"/>
              <w:ind w:firstLine="480" w:firstLineChars="200"/>
              <w:jc w:val="left"/>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②</w:t>
            </w:r>
            <w:r>
              <w:rPr>
                <w:color w:val="000000" w:themeColor="text1"/>
                <w:kern w:val="0"/>
                <w:sz w:val="24"/>
                <w14:textFill>
                  <w14:solidFill>
                    <w14:schemeClr w14:val="tx1"/>
                  </w14:solidFill>
                </w14:textFill>
              </w:rPr>
              <w:t>引用点位位于项目周边5千米范围内，大气环境引用点位有效。</w:t>
            </w:r>
          </w:p>
          <w:p w14:paraId="46AB1F21">
            <w:pPr>
              <w:adjustRightInd w:val="0"/>
              <w:snapToGrid w:val="0"/>
              <w:spacing w:line="480" w:lineRule="exact"/>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（4）区域大气污染整治方案</w:t>
            </w:r>
          </w:p>
          <w:p w14:paraId="2DD61460">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根据《2025年常州市生态环境局的相关工作计划》，本区域大气污染物削减主要举措如下：</w:t>
            </w:r>
          </w:p>
          <w:p w14:paraId="08D8631F">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深入打好蓝天保卫战。实现三个“全部完成”，完成宝润钢铁、盘固水泥、扬子水泥等企业的全流程超低排放改造，实现超低排放改造“全覆盖”。全部完成606家铸造企业综合整治。全部完成汽摩配、玻璃钢、灯具、地板、干燥五大集群整治。推动三大“专项整治”，开展餐饮油烟专项整治，全市建成餐饮油烟整治示范街区（综合体）5个以上。开展重点区域专项整治，分类排查、分布推进，并建立健全长效机制。开展扬尘污染专项整治，加强城市保洁及扬尘污染精细化治理，确保建成区道路机械化清扫率达95%以上。提升三项“治理水平”，提升VOCs治理水平，完成一批VOCs年度治理工程；加大工业涂装、包装印刷等重点行业清洁原料替代力度，培育不少于5家源头替代示范性企业。提升烟花爆竹管控治理水平。提升移动源治理水平，实现剩余国Ⅲ及以下柴油货车全部清零，并加强重型柴油货车路检路查以及集中使用地、停放地的入户检查；全面排查所有非道机械现状和问题，推动所有机械登记注册，国一机械全部淘汰。</w:t>
            </w:r>
          </w:p>
          <w:p w14:paraId="705F513C">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深入推进太湖综合治理。开展太湖治理攻坚行动，实施重点项目244个、年度投资173.6亿。完成阳湖净水厂、江边污水处理厂五期等42万吨/日生活污水处理能力建设，基本完成新北薛家、天宁城东工业污水处理厂主体建设，开工建设武进西太湖工业污水处理厂。完成1.6万亩规模以上养殖池塘提升改造，重点建设高标准农田1.95万亩。全面完成竺山湖、滆湖清淤500万方、1500万方，完成滆湖退田还湖工程；启动溧阳长荡湖退圩还湖工作。坚持河流水质标本兼治，根据污水排放控制区溯源排查成果，排定并实施系统整治措施。“一河一策”推进支浜整治，实施控源截污、底泥清淤、畅流活水、河道管护等措施，巩固支浜水质改善成效，实现骨干河流一级支浜稳定消劣、二级支浜全面消劣。推进美丽河湖保护建设，全面完成长江常州段、新孟河“美丽河湖”建设任务。推进长江流域水生态保护与修复，加快编制水生态环境保护规划，完成水生态环境质量年度评价，建立水生态考核评价体系，组织实施长江流域水生态“一地一策”提升方案。</w:t>
            </w:r>
          </w:p>
          <w:p w14:paraId="13BC54C0">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采取上述措施，常州市的大气空气质量将得到进一步改善。</w:t>
            </w:r>
          </w:p>
          <w:p w14:paraId="3B0BF73B">
            <w:pPr>
              <w:pStyle w:val="12"/>
              <w:widowControl w:val="0"/>
              <w:spacing w:line="480" w:lineRule="exac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2、地表水环境质量</w:t>
            </w:r>
          </w:p>
          <w:p w14:paraId="55187616">
            <w:pPr>
              <w:pStyle w:val="12"/>
              <w:widowControl w:val="0"/>
              <w:spacing w:line="480" w:lineRule="exact"/>
              <w:ind w:firstLine="480" w:firstLineChars="200"/>
              <w:rPr>
                <w:rFonts w:ascii="Times New Roman" w:hAnsi="Times New Roman"/>
                <w:color w:val="000000" w:themeColor="text1"/>
                <w:sz w:val="24"/>
                <w:szCs w:val="24"/>
                <w14:textFill>
                  <w14:solidFill>
                    <w14:schemeClr w14:val="tx1"/>
                  </w14:solidFill>
                </w14:textFill>
              </w:rPr>
            </w:pPr>
            <w:bookmarkStart w:id="18" w:name="_Toc234835726"/>
            <w:bookmarkStart w:id="19" w:name="_Toc232928908"/>
            <w:bookmarkStart w:id="20" w:name="_Toc235343726"/>
            <w:bookmarkStart w:id="21" w:name="_Toc216926467"/>
            <w:bookmarkStart w:id="22" w:name="_Toc178588693"/>
            <w:bookmarkStart w:id="23" w:name="_Toc233792960"/>
            <w:bookmarkStart w:id="24" w:name="_Toc271019109"/>
            <w:bookmarkStart w:id="25" w:name="_Toc178588521"/>
            <w:bookmarkStart w:id="26" w:name="_Toc152581403"/>
            <w:bookmarkStart w:id="27" w:name="_Toc178588239"/>
            <w:r>
              <w:rPr>
                <w:rFonts w:ascii="Times New Roman" w:hAnsi="Times New Roman"/>
                <w:color w:val="000000" w:themeColor="text1"/>
                <w:sz w:val="24"/>
                <w:szCs w:val="24"/>
                <w14:textFill>
                  <w14:solidFill>
                    <w14:schemeClr w14:val="tx1"/>
                  </w14:solidFill>
                </w14:textFill>
              </w:rPr>
              <w:t>（1）区域水环境</w:t>
            </w:r>
            <w:r>
              <w:rPr>
                <w:rFonts w:hint="eastAsia" w:ascii="Times New Roman" w:hAnsi="Times New Roman"/>
                <w:color w:val="000000" w:themeColor="text1"/>
                <w:sz w:val="24"/>
                <w:szCs w:val="24"/>
                <w14:textFill>
                  <w14:solidFill>
                    <w14:schemeClr w14:val="tx1"/>
                  </w14:solidFill>
                </w14:textFill>
              </w:rPr>
              <w:t>状况</w:t>
            </w:r>
          </w:p>
          <w:p w14:paraId="26771A29">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2024年常州市生态环境状况公报》，国考、省考断面水质达到或好于Ⅲ类比例完成省定考核要求，太湖水质自2007年蓝藻事件以来首次达、重回“良好”湖泊，连续17年实现安全度夏。长江干流（常州段）水质连续8年稳定Ⅱ类水平，主要入湖河道、集中式饮用水源地水质稳定达到省定考核目标。</w:t>
            </w:r>
          </w:p>
          <w:p w14:paraId="42336D83">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饮用水水源地：常州市城市饮用水以集中供水为主，2024年全市5个县级及以上城市集中式饮用水水源地（含备用），取水总量为5.23亿吨，全年每月监测均达标。</w:t>
            </w:r>
          </w:p>
          <w:p w14:paraId="49FD1388">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国省考断面：2024年，常州市纳入“十四五”国家地表水环境质量考核的20个断面，年均水质达到或好于《地表水环境质量标准》（GB3838-2002）Ⅲ类标准的断面比例为85%，无劣V类断面。纳入江苏省“十四五”水环境质量目标考核的51个断面，年均水质达到或好于Ⅲ类的比例为94.1%，无劣V类断面。</w:t>
            </w:r>
          </w:p>
          <w:p w14:paraId="0CE31330">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太湖及入太河流：2024年，太湖水质自2007年蓝藻事件以来首次达川、重回“良好”湖泊，其中我市椒山点位首次达到Ⅲ类，太湖常州水域总磷同比改善24%，对全湖总磷改善幅度贡献率达182%，位列环湖城市第一，太湖入湖河道通量最大的百渎港总磷同比下降17.6%。</w:t>
            </w:r>
          </w:p>
          <w:p w14:paraId="7E63D68D">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长江干流(常州段)及主要通江支流：2024年，长江干流魏村（右岸）断面水质连续八年达到Ⅲ类；新孟河、德胜河、澡港河等3条主要通江支流上5个国省考断面年均水质均达到或优于Ⅲ类。</w:t>
            </w:r>
          </w:p>
          <w:p w14:paraId="572ACF50">
            <w:pPr>
              <w:pStyle w:val="12"/>
              <w:widowControl w:val="0"/>
              <w:spacing w:line="48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（2）地表水环境质量现状引用结果及评价</w:t>
            </w:r>
          </w:p>
          <w:bookmarkEnd w:id="18"/>
          <w:bookmarkEnd w:id="19"/>
          <w:bookmarkEnd w:id="20"/>
          <w:bookmarkEnd w:id="21"/>
          <w:bookmarkEnd w:id="22"/>
          <w:bookmarkEnd w:id="23"/>
          <w:bookmarkEnd w:id="24"/>
          <w:bookmarkEnd w:id="25"/>
          <w:bookmarkEnd w:id="26"/>
          <w:bookmarkEnd w:id="27"/>
          <w:p w14:paraId="20602614">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根据《江苏省地表水（环境）功能区划（2021-2030年）》，尧塘河水环境功能为Ⅲ类。</w:t>
            </w:r>
          </w:p>
          <w:p w14:paraId="23A183F7">
            <w:pPr>
              <w:pStyle w:val="12"/>
              <w:widowControl w:val="0"/>
              <w:spacing w:line="480" w:lineRule="exact"/>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本次地表水环境质量现状评价引用2025年1月6日-8日监测数据，布设2个引用断面，W1、W2分别位于常州金坛区第二污水处理有限公司排口上游500m和常州金坛区第二污水处理有限公司排口下游2000m处，连续3天，每天2次，报告编号：TST202501060。</w:t>
            </w:r>
          </w:p>
          <w:p w14:paraId="06506523">
            <w:pPr>
              <w:pStyle w:val="12"/>
              <w:widowControl w:val="0"/>
              <w:spacing w:line="480" w:lineRule="exact"/>
              <w:ind w:firstLine="480" w:firstLineChars="200"/>
              <w:rPr>
                <w:rFonts w:ascii="Times New Roman" w:hAnsi="Times New Roman"/>
                <w:b/>
                <w:bCs/>
                <w:color w:val="000000" w:themeColor="text1"/>
                <w:szCs w:val="21"/>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地表水环境质量现状监测断面具体位置见表3-4，监测结果汇总见表3-5。</w:t>
            </w:r>
          </w:p>
          <w:p w14:paraId="5544B15A">
            <w:pPr>
              <w:spacing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表3-4  地表水环境质量现状监测断面</w:t>
            </w:r>
          </w:p>
          <w:tbl>
            <w:tblPr>
              <w:tblStyle w:val="25"/>
              <w:tblW w:w="4998"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137"/>
              <w:gridCol w:w="1110"/>
              <w:gridCol w:w="3021"/>
              <w:gridCol w:w="1312"/>
              <w:gridCol w:w="1621"/>
              <w:gridCol w:w="1086"/>
            </w:tblGrid>
            <w:tr w14:paraId="630059E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612" w:type="pct"/>
                  <w:tcBorders>
                    <w:top w:val="single" w:color="auto" w:sz="12" w:space="0"/>
                  </w:tcBorders>
                  <w:vAlign w:val="center"/>
                </w:tcPr>
                <w:p w14:paraId="4754A808">
                  <w:pPr>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河流名称</w:t>
                  </w:r>
                </w:p>
              </w:tc>
              <w:tc>
                <w:tcPr>
                  <w:tcW w:w="597" w:type="pct"/>
                  <w:tcBorders>
                    <w:top w:val="single" w:color="auto" w:sz="12" w:space="0"/>
                  </w:tcBorders>
                  <w:vAlign w:val="center"/>
                </w:tcPr>
                <w:p w14:paraId="15BF08AF">
                  <w:pPr>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引用断面</w:t>
                  </w:r>
                </w:p>
              </w:tc>
              <w:tc>
                <w:tcPr>
                  <w:tcW w:w="1625" w:type="pct"/>
                  <w:tcBorders>
                    <w:top w:val="single" w:color="auto" w:sz="12" w:space="0"/>
                  </w:tcBorders>
                  <w:vAlign w:val="center"/>
                </w:tcPr>
                <w:p w14:paraId="5CBCE9E1">
                  <w:pPr>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断面位置</w:t>
                  </w:r>
                </w:p>
              </w:tc>
              <w:tc>
                <w:tcPr>
                  <w:tcW w:w="706" w:type="pct"/>
                  <w:tcBorders>
                    <w:top w:val="single" w:color="auto" w:sz="12" w:space="0"/>
                  </w:tcBorders>
                  <w:vAlign w:val="center"/>
                </w:tcPr>
                <w:p w14:paraId="56654171">
                  <w:pPr>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断面位置</w:t>
                  </w:r>
                </w:p>
              </w:tc>
              <w:tc>
                <w:tcPr>
                  <w:tcW w:w="872" w:type="pct"/>
                  <w:tcBorders>
                    <w:top w:val="single" w:color="auto" w:sz="12" w:space="0"/>
                  </w:tcBorders>
                  <w:vAlign w:val="center"/>
                </w:tcPr>
                <w:p w14:paraId="058C6AB0">
                  <w:pPr>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引用因子</w:t>
                  </w:r>
                </w:p>
              </w:tc>
              <w:tc>
                <w:tcPr>
                  <w:tcW w:w="584" w:type="pct"/>
                  <w:tcBorders>
                    <w:top w:val="single" w:color="auto" w:sz="12" w:space="0"/>
                  </w:tcBorders>
                  <w:vAlign w:val="center"/>
                </w:tcPr>
                <w:p w14:paraId="76E5A538">
                  <w:pPr>
                    <w:spacing w:line="2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环境功能</w:t>
                  </w:r>
                </w:p>
              </w:tc>
            </w:tr>
            <w:tr w14:paraId="7B366EA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612" w:type="pct"/>
                  <w:vMerge w:val="restart"/>
                  <w:vAlign w:val="center"/>
                </w:tcPr>
                <w:p w14:paraId="1F85661C">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尧塘河</w:t>
                  </w:r>
                </w:p>
              </w:tc>
              <w:tc>
                <w:tcPr>
                  <w:tcW w:w="597" w:type="pct"/>
                  <w:vAlign w:val="center"/>
                </w:tcPr>
                <w:p w14:paraId="5BAAF153">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W1</w:t>
                  </w:r>
                </w:p>
              </w:tc>
              <w:tc>
                <w:tcPr>
                  <w:tcW w:w="1625" w:type="pct"/>
                  <w:vAlign w:val="center"/>
                </w:tcPr>
                <w:p w14:paraId="47F8DCFC">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常州金坛区第二污水处理有限公司排口上游500m</w:t>
                  </w:r>
                </w:p>
              </w:tc>
              <w:tc>
                <w:tcPr>
                  <w:tcW w:w="706" w:type="pct"/>
                  <w:vMerge w:val="restart"/>
                  <w:vAlign w:val="center"/>
                </w:tcPr>
                <w:p w14:paraId="3142959A">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河道</w:t>
                  </w:r>
                </w:p>
                <w:p w14:paraId="6271F78E">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中央</w:t>
                  </w:r>
                </w:p>
              </w:tc>
              <w:tc>
                <w:tcPr>
                  <w:tcW w:w="872" w:type="pct"/>
                  <w:vMerge w:val="restart"/>
                  <w:vAlign w:val="center"/>
                </w:tcPr>
                <w:p w14:paraId="4932EEC8">
                  <w:pPr>
                    <w:spacing w:line="280" w:lineRule="exact"/>
                    <w:jc w:val="center"/>
                    <w:rPr>
                      <w:color w:val="000000" w:themeColor="text1"/>
                      <w:szCs w:val="21"/>
                      <w14:textFill>
                        <w14:solidFill>
                          <w14:schemeClr w14:val="tx1"/>
                        </w14:solidFill>
                      </w14:textFill>
                    </w:rPr>
                  </w:pPr>
                  <w:bookmarkStart w:id="28" w:name="_Toc420308855"/>
                  <w:r>
                    <w:rPr>
                      <w:color w:val="000000" w:themeColor="text1"/>
                      <w:szCs w:val="21"/>
                      <w14:textFill>
                        <w14:solidFill>
                          <w14:schemeClr w14:val="tx1"/>
                        </w14:solidFill>
                      </w14:textFill>
                    </w:rPr>
                    <w:t>pH、</w:t>
                  </w:r>
                  <w:bookmarkEnd w:id="28"/>
                  <w:r>
                    <w:rPr>
                      <w:color w:val="000000" w:themeColor="text1"/>
                      <w:szCs w:val="21"/>
                      <w14:textFill>
                        <w14:solidFill>
                          <w14:schemeClr w14:val="tx1"/>
                        </w14:solidFill>
                      </w14:textFill>
                    </w:rPr>
                    <w:t>COD、氨氮、总磷</w:t>
                  </w:r>
                </w:p>
              </w:tc>
              <w:tc>
                <w:tcPr>
                  <w:tcW w:w="584" w:type="pct"/>
                  <w:vMerge w:val="restart"/>
                  <w:vAlign w:val="center"/>
                </w:tcPr>
                <w:p w14:paraId="41FF5396">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Ⅲ类</w:t>
                  </w:r>
                </w:p>
              </w:tc>
            </w:tr>
            <w:tr w14:paraId="4EA578A6">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612" w:type="pct"/>
                  <w:vMerge w:val="continue"/>
                  <w:tcBorders>
                    <w:bottom w:val="single" w:color="auto" w:sz="12" w:space="0"/>
                  </w:tcBorders>
                  <w:vAlign w:val="center"/>
                </w:tcPr>
                <w:p w14:paraId="72407367">
                  <w:pPr>
                    <w:widowControl/>
                    <w:spacing w:line="280" w:lineRule="exact"/>
                    <w:jc w:val="left"/>
                    <w:rPr>
                      <w:color w:val="000000" w:themeColor="text1"/>
                      <w:szCs w:val="21"/>
                      <w14:textFill>
                        <w14:solidFill>
                          <w14:schemeClr w14:val="tx1"/>
                        </w14:solidFill>
                      </w14:textFill>
                    </w:rPr>
                  </w:pPr>
                </w:p>
              </w:tc>
              <w:tc>
                <w:tcPr>
                  <w:tcW w:w="597" w:type="pct"/>
                  <w:tcBorders>
                    <w:bottom w:val="single" w:color="auto" w:sz="12" w:space="0"/>
                  </w:tcBorders>
                  <w:vAlign w:val="center"/>
                </w:tcPr>
                <w:p w14:paraId="2D983C2B">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W2</w:t>
                  </w:r>
                </w:p>
              </w:tc>
              <w:tc>
                <w:tcPr>
                  <w:tcW w:w="1625" w:type="pct"/>
                  <w:tcBorders>
                    <w:bottom w:val="single" w:color="auto" w:sz="12" w:space="0"/>
                  </w:tcBorders>
                  <w:vAlign w:val="center"/>
                </w:tcPr>
                <w:p w14:paraId="4448F9F0">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常州金坛区第二污水处理有限公司排口下游2000m</w:t>
                  </w:r>
                </w:p>
              </w:tc>
              <w:tc>
                <w:tcPr>
                  <w:tcW w:w="706" w:type="pct"/>
                  <w:vMerge w:val="continue"/>
                  <w:tcBorders>
                    <w:bottom w:val="single" w:color="auto" w:sz="12" w:space="0"/>
                  </w:tcBorders>
                  <w:vAlign w:val="center"/>
                </w:tcPr>
                <w:p w14:paraId="3EA94E7E">
                  <w:pPr>
                    <w:widowControl/>
                    <w:spacing w:line="280" w:lineRule="exact"/>
                    <w:jc w:val="left"/>
                    <w:rPr>
                      <w:color w:val="000000" w:themeColor="text1"/>
                      <w:szCs w:val="21"/>
                      <w14:textFill>
                        <w14:solidFill>
                          <w14:schemeClr w14:val="tx1"/>
                        </w14:solidFill>
                      </w14:textFill>
                    </w:rPr>
                  </w:pPr>
                </w:p>
              </w:tc>
              <w:tc>
                <w:tcPr>
                  <w:tcW w:w="872" w:type="pct"/>
                  <w:vMerge w:val="continue"/>
                  <w:tcBorders>
                    <w:bottom w:val="single" w:color="auto" w:sz="12" w:space="0"/>
                  </w:tcBorders>
                  <w:vAlign w:val="center"/>
                </w:tcPr>
                <w:p w14:paraId="00351D9B">
                  <w:pPr>
                    <w:widowControl/>
                    <w:spacing w:line="280" w:lineRule="exact"/>
                    <w:jc w:val="left"/>
                    <w:rPr>
                      <w:color w:val="000000" w:themeColor="text1"/>
                      <w:szCs w:val="21"/>
                      <w14:textFill>
                        <w14:solidFill>
                          <w14:schemeClr w14:val="tx1"/>
                        </w14:solidFill>
                      </w14:textFill>
                    </w:rPr>
                  </w:pPr>
                </w:p>
              </w:tc>
              <w:tc>
                <w:tcPr>
                  <w:tcW w:w="584" w:type="pct"/>
                  <w:vMerge w:val="continue"/>
                  <w:tcBorders>
                    <w:bottom w:val="single" w:color="auto" w:sz="12" w:space="0"/>
                  </w:tcBorders>
                  <w:vAlign w:val="center"/>
                </w:tcPr>
                <w:p w14:paraId="10BD7105">
                  <w:pPr>
                    <w:widowControl/>
                    <w:spacing w:line="280" w:lineRule="exact"/>
                    <w:jc w:val="left"/>
                    <w:rPr>
                      <w:color w:val="000000" w:themeColor="text1"/>
                      <w:szCs w:val="21"/>
                      <w14:textFill>
                        <w14:solidFill>
                          <w14:schemeClr w14:val="tx1"/>
                        </w14:solidFill>
                      </w14:textFill>
                    </w:rPr>
                  </w:pPr>
                </w:p>
              </w:tc>
            </w:tr>
          </w:tbl>
          <w:p w14:paraId="3D126A7A">
            <w:pPr>
              <w:spacing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表3-5  地表水质量引用结果汇总表 （mg/L）  </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2089"/>
              <w:gridCol w:w="1308"/>
              <w:gridCol w:w="1717"/>
              <w:gridCol w:w="1685"/>
              <w:gridCol w:w="1572"/>
            </w:tblGrid>
            <w:tr w14:paraId="687B6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93" w:type="pct"/>
                  <w:vAlign w:val="center"/>
                </w:tcPr>
                <w:p w14:paraId="068BA523">
                  <w:pPr>
                    <w:spacing w:line="2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断面</w:t>
                  </w:r>
                </w:p>
              </w:tc>
              <w:tc>
                <w:tcPr>
                  <w:tcW w:w="1123" w:type="pct"/>
                  <w:vAlign w:val="center"/>
                </w:tcPr>
                <w:p w14:paraId="364AE8E3">
                  <w:pPr>
                    <w:spacing w:line="2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704" w:type="pct"/>
                  <w:vAlign w:val="center"/>
                </w:tcPr>
                <w:p w14:paraId="72D516A4">
                  <w:pPr>
                    <w:pStyle w:val="56"/>
                    <w:widowControl w:val="0"/>
                    <w:pBdr>
                      <w:bottom w:val="none" w:color="auto" w:sz="0" w:space="0"/>
                    </w:pBdr>
                    <w:spacing w:before="0" w:after="0" w:line="260" w:lineRule="exact"/>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pH</w:t>
                  </w:r>
                </w:p>
              </w:tc>
              <w:tc>
                <w:tcPr>
                  <w:tcW w:w="924" w:type="pct"/>
                  <w:vAlign w:val="center"/>
                </w:tcPr>
                <w:p w14:paraId="73D28B09">
                  <w:pPr>
                    <w:spacing w:line="2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化学需氧量</w:t>
                  </w:r>
                </w:p>
              </w:tc>
              <w:tc>
                <w:tcPr>
                  <w:tcW w:w="907" w:type="pct"/>
                  <w:vAlign w:val="center"/>
                </w:tcPr>
                <w:p w14:paraId="6F2CC30A">
                  <w:pPr>
                    <w:spacing w:line="2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氨氮</w:t>
                  </w:r>
                </w:p>
              </w:tc>
              <w:tc>
                <w:tcPr>
                  <w:tcW w:w="846" w:type="pct"/>
                  <w:tcBorders>
                    <w:right w:val="single" w:color="auto" w:sz="2" w:space="0"/>
                  </w:tcBorders>
                  <w:vAlign w:val="center"/>
                </w:tcPr>
                <w:p w14:paraId="234350B1">
                  <w:pPr>
                    <w:spacing w:line="2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总磷</w:t>
                  </w:r>
                </w:p>
              </w:tc>
            </w:tr>
            <w:tr w14:paraId="045D0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restart"/>
                  <w:vAlign w:val="center"/>
                </w:tcPr>
                <w:p w14:paraId="61EEADBB">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W1</w:t>
                  </w:r>
                </w:p>
              </w:tc>
              <w:tc>
                <w:tcPr>
                  <w:tcW w:w="1123" w:type="pct"/>
                  <w:vAlign w:val="center"/>
                </w:tcPr>
                <w:p w14:paraId="1C8BD70C">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浓度范围mg/L</w:t>
                  </w:r>
                </w:p>
              </w:tc>
              <w:tc>
                <w:tcPr>
                  <w:tcW w:w="704" w:type="pct"/>
                  <w:vAlign w:val="center"/>
                </w:tcPr>
                <w:p w14:paraId="3BC5A15B">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7.8~ 8.1</w:t>
                  </w:r>
                </w:p>
              </w:tc>
              <w:tc>
                <w:tcPr>
                  <w:tcW w:w="924" w:type="pct"/>
                  <w:vAlign w:val="center"/>
                </w:tcPr>
                <w:p w14:paraId="27CBEA2A">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16~19</w:t>
                  </w:r>
                </w:p>
              </w:tc>
              <w:tc>
                <w:tcPr>
                  <w:tcW w:w="907" w:type="pct"/>
                  <w:vAlign w:val="center"/>
                </w:tcPr>
                <w:p w14:paraId="54E31962">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0.149~0.350</w:t>
                  </w:r>
                </w:p>
              </w:tc>
              <w:tc>
                <w:tcPr>
                  <w:tcW w:w="846" w:type="pct"/>
                  <w:tcBorders>
                    <w:right w:val="single" w:color="auto" w:sz="2" w:space="0"/>
                  </w:tcBorders>
                  <w:vAlign w:val="center"/>
                </w:tcPr>
                <w:p w14:paraId="2751B36C">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0.08~0.09</w:t>
                  </w:r>
                </w:p>
              </w:tc>
            </w:tr>
            <w:tr w14:paraId="4C7FE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93" w:type="pct"/>
                  <w:vMerge w:val="continue"/>
                  <w:vAlign w:val="center"/>
                </w:tcPr>
                <w:p w14:paraId="7F3631FB">
                  <w:pPr>
                    <w:spacing w:line="260" w:lineRule="exact"/>
                    <w:jc w:val="center"/>
                    <w:rPr>
                      <w:color w:val="000000" w:themeColor="text1"/>
                      <w:szCs w:val="21"/>
                      <w14:textFill>
                        <w14:solidFill>
                          <w14:schemeClr w14:val="tx1"/>
                        </w14:solidFill>
                      </w14:textFill>
                    </w:rPr>
                  </w:pPr>
                </w:p>
              </w:tc>
              <w:tc>
                <w:tcPr>
                  <w:tcW w:w="1123" w:type="pct"/>
                  <w:vAlign w:val="center"/>
                </w:tcPr>
                <w:p w14:paraId="5D285495">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最大污染指数</w:t>
                  </w:r>
                </w:p>
              </w:tc>
              <w:tc>
                <w:tcPr>
                  <w:tcW w:w="704" w:type="pct"/>
                  <w:vAlign w:val="center"/>
                </w:tcPr>
                <w:p w14:paraId="6F41AF45">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w:t>
                  </w:r>
                  <w:r>
                    <w:rPr>
                      <w:color w:val="000000" w:themeColor="text1"/>
                      <w:spacing w:val="-11"/>
                      <w:szCs w:val="21"/>
                      <w14:textFill>
                        <w14:solidFill>
                          <w14:schemeClr w14:val="tx1"/>
                        </w14:solidFill>
                      </w14:textFill>
                    </w:rPr>
                    <w:t>~0.10</w:t>
                  </w:r>
                </w:p>
              </w:tc>
              <w:tc>
                <w:tcPr>
                  <w:tcW w:w="924" w:type="pct"/>
                  <w:vAlign w:val="center"/>
                </w:tcPr>
                <w:p w14:paraId="45EDCD6C">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0.8~0.95</w:t>
                  </w:r>
                </w:p>
              </w:tc>
              <w:tc>
                <w:tcPr>
                  <w:tcW w:w="907" w:type="pct"/>
                  <w:vAlign w:val="center"/>
                </w:tcPr>
                <w:p w14:paraId="4EEE7CAE">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0.149~0.350</w:t>
                  </w:r>
                </w:p>
              </w:tc>
              <w:tc>
                <w:tcPr>
                  <w:tcW w:w="846" w:type="pct"/>
                  <w:tcBorders>
                    <w:right w:val="single" w:color="auto" w:sz="2" w:space="0"/>
                  </w:tcBorders>
                  <w:vAlign w:val="center"/>
                </w:tcPr>
                <w:p w14:paraId="2E31EDE3">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0.4~0.45</w:t>
                  </w:r>
                </w:p>
              </w:tc>
            </w:tr>
            <w:tr w14:paraId="0E550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93" w:type="pct"/>
                  <w:vMerge w:val="continue"/>
                  <w:vAlign w:val="center"/>
                </w:tcPr>
                <w:p w14:paraId="62A70F5F">
                  <w:pPr>
                    <w:spacing w:line="260" w:lineRule="exact"/>
                    <w:jc w:val="center"/>
                    <w:rPr>
                      <w:color w:val="000000" w:themeColor="text1"/>
                      <w:szCs w:val="21"/>
                      <w14:textFill>
                        <w14:solidFill>
                          <w14:schemeClr w14:val="tx1"/>
                        </w14:solidFill>
                      </w14:textFill>
                    </w:rPr>
                  </w:pPr>
                </w:p>
              </w:tc>
              <w:tc>
                <w:tcPr>
                  <w:tcW w:w="1123" w:type="pct"/>
                  <w:vAlign w:val="center"/>
                </w:tcPr>
                <w:p w14:paraId="3E0592A4">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超标率％</w:t>
                  </w:r>
                </w:p>
              </w:tc>
              <w:tc>
                <w:tcPr>
                  <w:tcW w:w="704" w:type="pct"/>
                  <w:vAlign w:val="center"/>
                </w:tcPr>
                <w:p w14:paraId="76D78354">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24" w:type="pct"/>
                  <w:vAlign w:val="center"/>
                </w:tcPr>
                <w:p w14:paraId="44D620FB">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07" w:type="pct"/>
                  <w:vAlign w:val="center"/>
                </w:tcPr>
                <w:p w14:paraId="65BC1393">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846" w:type="pct"/>
                  <w:tcBorders>
                    <w:right w:val="single" w:color="auto" w:sz="2" w:space="0"/>
                  </w:tcBorders>
                  <w:vAlign w:val="center"/>
                </w:tcPr>
                <w:p w14:paraId="7B47D8CC">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14:paraId="373AD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continue"/>
                  <w:vAlign w:val="center"/>
                </w:tcPr>
                <w:p w14:paraId="6F11F576">
                  <w:pPr>
                    <w:spacing w:line="260" w:lineRule="exact"/>
                    <w:jc w:val="center"/>
                    <w:rPr>
                      <w:color w:val="000000" w:themeColor="text1"/>
                      <w:szCs w:val="21"/>
                      <w14:textFill>
                        <w14:solidFill>
                          <w14:schemeClr w14:val="tx1"/>
                        </w14:solidFill>
                      </w14:textFill>
                    </w:rPr>
                  </w:pPr>
                </w:p>
              </w:tc>
              <w:tc>
                <w:tcPr>
                  <w:tcW w:w="1123" w:type="pct"/>
                  <w:vAlign w:val="center"/>
                </w:tcPr>
                <w:p w14:paraId="1F02B17F">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最大超标倍数</w:t>
                  </w:r>
                </w:p>
              </w:tc>
              <w:tc>
                <w:tcPr>
                  <w:tcW w:w="704" w:type="pct"/>
                  <w:vAlign w:val="center"/>
                </w:tcPr>
                <w:p w14:paraId="456011E7">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24" w:type="pct"/>
                  <w:vAlign w:val="center"/>
                </w:tcPr>
                <w:p w14:paraId="119BB0AC">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07" w:type="pct"/>
                  <w:vAlign w:val="center"/>
                </w:tcPr>
                <w:p w14:paraId="1CD58397">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846" w:type="pct"/>
                  <w:tcBorders>
                    <w:right w:val="single" w:color="auto" w:sz="2" w:space="0"/>
                  </w:tcBorders>
                  <w:vAlign w:val="center"/>
                </w:tcPr>
                <w:p w14:paraId="4625E7CF">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14:paraId="1B38B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restart"/>
                  <w:vAlign w:val="center"/>
                </w:tcPr>
                <w:p w14:paraId="66D5A2C0">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W2</w:t>
                  </w:r>
                </w:p>
              </w:tc>
              <w:tc>
                <w:tcPr>
                  <w:tcW w:w="1123" w:type="pct"/>
                  <w:vAlign w:val="center"/>
                </w:tcPr>
                <w:p w14:paraId="2CD182BB">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浓度范围mg/L</w:t>
                  </w:r>
                </w:p>
              </w:tc>
              <w:tc>
                <w:tcPr>
                  <w:tcW w:w="704" w:type="pct"/>
                  <w:vAlign w:val="center"/>
                </w:tcPr>
                <w:p w14:paraId="7C9117BF">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7.7~8.0</w:t>
                  </w:r>
                </w:p>
              </w:tc>
              <w:tc>
                <w:tcPr>
                  <w:tcW w:w="924" w:type="pct"/>
                  <w:vAlign w:val="center"/>
                </w:tcPr>
                <w:p w14:paraId="6548F617">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14~17</w:t>
                  </w:r>
                </w:p>
              </w:tc>
              <w:tc>
                <w:tcPr>
                  <w:tcW w:w="907" w:type="pct"/>
                  <w:vAlign w:val="center"/>
                </w:tcPr>
                <w:p w14:paraId="3B15CC5D">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0.251~0.331</w:t>
                  </w:r>
                </w:p>
              </w:tc>
              <w:tc>
                <w:tcPr>
                  <w:tcW w:w="846" w:type="pct"/>
                  <w:tcBorders>
                    <w:right w:val="single" w:color="auto" w:sz="2" w:space="0"/>
                  </w:tcBorders>
                  <w:vAlign w:val="center"/>
                </w:tcPr>
                <w:p w14:paraId="4E4DD6DD">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0.08~0.09</w:t>
                  </w:r>
                </w:p>
              </w:tc>
            </w:tr>
            <w:tr w14:paraId="6282F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continue"/>
                  <w:vAlign w:val="center"/>
                </w:tcPr>
                <w:p w14:paraId="69B57B09">
                  <w:pPr>
                    <w:spacing w:line="260" w:lineRule="exact"/>
                    <w:jc w:val="center"/>
                    <w:rPr>
                      <w:color w:val="000000" w:themeColor="text1"/>
                      <w:szCs w:val="21"/>
                      <w14:textFill>
                        <w14:solidFill>
                          <w14:schemeClr w14:val="tx1"/>
                        </w14:solidFill>
                      </w14:textFill>
                    </w:rPr>
                  </w:pPr>
                </w:p>
              </w:tc>
              <w:tc>
                <w:tcPr>
                  <w:tcW w:w="1123" w:type="pct"/>
                  <w:vAlign w:val="center"/>
                </w:tcPr>
                <w:p w14:paraId="723DFFC7">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最大污染指数</w:t>
                  </w:r>
                </w:p>
              </w:tc>
              <w:tc>
                <w:tcPr>
                  <w:tcW w:w="704" w:type="pct"/>
                  <w:vAlign w:val="center"/>
                </w:tcPr>
                <w:p w14:paraId="4F8A6AA1">
                  <w:pPr>
                    <w:spacing w:line="260" w:lineRule="exact"/>
                    <w:jc w:val="center"/>
                    <w:rPr>
                      <w:color w:val="000000" w:themeColor="text1"/>
                      <w:szCs w:val="21"/>
                      <w14:textFill>
                        <w14:solidFill>
                          <w14:schemeClr w14:val="tx1"/>
                        </w14:solidFill>
                      </w14:textFill>
                    </w:rPr>
                  </w:pPr>
                  <w:r>
                    <w:rPr>
                      <w:color w:val="000000" w:themeColor="text1"/>
                      <w:spacing w:val="-11"/>
                      <w:szCs w:val="21"/>
                      <w14:textFill>
                        <w14:solidFill>
                          <w14:schemeClr w14:val="tx1"/>
                        </w14:solidFill>
                      </w14:textFill>
                    </w:rPr>
                    <w:t>0.00~0.10</w:t>
                  </w:r>
                </w:p>
              </w:tc>
              <w:tc>
                <w:tcPr>
                  <w:tcW w:w="924" w:type="pct"/>
                  <w:vAlign w:val="center"/>
                </w:tcPr>
                <w:p w14:paraId="0C298DB7">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0.7~0.85</w:t>
                  </w:r>
                </w:p>
              </w:tc>
              <w:tc>
                <w:tcPr>
                  <w:tcW w:w="907" w:type="pct"/>
                  <w:vAlign w:val="center"/>
                </w:tcPr>
                <w:p w14:paraId="312E562F">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0.251~0.331</w:t>
                  </w:r>
                </w:p>
              </w:tc>
              <w:tc>
                <w:tcPr>
                  <w:tcW w:w="846" w:type="pct"/>
                  <w:tcBorders>
                    <w:right w:val="single" w:color="auto" w:sz="2" w:space="0"/>
                  </w:tcBorders>
                  <w:vAlign w:val="center"/>
                </w:tcPr>
                <w:p w14:paraId="59AD2576">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0.4~0.45</w:t>
                  </w:r>
                </w:p>
              </w:tc>
            </w:tr>
            <w:tr w14:paraId="1F13AE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continue"/>
                  <w:vAlign w:val="center"/>
                </w:tcPr>
                <w:p w14:paraId="557BC8E2">
                  <w:pPr>
                    <w:spacing w:line="260" w:lineRule="exact"/>
                    <w:jc w:val="center"/>
                    <w:rPr>
                      <w:color w:val="000000" w:themeColor="text1"/>
                      <w:szCs w:val="21"/>
                      <w14:textFill>
                        <w14:solidFill>
                          <w14:schemeClr w14:val="tx1"/>
                        </w14:solidFill>
                      </w14:textFill>
                    </w:rPr>
                  </w:pPr>
                </w:p>
              </w:tc>
              <w:tc>
                <w:tcPr>
                  <w:tcW w:w="1123" w:type="pct"/>
                  <w:vAlign w:val="center"/>
                </w:tcPr>
                <w:p w14:paraId="08D66111">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超标率％</w:t>
                  </w:r>
                </w:p>
              </w:tc>
              <w:tc>
                <w:tcPr>
                  <w:tcW w:w="704" w:type="pct"/>
                  <w:vAlign w:val="center"/>
                </w:tcPr>
                <w:p w14:paraId="23569049">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24" w:type="pct"/>
                  <w:vAlign w:val="center"/>
                </w:tcPr>
                <w:p w14:paraId="4AEA0275">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07" w:type="pct"/>
                  <w:vAlign w:val="center"/>
                </w:tcPr>
                <w:p w14:paraId="0E6D165A">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846" w:type="pct"/>
                  <w:tcBorders>
                    <w:right w:val="single" w:color="auto" w:sz="2" w:space="0"/>
                  </w:tcBorders>
                  <w:vAlign w:val="center"/>
                </w:tcPr>
                <w:p w14:paraId="09FF37FE">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14:paraId="5F518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vMerge w:val="continue"/>
                  <w:vAlign w:val="center"/>
                </w:tcPr>
                <w:p w14:paraId="51227919">
                  <w:pPr>
                    <w:spacing w:line="260" w:lineRule="exact"/>
                    <w:jc w:val="center"/>
                    <w:rPr>
                      <w:color w:val="000000" w:themeColor="text1"/>
                      <w:szCs w:val="21"/>
                      <w14:textFill>
                        <w14:solidFill>
                          <w14:schemeClr w14:val="tx1"/>
                        </w14:solidFill>
                      </w14:textFill>
                    </w:rPr>
                  </w:pPr>
                </w:p>
              </w:tc>
              <w:tc>
                <w:tcPr>
                  <w:tcW w:w="1123" w:type="pct"/>
                  <w:vAlign w:val="center"/>
                </w:tcPr>
                <w:p w14:paraId="328C8D06">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最大超标倍数</w:t>
                  </w:r>
                </w:p>
              </w:tc>
              <w:tc>
                <w:tcPr>
                  <w:tcW w:w="704" w:type="pct"/>
                  <w:vAlign w:val="center"/>
                </w:tcPr>
                <w:p w14:paraId="550AE9F5">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24" w:type="pct"/>
                  <w:vAlign w:val="center"/>
                </w:tcPr>
                <w:p w14:paraId="1EBE407C">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07" w:type="pct"/>
                  <w:vAlign w:val="center"/>
                </w:tcPr>
                <w:p w14:paraId="03BC9EC8">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846" w:type="pct"/>
                  <w:tcBorders>
                    <w:right w:val="single" w:color="auto" w:sz="2" w:space="0"/>
                  </w:tcBorders>
                  <w:vAlign w:val="center"/>
                </w:tcPr>
                <w:p w14:paraId="762407F0">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14:paraId="5FF6D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17" w:type="pct"/>
                  <w:gridSpan w:val="2"/>
                  <w:vAlign w:val="center"/>
                </w:tcPr>
                <w:p w14:paraId="557FA296">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地表水Ⅲ类标准</w:t>
                  </w:r>
                </w:p>
              </w:tc>
              <w:tc>
                <w:tcPr>
                  <w:tcW w:w="704" w:type="pct"/>
                  <w:vAlign w:val="center"/>
                </w:tcPr>
                <w:p w14:paraId="1C8D4A6F">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924" w:type="pct"/>
                  <w:vAlign w:val="center"/>
                </w:tcPr>
                <w:p w14:paraId="736D340D">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907" w:type="pct"/>
                  <w:vAlign w:val="center"/>
                </w:tcPr>
                <w:p w14:paraId="3F72CB9C">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846" w:type="pct"/>
                  <w:tcBorders>
                    <w:right w:val="single" w:color="auto" w:sz="2" w:space="0"/>
                  </w:tcBorders>
                  <w:vAlign w:val="center"/>
                </w:tcPr>
                <w:p w14:paraId="31FA074D">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r>
          </w:tbl>
          <w:p w14:paraId="1AA8479D">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地表水水质现状评价结果表明，尧塘河W1、W2</w:t>
            </w:r>
            <w:r>
              <w:rPr>
                <w:rFonts w:hint="eastAsia"/>
                <w:color w:val="000000" w:themeColor="text1"/>
                <w:sz w:val="24"/>
                <w14:textFill>
                  <w14:solidFill>
                    <w14:schemeClr w14:val="tx1"/>
                  </w14:solidFill>
                </w14:textFill>
              </w:rPr>
              <w:t>各引用</w:t>
            </w:r>
            <w:r>
              <w:rPr>
                <w:color w:val="000000" w:themeColor="text1"/>
                <w:sz w:val="24"/>
                <w14:textFill>
                  <w14:solidFill>
                    <w14:schemeClr w14:val="tx1"/>
                  </w14:solidFill>
                </w14:textFill>
              </w:rPr>
              <w:t>断面的pH、化学需氧量、氨氮、总磷均能达到《地表水环境质量标准》（GB3838-2002）中Ⅲ类</w:t>
            </w:r>
            <w:r>
              <w:rPr>
                <w:rFonts w:hint="eastAsia"/>
                <w:color w:val="000000" w:themeColor="text1"/>
                <w:sz w:val="24"/>
                <w14:textFill>
                  <w14:solidFill>
                    <w14:schemeClr w14:val="tx1"/>
                  </w14:solidFill>
                </w14:textFill>
              </w:rPr>
              <w:t>水质标准</w:t>
            </w:r>
            <w:r>
              <w:rPr>
                <w:color w:val="000000" w:themeColor="text1"/>
                <w:sz w:val="24"/>
                <w14:textFill>
                  <w14:solidFill>
                    <w14:schemeClr w14:val="tx1"/>
                  </w14:solidFill>
                </w14:textFill>
              </w:rPr>
              <w:t>，符合《江苏省地表水（环境）功能区规划（2021—2030年）》功能区水质目标。</w:t>
            </w:r>
          </w:p>
          <w:p w14:paraId="44D01878">
            <w:pPr>
              <w:spacing w:line="480" w:lineRule="exac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、声环境</w:t>
            </w:r>
          </w:p>
          <w:p w14:paraId="7E47838A">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本项目50米周边范围内无敏感目标，故不进行声环境质量调查。</w:t>
            </w:r>
          </w:p>
          <w:p w14:paraId="188E3E12">
            <w:pPr>
              <w:spacing w:line="480" w:lineRule="exact"/>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、生态环境</w:t>
            </w:r>
          </w:p>
          <w:p w14:paraId="23EFF29C">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本项目租用</w:t>
            </w:r>
            <w:r>
              <w:rPr>
                <w:color w:val="000000" w:themeColor="text1"/>
                <w:spacing w:val="-2"/>
                <w:sz w:val="24"/>
                <w14:textFill>
                  <w14:solidFill>
                    <w14:schemeClr w14:val="tx1"/>
                  </w14:solidFill>
                </w14:textFill>
              </w:rPr>
              <w:t>现有厂房</w:t>
            </w:r>
            <w:r>
              <w:rPr>
                <w:color w:val="000000" w:themeColor="text1"/>
                <w:sz w:val="24"/>
                <w14:textFill>
                  <w14:solidFill>
                    <w14:schemeClr w14:val="tx1"/>
                  </w14:solidFill>
                </w14:textFill>
              </w:rPr>
              <w:t>进行生产，不涉及新增用地，用地范围内无生态环境保护目标，故不进行生态环境现状调查。</w:t>
            </w:r>
          </w:p>
          <w:p w14:paraId="473B1BBF">
            <w:pPr>
              <w:spacing w:line="480" w:lineRule="exact"/>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、电磁辐射</w:t>
            </w:r>
          </w:p>
          <w:p w14:paraId="41A43665">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本项目生产过程中不使用含放射性同位素和伴有电磁辐射的设施，故不进行电磁辐射现状监测与评价。</w:t>
            </w:r>
          </w:p>
          <w:p w14:paraId="53C78985">
            <w:pPr>
              <w:spacing w:line="480" w:lineRule="exact"/>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、地下水、土壤环境质量</w:t>
            </w:r>
          </w:p>
          <w:p w14:paraId="28F3A270">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color w:val="000000" w:themeColor="text1"/>
                <w:spacing w:val="-2"/>
                <w:sz w:val="24"/>
                <w14:textFill>
                  <w14:solidFill>
                    <w14:schemeClr w14:val="tx1"/>
                  </w14:solidFill>
                </w14:textFill>
              </w:rPr>
              <w:t>利用现有</w:t>
            </w:r>
            <w:r>
              <w:rPr>
                <w:rFonts w:hint="eastAsia"/>
                <w:color w:val="000000" w:themeColor="text1"/>
                <w:spacing w:val="-2"/>
                <w:sz w:val="24"/>
                <w14:textFill>
                  <w14:solidFill>
                    <w14:schemeClr w14:val="tx1"/>
                  </w14:solidFill>
                </w14:textFill>
              </w:rPr>
              <w:t>2F</w:t>
            </w:r>
            <w:r>
              <w:rPr>
                <w:color w:val="000000" w:themeColor="text1"/>
                <w:spacing w:val="-2"/>
                <w:sz w:val="24"/>
                <w14:textFill>
                  <w14:solidFill>
                    <w14:schemeClr w14:val="tx1"/>
                  </w14:solidFill>
                </w14:textFill>
              </w:rPr>
              <w:t>厂房进行</w:t>
            </w:r>
            <w:r>
              <w:rPr>
                <w:color w:val="000000" w:themeColor="text1"/>
                <w:sz w:val="24"/>
                <w14:textFill>
                  <w14:solidFill>
                    <w14:schemeClr w14:val="tx1"/>
                  </w14:solidFill>
                </w14:textFill>
              </w:rPr>
              <w:t>生产，厂房已进行了防腐、防渗措施，生产过程中基本不会对地下水、土壤造成污染；同时根据《建设项目环境影响报告表编制技术指南（污染影响类）（试行）》原则上不开展地下水、土壤环境质量现状调查。</w:t>
            </w:r>
          </w:p>
        </w:tc>
      </w:tr>
      <w:tr w14:paraId="79A1A0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op w:val="single" w:color="auto" w:sz="4" w:space="0"/>
              <w:left w:val="single" w:color="auto" w:sz="4" w:space="0"/>
              <w:bottom w:val="single" w:color="auto" w:sz="4" w:space="0"/>
            </w:tcBorders>
            <w:vAlign w:val="center"/>
          </w:tcPr>
          <w:p w14:paraId="3B3A623B">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环境保</w:t>
            </w:r>
          </w:p>
          <w:p w14:paraId="49D736F7">
            <w:pPr>
              <w:adjustRightInd w:val="0"/>
              <w:snapToGrid w:val="0"/>
              <w:jc w:val="center"/>
              <w:rPr>
                <w:snapToGrid w:val="0"/>
                <w:color w:val="000000" w:themeColor="text1"/>
                <w:sz w:val="24"/>
                <w14:textFill>
                  <w14:solidFill>
                    <w14:schemeClr w14:val="tx1"/>
                  </w14:solidFill>
                </w14:textFill>
              </w:rPr>
            </w:pPr>
            <w:r>
              <w:rPr>
                <w:color w:val="000000" w:themeColor="text1"/>
                <w:kern w:val="0"/>
                <w:sz w:val="24"/>
                <w14:textFill>
                  <w14:solidFill>
                    <w14:schemeClr w14:val="tx1"/>
                  </w14:solidFill>
                </w14:textFill>
              </w:rPr>
              <w:t>护目标</w:t>
            </w:r>
          </w:p>
        </w:tc>
        <w:tc>
          <w:tcPr>
            <w:tcW w:w="9534" w:type="dxa"/>
            <w:tcBorders>
              <w:top w:val="single" w:color="auto" w:sz="4" w:space="0"/>
              <w:bottom w:val="single" w:color="auto" w:sz="4" w:space="0"/>
              <w:right w:val="single" w:color="auto" w:sz="4" w:space="0"/>
            </w:tcBorders>
            <w:vAlign w:val="center"/>
          </w:tcPr>
          <w:p w14:paraId="60649126">
            <w:pPr>
              <w:adjustRightInd w:val="0"/>
              <w:snapToGrid w:val="0"/>
              <w:spacing w:line="480" w:lineRule="exact"/>
              <w:rPr>
                <w:b/>
                <w:color w:val="000000" w:themeColor="text1"/>
                <w:sz w:val="24"/>
                <w14:textFill>
                  <w14:solidFill>
                    <w14:schemeClr w14:val="tx1"/>
                  </w14:solidFill>
                </w14:textFill>
              </w:rPr>
            </w:pPr>
            <w:r>
              <w:rPr>
                <w:b/>
                <w:bCs/>
                <w:color w:val="000000" w:themeColor="text1"/>
                <w:sz w:val="24"/>
                <w14:textFill>
                  <w14:solidFill>
                    <w14:schemeClr w14:val="tx1"/>
                  </w14:solidFill>
                </w14:textFill>
              </w:rPr>
              <w:t>主要环境保护目标</w:t>
            </w:r>
            <w:r>
              <w:rPr>
                <w:b/>
                <w:color w:val="000000" w:themeColor="text1"/>
                <w:sz w:val="24"/>
                <w14:textFill>
                  <w14:solidFill>
                    <w14:schemeClr w14:val="tx1"/>
                  </w14:solidFill>
                </w14:textFill>
              </w:rPr>
              <w:t>：</w:t>
            </w:r>
          </w:p>
          <w:p w14:paraId="0D213C78">
            <w:pPr>
              <w:adjustRightInd w:val="0"/>
              <w:snapToGrid w:val="0"/>
              <w:spacing w:line="480" w:lineRule="exact"/>
              <w:ind w:firstLine="472" w:firstLineChars="200"/>
              <w:textAlignment w:val="baseline"/>
              <w:rPr>
                <w:color w:val="000000" w:themeColor="text1"/>
                <w:spacing w:val="-2"/>
                <w:kern w:val="28"/>
                <w:sz w:val="24"/>
                <w14:textFill>
                  <w14:solidFill>
                    <w14:schemeClr w14:val="tx1"/>
                  </w14:solidFill>
                </w14:textFill>
              </w:rPr>
            </w:pPr>
            <w:r>
              <w:rPr>
                <w:color w:val="000000" w:themeColor="text1"/>
                <w:spacing w:val="-2"/>
                <w:kern w:val="28"/>
                <w:sz w:val="24"/>
                <w14:textFill>
                  <w14:solidFill>
                    <w14:schemeClr w14:val="tx1"/>
                  </w14:solidFill>
                </w14:textFill>
              </w:rPr>
              <w:t>根据对建设项目周边环境现状的踏勘与调查，建设项目附近无文物保护区、风景名胜区、饮用水源地等敏感环境保护目标。</w:t>
            </w:r>
          </w:p>
          <w:p w14:paraId="4F197D04">
            <w:pPr>
              <w:spacing w:line="40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表3-6大气环境保护目标</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651"/>
              <w:gridCol w:w="1552"/>
              <w:gridCol w:w="1433"/>
              <w:gridCol w:w="1167"/>
              <w:gridCol w:w="1110"/>
              <w:gridCol w:w="1952"/>
              <w:gridCol w:w="686"/>
              <w:gridCol w:w="740"/>
            </w:tblGrid>
            <w:tr w14:paraId="1D99B1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0" w:type="pct"/>
                  <w:vMerge w:val="restart"/>
                  <w:tcBorders>
                    <w:tl2br w:val="nil"/>
                    <w:tr2bl w:val="nil"/>
                  </w:tcBorders>
                  <w:tcMar>
                    <w:top w:w="0" w:type="dxa"/>
                    <w:left w:w="0" w:type="dxa"/>
                    <w:bottom w:w="0" w:type="dxa"/>
                    <w:right w:w="0" w:type="dxa"/>
                  </w:tcMar>
                  <w:vAlign w:val="center"/>
                </w:tcPr>
                <w:p w14:paraId="1FDDEFDA">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保护项目</w:t>
                  </w:r>
                </w:p>
              </w:tc>
              <w:tc>
                <w:tcPr>
                  <w:tcW w:w="1606" w:type="pct"/>
                  <w:gridSpan w:val="2"/>
                  <w:tcBorders>
                    <w:tl2br w:val="nil"/>
                    <w:tr2bl w:val="nil"/>
                  </w:tcBorders>
                  <w:tcMar>
                    <w:top w:w="0" w:type="dxa"/>
                    <w:left w:w="0" w:type="dxa"/>
                    <w:bottom w:w="0" w:type="dxa"/>
                    <w:right w:w="0" w:type="dxa"/>
                  </w:tcMar>
                  <w:vAlign w:val="center"/>
                </w:tcPr>
                <w:p w14:paraId="2047392B">
                  <w:pPr>
                    <w:keepNext/>
                    <w:keepLine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坐标</w:t>
                  </w:r>
                </w:p>
              </w:tc>
              <w:tc>
                <w:tcPr>
                  <w:tcW w:w="628" w:type="pct"/>
                  <w:vMerge w:val="restart"/>
                  <w:tcBorders>
                    <w:tl2br w:val="nil"/>
                    <w:tr2bl w:val="nil"/>
                  </w:tcBorders>
                  <w:tcMar>
                    <w:top w:w="0" w:type="dxa"/>
                    <w:left w:w="0" w:type="dxa"/>
                    <w:bottom w:w="0" w:type="dxa"/>
                    <w:right w:w="0" w:type="dxa"/>
                  </w:tcMar>
                  <w:vAlign w:val="center"/>
                </w:tcPr>
                <w:p w14:paraId="6768D839">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保护对象</w:t>
                  </w:r>
                </w:p>
              </w:tc>
              <w:tc>
                <w:tcPr>
                  <w:tcW w:w="596" w:type="pct"/>
                  <w:vMerge w:val="restart"/>
                  <w:tcBorders>
                    <w:tl2br w:val="nil"/>
                    <w:tr2bl w:val="nil"/>
                  </w:tcBorders>
                  <w:tcMar>
                    <w:top w:w="0" w:type="dxa"/>
                    <w:left w:w="0" w:type="dxa"/>
                    <w:bottom w:w="0" w:type="dxa"/>
                    <w:right w:w="0" w:type="dxa"/>
                  </w:tcMar>
                  <w:vAlign w:val="center"/>
                </w:tcPr>
                <w:p w14:paraId="3C3BE5FD">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保护内容</w:t>
                  </w:r>
                </w:p>
              </w:tc>
              <w:tc>
                <w:tcPr>
                  <w:tcW w:w="1050" w:type="pct"/>
                  <w:vMerge w:val="restart"/>
                  <w:tcBorders>
                    <w:tl2br w:val="nil"/>
                    <w:tr2bl w:val="nil"/>
                  </w:tcBorders>
                  <w:tcMar>
                    <w:top w:w="0" w:type="dxa"/>
                    <w:left w:w="0" w:type="dxa"/>
                    <w:bottom w:w="0" w:type="dxa"/>
                    <w:right w:w="0" w:type="dxa"/>
                  </w:tcMar>
                  <w:vAlign w:val="center"/>
                </w:tcPr>
                <w:p w14:paraId="60F2E83C">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环境功能区</w:t>
                  </w:r>
                </w:p>
              </w:tc>
              <w:tc>
                <w:tcPr>
                  <w:tcW w:w="369" w:type="pct"/>
                  <w:vMerge w:val="restart"/>
                  <w:tcBorders>
                    <w:tl2br w:val="nil"/>
                    <w:tr2bl w:val="nil"/>
                  </w:tcBorders>
                  <w:tcMar>
                    <w:top w:w="0" w:type="dxa"/>
                    <w:left w:w="0" w:type="dxa"/>
                    <w:bottom w:w="0" w:type="dxa"/>
                    <w:right w:w="0" w:type="dxa"/>
                  </w:tcMar>
                  <w:vAlign w:val="center"/>
                </w:tcPr>
                <w:p w14:paraId="61C43104">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相对厂址方位</w:t>
                  </w:r>
                </w:p>
              </w:tc>
              <w:tc>
                <w:tcPr>
                  <w:tcW w:w="397" w:type="pct"/>
                  <w:vMerge w:val="restart"/>
                  <w:tcBorders>
                    <w:tl2br w:val="nil"/>
                    <w:tr2bl w:val="nil"/>
                  </w:tcBorders>
                  <w:tcMar>
                    <w:top w:w="0" w:type="dxa"/>
                    <w:left w:w="0" w:type="dxa"/>
                    <w:bottom w:w="0" w:type="dxa"/>
                    <w:right w:w="0" w:type="dxa"/>
                  </w:tcMar>
                  <w:vAlign w:val="center"/>
                </w:tcPr>
                <w:p w14:paraId="3E9963E2">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相对厂界最近距离/m</w:t>
                  </w:r>
                </w:p>
              </w:tc>
            </w:tr>
            <w:tr w14:paraId="075400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0" w:type="pct"/>
                  <w:vMerge w:val="continue"/>
                  <w:tcBorders>
                    <w:tl2br w:val="nil"/>
                    <w:tr2bl w:val="nil"/>
                  </w:tcBorders>
                  <w:tcMar>
                    <w:top w:w="0" w:type="dxa"/>
                    <w:left w:w="0" w:type="dxa"/>
                    <w:bottom w:w="0" w:type="dxa"/>
                    <w:right w:w="0" w:type="dxa"/>
                  </w:tcMar>
                  <w:vAlign w:val="center"/>
                </w:tcPr>
                <w:p w14:paraId="2C3AE0D4">
                  <w:pPr>
                    <w:adjustRightInd w:val="0"/>
                    <w:snapToGrid w:val="0"/>
                    <w:jc w:val="center"/>
                    <w:rPr>
                      <w:color w:val="000000" w:themeColor="text1"/>
                      <w:szCs w:val="21"/>
                      <w14:textFill>
                        <w14:solidFill>
                          <w14:schemeClr w14:val="tx1"/>
                        </w14:solidFill>
                      </w14:textFill>
                    </w:rPr>
                  </w:pPr>
                </w:p>
              </w:tc>
              <w:tc>
                <w:tcPr>
                  <w:tcW w:w="835" w:type="pct"/>
                  <w:tcBorders>
                    <w:tl2br w:val="nil"/>
                    <w:tr2bl w:val="nil"/>
                  </w:tcBorders>
                  <w:tcMar>
                    <w:top w:w="0" w:type="dxa"/>
                    <w:left w:w="0" w:type="dxa"/>
                    <w:bottom w:w="0" w:type="dxa"/>
                    <w:right w:w="0" w:type="dxa"/>
                  </w:tcMar>
                  <w:vAlign w:val="center"/>
                </w:tcPr>
                <w:p w14:paraId="69CFE560">
                  <w:pPr>
                    <w:keepNext/>
                    <w:keepLine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X</w:t>
                  </w:r>
                </w:p>
              </w:tc>
              <w:tc>
                <w:tcPr>
                  <w:tcW w:w="771" w:type="pct"/>
                  <w:tcBorders>
                    <w:tl2br w:val="nil"/>
                    <w:tr2bl w:val="nil"/>
                  </w:tcBorders>
                  <w:tcMar>
                    <w:top w:w="0" w:type="dxa"/>
                    <w:left w:w="0" w:type="dxa"/>
                    <w:bottom w:w="0" w:type="dxa"/>
                    <w:right w:w="0" w:type="dxa"/>
                  </w:tcMar>
                  <w:vAlign w:val="center"/>
                </w:tcPr>
                <w:p w14:paraId="679F9533">
                  <w:pPr>
                    <w:keepNext/>
                    <w:keepLine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Y</w:t>
                  </w:r>
                </w:p>
              </w:tc>
              <w:tc>
                <w:tcPr>
                  <w:tcW w:w="628" w:type="pct"/>
                  <w:vMerge w:val="continue"/>
                  <w:tcBorders>
                    <w:tl2br w:val="nil"/>
                    <w:tr2bl w:val="nil"/>
                  </w:tcBorders>
                  <w:tcMar>
                    <w:top w:w="0" w:type="dxa"/>
                    <w:left w:w="0" w:type="dxa"/>
                    <w:bottom w:w="0" w:type="dxa"/>
                    <w:right w:w="0" w:type="dxa"/>
                  </w:tcMar>
                  <w:vAlign w:val="center"/>
                </w:tcPr>
                <w:p w14:paraId="702BB2FF">
                  <w:pPr>
                    <w:adjustRightInd w:val="0"/>
                    <w:snapToGrid w:val="0"/>
                    <w:jc w:val="center"/>
                    <w:rPr>
                      <w:color w:val="000000" w:themeColor="text1"/>
                      <w:szCs w:val="21"/>
                      <w14:textFill>
                        <w14:solidFill>
                          <w14:schemeClr w14:val="tx1"/>
                        </w14:solidFill>
                      </w14:textFill>
                    </w:rPr>
                  </w:pPr>
                </w:p>
              </w:tc>
              <w:tc>
                <w:tcPr>
                  <w:tcW w:w="596" w:type="pct"/>
                  <w:vMerge w:val="continue"/>
                  <w:tcBorders>
                    <w:tl2br w:val="nil"/>
                    <w:tr2bl w:val="nil"/>
                  </w:tcBorders>
                  <w:tcMar>
                    <w:top w:w="0" w:type="dxa"/>
                    <w:left w:w="0" w:type="dxa"/>
                    <w:bottom w:w="0" w:type="dxa"/>
                    <w:right w:w="0" w:type="dxa"/>
                  </w:tcMar>
                  <w:vAlign w:val="center"/>
                </w:tcPr>
                <w:p w14:paraId="577EC8F0">
                  <w:pPr>
                    <w:adjustRightInd w:val="0"/>
                    <w:snapToGrid w:val="0"/>
                    <w:jc w:val="center"/>
                    <w:rPr>
                      <w:color w:val="000000" w:themeColor="text1"/>
                      <w:szCs w:val="21"/>
                      <w14:textFill>
                        <w14:solidFill>
                          <w14:schemeClr w14:val="tx1"/>
                        </w14:solidFill>
                      </w14:textFill>
                    </w:rPr>
                  </w:pPr>
                </w:p>
              </w:tc>
              <w:tc>
                <w:tcPr>
                  <w:tcW w:w="1050" w:type="pct"/>
                  <w:vMerge w:val="continue"/>
                  <w:tcBorders>
                    <w:tl2br w:val="nil"/>
                    <w:tr2bl w:val="nil"/>
                  </w:tcBorders>
                  <w:tcMar>
                    <w:top w:w="0" w:type="dxa"/>
                    <w:left w:w="0" w:type="dxa"/>
                    <w:bottom w:w="0" w:type="dxa"/>
                    <w:right w:w="0" w:type="dxa"/>
                  </w:tcMar>
                  <w:vAlign w:val="center"/>
                </w:tcPr>
                <w:p w14:paraId="35EF7308">
                  <w:pPr>
                    <w:adjustRightInd w:val="0"/>
                    <w:snapToGrid w:val="0"/>
                    <w:jc w:val="center"/>
                    <w:rPr>
                      <w:color w:val="000000" w:themeColor="text1"/>
                      <w:szCs w:val="21"/>
                      <w14:textFill>
                        <w14:solidFill>
                          <w14:schemeClr w14:val="tx1"/>
                        </w14:solidFill>
                      </w14:textFill>
                    </w:rPr>
                  </w:pPr>
                </w:p>
              </w:tc>
              <w:tc>
                <w:tcPr>
                  <w:tcW w:w="369" w:type="pct"/>
                  <w:vMerge w:val="continue"/>
                  <w:tcBorders>
                    <w:tl2br w:val="nil"/>
                    <w:tr2bl w:val="nil"/>
                  </w:tcBorders>
                  <w:tcMar>
                    <w:top w:w="0" w:type="dxa"/>
                    <w:left w:w="0" w:type="dxa"/>
                    <w:bottom w:w="0" w:type="dxa"/>
                    <w:right w:w="0" w:type="dxa"/>
                  </w:tcMar>
                  <w:vAlign w:val="center"/>
                </w:tcPr>
                <w:p w14:paraId="3E1CDD90">
                  <w:pPr>
                    <w:adjustRightInd w:val="0"/>
                    <w:snapToGrid w:val="0"/>
                    <w:jc w:val="center"/>
                    <w:rPr>
                      <w:color w:val="000000" w:themeColor="text1"/>
                      <w:szCs w:val="21"/>
                      <w14:textFill>
                        <w14:solidFill>
                          <w14:schemeClr w14:val="tx1"/>
                        </w14:solidFill>
                      </w14:textFill>
                    </w:rPr>
                  </w:pPr>
                </w:p>
              </w:tc>
              <w:tc>
                <w:tcPr>
                  <w:tcW w:w="397" w:type="pct"/>
                  <w:vMerge w:val="continue"/>
                  <w:tcBorders>
                    <w:tl2br w:val="nil"/>
                    <w:tr2bl w:val="nil"/>
                  </w:tcBorders>
                  <w:tcMar>
                    <w:top w:w="0" w:type="dxa"/>
                    <w:left w:w="0" w:type="dxa"/>
                    <w:bottom w:w="0" w:type="dxa"/>
                    <w:right w:w="0" w:type="dxa"/>
                  </w:tcMar>
                  <w:vAlign w:val="center"/>
                </w:tcPr>
                <w:p w14:paraId="746CA71D">
                  <w:pPr>
                    <w:adjustRightInd w:val="0"/>
                    <w:snapToGrid w:val="0"/>
                    <w:jc w:val="center"/>
                    <w:rPr>
                      <w:color w:val="000000" w:themeColor="text1"/>
                      <w:szCs w:val="21"/>
                      <w14:textFill>
                        <w14:solidFill>
                          <w14:schemeClr w14:val="tx1"/>
                        </w14:solidFill>
                      </w14:textFill>
                    </w:rPr>
                  </w:pPr>
                </w:p>
              </w:tc>
            </w:tr>
            <w:tr w14:paraId="515DFE8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0" w:type="pct"/>
                  <w:vMerge w:val="restart"/>
                  <w:tcBorders>
                    <w:tl2br w:val="nil"/>
                    <w:tr2bl w:val="nil"/>
                  </w:tcBorders>
                  <w:tcMar>
                    <w:top w:w="0" w:type="dxa"/>
                    <w:left w:w="0" w:type="dxa"/>
                    <w:bottom w:w="0" w:type="dxa"/>
                    <w:right w:w="0" w:type="dxa"/>
                  </w:tcMar>
                  <w:vAlign w:val="center"/>
                </w:tcPr>
                <w:p w14:paraId="3CA4A0E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835" w:type="pct"/>
                  <w:tcBorders>
                    <w:tl2br w:val="nil"/>
                    <w:tr2bl w:val="nil"/>
                  </w:tcBorders>
                  <w:tcMar>
                    <w:top w:w="0" w:type="dxa"/>
                    <w:left w:w="0" w:type="dxa"/>
                    <w:bottom w:w="0" w:type="dxa"/>
                    <w:right w:w="0" w:type="dxa"/>
                  </w:tcMar>
                  <w:vAlign w:val="center"/>
                </w:tcPr>
                <w:p w14:paraId="12BD3BF9">
                  <w:pPr>
                    <w:widowControl/>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119.560475</w:t>
                  </w:r>
                </w:p>
              </w:tc>
              <w:tc>
                <w:tcPr>
                  <w:tcW w:w="771" w:type="pct"/>
                  <w:tcBorders>
                    <w:tl2br w:val="nil"/>
                    <w:tr2bl w:val="nil"/>
                  </w:tcBorders>
                  <w:tcMar>
                    <w:top w:w="0" w:type="dxa"/>
                    <w:left w:w="0" w:type="dxa"/>
                    <w:bottom w:w="0" w:type="dxa"/>
                    <w:right w:w="0" w:type="dxa"/>
                  </w:tcMar>
                  <w:vAlign w:val="center"/>
                </w:tcPr>
                <w:p w14:paraId="00B27D94">
                  <w:pPr>
                    <w:widowControl/>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31.766960</w:t>
                  </w:r>
                </w:p>
              </w:tc>
              <w:tc>
                <w:tcPr>
                  <w:tcW w:w="628" w:type="pct"/>
                  <w:tcBorders>
                    <w:tl2br w:val="nil"/>
                    <w:tr2bl w:val="nil"/>
                  </w:tcBorders>
                  <w:tcMar>
                    <w:top w:w="0" w:type="dxa"/>
                    <w:left w:w="0" w:type="dxa"/>
                    <w:bottom w:w="0" w:type="dxa"/>
                    <w:right w:w="0" w:type="dxa"/>
                  </w:tcMar>
                  <w:vAlign w:val="center"/>
                </w:tcPr>
                <w:p w14:paraId="5A883A21">
                  <w:pPr>
                    <w:widowControl/>
                    <w:snapToGrid w:val="0"/>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宋庄</w:t>
                  </w:r>
                </w:p>
              </w:tc>
              <w:tc>
                <w:tcPr>
                  <w:tcW w:w="596" w:type="pct"/>
                  <w:tcBorders>
                    <w:tl2br w:val="nil"/>
                    <w:tr2bl w:val="nil"/>
                  </w:tcBorders>
                  <w:tcMar>
                    <w:top w:w="0" w:type="dxa"/>
                    <w:left w:w="0" w:type="dxa"/>
                    <w:bottom w:w="0" w:type="dxa"/>
                    <w:right w:w="0" w:type="dxa"/>
                  </w:tcMar>
                  <w:vAlign w:val="center"/>
                </w:tcPr>
                <w:p w14:paraId="372AFA01">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880人</w:t>
                  </w:r>
                </w:p>
              </w:tc>
              <w:tc>
                <w:tcPr>
                  <w:tcW w:w="1050" w:type="pct"/>
                  <w:vMerge w:val="restart"/>
                  <w:tcBorders>
                    <w:tl2br w:val="nil"/>
                    <w:tr2bl w:val="nil"/>
                  </w:tcBorders>
                  <w:tcMar>
                    <w:top w:w="0" w:type="dxa"/>
                    <w:left w:w="0" w:type="dxa"/>
                    <w:bottom w:w="0" w:type="dxa"/>
                    <w:right w:w="0" w:type="dxa"/>
                  </w:tcMar>
                  <w:vAlign w:val="center"/>
                </w:tcPr>
                <w:p w14:paraId="06C5BA8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《环境空气质量标准》</w:t>
                  </w:r>
                </w:p>
                <w:p w14:paraId="6A918F6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（GB3095-2012）中二类功能区</w:t>
                  </w:r>
                </w:p>
              </w:tc>
              <w:tc>
                <w:tcPr>
                  <w:tcW w:w="369" w:type="pct"/>
                  <w:tcBorders>
                    <w:tl2br w:val="nil"/>
                    <w:tr2bl w:val="nil"/>
                  </w:tcBorders>
                  <w:tcMar>
                    <w:top w:w="0" w:type="dxa"/>
                    <w:left w:w="0" w:type="dxa"/>
                    <w:bottom w:w="0" w:type="dxa"/>
                    <w:right w:w="0" w:type="dxa"/>
                  </w:tcMar>
                  <w:vAlign w:val="center"/>
                </w:tcPr>
                <w:p w14:paraId="6D384640">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NW</w:t>
                  </w:r>
                </w:p>
              </w:tc>
              <w:tc>
                <w:tcPr>
                  <w:tcW w:w="397" w:type="pct"/>
                  <w:tcBorders>
                    <w:tl2br w:val="nil"/>
                    <w:tr2bl w:val="nil"/>
                  </w:tcBorders>
                  <w:tcMar>
                    <w:top w:w="0" w:type="dxa"/>
                    <w:left w:w="0" w:type="dxa"/>
                    <w:bottom w:w="0" w:type="dxa"/>
                    <w:right w:w="0" w:type="dxa"/>
                  </w:tcMar>
                  <w:vAlign w:val="center"/>
                </w:tcPr>
                <w:p w14:paraId="22EBF68B">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420</w:t>
                  </w:r>
                </w:p>
              </w:tc>
            </w:tr>
            <w:tr w14:paraId="56DAF41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0" w:type="pct"/>
                  <w:vMerge w:val="continue"/>
                  <w:tcBorders>
                    <w:tl2br w:val="nil"/>
                    <w:tr2bl w:val="nil"/>
                  </w:tcBorders>
                  <w:tcMar>
                    <w:top w:w="0" w:type="dxa"/>
                    <w:left w:w="0" w:type="dxa"/>
                    <w:bottom w:w="0" w:type="dxa"/>
                    <w:right w:w="0" w:type="dxa"/>
                  </w:tcMar>
                  <w:vAlign w:val="center"/>
                </w:tcPr>
                <w:p w14:paraId="1DFB28B6">
                  <w:pPr>
                    <w:adjustRightInd w:val="0"/>
                    <w:snapToGrid w:val="0"/>
                    <w:jc w:val="center"/>
                    <w:rPr>
                      <w:color w:val="000000" w:themeColor="text1"/>
                      <w:szCs w:val="21"/>
                      <w14:textFill>
                        <w14:solidFill>
                          <w14:schemeClr w14:val="tx1"/>
                        </w14:solidFill>
                      </w14:textFill>
                    </w:rPr>
                  </w:pPr>
                </w:p>
              </w:tc>
              <w:tc>
                <w:tcPr>
                  <w:tcW w:w="835" w:type="pct"/>
                  <w:tcBorders>
                    <w:tl2br w:val="nil"/>
                    <w:tr2bl w:val="nil"/>
                  </w:tcBorders>
                  <w:tcMar>
                    <w:top w:w="0" w:type="dxa"/>
                    <w:left w:w="0" w:type="dxa"/>
                    <w:bottom w:w="0" w:type="dxa"/>
                    <w:right w:w="0" w:type="dxa"/>
                  </w:tcMar>
                  <w:vAlign w:val="center"/>
                </w:tcPr>
                <w:p w14:paraId="47559E84">
                  <w:pPr>
                    <w:widowControl/>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119.571277</w:t>
                  </w:r>
                </w:p>
              </w:tc>
              <w:tc>
                <w:tcPr>
                  <w:tcW w:w="771" w:type="pct"/>
                  <w:tcBorders>
                    <w:tl2br w:val="nil"/>
                    <w:tr2bl w:val="nil"/>
                  </w:tcBorders>
                  <w:tcMar>
                    <w:top w:w="0" w:type="dxa"/>
                    <w:left w:w="0" w:type="dxa"/>
                    <w:bottom w:w="0" w:type="dxa"/>
                    <w:right w:w="0" w:type="dxa"/>
                  </w:tcMar>
                  <w:vAlign w:val="center"/>
                </w:tcPr>
                <w:p w14:paraId="3AAF03F9">
                  <w:pPr>
                    <w:widowControl/>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31.76702</w:t>
                  </w:r>
                </w:p>
              </w:tc>
              <w:tc>
                <w:tcPr>
                  <w:tcW w:w="628" w:type="pct"/>
                  <w:tcBorders>
                    <w:tl2br w:val="nil"/>
                    <w:tr2bl w:val="nil"/>
                  </w:tcBorders>
                  <w:tcMar>
                    <w:top w:w="0" w:type="dxa"/>
                    <w:left w:w="0" w:type="dxa"/>
                    <w:bottom w:w="0" w:type="dxa"/>
                    <w:right w:w="0" w:type="dxa"/>
                  </w:tcMar>
                  <w:vAlign w:val="center"/>
                </w:tcPr>
                <w:p w14:paraId="67382F03">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陈家庄</w:t>
                  </w:r>
                </w:p>
              </w:tc>
              <w:tc>
                <w:tcPr>
                  <w:tcW w:w="596" w:type="pct"/>
                  <w:tcBorders>
                    <w:tl2br w:val="nil"/>
                    <w:tr2bl w:val="nil"/>
                  </w:tcBorders>
                  <w:tcMar>
                    <w:top w:w="0" w:type="dxa"/>
                    <w:left w:w="0" w:type="dxa"/>
                    <w:bottom w:w="0" w:type="dxa"/>
                    <w:right w:w="0" w:type="dxa"/>
                  </w:tcMar>
                  <w:vAlign w:val="center"/>
                </w:tcPr>
                <w:p w14:paraId="717071D6">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860人</w:t>
                  </w:r>
                </w:p>
              </w:tc>
              <w:tc>
                <w:tcPr>
                  <w:tcW w:w="1050" w:type="pct"/>
                  <w:vMerge w:val="continue"/>
                  <w:tcBorders>
                    <w:tl2br w:val="nil"/>
                    <w:tr2bl w:val="nil"/>
                  </w:tcBorders>
                  <w:tcMar>
                    <w:top w:w="0" w:type="dxa"/>
                    <w:left w:w="0" w:type="dxa"/>
                    <w:bottom w:w="0" w:type="dxa"/>
                    <w:right w:w="0" w:type="dxa"/>
                  </w:tcMar>
                  <w:vAlign w:val="center"/>
                </w:tcPr>
                <w:p w14:paraId="01CC003A">
                  <w:pPr>
                    <w:adjustRightInd w:val="0"/>
                    <w:snapToGrid w:val="0"/>
                    <w:jc w:val="center"/>
                    <w:rPr>
                      <w:color w:val="000000" w:themeColor="text1"/>
                      <w:szCs w:val="21"/>
                      <w14:textFill>
                        <w14:solidFill>
                          <w14:schemeClr w14:val="tx1"/>
                        </w14:solidFill>
                      </w14:textFill>
                    </w:rPr>
                  </w:pPr>
                </w:p>
              </w:tc>
              <w:tc>
                <w:tcPr>
                  <w:tcW w:w="369" w:type="pct"/>
                  <w:tcBorders>
                    <w:tl2br w:val="nil"/>
                    <w:tr2bl w:val="nil"/>
                  </w:tcBorders>
                  <w:tcMar>
                    <w:top w:w="0" w:type="dxa"/>
                    <w:left w:w="0" w:type="dxa"/>
                    <w:bottom w:w="0" w:type="dxa"/>
                    <w:right w:w="0" w:type="dxa"/>
                  </w:tcMar>
                  <w:vAlign w:val="center"/>
                </w:tcPr>
                <w:p w14:paraId="0A3170B0">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NE</w:t>
                  </w:r>
                </w:p>
              </w:tc>
              <w:tc>
                <w:tcPr>
                  <w:tcW w:w="397" w:type="pct"/>
                  <w:tcBorders>
                    <w:tl2br w:val="nil"/>
                    <w:tr2bl w:val="nil"/>
                  </w:tcBorders>
                  <w:tcMar>
                    <w:top w:w="0" w:type="dxa"/>
                    <w:left w:w="0" w:type="dxa"/>
                    <w:bottom w:w="0" w:type="dxa"/>
                    <w:right w:w="0" w:type="dxa"/>
                  </w:tcMar>
                  <w:vAlign w:val="center"/>
                </w:tcPr>
                <w:p w14:paraId="25BCCB96">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430</w:t>
                  </w:r>
                </w:p>
              </w:tc>
            </w:tr>
            <w:tr w14:paraId="4BF877A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0" w:type="pct"/>
                  <w:vMerge w:val="continue"/>
                  <w:tcBorders>
                    <w:tl2br w:val="nil"/>
                    <w:tr2bl w:val="nil"/>
                  </w:tcBorders>
                  <w:tcMar>
                    <w:top w:w="0" w:type="dxa"/>
                    <w:left w:w="0" w:type="dxa"/>
                    <w:bottom w:w="0" w:type="dxa"/>
                    <w:right w:w="0" w:type="dxa"/>
                  </w:tcMar>
                  <w:vAlign w:val="center"/>
                </w:tcPr>
                <w:p w14:paraId="28D26F82">
                  <w:pPr>
                    <w:adjustRightInd w:val="0"/>
                    <w:snapToGrid w:val="0"/>
                    <w:jc w:val="center"/>
                    <w:rPr>
                      <w:color w:val="000000" w:themeColor="text1"/>
                      <w:szCs w:val="21"/>
                      <w14:textFill>
                        <w14:solidFill>
                          <w14:schemeClr w14:val="tx1"/>
                        </w14:solidFill>
                      </w14:textFill>
                    </w:rPr>
                  </w:pPr>
                </w:p>
              </w:tc>
              <w:tc>
                <w:tcPr>
                  <w:tcW w:w="835" w:type="pct"/>
                  <w:tcBorders>
                    <w:tl2br w:val="nil"/>
                    <w:tr2bl w:val="nil"/>
                  </w:tcBorders>
                  <w:tcMar>
                    <w:top w:w="0" w:type="dxa"/>
                    <w:left w:w="0" w:type="dxa"/>
                    <w:bottom w:w="0" w:type="dxa"/>
                    <w:right w:w="0" w:type="dxa"/>
                  </w:tcMar>
                  <w:vAlign w:val="center"/>
                </w:tcPr>
                <w:p w14:paraId="2C0C8DEB">
                  <w:pPr>
                    <w:widowControl/>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119.570935</w:t>
                  </w:r>
                </w:p>
              </w:tc>
              <w:tc>
                <w:tcPr>
                  <w:tcW w:w="771" w:type="pct"/>
                  <w:tcBorders>
                    <w:tl2br w:val="nil"/>
                    <w:tr2bl w:val="nil"/>
                  </w:tcBorders>
                  <w:tcMar>
                    <w:top w:w="0" w:type="dxa"/>
                    <w:left w:w="0" w:type="dxa"/>
                    <w:bottom w:w="0" w:type="dxa"/>
                    <w:right w:w="0" w:type="dxa"/>
                  </w:tcMar>
                  <w:vAlign w:val="center"/>
                </w:tcPr>
                <w:p w14:paraId="78AD32FB">
                  <w:pPr>
                    <w:widowControl/>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31.763274</w:t>
                  </w:r>
                </w:p>
              </w:tc>
              <w:tc>
                <w:tcPr>
                  <w:tcW w:w="628" w:type="pct"/>
                  <w:tcBorders>
                    <w:tl2br w:val="nil"/>
                    <w:tr2bl w:val="nil"/>
                  </w:tcBorders>
                  <w:tcMar>
                    <w:top w:w="0" w:type="dxa"/>
                    <w:left w:w="0" w:type="dxa"/>
                    <w:bottom w:w="0" w:type="dxa"/>
                    <w:right w:w="0" w:type="dxa"/>
                  </w:tcMar>
                  <w:vAlign w:val="center"/>
                </w:tcPr>
                <w:p w14:paraId="2789B362">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交通大队</w:t>
                  </w:r>
                </w:p>
              </w:tc>
              <w:tc>
                <w:tcPr>
                  <w:tcW w:w="596" w:type="pct"/>
                  <w:tcBorders>
                    <w:tl2br w:val="nil"/>
                    <w:tr2bl w:val="nil"/>
                  </w:tcBorders>
                  <w:tcMar>
                    <w:top w:w="0" w:type="dxa"/>
                    <w:left w:w="0" w:type="dxa"/>
                    <w:bottom w:w="0" w:type="dxa"/>
                    <w:right w:w="0" w:type="dxa"/>
                  </w:tcMar>
                  <w:vAlign w:val="center"/>
                </w:tcPr>
                <w:p w14:paraId="68B3752A">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20人</w:t>
                  </w:r>
                </w:p>
              </w:tc>
              <w:tc>
                <w:tcPr>
                  <w:tcW w:w="1050" w:type="pct"/>
                  <w:vMerge w:val="continue"/>
                  <w:tcBorders>
                    <w:tl2br w:val="nil"/>
                    <w:tr2bl w:val="nil"/>
                  </w:tcBorders>
                  <w:tcMar>
                    <w:top w:w="0" w:type="dxa"/>
                    <w:left w:w="0" w:type="dxa"/>
                    <w:bottom w:w="0" w:type="dxa"/>
                    <w:right w:w="0" w:type="dxa"/>
                  </w:tcMar>
                  <w:vAlign w:val="center"/>
                </w:tcPr>
                <w:p w14:paraId="47A2BFCC">
                  <w:pPr>
                    <w:adjustRightInd w:val="0"/>
                    <w:snapToGrid w:val="0"/>
                    <w:jc w:val="center"/>
                    <w:rPr>
                      <w:color w:val="000000" w:themeColor="text1"/>
                      <w:szCs w:val="21"/>
                      <w14:textFill>
                        <w14:solidFill>
                          <w14:schemeClr w14:val="tx1"/>
                        </w14:solidFill>
                      </w14:textFill>
                    </w:rPr>
                  </w:pPr>
                </w:p>
              </w:tc>
              <w:tc>
                <w:tcPr>
                  <w:tcW w:w="369" w:type="pct"/>
                  <w:tcBorders>
                    <w:tl2br w:val="nil"/>
                    <w:tr2bl w:val="nil"/>
                  </w:tcBorders>
                  <w:tcMar>
                    <w:top w:w="0" w:type="dxa"/>
                    <w:left w:w="0" w:type="dxa"/>
                    <w:bottom w:w="0" w:type="dxa"/>
                    <w:right w:w="0" w:type="dxa"/>
                  </w:tcMar>
                  <w:vAlign w:val="center"/>
                </w:tcPr>
                <w:p w14:paraId="49A4D265">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E</w:t>
                  </w:r>
                </w:p>
              </w:tc>
              <w:tc>
                <w:tcPr>
                  <w:tcW w:w="397" w:type="pct"/>
                  <w:tcBorders>
                    <w:tl2br w:val="nil"/>
                    <w:tr2bl w:val="nil"/>
                  </w:tcBorders>
                  <w:tcMar>
                    <w:top w:w="0" w:type="dxa"/>
                    <w:left w:w="0" w:type="dxa"/>
                    <w:bottom w:w="0" w:type="dxa"/>
                    <w:right w:w="0" w:type="dxa"/>
                  </w:tcMar>
                  <w:vAlign w:val="center"/>
                </w:tcPr>
                <w:p w14:paraId="53284C00">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400</w:t>
                  </w:r>
                </w:p>
              </w:tc>
            </w:tr>
            <w:tr w14:paraId="002089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0" w:type="pct"/>
                  <w:vMerge w:val="continue"/>
                  <w:tcBorders>
                    <w:tl2br w:val="nil"/>
                    <w:tr2bl w:val="nil"/>
                  </w:tcBorders>
                  <w:tcMar>
                    <w:top w:w="0" w:type="dxa"/>
                    <w:left w:w="0" w:type="dxa"/>
                    <w:bottom w:w="0" w:type="dxa"/>
                    <w:right w:w="0" w:type="dxa"/>
                  </w:tcMar>
                  <w:vAlign w:val="center"/>
                </w:tcPr>
                <w:p w14:paraId="161287AD">
                  <w:pPr>
                    <w:adjustRightInd w:val="0"/>
                    <w:snapToGrid w:val="0"/>
                    <w:jc w:val="center"/>
                    <w:rPr>
                      <w:color w:val="000000" w:themeColor="text1"/>
                      <w:szCs w:val="21"/>
                      <w14:textFill>
                        <w14:solidFill>
                          <w14:schemeClr w14:val="tx1"/>
                        </w14:solidFill>
                      </w14:textFill>
                    </w:rPr>
                  </w:pPr>
                </w:p>
              </w:tc>
              <w:tc>
                <w:tcPr>
                  <w:tcW w:w="835" w:type="pct"/>
                  <w:tcBorders>
                    <w:tl2br w:val="nil"/>
                    <w:tr2bl w:val="nil"/>
                  </w:tcBorders>
                  <w:tcMar>
                    <w:top w:w="0" w:type="dxa"/>
                    <w:left w:w="0" w:type="dxa"/>
                    <w:bottom w:w="0" w:type="dxa"/>
                    <w:right w:w="0" w:type="dxa"/>
                  </w:tcMar>
                  <w:vAlign w:val="center"/>
                </w:tcPr>
                <w:p w14:paraId="5FEBBB0F">
                  <w:pPr>
                    <w:widowControl/>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119.571676</w:t>
                  </w:r>
                </w:p>
              </w:tc>
              <w:tc>
                <w:tcPr>
                  <w:tcW w:w="771" w:type="pct"/>
                  <w:tcBorders>
                    <w:tl2br w:val="nil"/>
                    <w:tr2bl w:val="nil"/>
                  </w:tcBorders>
                  <w:tcMar>
                    <w:top w:w="0" w:type="dxa"/>
                    <w:left w:w="0" w:type="dxa"/>
                    <w:bottom w:w="0" w:type="dxa"/>
                    <w:right w:w="0" w:type="dxa"/>
                  </w:tcMar>
                  <w:vAlign w:val="center"/>
                </w:tcPr>
                <w:p w14:paraId="717405AA">
                  <w:pPr>
                    <w:widowControl/>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31.761159</w:t>
                  </w:r>
                </w:p>
              </w:tc>
              <w:tc>
                <w:tcPr>
                  <w:tcW w:w="628" w:type="pct"/>
                  <w:tcBorders>
                    <w:tl2br w:val="nil"/>
                    <w:tr2bl w:val="nil"/>
                  </w:tcBorders>
                  <w:tcMar>
                    <w:top w:w="0" w:type="dxa"/>
                    <w:left w:w="0" w:type="dxa"/>
                    <w:bottom w:w="0" w:type="dxa"/>
                    <w:right w:w="0" w:type="dxa"/>
                  </w:tcMar>
                  <w:vAlign w:val="center"/>
                </w:tcPr>
                <w:p w14:paraId="0B0A3516">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凤凰城</w:t>
                  </w:r>
                </w:p>
              </w:tc>
              <w:tc>
                <w:tcPr>
                  <w:tcW w:w="596" w:type="pct"/>
                  <w:tcBorders>
                    <w:tl2br w:val="nil"/>
                    <w:tr2bl w:val="nil"/>
                  </w:tcBorders>
                  <w:tcMar>
                    <w:top w:w="0" w:type="dxa"/>
                    <w:left w:w="0" w:type="dxa"/>
                    <w:bottom w:w="0" w:type="dxa"/>
                    <w:right w:w="0" w:type="dxa"/>
                  </w:tcMar>
                  <w:vAlign w:val="center"/>
                </w:tcPr>
                <w:p w14:paraId="21A336E1">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3100人</w:t>
                  </w:r>
                </w:p>
              </w:tc>
              <w:tc>
                <w:tcPr>
                  <w:tcW w:w="1050" w:type="pct"/>
                  <w:vMerge w:val="continue"/>
                  <w:tcBorders>
                    <w:tl2br w:val="nil"/>
                    <w:tr2bl w:val="nil"/>
                  </w:tcBorders>
                  <w:tcMar>
                    <w:top w:w="0" w:type="dxa"/>
                    <w:left w:w="0" w:type="dxa"/>
                    <w:bottom w:w="0" w:type="dxa"/>
                    <w:right w:w="0" w:type="dxa"/>
                  </w:tcMar>
                  <w:vAlign w:val="center"/>
                </w:tcPr>
                <w:p w14:paraId="0D7D1DD3">
                  <w:pPr>
                    <w:adjustRightInd w:val="0"/>
                    <w:snapToGrid w:val="0"/>
                    <w:jc w:val="center"/>
                    <w:rPr>
                      <w:color w:val="000000" w:themeColor="text1"/>
                      <w:szCs w:val="21"/>
                      <w14:textFill>
                        <w14:solidFill>
                          <w14:schemeClr w14:val="tx1"/>
                        </w14:solidFill>
                      </w14:textFill>
                    </w:rPr>
                  </w:pPr>
                </w:p>
              </w:tc>
              <w:tc>
                <w:tcPr>
                  <w:tcW w:w="369" w:type="pct"/>
                  <w:tcBorders>
                    <w:tl2br w:val="nil"/>
                    <w:tr2bl w:val="nil"/>
                  </w:tcBorders>
                  <w:tcMar>
                    <w:top w:w="0" w:type="dxa"/>
                    <w:left w:w="0" w:type="dxa"/>
                    <w:bottom w:w="0" w:type="dxa"/>
                    <w:right w:w="0" w:type="dxa"/>
                  </w:tcMar>
                  <w:vAlign w:val="center"/>
                </w:tcPr>
                <w:p w14:paraId="13EDD117">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SE</w:t>
                  </w:r>
                </w:p>
              </w:tc>
              <w:tc>
                <w:tcPr>
                  <w:tcW w:w="397" w:type="pct"/>
                  <w:tcBorders>
                    <w:tl2br w:val="nil"/>
                    <w:tr2bl w:val="nil"/>
                  </w:tcBorders>
                  <w:tcMar>
                    <w:top w:w="0" w:type="dxa"/>
                    <w:left w:w="0" w:type="dxa"/>
                    <w:bottom w:w="0" w:type="dxa"/>
                    <w:right w:w="0" w:type="dxa"/>
                  </w:tcMar>
                  <w:vAlign w:val="center"/>
                </w:tcPr>
                <w:p w14:paraId="257B23FE">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420</w:t>
                  </w:r>
                </w:p>
              </w:tc>
            </w:tr>
            <w:tr w14:paraId="5C09AF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0" w:type="pct"/>
                  <w:vMerge w:val="continue"/>
                  <w:tcBorders>
                    <w:tl2br w:val="nil"/>
                    <w:tr2bl w:val="nil"/>
                  </w:tcBorders>
                  <w:tcMar>
                    <w:top w:w="0" w:type="dxa"/>
                    <w:left w:w="0" w:type="dxa"/>
                    <w:bottom w:w="0" w:type="dxa"/>
                    <w:right w:w="0" w:type="dxa"/>
                  </w:tcMar>
                  <w:vAlign w:val="center"/>
                </w:tcPr>
                <w:p w14:paraId="7B455012">
                  <w:pPr>
                    <w:adjustRightInd w:val="0"/>
                    <w:snapToGrid w:val="0"/>
                    <w:jc w:val="center"/>
                    <w:rPr>
                      <w:color w:val="000000" w:themeColor="text1"/>
                      <w:szCs w:val="21"/>
                      <w14:textFill>
                        <w14:solidFill>
                          <w14:schemeClr w14:val="tx1"/>
                        </w14:solidFill>
                      </w14:textFill>
                    </w:rPr>
                  </w:pPr>
                </w:p>
              </w:tc>
              <w:tc>
                <w:tcPr>
                  <w:tcW w:w="835" w:type="pct"/>
                  <w:tcBorders>
                    <w:tl2br w:val="nil"/>
                    <w:tr2bl w:val="nil"/>
                  </w:tcBorders>
                  <w:tcMar>
                    <w:top w:w="0" w:type="dxa"/>
                    <w:left w:w="0" w:type="dxa"/>
                    <w:bottom w:w="0" w:type="dxa"/>
                    <w:right w:w="0" w:type="dxa"/>
                  </w:tcMar>
                  <w:vAlign w:val="center"/>
                </w:tcPr>
                <w:p w14:paraId="2D1DC032">
                  <w:pPr>
                    <w:widowControl/>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119.546453</w:t>
                  </w:r>
                </w:p>
              </w:tc>
              <w:tc>
                <w:tcPr>
                  <w:tcW w:w="771" w:type="pct"/>
                  <w:tcBorders>
                    <w:tl2br w:val="nil"/>
                    <w:tr2bl w:val="nil"/>
                  </w:tcBorders>
                  <w:tcMar>
                    <w:top w:w="0" w:type="dxa"/>
                    <w:left w:w="0" w:type="dxa"/>
                    <w:bottom w:w="0" w:type="dxa"/>
                    <w:right w:w="0" w:type="dxa"/>
                  </w:tcMar>
                  <w:vAlign w:val="center"/>
                </w:tcPr>
                <w:p w14:paraId="6963178D">
                  <w:pPr>
                    <w:widowControl/>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31.767151</w:t>
                  </w:r>
                </w:p>
              </w:tc>
              <w:tc>
                <w:tcPr>
                  <w:tcW w:w="628" w:type="pct"/>
                  <w:tcBorders>
                    <w:tl2br w:val="nil"/>
                    <w:tr2bl w:val="nil"/>
                  </w:tcBorders>
                  <w:tcMar>
                    <w:top w:w="0" w:type="dxa"/>
                    <w:left w:w="0" w:type="dxa"/>
                    <w:bottom w:w="0" w:type="dxa"/>
                    <w:right w:w="0" w:type="dxa"/>
                  </w:tcMar>
                  <w:vAlign w:val="center"/>
                </w:tcPr>
                <w:p w14:paraId="198B70D0">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元巷村</w:t>
                  </w:r>
                </w:p>
              </w:tc>
              <w:tc>
                <w:tcPr>
                  <w:tcW w:w="596" w:type="pct"/>
                  <w:tcBorders>
                    <w:tl2br w:val="nil"/>
                    <w:tr2bl w:val="nil"/>
                  </w:tcBorders>
                  <w:tcMar>
                    <w:top w:w="0" w:type="dxa"/>
                    <w:left w:w="0" w:type="dxa"/>
                    <w:bottom w:w="0" w:type="dxa"/>
                    <w:right w:w="0" w:type="dxa"/>
                  </w:tcMar>
                  <w:vAlign w:val="center"/>
                </w:tcPr>
                <w:p w14:paraId="1573A751">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220人</w:t>
                  </w:r>
                </w:p>
              </w:tc>
              <w:tc>
                <w:tcPr>
                  <w:tcW w:w="1050" w:type="pct"/>
                  <w:vMerge w:val="continue"/>
                  <w:tcBorders>
                    <w:tl2br w:val="nil"/>
                    <w:tr2bl w:val="nil"/>
                  </w:tcBorders>
                  <w:tcMar>
                    <w:top w:w="0" w:type="dxa"/>
                    <w:left w:w="0" w:type="dxa"/>
                    <w:bottom w:w="0" w:type="dxa"/>
                    <w:right w:w="0" w:type="dxa"/>
                  </w:tcMar>
                  <w:vAlign w:val="center"/>
                </w:tcPr>
                <w:p w14:paraId="10E69A68">
                  <w:pPr>
                    <w:adjustRightInd w:val="0"/>
                    <w:snapToGrid w:val="0"/>
                    <w:jc w:val="center"/>
                    <w:rPr>
                      <w:color w:val="000000" w:themeColor="text1"/>
                      <w:szCs w:val="21"/>
                      <w14:textFill>
                        <w14:solidFill>
                          <w14:schemeClr w14:val="tx1"/>
                        </w14:solidFill>
                      </w14:textFill>
                    </w:rPr>
                  </w:pPr>
                </w:p>
              </w:tc>
              <w:tc>
                <w:tcPr>
                  <w:tcW w:w="369" w:type="pct"/>
                  <w:tcBorders>
                    <w:tl2br w:val="nil"/>
                    <w:tr2bl w:val="nil"/>
                  </w:tcBorders>
                  <w:tcMar>
                    <w:top w:w="0" w:type="dxa"/>
                    <w:left w:w="0" w:type="dxa"/>
                    <w:bottom w:w="0" w:type="dxa"/>
                    <w:right w:w="0" w:type="dxa"/>
                  </w:tcMar>
                  <w:vAlign w:val="center"/>
                </w:tcPr>
                <w:p w14:paraId="79BE424C">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SW</w:t>
                  </w:r>
                </w:p>
              </w:tc>
              <w:tc>
                <w:tcPr>
                  <w:tcW w:w="397" w:type="pct"/>
                  <w:tcBorders>
                    <w:tl2br w:val="nil"/>
                    <w:tr2bl w:val="nil"/>
                  </w:tcBorders>
                  <w:tcMar>
                    <w:top w:w="0" w:type="dxa"/>
                    <w:left w:w="0" w:type="dxa"/>
                    <w:bottom w:w="0" w:type="dxa"/>
                    <w:right w:w="0" w:type="dxa"/>
                  </w:tcMar>
                  <w:vAlign w:val="center"/>
                </w:tcPr>
                <w:p w14:paraId="1302587F">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196</w:t>
                  </w:r>
                </w:p>
              </w:tc>
            </w:tr>
            <w:tr w14:paraId="66FF45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0" w:type="pct"/>
                  <w:vMerge w:val="continue"/>
                  <w:tcBorders>
                    <w:tl2br w:val="nil"/>
                    <w:tr2bl w:val="nil"/>
                  </w:tcBorders>
                  <w:tcMar>
                    <w:top w:w="0" w:type="dxa"/>
                    <w:left w:w="0" w:type="dxa"/>
                    <w:bottom w:w="0" w:type="dxa"/>
                    <w:right w:w="0" w:type="dxa"/>
                  </w:tcMar>
                  <w:vAlign w:val="center"/>
                </w:tcPr>
                <w:p w14:paraId="7A9B66F2">
                  <w:pPr>
                    <w:adjustRightInd w:val="0"/>
                    <w:snapToGrid w:val="0"/>
                    <w:jc w:val="center"/>
                    <w:rPr>
                      <w:color w:val="000000" w:themeColor="text1"/>
                      <w:szCs w:val="21"/>
                      <w14:textFill>
                        <w14:solidFill>
                          <w14:schemeClr w14:val="tx1"/>
                        </w14:solidFill>
                      </w14:textFill>
                    </w:rPr>
                  </w:pPr>
                </w:p>
              </w:tc>
              <w:tc>
                <w:tcPr>
                  <w:tcW w:w="835" w:type="pct"/>
                  <w:tcBorders>
                    <w:tl2br w:val="nil"/>
                    <w:tr2bl w:val="nil"/>
                  </w:tcBorders>
                  <w:tcMar>
                    <w:top w:w="0" w:type="dxa"/>
                    <w:left w:w="0" w:type="dxa"/>
                    <w:bottom w:w="0" w:type="dxa"/>
                    <w:right w:w="0" w:type="dxa"/>
                  </w:tcMar>
                  <w:vAlign w:val="center"/>
                </w:tcPr>
                <w:p w14:paraId="36C95244">
                  <w:pPr>
                    <w:widowControl/>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119.564467</w:t>
                  </w:r>
                </w:p>
              </w:tc>
              <w:tc>
                <w:tcPr>
                  <w:tcW w:w="771" w:type="pct"/>
                  <w:tcBorders>
                    <w:tl2br w:val="nil"/>
                    <w:tr2bl w:val="nil"/>
                  </w:tcBorders>
                  <w:tcMar>
                    <w:top w:w="0" w:type="dxa"/>
                    <w:left w:w="0" w:type="dxa"/>
                    <w:bottom w:w="0" w:type="dxa"/>
                    <w:right w:w="0" w:type="dxa"/>
                  </w:tcMar>
                  <w:vAlign w:val="center"/>
                </w:tcPr>
                <w:p w14:paraId="6465DA62">
                  <w:pPr>
                    <w:widowControl/>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31.757729</w:t>
                  </w:r>
                </w:p>
              </w:tc>
              <w:tc>
                <w:tcPr>
                  <w:tcW w:w="628" w:type="pct"/>
                  <w:tcBorders>
                    <w:tl2br w:val="nil"/>
                    <w:tr2bl w:val="nil"/>
                  </w:tcBorders>
                  <w:tcMar>
                    <w:top w:w="0" w:type="dxa"/>
                    <w:left w:w="0" w:type="dxa"/>
                    <w:bottom w:w="0" w:type="dxa"/>
                    <w:right w:w="0" w:type="dxa"/>
                  </w:tcMar>
                  <w:vAlign w:val="center"/>
                </w:tcPr>
                <w:p w14:paraId="3277E015">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阳光花园</w:t>
                  </w:r>
                </w:p>
              </w:tc>
              <w:tc>
                <w:tcPr>
                  <w:tcW w:w="596" w:type="pct"/>
                  <w:tcBorders>
                    <w:tl2br w:val="nil"/>
                    <w:tr2bl w:val="nil"/>
                  </w:tcBorders>
                  <w:tcMar>
                    <w:top w:w="0" w:type="dxa"/>
                    <w:left w:w="0" w:type="dxa"/>
                    <w:bottom w:w="0" w:type="dxa"/>
                    <w:right w:w="0" w:type="dxa"/>
                  </w:tcMar>
                  <w:vAlign w:val="center"/>
                </w:tcPr>
                <w:p w14:paraId="3BDC507C">
                  <w:pPr>
                    <w:pStyle w:val="92"/>
                    <w:spacing w:line="300" w:lineRule="exac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470</w:t>
                  </w:r>
                  <w:r>
                    <w:rPr>
                      <w:rFonts w:hint="eastAsia" w:ascii="Times New Roman" w:hAnsi="Times New Roman"/>
                      <w:color w:val="000000" w:themeColor="text1"/>
                      <w:szCs w:val="21"/>
                      <w14:textFill>
                        <w14:solidFill>
                          <w14:schemeClr w14:val="tx1"/>
                        </w14:solidFill>
                      </w14:textFill>
                    </w:rPr>
                    <w:t>人</w:t>
                  </w:r>
                </w:p>
              </w:tc>
              <w:tc>
                <w:tcPr>
                  <w:tcW w:w="1050" w:type="pct"/>
                  <w:vMerge w:val="continue"/>
                  <w:tcBorders>
                    <w:tl2br w:val="nil"/>
                    <w:tr2bl w:val="nil"/>
                  </w:tcBorders>
                  <w:tcMar>
                    <w:top w:w="0" w:type="dxa"/>
                    <w:left w:w="0" w:type="dxa"/>
                    <w:bottom w:w="0" w:type="dxa"/>
                    <w:right w:w="0" w:type="dxa"/>
                  </w:tcMar>
                  <w:vAlign w:val="center"/>
                </w:tcPr>
                <w:p w14:paraId="0E086A22">
                  <w:pPr>
                    <w:adjustRightInd w:val="0"/>
                    <w:snapToGrid w:val="0"/>
                    <w:jc w:val="center"/>
                    <w:rPr>
                      <w:color w:val="000000" w:themeColor="text1"/>
                      <w:szCs w:val="21"/>
                      <w14:textFill>
                        <w14:solidFill>
                          <w14:schemeClr w14:val="tx1"/>
                        </w14:solidFill>
                      </w14:textFill>
                    </w:rPr>
                  </w:pPr>
                </w:p>
              </w:tc>
              <w:tc>
                <w:tcPr>
                  <w:tcW w:w="369" w:type="pct"/>
                  <w:tcBorders>
                    <w:tl2br w:val="nil"/>
                    <w:tr2bl w:val="nil"/>
                  </w:tcBorders>
                  <w:tcMar>
                    <w:top w:w="0" w:type="dxa"/>
                    <w:left w:w="0" w:type="dxa"/>
                    <w:bottom w:w="0" w:type="dxa"/>
                    <w:right w:w="0" w:type="dxa"/>
                  </w:tcMar>
                  <w:vAlign w:val="center"/>
                </w:tcPr>
                <w:p w14:paraId="73DC5FF5">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SW</w:t>
                  </w:r>
                </w:p>
              </w:tc>
              <w:tc>
                <w:tcPr>
                  <w:tcW w:w="397" w:type="pct"/>
                  <w:tcBorders>
                    <w:tl2br w:val="nil"/>
                    <w:tr2bl w:val="nil"/>
                  </w:tcBorders>
                  <w:tcMar>
                    <w:top w:w="0" w:type="dxa"/>
                    <w:left w:w="0" w:type="dxa"/>
                    <w:bottom w:w="0" w:type="dxa"/>
                    <w:right w:w="0" w:type="dxa"/>
                  </w:tcMar>
                  <w:vAlign w:val="center"/>
                </w:tcPr>
                <w:p w14:paraId="685A3063">
                  <w:pPr>
                    <w:pStyle w:val="92"/>
                    <w:spacing w:line="30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430</w:t>
                  </w:r>
                </w:p>
              </w:tc>
            </w:tr>
            <w:tr w14:paraId="3216EDC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532" w:hRule="atLeast"/>
                <w:jc w:val="center"/>
              </w:trPr>
              <w:tc>
                <w:tcPr>
                  <w:tcW w:w="350" w:type="pct"/>
                  <w:vMerge w:val="restart"/>
                  <w:tcBorders>
                    <w:tl2br w:val="nil"/>
                    <w:tr2bl w:val="nil"/>
                  </w:tcBorders>
                  <w:tcMar>
                    <w:top w:w="0" w:type="dxa"/>
                    <w:left w:w="0" w:type="dxa"/>
                    <w:bottom w:w="0" w:type="dxa"/>
                    <w:right w:w="0" w:type="dxa"/>
                  </w:tcMar>
                  <w:vAlign w:val="center"/>
                </w:tcPr>
                <w:p w14:paraId="6A2831C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835" w:type="pct"/>
                  <w:tcBorders>
                    <w:tl2br w:val="nil"/>
                    <w:tr2bl w:val="nil"/>
                  </w:tcBorders>
                  <w:tcMar>
                    <w:top w:w="0" w:type="dxa"/>
                    <w:left w:w="0" w:type="dxa"/>
                    <w:bottom w:w="0" w:type="dxa"/>
                    <w:right w:w="0" w:type="dxa"/>
                  </w:tcMar>
                  <w:vAlign w:val="center"/>
                </w:tcPr>
                <w:p w14:paraId="230BBC13">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71" w:type="pct"/>
                  <w:tcBorders>
                    <w:tl2br w:val="nil"/>
                    <w:tr2bl w:val="nil"/>
                  </w:tcBorders>
                  <w:tcMar>
                    <w:top w:w="0" w:type="dxa"/>
                    <w:left w:w="0" w:type="dxa"/>
                    <w:bottom w:w="0" w:type="dxa"/>
                    <w:right w:w="0" w:type="dxa"/>
                  </w:tcMar>
                  <w:vAlign w:val="center"/>
                </w:tcPr>
                <w:p w14:paraId="143AF1A2">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28" w:type="pct"/>
                  <w:tcBorders>
                    <w:tl2br w:val="nil"/>
                    <w:tr2bl w:val="nil"/>
                  </w:tcBorders>
                  <w:tcMar>
                    <w:top w:w="0" w:type="dxa"/>
                    <w:left w:w="0" w:type="dxa"/>
                    <w:bottom w:w="0" w:type="dxa"/>
                    <w:right w:w="0" w:type="dxa"/>
                  </w:tcMar>
                  <w:vAlign w:val="center"/>
                </w:tcPr>
                <w:p w14:paraId="34548754">
                  <w:pPr>
                    <w:spacing w:line="24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尧塘河</w:t>
                  </w:r>
                </w:p>
              </w:tc>
              <w:tc>
                <w:tcPr>
                  <w:tcW w:w="596" w:type="pct"/>
                  <w:vMerge w:val="restart"/>
                  <w:tcBorders>
                    <w:tl2br w:val="nil"/>
                    <w:tr2bl w:val="nil"/>
                  </w:tcBorders>
                  <w:tcMar>
                    <w:top w:w="0" w:type="dxa"/>
                    <w:left w:w="0" w:type="dxa"/>
                    <w:bottom w:w="0" w:type="dxa"/>
                    <w:right w:w="0" w:type="dxa"/>
                  </w:tcMar>
                  <w:vAlign w:val="center"/>
                </w:tcPr>
                <w:p w14:paraId="29D8733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河流</w:t>
                  </w:r>
                </w:p>
              </w:tc>
              <w:tc>
                <w:tcPr>
                  <w:tcW w:w="1050" w:type="pct"/>
                  <w:vMerge w:val="restart"/>
                  <w:tcBorders>
                    <w:tl2br w:val="nil"/>
                    <w:tr2bl w:val="nil"/>
                  </w:tcBorders>
                  <w:tcMar>
                    <w:top w:w="0" w:type="dxa"/>
                    <w:left w:w="0" w:type="dxa"/>
                    <w:bottom w:w="0" w:type="dxa"/>
                    <w:right w:w="0" w:type="dxa"/>
                  </w:tcMar>
                  <w:vAlign w:val="center"/>
                </w:tcPr>
                <w:p w14:paraId="6FC7D1D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《地表水环境质量标准》（GB3838-2002）III类</w:t>
                  </w:r>
                </w:p>
              </w:tc>
              <w:tc>
                <w:tcPr>
                  <w:tcW w:w="369" w:type="pct"/>
                  <w:tcBorders>
                    <w:tl2br w:val="nil"/>
                    <w:tr2bl w:val="nil"/>
                  </w:tcBorders>
                  <w:tcMar>
                    <w:top w:w="0" w:type="dxa"/>
                    <w:left w:w="0" w:type="dxa"/>
                    <w:bottom w:w="0" w:type="dxa"/>
                    <w:right w:w="0" w:type="dxa"/>
                  </w:tcMar>
                  <w:vAlign w:val="center"/>
                </w:tcPr>
                <w:p w14:paraId="5FC9803D">
                  <w:pPr>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E</w:t>
                  </w:r>
                </w:p>
              </w:tc>
              <w:tc>
                <w:tcPr>
                  <w:tcW w:w="397" w:type="pct"/>
                  <w:tcBorders>
                    <w:tl2br w:val="nil"/>
                    <w:tr2bl w:val="nil"/>
                  </w:tcBorders>
                  <w:tcMar>
                    <w:top w:w="0" w:type="dxa"/>
                    <w:left w:w="0" w:type="dxa"/>
                    <w:bottom w:w="0" w:type="dxa"/>
                    <w:right w:w="0" w:type="dxa"/>
                  </w:tcMar>
                  <w:vAlign w:val="center"/>
                </w:tcPr>
                <w:p w14:paraId="50499646">
                  <w:pPr>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1500</w:t>
                  </w:r>
                </w:p>
              </w:tc>
            </w:tr>
            <w:tr w14:paraId="6BF158E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532" w:hRule="atLeast"/>
                <w:jc w:val="center"/>
              </w:trPr>
              <w:tc>
                <w:tcPr>
                  <w:tcW w:w="350" w:type="pct"/>
                  <w:vMerge w:val="continue"/>
                  <w:tcBorders>
                    <w:tl2br w:val="nil"/>
                    <w:tr2bl w:val="nil"/>
                  </w:tcBorders>
                  <w:tcMar>
                    <w:top w:w="0" w:type="dxa"/>
                    <w:left w:w="0" w:type="dxa"/>
                    <w:bottom w:w="0" w:type="dxa"/>
                    <w:right w:w="0" w:type="dxa"/>
                  </w:tcMar>
                  <w:vAlign w:val="center"/>
                </w:tcPr>
                <w:p w14:paraId="34AC7F73">
                  <w:pPr>
                    <w:adjustRightInd w:val="0"/>
                    <w:snapToGrid w:val="0"/>
                    <w:jc w:val="center"/>
                    <w:rPr>
                      <w:color w:val="000000" w:themeColor="text1"/>
                      <w:szCs w:val="21"/>
                      <w14:textFill>
                        <w14:solidFill>
                          <w14:schemeClr w14:val="tx1"/>
                        </w14:solidFill>
                      </w14:textFill>
                    </w:rPr>
                  </w:pPr>
                </w:p>
              </w:tc>
              <w:tc>
                <w:tcPr>
                  <w:tcW w:w="835" w:type="pct"/>
                  <w:tcBorders>
                    <w:tl2br w:val="nil"/>
                    <w:tr2bl w:val="nil"/>
                  </w:tcBorders>
                  <w:tcMar>
                    <w:top w:w="0" w:type="dxa"/>
                    <w:left w:w="0" w:type="dxa"/>
                    <w:bottom w:w="0" w:type="dxa"/>
                    <w:right w:w="0" w:type="dxa"/>
                  </w:tcMar>
                  <w:vAlign w:val="center"/>
                </w:tcPr>
                <w:p w14:paraId="58A2334C">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71" w:type="pct"/>
                  <w:tcBorders>
                    <w:tl2br w:val="nil"/>
                    <w:tr2bl w:val="nil"/>
                  </w:tcBorders>
                  <w:tcMar>
                    <w:top w:w="0" w:type="dxa"/>
                    <w:left w:w="0" w:type="dxa"/>
                    <w:bottom w:w="0" w:type="dxa"/>
                    <w:right w:w="0" w:type="dxa"/>
                  </w:tcMar>
                  <w:vAlign w:val="center"/>
                </w:tcPr>
                <w:p w14:paraId="6196C040">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28" w:type="pct"/>
                  <w:tcBorders>
                    <w:tl2br w:val="nil"/>
                    <w:tr2bl w:val="nil"/>
                  </w:tcBorders>
                  <w:tcMar>
                    <w:top w:w="0" w:type="dxa"/>
                    <w:left w:w="0" w:type="dxa"/>
                    <w:bottom w:w="0" w:type="dxa"/>
                    <w:right w:w="0" w:type="dxa"/>
                  </w:tcMar>
                  <w:vAlign w:val="center"/>
                </w:tcPr>
                <w:p w14:paraId="6F5A48B0">
                  <w:pPr>
                    <w:spacing w:line="240" w:lineRule="exact"/>
                    <w:jc w:val="center"/>
                    <w:rPr>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丹金溧漕河</w:t>
                  </w:r>
                </w:p>
              </w:tc>
              <w:tc>
                <w:tcPr>
                  <w:tcW w:w="596" w:type="pct"/>
                  <w:vMerge w:val="continue"/>
                  <w:tcBorders>
                    <w:tl2br w:val="nil"/>
                    <w:tr2bl w:val="nil"/>
                  </w:tcBorders>
                  <w:tcMar>
                    <w:top w:w="0" w:type="dxa"/>
                    <w:left w:w="0" w:type="dxa"/>
                    <w:bottom w:w="0" w:type="dxa"/>
                    <w:right w:w="0" w:type="dxa"/>
                  </w:tcMar>
                  <w:vAlign w:val="center"/>
                </w:tcPr>
                <w:p w14:paraId="75A38849">
                  <w:pPr>
                    <w:adjustRightInd w:val="0"/>
                    <w:snapToGrid w:val="0"/>
                    <w:jc w:val="center"/>
                    <w:rPr>
                      <w:color w:val="000000" w:themeColor="text1"/>
                      <w:szCs w:val="21"/>
                      <w14:textFill>
                        <w14:solidFill>
                          <w14:schemeClr w14:val="tx1"/>
                        </w14:solidFill>
                      </w14:textFill>
                    </w:rPr>
                  </w:pPr>
                </w:p>
              </w:tc>
              <w:tc>
                <w:tcPr>
                  <w:tcW w:w="1050" w:type="pct"/>
                  <w:vMerge w:val="continue"/>
                  <w:tcBorders>
                    <w:tl2br w:val="nil"/>
                    <w:tr2bl w:val="nil"/>
                  </w:tcBorders>
                  <w:tcMar>
                    <w:top w:w="0" w:type="dxa"/>
                    <w:left w:w="0" w:type="dxa"/>
                    <w:bottom w:w="0" w:type="dxa"/>
                    <w:right w:w="0" w:type="dxa"/>
                  </w:tcMar>
                  <w:vAlign w:val="center"/>
                </w:tcPr>
                <w:p w14:paraId="1DB05E92">
                  <w:pPr>
                    <w:adjustRightInd w:val="0"/>
                    <w:snapToGrid w:val="0"/>
                    <w:jc w:val="center"/>
                    <w:rPr>
                      <w:color w:val="000000" w:themeColor="text1"/>
                      <w:szCs w:val="21"/>
                      <w14:textFill>
                        <w14:solidFill>
                          <w14:schemeClr w14:val="tx1"/>
                        </w14:solidFill>
                      </w14:textFill>
                    </w:rPr>
                  </w:pPr>
                </w:p>
              </w:tc>
              <w:tc>
                <w:tcPr>
                  <w:tcW w:w="369" w:type="pct"/>
                  <w:tcBorders>
                    <w:tl2br w:val="nil"/>
                    <w:tr2bl w:val="nil"/>
                  </w:tcBorders>
                  <w:tcMar>
                    <w:top w:w="0" w:type="dxa"/>
                    <w:left w:w="0" w:type="dxa"/>
                    <w:bottom w:w="0" w:type="dxa"/>
                    <w:right w:w="0" w:type="dxa"/>
                  </w:tcMar>
                  <w:vAlign w:val="center"/>
                </w:tcPr>
                <w:p w14:paraId="1228B8DF">
                  <w:pPr>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NE</w:t>
                  </w:r>
                </w:p>
              </w:tc>
              <w:tc>
                <w:tcPr>
                  <w:tcW w:w="397" w:type="pct"/>
                  <w:tcBorders>
                    <w:tl2br w:val="nil"/>
                    <w:tr2bl w:val="nil"/>
                  </w:tcBorders>
                  <w:tcMar>
                    <w:top w:w="0" w:type="dxa"/>
                    <w:left w:w="0" w:type="dxa"/>
                    <w:bottom w:w="0" w:type="dxa"/>
                    <w:right w:w="0" w:type="dxa"/>
                  </w:tcMar>
                  <w:vAlign w:val="center"/>
                </w:tcPr>
                <w:p w14:paraId="3F48EE78">
                  <w:pPr>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1750</w:t>
                  </w:r>
                </w:p>
              </w:tc>
            </w:tr>
            <w:tr w14:paraId="003160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0" w:type="pct"/>
                  <w:tcBorders>
                    <w:tl2br w:val="nil"/>
                    <w:tr2bl w:val="nil"/>
                  </w:tcBorders>
                  <w:tcMar>
                    <w:top w:w="0" w:type="dxa"/>
                    <w:left w:w="0" w:type="dxa"/>
                    <w:bottom w:w="0" w:type="dxa"/>
                    <w:right w:w="0" w:type="dxa"/>
                  </w:tcMar>
                  <w:vAlign w:val="center"/>
                </w:tcPr>
                <w:p w14:paraId="24ED1BB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2831" w:type="pct"/>
                  <w:gridSpan w:val="4"/>
                  <w:tcBorders>
                    <w:tl2br w:val="nil"/>
                    <w:tr2bl w:val="nil"/>
                  </w:tcBorders>
                  <w:tcMar>
                    <w:top w:w="0" w:type="dxa"/>
                    <w:left w:w="0" w:type="dxa"/>
                    <w:bottom w:w="0" w:type="dxa"/>
                    <w:right w:w="0" w:type="dxa"/>
                  </w:tcMar>
                  <w:vAlign w:val="center"/>
                </w:tcPr>
                <w:p w14:paraId="374D2E7F">
                  <w:pPr>
                    <w:adjustRightInd w:val="0"/>
                    <w:snapToGrid w:val="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厂界外50米范围无敏感保护目标</w:t>
                  </w:r>
                </w:p>
              </w:tc>
              <w:tc>
                <w:tcPr>
                  <w:tcW w:w="1050" w:type="pct"/>
                  <w:tcBorders>
                    <w:tl2br w:val="nil"/>
                    <w:tr2bl w:val="nil"/>
                  </w:tcBorders>
                  <w:tcMar>
                    <w:top w:w="0" w:type="dxa"/>
                    <w:left w:w="0" w:type="dxa"/>
                    <w:bottom w:w="0" w:type="dxa"/>
                    <w:right w:w="0" w:type="dxa"/>
                  </w:tcMar>
                  <w:vAlign w:val="center"/>
                </w:tcPr>
                <w:p w14:paraId="26FD910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《声环境质量标准》（GB 3096-2008）</w:t>
                  </w:r>
                </w:p>
              </w:tc>
              <w:tc>
                <w:tcPr>
                  <w:tcW w:w="369" w:type="pct"/>
                  <w:tcBorders>
                    <w:tl2br w:val="nil"/>
                    <w:tr2bl w:val="nil"/>
                  </w:tcBorders>
                  <w:tcMar>
                    <w:top w:w="0" w:type="dxa"/>
                    <w:left w:w="0" w:type="dxa"/>
                    <w:bottom w:w="0" w:type="dxa"/>
                    <w:right w:w="0" w:type="dxa"/>
                  </w:tcMar>
                  <w:vAlign w:val="center"/>
                </w:tcPr>
                <w:p w14:paraId="68B0CF84">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97" w:type="pct"/>
                  <w:tcBorders>
                    <w:tl2br w:val="nil"/>
                    <w:tr2bl w:val="nil"/>
                  </w:tcBorders>
                  <w:tcMar>
                    <w:top w:w="0" w:type="dxa"/>
                    <w:left w:w="0" w:type="dxa"/>
                    <w:bottom w:w="0" w:type="dxa"/>
                    <w:right w:w="0" w:type="dxa"/>
                  </w:tcMar>
                  <w:vAlign w:val="center"/>
                </w:tcPr>
                <w:p w14:paraId="6215FA54">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498780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0" w:type="pct"/>
                  <w:tcBorders>
                    <w:tl2br w:val="nil"/>
                    <w:tr2bl w:val="nil"/>
                  </w:tcBorders>
                  <w:tcMar>
                    <w:top w:w="0" w:type="dxa"/>
                    <w:left w:w="0" w:type="dxa"/>
                    <w:bottom w:w="0" w:type="dxa"/>
                    <w:right w:w="0" w:type="dxa"/>
                  </w:tcMar>
                  <w:vAlign w:val="center"/>
                </w:tcPr>
                <w:p w14:paraId="0154BA7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生态环境</w:t>
                  </w:r>
                </w:p>
              </w:tc>
              <w:tc>
                <w:tcPr>
                  <w:tcW w:w="2831" w:type="pct"/>
                  <w:gridSpan w:val="4"/>
                  <w:tcBorders>
                    <w:tl2br w:val="nil"/>
                    <w:tr2bl w:val="nil"/>
                  </w:tcBorders>
                  <w:tcMar>
                    <w:top w:w="0" w:type="dxa"/>
                    <w:left w:w="0" w:type="dxa"/>
                    <w:bottom w:w="0" w:type="dxa"/>
                    <w:right w:w="0" w:type="dxa"/>
                  </w:tcMar>
                  <w:vAlign w:val="center"/>
                </w:tcPr>
                <w:p w14:paraId="2A82F127">
                  <w:pPr>
                    <w:snapToGrid w:val="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本项目位于江苏省金坛西城路118号，占地范围内无生态敏感目标。</w:t>
                  </w:r>
                </w:p>
              </w:tc>
              <w:tc>
                <w:tcPr>
                  <w:tcW w:w="1050" w:type="pct"/>
                  <w:tcBorders>
                    <w:tl2br w:val="nil"/>
                    <w:tr2bl w:val="nil"/>
                  </w:tcBorders>
                  <w:tcMar>
                    <w:top w:w="0" w:type="dxa"/>
                    <w:left w:w="0" w:type="dxa"/>
                    <w:bottom w:w="0" w:type="dxa"/>
                    <w:right w:w="0" w:type="dxa"/>
                  </w:tcMar>
                  <w:vAlign w:val="center"/>
                </w:tcPr>
                <w:p w14:paraId="7C6A3FA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《江苏省生态空间管控区域规划》</w:t>
                  </w:r>
                </w:p>
              </w:tc>
              <w:tc>
                <w:tcPr>
                  <w:tcW w:w="369" w:type="pct"/>
                  <w:tcBorders>
                    <w:tl2br w:val="nil"/>
                    <w:tr2bl w:val="nil"/>
                  </w:tcBorders>
                  <w:tcMar>
                    <w:top w:w="0" w:type="dxa"/>
                    <w:left w:w="0" w:type="dxa"/>
                    <w:bottom w:w="0" w:type="dxa"/>
                    <w:right w:w="0" w:type="dxa"/>
                  </w:tcMar>
                  <w:vAlign w:val="center"/>
                </w:tcPr>
                <w:p w14:paraId="131961C2">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97" w:type="pct"/>
                  <w:tcBorders>
                    <w:tl2br w:val="nil"/>
                    <w:tr2bl w:val="nil"/>
                  </w:tcBorders>
                  <w:tcMar>
                    <w:top w:w="0" w:type="dxa"/>
                    <w:left w:w="0" w:type="dxa"/>
                    <w:bottom w:w="0" w:type="dxa"/>
                    <w:right w:w="0" w:type="dxa"/>
                  </w:tcMar>
                  <w:vAlign w:val="center"/>
                </w:tcPr>
                <w:p w14:paraId="4FC812D6">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063949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50" w:type="pct"/>
                  <w:tcBorders>
                    <w:tl2br w:val="nil"/>
                    <w:tr2bl w:val="nil"/>
                  </w:tcBorders>
                  <w:tcMar>
                    <w:top w:w="0" w:type="dxa"/>
                    <w:left w:w="0" w:type="dxa"/>
                    <w:bottom w:w="0" w:type="dxa"/>
                    <w:right w:w="0" w:type="dxa"/>
                  </w:tcMar>
                  <w:vAlign w:val="center"/>
                </w:tcPr>
                <w:p w14:paraId="6E68B34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w:t>
                  </w:r>
                </w:p>
              </w:tc>
              <w:tc>
                <w:tcPr>
                  <w:tcW w:w="2831" w:type="pct"/>
                  <w:gridSpan w:val="4"/>
                  <w:tcBorders>
                    <w:tl2br w:val="nil"/>
                    <w:tr2bl w:val="nil"/>
                  </w:tcBorders>
                  <w:tcMar>
                    <w:top w:w="0" w:type="dxa"/>
                    <w:left w:w="0" w:type="dxa"/>
                    <w:bottom w:w="0" w:type="dxa"/>
                    <w:right w:w="0" w:type="dxa"/>
                  </w:tcMar>
                  <w:vAlign w:val="center"/>
                </w:tcPr>
                <w:p w14:paraId="41B2555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项目所在区域500m范围</w:t>
                  </w:r>
                </w:p>
              </w:tc>
              <w:tc>
                <w:tcPr>
                  <w:tcW w:w="1817" w:type="pct"/>
                  <w:gridSpan w:val="3"/>
                  <w:tcBorders>
                    <w:tl2br w:val="nil"/>
                    <w:tr2bl w:val="nil"/>
                  </w:tcBorders>
                  <w:tcMar>
                    <w:top w:w="0" w:type="dxa"/>
                    <w:left w:w="0" w:type="dxa"/>
                    <w:bottom w:w="0" w:type="dxa"/>
                    <w:right w:w="0" w:type="dxa"/>
                  </w:tcMar>
                  <w:vAlign w:val="center"/>
                </w:tcPr>
                <w:p w14:paraId="71813E2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本项目厂界外500米范围内无地下水集中式饮用水水源等特殊地下水资源</w:t>
                  </w:r>
                </w:p>
              </w:tc>
            </w:tr>
          </w:tbl>
          <w:p w14:paraId="5EB4B2F8">
            <w:pPr>
              <w:pStyle w:val="21"/>
              <w:spacing w:before="0" w:beforeAutospacing="0" w:after="0" w:afterAutospacing="0"/>
              <w:jc w:val="both"/>
              <w:outlineLvl w:val="0"/>
              <w:rPr>
                <w:rFonts w:ascii="Times New Roman" w:hAnsi="Times New Roman"/>
                <w:snapToGrid w:val="0"/>
                <w:color w:val="000000" w:themeColor="text1"/>
                <w:szCs w:val="24"/>
                <w14:textFill>
                  <w14:solidFill>
                    <w14:schemeClr w14:val="tx1"/>
                  </w14:solidFill>
                </w14:textFill>
              </w:rPr>
            </w:pPr>
            <w:r>
              <w:rPr>
                <w:rFonts w:hint="eastAsia" w:ascii="Times New Roman" w:hAnsi="Times New Roman"/>
                <w:snapToGrid w:val="0"/>
                <w:color w:val="000000" w:themeColor="text1"/>
                <w:szCs w:val="24"/>
                <w14:textFill>
                  <w14:solidFill>
                    <w14:schemeClr w14:val="tx1"/>
                  </w14:solidFill>
                </w14:textFill>
              </w:rPr>
              <w:t>本项目距最近的大气自动站点金坛监测站约1.9km，距最近的国控、省控断面五工区约7.4km。</w:t>
            </w:r>
          </w:p>
          <w:p w14:paraId="5542AADC">
            <w:pPr>
              <w:pStyle w:val="21"/>
              <w:spacing w:before="0" w:beforeAutospacing="0" w:after="0" w:afterAutospacing="0"/>
              <w:jc w:val="both"/>
              <w:outlineLvl w:val="0"/>
              <w:rPr>
                <w:rFonts w:ascii="Times New Roman" w:hAnsi="Times New Roman"/>
                <w:snapToGrid w:val="0"/>
                <w:color w:val="000000" w:themeColor="text1"/>
                <w:szCs w:val="24"/>
                <w14:textFill>
                  <w14:solidFill>
                    <w14:schemeClr w14:val="tx1"/>
                  </w14:solidFill>
                </w14:textFill>
              </w:rPr>
            </w:pPr>
          </w:p>
        </w:tc>
      </w:tr>
      <w:tr w14:paraId="3102F5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op w:val="single" w:color="auto" w:sz="4" w:space="0"/>
              <w:left w:val="single" w:color="auto" w:sz="4" w:space="0"/>
            </w:tcBorders>
            <w:vAlign w:val="center"/>
          </w:tcPr>
          <w:p w14:paraId="48A29B02">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w:t>
            </w:r>
          </w:p>
          <w:p w14:paraId="212180F5">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物排</w:t>
            </w:r>
          </w:p>
          <w:p w14:paraId="1D5CF9B1">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放控</w:t>
            </w:r>
          </w:p>
          <w:p w14:paraId="12E3C81B">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制标</w:t>
            </w:r>
          </w:p>
          <w:p w14:paraId="47806E41">
            <w:pPr>
              <w:pStyle w:val="21"/>
              <w:spacing w:before="0" w:beforeAutospacing="0" w:after="0" w:afterAutospacing="0"/>
              <w:jc w:val="center"/>
              <w:outlineLvl w:val="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准</w:t>
            </w:r>
          </w:p>
          <w:p w14:paraId="2512812B">
            <w:pPr>
              <w:adjustRightInd w:val="0"/>
              <w:snapToGrid w:val="0"/>
              <w:jc w:val="center"/>
              <w:rPr>
                <w:color w:val="000000" w:themeColor="text1"/>
                <w:kern w:val="0"/>
                <w:sz w:val="24"/>
                <w14:textFill>
                  <w14:solidFill>
                    <w14:schemeClr w14:val="tx1"/>
                  </w14:solidFill>
                </w14:textFill>
              </w:rPr>
            </w:pPr>
          </w:p>
        </w:tc>
        <w:tc>
          <w:tcPr>
            <w:tcW w:w="9534" w:type="dxa"/>
            <w:tcBorders>
              <w:top w:val="single" w:color="auto" w:sz="4" w:space="0"/>
              <w:right w:val="single" w:color="auto" w:sz="4" w:space="0"/>
            </w:tcBorders>
            <w:vAlign w:val="center"/>
          </w:tcPr>
          <w:p w14:paraId="51F20205">
            <w:pPr>
              <w:spacing w:line="480" w:lineRule="exact"/>
              <w:ind w:firstLine="480" w:firstLineChars="200"/>
              <w:rPr>
                <w:snapToGrid w:val="0"/>
                <w:color w:val="000000" w:themeColor="text1"/>
                <w:sz w:val="24"/>
                <w14:textFill>
                  <w14:solidFill>
                    <w14:schemeClr w14:val="tx1"/>
                  </w14:solidFill>
                </w14:textFill>
              </w:rPr>
            </w:pPr>
            <w:r>
              <w:rPr>
                <w:color w:val="000000" w:themeColor="text1"/>
                <w:sz w:val="24"/>
                <w14:textFill>
                  <w14:solidFill>
                    <w14:schemeClr w14:val="tx1"/>
                  </w14:solidFill>
                </w14:textFill>
              </w:rPr>
              <w:t>1、大气污染物排放标准</w:t>
            </w:r>
          </w:p>
          <w:p w14:paraId="4C446AE2">
            <w:pPr>
              <w:spacing w:line="480" w:lineRule="exact"/>
              <w:ind w:firstLine="480" w:firstLineChars="200"/>
              <w:rPr>
                <w:color w:val="000000" w:themeColor="text1"/>
                <w:sz w:val="24"/>
                <w14:textFill>
                  <w14:solidFill>
                    <w14:schemeClr w14:val="tx1"/>
                  </w14:solidFill>
                </w14:textFill>
              </w:rPr>
            </w:pPr>
            <w:r>
              <w:rPr>
                <w:rFonts w:hint="eastAsia"/>
                <w:color w:val="FF0000"/>
                <w:sz w:val="24"/>
              </w:rPr>
              <w:t>本项目的目标产物主要应用领域为食品添加剂和化妆品，不属于制药工业。</w:t>
            </w:r>
          </w:p>
          <w:p w14:paraId="77C53D9C">
            <w:pPr>
              <w:spacing w:line="480" w:lineRule="exact"/>
              <w:ind w:firstLine="480" w:firstLineChars="200"/>
              <w:rPr>
                <w:color w:val="FF0000"/>
                <w:sz w:val="24"/>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厂界非甲烷总烃、颗粒物</w:t>
            </w:r>
            <w:r>
              <w:rPr>
                <w:rFonts w:hint="eastAsia"/>
                <w:color w:val="000000" w:themeColor="text1"/>
                <w:sz w:val="24"/>
                <w14:textFill>
                  <w14:solidFill>
                    <w14:schemeClr w14:val="tx1"/>
                  </w14:solidFill>
                </w14:textFill>
              </w:rPr>
              <w:t>、甲醇</w:t>
            </w:r>
            <w:r>
              <w:rPr>
                <w:color w:val="000000" w:themeColor="text1"/>
                <w:sz w:val="24"/>
                <w14:textFill>
                  <w14:solidFill>
                    <w14:schemeClr w14:val="tx1"/>
                  </w14:solidFill>
                </w14:textFill>
              </w:rPr>
              <w:t>执行《大气污染物综合排放标准》</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DB32/4041-2021</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表3中单位边界大气污染物排放监控浓度限值；</w:t>
            </w:r>
            <w:r>
              <w:rPr>
                <w:rFonts w:hint="eastAsia"/>
                <w:color w:val="000000" w:themeColor="text1"/>
                <w:sz w:val="24"/>
                <w14:textFill>
                  <w14:solidFill>
                    <w14:schemeClr w14:val="tx1"/>
                  </w14:solidFill>
                </w14:textFill>
              </w:rPr>
              <w:t>厂界氨、硫化氢</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臭气浓度</w:t>
            </w:r>
            <w:r>
              <w:rPr>
                <w:rFonts w:hint="eastAsia"/>
                <w:color w:val="000000" w:themeColor="text1"/>
                <w:sz w:val="24"/>
                <w14:textFill>
                  <w14:solidFill>
                    <w14:schemeClr w14:val="tx1"/>
                  </w14:solidFill>
                </w14:textFill>
              </w:rPr>
              <w:t>执行《恶臭污染物排放标准》（GB14554-93）表1中恶臭污染物厂界标准值；</w:t>
            </w:r>
            <w:r>
              <w:rPr>
                <w:color w:val="FF0000"/>
                <w:sz w:val="24"/>
              </w:rPr>
              <w:t>厂区内VOCs无组织排放标准执行</w:t>
            </w:r>
            <w:r>
              <w:rPr>
                <w:rFonts w:hint="eastAsia"/>
                <w:color w:val="FF0000"/>
                <w:sz w:val="24"/>
                <w:lang w:eastAsia="zh-CN"/>
              </w:rPr>
              <w:t>《大气污染物综合排放标准》（DB32/4042-2021）表2</w:t>
            </w:r>
            <w:r>
              <w:rPr>
                <w:color w:val="FF0000"/>
                <w:sz w:val="24"/>
              </w:rPr>
              <w:t>厂区内VOCs无组织排放限值。</w:t>
            </w:r>
          </w:p>
          <w:p w14:paraId="64D97DE2">
            <w:pPr>
              <w:spacing w:line="360" w:lineRule="exact"/>
              <w:jc w:val="center"/>
              <w:rPr>
                <w:b/>
                <w:color w:val="000000" w:themeColor="text1"/>
                <w:szCs w:val="21"/>
                <w:lang w:val="zh-CN"/>
                <w14:textFill>
                  <w14:solidFill>
                    <w14:schemeClr w14:val="tx1"/>
                  </w14:solidFill>
                </w14:textFill>
              </w:rPr>
            </w:pPr>
            <w:r>
              <w:rPr>
                <w:b/>
                <w:color w:val="000000" w:themeColor="text1"/>
                <w:szCs w:val="21"/>
                <w:lang w:val="zh-CN"/>
                <w14:textFill>
                  <w14:solidFill>
                    <w14:schemeClr w14:val="tx1"/>
                  </w14:solidFill>
                </w14:textFill>
              </w:rPr>
              <w:t>表</w:t>
            </w:r>
            <w:r>
              <w:rPr>
                <w:b/>
                <w:color w:val="000000" w:themeColor="text1"/>
                <w:szCs w:val="21"/>
                <w14:textFill>
                  <w14:solidFill>
                    <w14:schemeClr w14:val="tx1"/>
                  </w14:solidFill>
                </w14:textFill>
              </w:rPr>
              <w:t>3</w:t>
            </w:r>
            <w:r>
              <w:rPr>
                <w:b/>
                <w:color w:val="000000" w:themeColor="text1"/>
                <w:szCs w:val="21"/>
                <w:lang w:val="zh-CN"/>
                <w14:textFill>
                  <w14:solidFill>
                    <w14:schemeClr w14:val="tx1"/>
                  </w14:solidFill>
                </w14:textFill>
              </w:rPr>
              <w:t>-</w:t>
            </w:r>
            <w:r>
              <w:rPr>
                <w:rFonts w:hint="eastAsia"/>
                <w:b/>
                <w:color w:val="000000" w:themeColor="text1"/>
                <w:szCs w:val="21"/>
                <w14:textFill>
                  <w14:solidFill>
                    <w14:schemeClr w14:val="tx1"/>
                  </w14:solidFill>
                </w14:textFill>
              </w:rPr>
              <w:t>7</w:t>
            </w:r>
            <w:r>
              <w:rPr>
                <w:b/>
                <w:color w:val="000000" w:themeColor="text1"/>
                <w:szCs w:val="21"/>
                <w:lang w:val="zh-CN"/>
                <w14:textFill>
                  <w14:solidFill>
                    <w14:schemeClr w14:val="tx1"/>
                  </w14:solidFill>
                </w14:textFill>
              </w:rPr>
              <w:t xml:space="preserve">  厂界无组织废气污染物排放监控浓度限值</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517"/>
              <w:gridCol w:w="2203"/>
              <w:gridCol w:w="2301"/>
              <w:gridCol w:w="3270"/>
            </w:tblGrid>
            <w:tr w14:paraId="072CB3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16" w:type="pct"/>
                  <w:vMerge w:val="restart"/>
                  <w:vAlign w:val="center"/>
                </w:tcPr>
                <w:p w14:paraId="06BF3CD1">
                  <w:pPr>
                    <w:jc w:val="center"/>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污染物名称</w:t>
                  </w:r>
                </w:p>
              </w:tc>
              <w:tc>
                <w:tcPr>
                  <w:tcW w:w="2423" w:type="pct"/>
                  <w:gridSpan w:val="2"/>
                  <w:vAlign w:val="center"/>
                </w:tcPr>
                <w:p w14:paraId="718CDF1C">
                  <w:pPr>
                    <w:jc w:val="center"/>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无组织排放监控浓度限值</w:t>
                  </w:r>
                </w:p>
              </w:tc>
              <w:tc>
                <w:tcPr>
                  <w:tcW w:w="1759" w:type="pct"/>
                  <w:vMerge w:val="restart"/>
                  <w:vAlign w:val="center"/>
                </w:tcPr>
                <w:p w14:paraId="4458366C">
                  <w:pPr>
                    <w:jc w:val="center"/>
                    <w:rPr>
                      <w:color w:val="000000" w:themeColor="text1"/>
                      <w:lang w:val="zh-CN"/>
                      <w14:textFill>
                        <w14:solidFill>
                          <w14:schemeClr w14:val="tx1"/>
                        </w14:solidFill>
                      </w14:textFill>
                    </w:rPr>
                  </w:pPr>
                  <w:r>
                    <w:rPr>
                      <w:b/>
                      <w:bCs/>
                      <w:color w:val="000000" w:themeColor="text1"/>
                      <w:szCs w:val="21"/>
                      <w:lang w:val="zh-CN"/>
                      <w14:textFill>
                        <w14:solidFill>
                          <w14:schemeClr w14:val="tx1"/>
                        </w14:solidFill>
                      </w14:textFill>
                    </w:rPr>
                    <w:t>标准</w:t>
                  </w:r>
                </w:p>
              </w:tc>
            </w:tr>
            <w:tr w14:paraId="423703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16" w:type="pct"/>
                  <w:vMerge w:val="continue"/>
                  <w:vAlign w:val="center"/>
                </w:tcPr>
                <w:p w14:paraId="58FAFF96">
                  <w:pPr>
                    <w:jc w:val="center"/>
                    <w:rPr>
                      <w:b/>
                      <w:bCs/>
                      <w:color w:val="000000" w:themeColor="text1"/>
                      <w:szCs w:val="21"/>
                      <w:lang w:val="zh-CN"/>
                      <w14:textFill>
                        <w14:solidFill>
                          <w14:schemeClr w14:val="tx1"/>
                        </w14:solidFill>
                      </w14:textFill>
                    </w:rPr>
                  </w:pPr>
                </w:p>
              </w:tc>
              <w:tc>
                <w:tcPr>
                  <w:tcW w:w="1185" w:type="pct"/>
                  <w:tcBorders>
                    <w:bottom w:val="single" w:color="auto" w:sz="4" w:space="0"/>
                  </w:tcBorders>
                  <w:vAlign w:val="center"/>
                </w:tcPr>
                <w:p w14:paraId="302C1335">
                  <w:pPr>
                    <w:jc w:val="center"/>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监控位置</w:t>
                  </w:r>
                </w:p>
              </w:tc>
              <w:tc>
                <w:tcPr>
                  <w:tcW w:w="1238" w:type="pct"/>
                  <w:tcBorders>
                    <w:bottom w:val="single" w:color="auto" w:sz="4" w:space="0"/>
                  </w:tcBorders>
                  <w:vAlign w:val="center"/>
                </w:tcPr>
                <w:p w14:paraId="25E99972">
                  <w:pPr>
                    <w:jc w:val="center"/>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浓度（mg/m</w:t>
                  </w:r>
                  <w:r>
                    <w:rPr>
                      <w:b/>
                      <w:bCs/>
                      <w:color w:val="000000" w:themeColor="text1"/>
                      <w:szCs w:val="21"/>
                      <w:vertAlign w:val="superscript"/>
                      <w:lang w:val="zh-CN"/>
                      <w14:textFill>
                        <w14:solidFill>
                          <w14:schemeClr w14:val="tx1"/>
                        </w14:solidFill>
                      </w14:textFill>
                    </w:rPr>
                    <w:t>3</w:t>
                  </w:r>
                  <w:r>
                    <w:rPr>
                      <w:b/>
                      <w:bCs/>
                      <w:color w:val="000000" w:themeColor="text1"/>
                      <w:szCs w:val="21"/>
                      <w:lang w:val="zh-CN"/>
                      <w14:textFill>
                        <w14:solidFill>
                          <w14:schemeClr w14:val="tx1"/>
                        </w14:solidFill>
                      </w14:textFill>
                    </w:rPr>
                    <w:t>）</w:t>
                  </w:r>
                </w:p>
              </w:tc>
              <w:tc>
                <w:tcPr>
                  <w:tcW w:w="1759" w:type="pct"/>
                  <w:vMerge w:val="continue"/>
                  <w:tcBorders>
                    <w:bottom w:val="single" w:color="auto" w:sz="4" w:space="0"/>
                  </w:tcBorders>
                  <w:vAlign w:val="center"/>
                </w:tcPr>
                <w:p w14:paraId="0DB05EF1">
                  <w:pPr>
                    <w:jc w:val="center"/>
                    <w:rPr>
                      <w:color w:val="000000" w:themeColor="text1"/>
                      <w:szCs w:val="21"/>
                      <w:lang w:val="zh-CN"/>
                      <w14:textFill>
                        <w14:solidFill>
                          <w14:schemeClr w14:val="tx1"/>
                        </w14:solidFill>
                      </w14:textFill>
                    </w:rPr>
                  </w:pPr>
                </w:p>
              </w:tc>
            </w:tr>
            <w:tr w14:paraId="00EBF5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16" w:type="pct"/>
                  <w:vAlign w:val="center"/>
                </w:tcPr>
                <w:p w14:paraId="5395635C">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非甲烷总烃</w:t>
                  </w:r>
                </w:p>
              </w:tc>
              <w:tc>
                <w:tcPr>
                  <w:tcW w:w="1185" w:type="pct"/>
                  <w:vMerge w:val="restart"/>
                  <w:vAlign w:val="center"/>
                </w:tcPr>
                <w:p w14:paraId="251193E5">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边界外浓度最高点</w:t>
                  </w:r>
                </w:p>
              </w:tc>
              <w:tc>
                <w:tcPr>
                  <w:tcW w:w="1238" w:type="pct"/>
                  <w:vAlign w:val="center"/>
                </w:tcPr>
                <w:p w14:paraId="2E637901">
                  <w:pPr>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4</w:t>
                  </w:r>
                </w:p>
              </w:tc>
              <w:tc>
                <w:tcPr>
                  <w:tcW w:w="1759" w:type="pct"/>
                  <w:vMerge w:val="restart"/>
                  <w:vAlign w:val="center"/>
                </w:tcPr>
                <w:p w14:paraId="3925F9C6">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《大气污染物综合排放标准》(DB32/4041-2021)表3</w:t>
                  </w:r>
                </w:p>
              </w:tc>
            </w:tr>
            <w:tr w14:paraId="045D00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16" w:type="pct"/>
                  <w:vAlign w:val="center"/>
                </w:tcPr>
                <w:p w14:paraId="773CB20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185" w:type="pct"/>
                  <w:vMerge w:val="continue"/>
                  <w:vAlign w:val="center"/>
                </w:tcPr>
                <w:p w14:paraId="6E86C1FC">
                  <w:pPr>
                    <w:jc w:val="center"/>
                    <w:rPr>
                      <w:color w:val="000000" w:themeColor="text1"/>
                      <w:szCs w:val="21"/>
                      <w:lang w:val="zh-CN"/>
                      <w14:textFill>
                        <w14:solidFill>
                          <w14:schemeClr w14:val="tx1"/>
                        </w14:solidFill>
                      </w14:textFill>
                    </w:rPr>
                  </w:pPr>
                </w:p>
              </w:tc>
              <w:tc>
                <w:tcPr>
                  <w:tcW w:w="1238" w:type="pct"/>
                  <w:vAlign w:val="center"/>
                </w:tcPr>
                <w:p w14:paraId="42CCC74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1759" w:type="pct"/>
                  <w:vMerge w:val="continue"/>
                  <w:vAlign w:val="center"/>
                </w:tcPr>
                <w:p w14:paraId="4505A378">
                  <w:pPr>
                    <w:jc w:val="center"/>
                    <w:rPr>
                      <w:color w:val="000000" w:themeColor="text1"/>
                      <w:szCs w:val="21"/>
                      <w:lang w:val="zh-CN"/>
                      <w14:textFill>
                        <w14:solidFill>
                          <w14:schemeClr w14:val="tx1"/>
                        </w14:solidFill>
                      </w14:textFill>
                    </w:rPr>
                  </w:pPr>
                </w:p>
              </w:tc>
            </w:tr>
            <w:tr w14:paraId="785CF3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16" w:type="pct"/>
                  <w:vAlign w:val="center"/>
                </w:tcPr>
                <w:p w14:paraId="7EEF844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甲醇</w:t>
                  </w:r>
                </w:p>
              </w:tc>
              <w:tc>
                <w:tcPr>
                  <w:tcW w:w="1185" w:type="pct"/>
                  <w:vMerge w:val="continue"/>
                  <w:vAlign w:val="center"/>
                </w:tcPr>
                <w:p w14:paraId="45B35231">
                  <w:pPr>
                    <w:jc w:val="center"/>
                    <w:rPr>
                      <w:color w:val="000000" w:themeColor="text1"/>
                      <w:szCs w:val="21"/>
                      <w:lang w:val="zh-CN"/>
                      <w14:textFill>
                        <w14:solidFill>
                          <w14:schemeClr w14:val="tx1"/>
                        </w14:solidFill>
                      </w14:textFill>
                    </w:rPr>
                  </w:pPr>
                </w:p>
              </w:tc>
              <w:tc>
                <w:tcPr>
                  <w:tcW w:w="1238" w:type="pct"/>
                  <w:vAlign w:val="center"/>
                </w:tcPr>
                <w:p w14:paraId="0B6501F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759" w:type="pct"/>
                  <w:vMerge w:val="continue"/>
                  <w:vAlign w:val="center"/>
                </w:tcPr>
                <w:p w14:paraId="3D080963">
                  <w:pPr>
                    <w:jc w:val="center"/>
                    <w:rPr>
                      <w:color w:val="000000" w:themeColor="text1"/>
                      <w:szCs w:val="21"/>
                      <w:lang w:val="zh-CN"/>
                      <w14:textFill>
                        <w14:solidFill>
                          <w14:schemeClr w14:val="tx1"/>
                        </w14:solidFill>
                      </w14:textFill>
                    </w:rPr>
                  </w:pPr>
                </w:p>
              </w:tc>
            </w:tr>
            <w:tr w14:paraId="2A052B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16" w:type="pct"/>
                  <w:vAlign w:val="center"/>
                </w:tcPr>
                <w:p w14:paraId="20F496D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w:t>
                  </w:r>
                </w:p>
              </w:tc>
              <w:tc>
                <w:tcPr>
                  <w:tcW w:w="1185" w:type="pct"/>
                  <w:vMerge w:val="continue"/>
                  <w:vAlign w:val="center"/>
                </w:tcPr>
                <w:p w14:paraId="624B6695">
                  <w:pPr>
                    <w:jc w:val="center"/>
                    <w:rPr>
                      <w:color w:val="000000" w:themeColor="text1"/>
                      <w:szCs w:val="21"/>
                      <w:lang w:val="zh-CN"/>
                      <w14:textFill>
                        <w14:solidFill>
                          <w14:schemeClr w14:val="tx1"/>
                        </w14:solidFill>
                      </w14:textFill>
                    </w:rPr>
                  </w:pPr>
                </w:p>
              </w:tc>
              <w:tc>
                <w:tcPr>
                  <w:tcW w:w="1238" w:type="pct"/>
                  <w:vAlign w:val="center"/>
                </w:tcPr>
                <w:p w14:paraId="01AB4FF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1759" w:type="pct"/>
                  <w:vMerge w:val="restart"/>
                  <w:vAlign w:val="center"/>
                </w:tcPr>
                <w:p w14:paraId="2427E83D">
                  <w:pPr>
                    <w:jc w:val="center"/>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《恶臭污染物排放标准》（GB14554-93）</w:t>
                  </w:r>
                  <w:r>
                    <w:rPr>
                      <w:rFonts w:hint="eastAsia"/>
                      <w:color w:val="000000" w:themeColor="text1"/>
                      <w:szCs w:val="21"/>
                      <w14:textFill>
                        <w14:solidFill>
                          <w14:schemeClr w14:val="tx1"/>
                        </w14:solidFill>
                      </w14:textFill>
                    </w:rPr>
                    <w:t>表1二级</w:t>
                  </w:r>
                </w:p>
              </w:tc>
            </w:tr>
            <w:tr w14:paraId="44B941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16" w:type="pct"/>
                  <w:vAlign w:val="center"/>
                </w:tcPr>
                <w:p w14:paraId="235EE49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硫化氢</w:t>
                  </w:r>
                </w:p>
              </w:tc>
              <w:tc>
                <w:tcPr>
                  <w:tcW w:w="1185" w:type="pct"/>
                  <w:vMerge w:val="continue"/>
                  <w:vAlign w:val="center"/>
                </w:tcPr>
                <w:p w14:paraId="0A7423FD">
                  <w:pPr>
                    <w:jc w:val="center"/>
                    <w:rPr>
                      <w:color w:val="000000" w:themeColor="text1"/>
                      <w:szCs w:val="21"/>
                      <w:lang w:val="zh-CN"/>
                      <w14:textFill>
                        <w14:solidFill>
                          <w14:schemeClr w14:val="tx1"/>
                        </w14:solidFill>
                      </w14:textFill>
                    </w:rPr>
                  </w:pPr>
                </w:p>
              </w:tc>
              <w:tc>
                <w:tcPr>
                  <w:tcW w:w="1238" w:type="pct"/>
                  <w:vAlign w:val="center"/>
                </w:tcPr>
                <w:p w14:paraId="24955E0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0.06</w:t>
                  </w:r>
                </w:p>
              </w:tc>
              <w:tc>
                <w:tcPr>
                  <w:tcW w:w="1759" w:type="pct"/>
                  <w:vMerge w:val="continue"/>
                  <w:vAlign w:val="center"/>
                </w:tcPr>
                <w:p w14:paraId="1145FAF5">
                  <w:pPr>
                    <w:jc w:val="center"/>
                    <w:rPr>
                      <w:color w:val="000000" w:themeColor="text1"/>
                      <w:szCs w:val="21"/>
                      <w:lang w:val="zh-CN"/>
                      <w14:textFill>
                        <w14:solidFill>
                          <w14:schemeClr w14:val="tx1"/>
                        </w14:solidFill>
                      </w14:textFill>
                    </w:rPr>
                  </w:pPr>
                </w:p>
              </w:tc>
            </w:tr>
            <w:tr w14:paraId="369346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16" w:type="pct"/>
                  <w:vAlign w:val="center"/>
                </w:tcPr>
                <w:p w14:paraId="605C2A29">
                  <w:pPr>
                    <w:jc w:val="center"/>
                    <w:rPr>
                      <w:rFonts w:hint="eastAsia" w:eastAsia="宋体"/>
                      <w:color w:val="FF0000"/>
                      <w:szCs w:val="21"/>
                      <w:lang w:val="en-US" w:eastAsia="zh-CN"/>
                    </w:rPr>
                  </w:pPr>
                  <w:r>
                    <w:rPr>
                      <w:rFonts w:hint="eastAsia"/>
                      <w:color w:val="FF0000"/>
                      <w:szCs w:val="21"/>
                      <w:lang w:val="en-US" w:eastAsia="zh-CN"/>
                    </w:rPr>
                    <w:t>臭气浓度</w:t>
                  </w:r>
                </w:p>
              </w:tc>
              <w:tc>
                <w:tcPr>
                  <w:tcW w:w="1185" w:type="pct"/>
                  <w:vMerge w:val="continue"/>
                  <w:vAlign w:val="center"/>
                </w:tcPr>
                <w:p w14:paraId="1A51D037">
                  <w:pPr>
                    <w:jc w:val="center"/>
                    <w:rPr>
                      <w:color w:val="FF0000"/>
                      <w:szCs w:val="21"/>
                      <w:lang w:val="zh-CN"/>
                    </w:rPr>
                  </w:pPr>
                </w:p>
              </w:tc>
              <w:tc>
                <w:tcPr>
                  <w:tcW w:w="1238" w:type="pct"/>
                  <w:vAlign w:val="center"/>
                </w:tcPr>
                <w:p w14:paraId="1B204584">
                  <w:pPr>
                    <w:jc w:val="center"/>
                    <w:rPr>
                      <w:rFonts w:hint="default" w:eastAsia="宋体"/>
                      <w:color w:val="FF0000"/>
                      <w:szCs w:val="21"/>
                      <w:lang w:val="en-US" w:eastAsia="zh-CN"/>
                    </w:rPr>
                  </w:pPr>
                  <w:r>
                    <w:rPr>
                      <w:rFonts w:hint="eastAsia"/>
                      <w:color w:val="FF0000"/>
                      <w:szCs w:val="21"/>
                      <w:lang w:val="en-US" w:eastAsia="zh-CN"/>
                    </w:rPr>
                    <w:t>20（无量纲）</w:t>
                  </w:r>
                </w:p>
              </w:tc>
              <w:tc>
                <w:tcPr>
                  <w:tcW w:w="1759" w:type="pct"/>
                  <w:vMerge w:val="continue"/>
                  <w:vAlign w:val="center"/>
                </w:tcPr>
                <w:p w14:paraId="45704CB4">
                  <w:pPr>
                    <w:jc w:val="center"/>
                    <w:rPr>
                      <w:color w:val="000000" w:themeColor="text1"/>
                      <w:szCs w:val="21"/>
                      <w:lang w:val="zh-CN"/>
                      <w14:textFill>
                        <w14:solidFill>
                          <w14:schemeClr w14:val="tx1"/>
                        </w14:solidFill>
                      </w14:textFill>
                    </w:rPr>
                  </w:pPr>
                </w:p>
              </w:tc>
            </w:tr>
          </w:tbl>
          <w:p w14:paraId="1212A3B2">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8</w:t>
            </w:r>
            <w:r>
              <w:rPr>
                <w:b/>
                <w:color w:val="000000" w:themeColor="text1"/>
                <w:szCs w:val="21"/>
                <w14:textFill>
                  <w14:solidFill>
                    <w14:schemeClr w14:val="tx1"/>
                  </w14:solidFill>
                </w14:textFill>
              </w:rPr>
              <w:t xml:space="preserve">  厂区内VOCs无组织排放限值（mg/m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740"/>
              <w:gridCol w:w="3753"/>
              <w:gridCol w:w="987"/>
              <w:gridCol w:w="1487"/>
              <w:gridCol w:w="1324"/>
            </w:tblGrid>
            <w:tr w14:paraId="3FB2AA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0" w:type="auto"/>
                  <w:tcBorders>
                    <w:right w:val="single" w:color="auto" w:sz="4" w:space="0"/>
                  </w:tcBorders>
                  <w:vAlign w:val="center"/>
                </w:tcPr>
                <w:p w14:paraId="701E8F1F">
                  <w:pPr>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污染物项目</w:t>
                  </w:r>
                </w:p>
              </w:tc>
              <w:tc>
                <w:tcPr>
                  <w:tcW w:w="0" w:type="auto"/>
                  <w:tcBorders>
                    <w:left w:val="single" w:color="auto" w:sz="4" w:space="0"/>
                  </w:tcBorders>
                  <w:vAlign w:val="center"/>
                </w:tcPr>
                <w:p w14:paraId="5F657F96">
                  <w:pPr>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c>
                <w:tcPr>
                  <w:tcW w:w="0" w:type="auto"/>
                  <w:vAlign w:val="center"/>
                </w:tcPr>
                <w:p w14:paraId="53DC89EA">
                  <w:pPr>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特别排放限值</w:t>
                  </w:r>
                </w:p>
              </w:tc>
              <w:tc>
                <w:tcPr>
                  <w:tcW w:w="0" w:type="auto"/>
                  <w:vAlign w:val="center"/>
                </w:tcPr>
                <w:p w14:paraId="4EA3A97A">
                  <w:pPr>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限值含义</w:t>
                  </w:r>
                </w:p>
              </w:tc>
              <w:tc>
                <w:tcPr>
                  <w:tcW w:w="0" w:type="auto"/>
                  <w:vAlign w:val="center"/>
                </w:tcPr>
                <w:p w14:paraId="77A9947E">
                  <w:pPr>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无组织排放监控位置</w:t>
                  </w:r>
                </w:p>
              </w:tc>
            </w:tr>
            <w:tr w14:paraId="51F427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71" w:hRule="atLeast"/>
                <w:jc w:val="center"/>
              </w:trPr>
              <w:tc>
                <w:tcPr>
                  <w:tcW w:w="0" w:type="auto"/>
                  <w:vMerge w:val="restart"/>
                  <w:tcBorders>
                    <w:right w:val="single" w:color="auto" w:sz="4" w:space="0"/>
                  </w:tcBorders>
                  <w:vAlign w:val="center"/>
                </w:tcPr>
                <w:p w14:paraId="4445919A">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NMHC</w:t>
                  </w:r>
                  <w:r>
                    <w:rPr>
                      <w:rFonts w:hint="eastAsia"/>
                      <w:color w:val="000000" w:themeColor="text1"/>
                      <w:szCs w:val="21"/>
                      <w14:textFill>
                        <w14:solidFill>
                          <w14:schemeClr w14:val="tx1"/>
                        </w14:solidFill>
                      </w14:textFill>
                    </w:rPr>
                    <w:t>（挥发性有机物）</w:t>
                  </w:r>
                </w:p>
              </w:tc>
              <w:tc>
                <w:tcPr>
                  <w:tcW w:w="0" w:type="auto"/>
                  <w:vMerge w:val="restart"/>
                  <w:tcBorders>
                    <w:left w:val="single" w:color="auto" w:sz="4" w:space="0"/>
                  </w:tcBorders>
                  <w:vAlign w:val="center"/>
                </w:tcPr>
                <w:p w14:paraId="3BEFAB7E">
                  <w:pPr>
                    <w:spacing w:line="320" w:lineRule="exact"/>
                    <w:jc w:val="center"/>
                    <w:rPr>
                      <w:color w:val="000000" w:themeColor="text1"/>
                      <w:szCs w:val="21"/>
                      <w14:textFill>
                        <w14:solidFill>
                          <w14:schemeClr w14:val="tx1"/>
                        </w14:solidFill>
                      </w14:textFill>
                    </w:rPr>
                  </w:pPr>
                  <w:r>
                    <w:rPr>
                      <w:rFonts w:hint="eastAsia"/>
                      <w:color w:val="FF0000"/>
                      <w:szCs w:val="21"/>
                      <w:lang w:val="zh-CN"/>
                    </w:rPr>
                    <w:t>《大气污染物综合排放标准》（DB32/4042-2021）表2</w:t>
                  </w:r>
                </w:p>
              </w:tc>
              <w:tc>
                <w:tcPr>
                  <w:tcW w:w="0" w:type="auto"/>
                  <w:vAlign w:val="center"/>
                </w:tcPr>
                <w:p w14:paraId="7492E5D9">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0" w:type="auto"/>
                  <w:vAlign w:val="center"/>
                </w:tcPr>
                <w:p w14:paraId="4288B74F">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监控点处1h平均浓度值</w:t>
                  </w:r>
                </w:p>
              </w:tc>
              <w:tc>
                <w:tcPr>
                  <w:tcW w:w="0" w:type="auto"/>
                  <w:vMerge w:val="restart"/>
                  <w:vAlign w:val="center"/>
                </w:tcPr>
                <w:p w14:paraId="11ED26BF">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在厂房外设置监控点</w:t>
                  </w:r>
                </w:p>
              </w:tc>
            </w:tr>
            <w:tr w14:paraId="1FA256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0" w:type="auto"/>
                  <w:vMerge w:val="continue"/>
                  <w:tcBorders>
                    <w:right w:val="single" w:color="auto" w:sz="4" w:space="0"/>
                  </w:tcBorders>
                  <w:vAlign w:val="center"/>
                </w:tcPr>
                <w:p w14:paraId="1E8C253A">
                  <w:pPr>
                    <w:spacing w:line="320" w:lineRule="exact"/>
                    <w:jc w:val="center"/>
                    <w:rPr>
                      <w:color w:val="000000" w:themeColor="text1"/>
                      <w:szCs w:val="21"/>
                      <w14:textFill>
                        <w14:solidFill>
                          <w14:schemeClr w14:val="tx1"/>
                        </w14:solidFill>
                      </w14:textFill>
                    </w:rPr>
                  </w:pPr>
                </w:p>
              </w:tc>
              <w:tc>
                <w:tcPr>
                  <w:tcW w:w="0" w:type="auto"/>
                  <w:vMerge w:val="continue"/>
                  <w:tcBorders>
                    <w:left w:val="single" w:color="auto" w:sz="4" w:space="0"/>
                  </w:tcBorders>
                  <w:vAlign w:val="center"/>
                </w:tcPr>
                <w:p w14:paraId="017CD853">
                  <w:pPr>
                    <w:spacing w:line="320" w:lineRule="exact"/>
                    <w:jc w:val="center"/>
                    <w:rPr>
                      <w:color w:val="000000" w:themeColor="text1"/>
                      <w:szCs w:val="21"/>
                      <w14:textFill>
                        <w14:solidFill>
                          <w14:schemeClr w14:val="tx1"/>
                        </w14:solidFill>
                      </w14:textFill>
                    </w:rPr>
                  </w:pPr>
                </w:p>
              </w:tc>
              <w:tc>
                <w:tcPr>
                  <w:tcW w:w="0" w:type="auto"/>
                  <w:vAlign w:val="center"/>
                </w:tcPr>
                <w:p w14:paraId="2D8388BF">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0" w:type="auto"/>
                  <w:vAlign w:val="center"/>
                </w:tcPr>
                <w:p w14:paraId="2A21E1C1">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监控点任意一次浓度值</w:t>
                  </w:r>
                </w:p>
              </w:tc>
              <w:tc>
                <w:tcPr>
                  <w:tcW w:w="0" w:type="auto"/>
                  <w:vMerge w:val="continue"/>
                  <w:vAlign w:val="center"/>
                </w:tcPr>
                <w:p w14:paraId="70DE6A56">
                  <w:pPr>
                    <w:spacing w:line="320" w:lineRule="exact"/>
                    <w:jc w:val="center"/>
                    <w:rPr>
                      <w:color w:val="000000" w:themeColor="text1"/>
                      <w:szCs w:val="21"/>
                      <w14:textFill>
                        <w14:solidFill>
                          <w14:schemeClr w14:val="tx1"/>
                        </w14:solidFill>
                      </w14:textFill>
                    </w:rPr>
                  </w:pPr>
                </w:p>
              </w:tc>
            </w:tr>
          </w:tbl>
          <w:p w14:paraId="31E8A168">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2、水污染物排放标准</w:t>
            </w:r>
          </w:p>
          <w:p w14:paraId="4484EFB1">
            <w:pPr>
              <w:spacing w:line="48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外排废水主要为生活污水，经市政污水管网接至常州市金坛区第二污水处理厂，执行常州市金坛区第二污水处理厂接管标准，常州市金坛区第二污水处理厂处理后尾水排入尧塘河，排放标准执行《城镇污水处理厂污染物排放标准》（DB32/4440-2022）。标准值参见下表。</w:t>
            </w:r>
          </w:p>
          <w:p w14:paraId="13CBAE3C">
            <w:pPr>
              <w:spacing w:line="37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9</w:t>
            </w:r>
            <w:r>
              <w:rPr>
                <w:b/>
                <w:color w:val="000000" w:themeColor="text1"/>
                <w:szCs w:val="21"/>
                <w14:textFill>
                  <w14:solidFill>
                    <w14:schemeClr w14:val="tx1"/>
                  </w14:solidFill>
                </w14:textFill>
              </w:rPr>
              <w:t xml:space="preserve">  废污水排放标准限值表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2970"/>
              <w:gridCol w:w="1553"/>
              <w:gridCol w:w="1313"/>
              <w:gridCol w:w="1087"/>
              <w:gridCol w:w="1237"/>
            </w:tblGrid>
            <w:tr w14:paraId="12648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tcBorders>
                    <w:tl2br w:val="nil"/>
                    <w:tr2bl w:val="nil"/>
                  </w:tcBorders>
                  <w:tcMar>
                    <w:left w:w="0" w:type="dxa"/>
                    <w:right w:w="0" w:type="dxa"/>
                  </w:tcMar>
                  <w:vAlign w:val="center"/>
                </w:tcPr>
                <w:p w14:paraId="07E7EB06">
                  <w:pPr>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排放口</w:t>
                  </w:r>
                </w:p>
                <w:p w14:paraId="672FF3A2">
                  <w:pPr>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1599" w:type="pct"/>
                  <w:tcBorders>
                    <w:tl2br w:val="nil"/>
                    <w:tr2bl w:val="nil"/>
                  </w:tcBorders>
                  <w:vAlign w:val="center"/>
                </w:tcPr>
                <w:p w14:paraId="35A27F5E">
                  <w:pPr>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执行标准</w:t>
                  </w:r>
                </w:p>
              </w:tc>
              <w:tc>
                <w:tcPr>
                  <w:tcW w:w="836" w:type="pct"/>
                  <w:tcBorders>
                    <w:tl2br w:val="nil"/>
                    <w:tr2bl w:val="nil"/>
                  </w:tcBorders>
                  <w:tcMar>
                    <w:left w:w="0" w:type="dxa"/>
                    <w:right w:w="0" w:type="dxa"/>
                  </w:tcMar>
                  <w:vAlign w:val="center"/>
                </w:tcPr>
                <w:p w14:paraId="35FD1A1B">
                  <w:pPr>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取值表号及级别</w:t>
                  </w:r>
                </w:p>
              </w:tc>
              <w:tc>
                <w:tcPr>
                  <w:tcW w:w="707" w:type="pct"/>
                  <w:tcBorders>
                    <w:tl2br w:val="nil"/>
                    <w:tr2bl w:val="nil"/>
                  </w:tcBorders>
                  <w:vAlign w:val="center"/>
                </w:tcPr>
                <w:p w14:paraId="49DF594C">
                  <w:pPr>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污染物指标</w:t>
                  </w:r>
                </w:p>
              </w:tc>
              <w:tc>
                <w:tcPr>
                  <w:tcW w:w="585" w:type="pct"/>
                  <w:tcBorders>
                    <w:tl2br w:val="nil"/>
                    <w:tr2bl w:val="nil"/>
                  </w:tcBorders>
                  <w:vAlign w:val="center"/>
                </w:tcPr>
                <w:p w14:paraId="18718A22">
                  <w:pPr>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单位</w:t>
                  </w:r>
                </w:p>
              </w:tc>
              <w:tc>
                <w:tcPr>
                  <w:tcW w:w="666" w:type="pct"/>
                  <w:tcBorders>
                    <w:tl2br w:val="nil"/>
                    <w:tr2bl w:val="nil"/>
                  </w:tcBorders>
                  <w:vAlign w:val="center"/>
                </w:tcPr>
                <w:p w14:paraId="56CD05CE">
                  <w:pPr>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标准限值</w:t>
                  </w:r>
                </w:p>
              </w:tc>
            </w:tr>
            <w:tr w14:paraId="3C6A76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restart"/>
                  <w:tcBorders>
                    <w:tl2br w:val="nil"/>
                    <w:tr2bl w:val="nil"/>
                  </w:tcBorders>
                  <w:vAlign w:val="center"/>
                </w:tcPr>
                <w:p w14:paraId="35812957">
                  <w:pPr>
                    <w:adjustRightInd w:val="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DW001</w:t>
                  </w:r>
                </w:p>
              </w:tc>
              <w:tc>
                <w:tcPr>
                  <w:tcW w:w="1599" w:type="pct"/>
                  <w:vMerge w:val="restart"/>
                  <w:tcBorders>
                    <w:tl2br w:val="nil"/>
                    <w:tr2bl w:val="nil"/>
                  </w:tcBorders>
                  <w:vAlign w:val="center"/>
                </w:tcPr>
                <w:p w14:paraId="371BC1A0">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《金坛第二污水处理厂接管标准》</w:t>
                  </w:r>
                </w:p>
              </w:tc>
              <w:tc>
                <w:tcPr>
                  <w:tcW w:w="836" w:type="pct"/>
                  <w:vMerge w:val="restart"/>
                  <w:tcBorders>
                    <w:tl2br w:val="nil"/>
                    <w:tr2bl w:val="nil"/>
                  </w:tcBorders>
                  <w:vAlign w:val="center"/>
                </w:tcPr>
                <w:p w14:paraId="3EDFFADB">
                  <w:pPr>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w:t>
                  </w:r>
                </w:p>
              </w:tc>
              <w:tc>
                <w:tcPr>
                  <w:tcW w:w="707" w:type="pct"/>
                  <w:tcBorders>
                    <w:tl2br w:val="nil"/>
                    <w:tr2bl w:val="nil"/>
                  </w:tcBorders>
                  <w:vAlign w:val="center"/>
                </w:tcPr>
                <w:p w14:paraId="31A77455">
                  <w:pPr>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pH</w:t>
                  </w:r>
                </w:p>
              </w:tc>
              <w:tc>
                <w:tcPr>
                  <w:tcW w:w="585" w:type="pct"/>
                  <w:tcBorders>
                    <w:tl2br w:val="nil"/>
                    <w:tr2bl w:val="nil"/>
                  </w:tcBorders>
                  <w:vAlign w:val="center"/>
                </w:tcPr>
                <w:p w14:paraId="0026B361">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无量纲</w:t>
                  </w:r>
                </w:p>
              </w:tc>
              <w:tc>
                <w:tcPr>
                  <w:tcW w:w="666" w:type="pct"/>
                  <w:tcBorders>
                    <w:tl2br w:val="nil"/>
                    <w:tr2bl w:val="nil"/>
                  </w:tcBorders>
                  <w:vAlign w:val="center"/>
                </w:tcPr>
                <w:p w14:paraId="67BC4330">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6~9</w:t>
                  </w:r>
                </w:p>
              </w:tc>
            </w:tr>
            <w:tr w14:paraId="5D389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vAlign w:val="center"/>
                </w:tcPr>
                <w:p w14:paraId="5B3FFBB5">
                  <w:pPr>
                    <w:adjustRightInd w:val="0"/>
                    <w:jc w:val="center"/>
                    <w:rPr>
                      <w:bCs/>
                      <w:color w:val="000000" w:themeColor="text1"/>
                      <w:szCs w:val="21"/>
                      <w14:textFill>
                        <w14:solidFill>
                          <w14:schemeClr w14:val="tx1"/>
                        </w14:solidFill>
                      </w14:textFill>
                    </w:rPr>
                  </w:pPr>
                </w:p>
              </w:tc>
              <w:tc>
                <w:tcPr>
                  <w:tcW w:w="1599" w:type="pct"/>
                  <w:vMerge w:val="continue"/>
                  <w:tcBorders>
                    <w:tl2br w:val="nil"/>
                    <w:tr2bl w:val="nil"/>
                  </w:tcBorders>
                  <w:vAlign w:val="center"/>
                </w:tcPr>
                <w:p w14:paraId="40A83BED">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110FBF87">
                  <w:pPr>
                    <w:adjustRightInd w:val="0"/>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24335C03">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COD</w:t>
                  </w:r>
                </w:p>
              </w:tc>
              <w:tc>
                <w:tcPr>
                  <w:tcW w:w="585" w:type="pct"/>
                  <w:tcBorders>
                    <w:tl2br w:val="nil"/>
                    <w:tr2bl w:val="nil"/>
                  </w:tcBorders>
                  <w:vAlign w:val="center"/>
                </w:tcPr>
                <w:p w14:paraId="615D9AE2">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666" w:type="pct"/>
                  <w:tcBorders>
                    <w:tl2br w:val="nil"/>
                    <w:tr2bl w:val="nil"/>
                  </w:tcBorders>
                  <w:vAlign w:val="center"/>
                </w:tcPr>
                <w:p w14:paraId="5F0BA7FE">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500</w:t>
                  </w:r>
                </w:p>
              </w:tc>
            </w:tr>
            <w:tr w14:paraId="561DA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vAlign w:val="center"/>
                </w:tcPr>
                <w:p w14:paraId="5F1C26F0">
                  <w:pPr>
                    <w:adjustRightInd w:val="0"/>
                    <w:jc w:val="center"/>
                    <w:rPr>
                      <w:bCs/>
                      <w:color w:val="000000" w:themeColor="text1"/>
                      <w:szCs w:val="21"/>
                      <w14:textFill>
                        <w14:solidFill>
                          <w14:schemeClr w14:val="tx1"/>
                        </w14:solidFill>
                      </w14:textFill>
                    </w:rPr>
                  </w:pPr>
                </w:p>
              </w:tc>
              <w:tc>
                <w:tcPr>
                  <w:tcW w:w="1599" w:type="pct"/>
                  <w:vMerge w:val="continue"/>
                  <w:tcBorders>
                    <w:tl2br w:val="nil"/>
                    <w:tr2bl w:val="nil"/>
                  </w:tcBorders>
                  <w:vAlign w:val="center"/>
                </w:tcPr>
                <w:p w14:paraId="560EB009">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0C8423DC">
                  <w:pPr>
                    <w:adjustRightInd w:val="0"/>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4460798D">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SS</w:t>
                  </w:r>
                </w:p>
              </w:tc>
              <w:tc>
                <w:tcPr>
                  <w:tcW w:w="585" w:type="pct"/>
                  <w:tcBorders>
                    <w:tl2br w:val="nil"/>
                    <w:tr2bl w:val="nil"/>
                  </w:tcBorders>
                  <w:vAlign w:val="center"/>
                </w:tcPr>
                <w:p w14:paraId="4423ECC4">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666" w:type="pct"/>
                  <w:tcBorders>
                    <w:tl2br w:val="nil"/>
                    <w:tr2bl w:val="nil"/>
                  </w:tcBorders>
                  <w:vAlign w:val="center"/>
                </w:tcPr>
                <w:p w14:paraId="313EED2D">
                  <w:pPr>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25</w:t>
                  </w:r>
                  <w:r>
                    <w:rPr>
                      <w:color w:val="000000" w:themeColor="text1"/>
                      <w14:textFill>
                        <w14:solidFill>
                          <w14:schemeClr w14:val="tx1"/>
                        </w14:solidFill>
                      </w14:textFill>
                    </w:rPr>
                    <w:t>0</w:t>
                  </w:r>
                </w:p>
              </w:tc>
            </w:tr>
            <w:tr w14:paraId="0D1CE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vAlign w:val="center"/>
                </w:tcPr>
                <w:p w14:paraId="4A7FA2FE">
                  <w:pPr>
                    <w:adjustRightInd w:val="0"/>
                    <w:jc w:val="center"/>
                    <w:rPr>
                      <w:bCs/>
                      <w:color w:val="000000" w:themeColor="text1"/>
                      <w:szCs w:val="21"/>
                      <w14:textFill>
                        <w14:solidFill>
                          <w14:schemeClr w14:val="tx1"/>
                        </w14:solidFill>
                      </w14:textFill>
                    </w:rPr>
                  </w:pPr>
                </w:p>
              </w:tc>
              <w:tc>
                <w:tcPr>
                  <w:tcW w:w="1599" w:type="pct"/>
                  <w:vMerge w:val="continue"/>
                  <w:tcBorders>
                    <w:tl2br w:val="nil"/>
                    <w:tr2bl w:val="nil"/>
                  </w:tcBorders>
                  <w:vAlign w:val="center"/>
                </w:tcPr>
                <w:p w14:paraId="1D9CB787">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203973F0">
                  <w:pPr>
                    <w:adjustRightInd w:val="0"/>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57217303">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NH</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-N</w:t>
                  </w:r>
                </w:p>
              </w:tc>
              <w:tc>
                <w:tcPr>
                  <w:tcW w:w="585" w:type="pct"/>
                  <w:tcBorders>
                    <w:tl2br w:val="nil"/>
                    <w:tr2bl w:val="nil"/>
                  </w:tcBorders>
                  <w:vAlign w:val="center"/>
                </w:tcPr>
                <w:p w14:paraId="3946161A">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666" w:type="pct"/>
                  <w:tcBorders>
                    <w:tl2br w:val="nil"/>
                    <w:tr2bl w:val="nil"/>
                  </w:tcBorders>
                  <w:vAlign w:val="center"/>
                </w:tcPr>
                <w:p w14:paraId="50CABF62">
                  <w:pPr>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5</w:t>
                  </w:r>
                </w:p>
              </w:tc>
            </w:tr>
            <w:tr w14:paraId="1CCB8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vAlign w:val="center"/>
                </w:tcPr>
                <w:p w14:paraId="28ECA521">
                  <w:pPr>
                    <w:adjustRightInd w:val="0"/>
                    <w:jc w:val="center"/>
                    <w:rPr>
                      <w:bCs/>
                      <w:color w:val="000000" w:themeColor="text1"/>
                      <w:szCs w:val="21"/>
                      <w14:textFill>
                        <w14:solidFill>
                          <w14:schemeClr w14:val="tx1"/>
                        </w14:solidFill>
                      </w14:textFill>
                    </w:rPr>
                  </w:pPr>
                </w:p>
              </w:tc>
              <w:tc>
                <w:tcPr>
                  <w:tcW w:w="1599" w:type="pct"/>
                  <w:vMerge w:val="continue"/>
                  <w:tcBorders>
                    <w:tl2br w:val="nil"/>
                    <w:tr2bl w:val="nil"/>
                  </w:tcBorders>
                  <w:vAlign w:val="center"/>
                </w:tcPr>
                <w:p w14:paraId="1987BBB5">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0738C4A2">
                  <w:pPr>
                    <w:adjustRightInd w:val="0"/>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27DC1EF8">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TP</w:t>
                  </w:r>
                </w:p>
              </w:tc>
              <w:tc>
                <w:tcPr>
                  <w:tcW w:w="585" w:type="pct"/>
                  <w:tcBorders>
                    <w:tl2br w:val="nil"/>
                    <w:tr2bl w:val="nil"/>
                  </w:tcBorders>
                  <w:vAlign w:val="center"/>
                </w:tcPr>
                <w:p w14:paraId="429CD8B3">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666" w:type="pct"/>
                  <w:tcBorders>
                    <w:tl2br w:val="nil"/>
                    <w:tr2bl w:val="nil"/>
                  </w:tcBorders>
                  <w:vAlign w:val="center"/>
                </w:tcPr>
                <w:p w14:paraId="1632253E">
                  <w:pPr>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3</w:t>
                  </w:r>
                </w:p>
              </w:tc>
            </w:tr>
            <w:tr w14:paraId="5FADC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vAlign w:val="center"/>
                </w:tcPr>
                <w:p w14:paraId="476D76A2">
                  <w:pPr>
                    <w:adjustRightInd w:val="0"/>
                    <w:jc w:val="center"/>
                    <w:rPr>
                      <w:bCs/>
                      <w:color w:val="000000" w:themeColor="text1"/>
                      <w:szCs w:val="21"/>
                      <w14:textFill>
                        <w14:solidFill>
                          <w14:schemeClr w14:val="tx1"/>
                        </w14:solidFill>
                      </w14:textFill>
                    </w:rPr>
                  </w:pPr>
                </w:p>
              </w:tc>
              <w:tc>
                <w:tcPr>
                  <w:tcW w:w="1599" w:type="pct"/>
                  <w:vMerge w:val="continue"/>
                  <w:tcBorders>
                    <w:tl2br w:val="nil"/>
                    <w:tr2bl w:val="nil"/>
                  </w:tcBorders>
                  <w:vAlign w:val="center"/>
                </w:tcPr>
                <w:p w14:paraId="4D6CF4F3">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67FDEEC8">
                  <w:pPr>
                    <w:adjustRightInd w:val="0"/>
                    <w:jc w:val="center"/>
                    <w:rPr>
                      <w:bCs/>
                      <w:color w:val="000000" w:themeColor="text1"/>
                      <w:szCs w:val="21"/>
                      <w14:textFill>
                        <w14:solidFill>
                          <w14:schemeClr w14:val="tx1"/>
                        </w14:solidFill>
                      </w14:textFill>
                    </w:rPr>
                  </w:pPr>
                </w:p>
              </w:tc>
              <w:tc>
                <w:tcPr>
                  <w:tcW w:w="707" w:type="pct"/>
                  <w:tcBorders>
                    <w:tl2br w:val="nil"/>
                    <w:tr2bl w:val="nil"/>
                  </w:tcBorders>
                  <w:vAlign w:val="center"/>
                </w:tcPr>
                <w:p w14:paraId="13BE6D10">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TN</w:t>
                  </w:r>
                </w:p>
              </w:tc>
              <w:tc>
                <w:tcPr>
                  <w:tcW w:w="585" w:type="pct"/>
                  <w:tcBorders>
                    <w:tl2br w:val="nil"/>
                    <w:tr2bl w:val="nil"/>
                  </w:tcBorders>
                  <w:vAlign w:val="center"/>
                </w:tcPr>
                <w:p w14:paraId="0B6AC2B3">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666" w:type="pct"/>
                  <w:tcBorders>
                    <w:tl2br w:val="nil"/>
                    <w:tr2bl w:val="nil"/>
                  </w:tcBorders>
                  <w:vAlign w:val="center"/>
                </w:tcPr>
                <w:p w14:paraId="19BC163C">
                  <w:pPr>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w:t>
                  </w:r>
                </w:p>
              </w:tc>
            </w:tr>
            <w:tr w14:paraId="22C93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605" w:type="pct"/>
                  <w:vMerge w:val="restart"/>
                  <w:tcBorders>
                    <w:tl2br w:val="nil"/>
                    <w:tr2bl w:val="nil"/>
                  </w:tcBorders>
                  <w:vAlign w:val="center"/>
                </w:tcPr>
                <w:p w14:paraId="27D32374">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污水处理厂排口</w:t>
                  </w:r>
                </w:p>
              </w:tc>
              <w:tc>
                <w:tcPr>
                  <w:tcW w:w="1599" w:type="pct"/>
                  <w:vMerge w:val="restart"/>
                  <w:tcBorders>
                    <w:tl2br w:val="nil"/>
                    <w:tr2bl w:val="nil"/>
                  </w:tcBorders>
                  <w:shd w:val="clear" w:color="auto" w:fill="auto"/>
                  <w:vAlign w:val="center"/>
                </w:tcPr>
                <w:p w14:paraId="13BE213C">
                  <w:pPr>
                    <w:pStyle w:val="66"/>
                    <w:spacing w:line="310" w:lineRule="exact"/>
                    <w:jc w:val="center"/>
                    <w:rPr>
                      <w:rFonts w:ascii="Times New Roman" w:hAnsi="Times New Roman" w:eastAsia="宋体" w:cs="宋体"/>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《城镇污水处理厂污染物排放标准》（DB32/4440-2022）</w:t>
                  </w:r>
                </w:p>
              </w:tc>
              <w:tc>
                <w:tcPr>
                  <w:tcW w:w="836" w:type="pct"/>
                  <w:vMerge w:val="restart"/>
                  <w:tcBorders>
                    <w:tl2br w:val="nil"/>
                    <w:tr2bl w:val="nil"/>
                  </w:tcBorders>
                  <w:shd w:val="clear" w:color="auto" w:fill="auto"/>
                  <w:vAlign w:val="center"/>
                </w:tcPr>
                <w:p w14:paraId="4392C7F1">
                  <w:pPr>
                    <w:pStyle w:val="66"/>
                    <w:spacing w:line="31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表1C标准</w:t>
                  </w:r>
                </w:p>
              </w:tc>
              <w:tc>
                <w:tcPr>
                  <w:tcW w:w="707" w:type="pct"/>
                  <w:tcBorders>
                    <w:tl2br w:val="nil"/>
                    <w:tr2bl w:val="nil"/>
                  </w:tcBorders>
                  <w:shd w:val="clear" w:color="auto" w:fill="auto"/>
                  <w:vAlign w:val="center"/>
                </w:tcPr>
                <w:p w14:paraId="5D4CF34C">
                  <w:pPr>
                    <w:pStyle w:val="66"/>
                    <w:spacing w:line="31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pH</w:t>
                  </w:r>
                </w:p>
              </w:tc>
              <w:tc>
                <w:tcPr>
                  <w:tcW w:w="585" w:type="pct"/>
                  <w:tcBorders>
                    <w:tl2br w:val="nil"/>
                    <w:tr2bl w:val="nil"/>
                  </w:tcBorders>
                  <w:shd w:val="clear" w:color="auto" w:fill="auto"/>
                  <w:vAlign w:val="center"/>
                </w:tcPr>
                <w:p w14:paraId="6C1E91A2">
                  <w:pPr>
                    <w:adjustRightInd w:val="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无量纲</w:t>
                  </w:r>
                </w:p>
              </w:tc>
              <w:tc>
                <w:tcPr>
                  <w:tcW w:w="666" w:type="pct"/>
                  <w:tcBorders>
                    <w:tl2br w:val="nil"/>
                    <w:tr2bl w:val="nil"/>
                  </w:tcBorders>
                  <w:shd w:val="clear" w:color="auto" w:fill="auto"/>
                  <w:vAlign w:val="center"/>
                </w:tcPr>
                <w:p w14:paraId="6BC5EAAF">
                  <w:pPr>
                    <w:pStyle w:val="66"/>
                    <w:spacing w:line="310" w:lineRule="exact"/>
                    <w:jc w:val="center"/>
                    <w:rPr>
                      <w:rFonts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6～9</w:t>
                  </w:r>
                </w:p>
              </w:tc>
            </w:tr>
            <w:tr w14:paraId="722AF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vAlign w:val="center"/>
                </w:tcPr>
                <w:p w14:paraId="1D858D5A">
                  <w:pPr>
                    <w:adjustRightInd w:val="0"/>
                    <w:jc w:val="center"/>
                    <w:rPr>
                      <w:bCs/>
                      <w:color w:val="000000" w:themeColor="text1"/>
                      <w:szCs w:val="21"/>
                      <w14:textFill>
                        <w14:solidFill>
                          <w14:schemeClr w14:val="tx1"/>
                        </w14:solidFill>
                      </w14:textFill>
                    </w:rPr>
                  </w:pPr>
                </w:p>
              </w:tc>
              <w:tc>
                <w:tcPr>
                  <w:tcW w:w="1599" w:type="pct"/>
                  <w:vMerge w:val="continue"/>
                  <w:tcBorders>
                    <w:tl2br w:val="nil"/>
                    <w:tr2bl w:val="nil"/>
                  </w:tcBorders>
                  <w:vAlign w:val="center"/>
                </w:tcPr>
                <w:p w14:paraId="278C7A2E">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5338114C">
                  <w:pPr>
                    <w:adjustRightInd w:val="0"/>
                    <w:jc w:val="center"/>
                    <w:rPr>
                      <w:bCs/>
                      <w:color w:val="000000" w:themeColor="text1"/>
                      <w:szCs w:val="21"/>
                      <w14:textFill>
                        <w14:solidFill>
                          <w14:schemeClr w14:val="tx1"/>
                        </w14:solidFill>
                      </w14:textFill>
                    </w:rPr>
                  </w:pPr>
                </w:p>
              </w:tc>
              <w:tc>
                <w:tcPr>
                  <w:tcW w:w="707" w:type="pct"/>
                  <w:tcBorders>
                    <w:tl2br w:val="nil"/>
                    <w:tr2bl w:val="nil"/>
                  </w:tcBorders>
                  <w:shd w:val="clear" w:color="auto" w:fill="auto"/>
                  <w:vAlign w:val="center"/>
                </w:tcPr>
                <w:p w14:paraId="28FC819A">
                  <w:pPr>
                    <w:pStyle w:val="66"/>
                    <w:spacing w:line="31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COD</w:t>
                  </w:r>
                </w:p>
              </w:tc>
              <w:tc>
                <w:tcPr>
                  <w:tcW w:w="585" w:type="pct"/>
                  <w:tcBorders>
                    <w:tl2br w:val="nil"/>
                    <w:tr2bl w:val="nil"/>
                  </w:tcBorders>
                  <w:shd w:val="clear" w:color="auto" w:fill="auto"/>
                  <w:vAlign w:val="center"/>
                </w:tcPr>
                <w:p w14:paraId="7A04C77C">
                  <w:pPr>
                    <w:adjustRightInd w:val="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mg/L</w:t>
                  </w:r>
                </w:p>
              </w:tc>
              <w:tc>
                <w:tcPr>
                  <w:tcW w:w="666" w:type="pct"/>
                  <w:tcBorders>
                    <w:tl2br w:val="nil"/>
                    <w:tr2bl w:val="nil"/>
                  </w:tcBorders>
                  <w:shd w:val="clear" w:color="auto" w:fill="auto"/>
                  <w:vAlign w:val="center"/>
                </w:tcPr>
                <w:p w14:paraId="2465D862">
                  <w:pPr>
                    <w:pStyle w:val="66"/>
                    <w:spacing w:line="31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50</w:t>
                  </w:r>
                </w:p>
              </w:tc>
            </w:tr>
            <w:tr w14:paraId="30519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vAlign w:val="center"/>
                </w:tcPr>
                <w:p w14:paraId="75453058">
                  <w:pPr>
                    <w:adjustRightInd w:val="0"/>
                    <w:jc w:val="center"/>
                    <w:rPr>
                      <w:bCs/>
                      <w:color w:val="000000" w:themeColor="text1"/>
                      <w:szCs w:val="21"/>
                      <w14:textFill>
                        <w14:solidFill>
                          <w14:schemeClr w14:val="tx1"/>
                        </w14:solidFill>
                      </w14:textFill>
                    </w:rPr>
                  </w:pPr>
                </w:p>
              </w:tc>
              <w:tc>
                <w:tcPr>
                  <w:tcW w:w="1599" w:type="pct"/>
                  <w:vMerge w:val="continue"/>
                  <w:tcBorders>
                    <w:tl2br w:val="nil"/>
                    <w:tr2bl w:val="nil"/>
                  </w:tcBorders>
                  <w:vAlign w:val="center"/>
                </w:tcPr>
                <w:p w14:paraId="7A5C8B7D">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4B602D6D">
                  <w:pPr>
                    <w:autoSpaceDE w:val="0"/>
                    <w:autoSpaceDN w:val="0"/>
                    <w:jc w:val="center"/>
                    <w:rPr>
                      <w:bCs/>
                      <w:color w:val="000000" w:themeColor="text1"/>
                      <w:szCs w:val="21"/>
                      <w14:textFill>
                        <w14:solidFill>
                          <w14:schemeClr w14:val="tx1"/>
                        </w14:solidFill>
                      </w14:textFill>
                    </w:rPr>
                  </w:pPr>
                </w:p>
              </w:tc>
              <w:tc>
                <w:tcPr>
                  <w:tcW w:w="707" w:type="pct"/>
                  <w:tcBorders>
                    <w:tl2br w:val="nil"/>
                    <w:tr2bl w:val="nil"/>
                  </w:tcBorders>
                  <w:shd w:val="clear" w:color="auto" w:fill="auto"/>
                  <w:vAlign w:val="center"/>
                </w:tcPr>
                <w:p w14:paraId="43BB818B">
                  <w:pPr>
                    <w:pStyle w:val="66"/>
                    <w:spacing w:line="31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SS</w:t>
                  </w:r>
                </w:p>
              </w:tc>
              <w:tc>
                <w:tcPr>
                  <w:tcW w:w="585" w:type="pct"/>
                  <w:tcBorders>
                    <w:tl2br w:val="nil"/>
                    <w:tr2bl w:val="nil"/>
                  </w:tcBorders>
                  <w:shd w:val="clear" w:color="auto" w:fill="auto"/>
                  <w:vAlign w:val="center"/>
                </w:tcPr>
                <w:p w14:paraId="0B658E43">
                  <w:pPr>
                    <w:adjustRightInd w:val="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mg/L</w:t>
                  </w:r>
                </w:p>
              </w:tc>
              <w:tc>
                <w:tcPr>
                  <w:tcW w:w="666" w:type="pct"/>
                  <w:tcBorders>
                    <w:tl2br w:val="nil"/>
                    <w:tr2bl w:val="nil"/>
                  </w:tcBorders>
                  <w:shd w:val="clear" w:color="auto" w:fill="auto"/>
                  <w:vAlign w:val="center"/>
                </w:tcPr>
                <w:p w14:paraId="520F4EDF">
                  <w:pPr>
                    <w:pStyle w:val="66"/>
                    <w:spacing w:line="31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10</w:t>
                  </w:r>
                </w:p>
              </w:tc>
            </w:tr>
            <w:tr w14:paraId="2668E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5" w:type="pct"/>
                  <w:vMerge w:val="continue"/>
                  <w:tcBorders>
                    <w:tl2br w:val="nil"/>
                    <w:tr2bl w:val="nil"/>
                  </w:tcBorders>
                  <w:vAlign w:val="center"/>
                </w:tcPr>
                <w:p w14:paraId="44865C30">
                  <w:pPr>
                    <w:adjustRightInd w:val="0"/>
                    <w:jc w:val="center"/>
                    <w:rPr>
                      <w:bCs/>
                      <w:color w:val="000000" w:themeColor="text1"/>
                      <w:szCs w:val="21"/>
                      <w14:textFill>
                        <w14:solidFill>
                          <w14:schemeClr w14:val="tx1"/>
                        </w14:solidFill>
                      </w14:textFill>
                    </w:rPr>
                  </w:pPr>
                </w:p>
              </w:tc>
              <w:tc>
                <w:tcPr>
                  <w:tcW w:w="1599" w:type="pct"/>
                  <w:vMerge w:val="continue"/>
                  <w:tcBorders>
                    <w:tl2br w:val="nil"/>
                    <w:tr2bl w:val="nil"/>
                  </w:tcBorders>
                  <w:vAlign w:val="center"/>
                </w:tcPr>
                <w:p w14:paraId="718B794C">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0EB94CFA">
                  <w:pPr>
                    <w:adjustRightInd w:val="0"/>
                    <w:jc w:val="center"/>
                    <w:rPr>
                      <w:bCs/>
                      <w:color w:val="000000" w:themeColor="text1"/>
                      <w:szCs w:val="21"/>
                      <w14:textFill>
                        <w14:solidFill>
                          <w14:schemeClr w14:val="tx1"/>
                        </w14:solidFill>
                      </w14:textFill>
                    </w:rPr>
                  </w:pPr>
                </w:p>
              </w:tc>
              <w:tc>
                <w:tcPr>
                  <w:tcW w:w="707" w:type="pct"/>
                  <w:tcBorders>
                    <w:tl2br w:val="nil"/>
                    <w:tr2bl w:val="nil"/>
                  </w:tcBorders>
                  <w:shd w:val="clear" w:color="auto" w:fill="auto"/>
                  <w:vAlign w:val="center"/>
                </w:tcPr>
                <w:p w14:paraId="75CAC9BD">
                  <w:pPr>
                    <w:pStyle w:val="66"/>
                    <w:spacing w:line="31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cs="Times New Roman"/>
                      <w:bCs/>
                      <w:color w:val="000000" w:themeColor="text1"/>
                      <w:szCs w:val="21"/>
                      <w14:textFill>
                        <w14:solidFill>
                          <w14:schemeClr w14:val="tx1"/>
                        </w14:solidFill>
                      </w14:textFill>
                    </w:rPr>
                    <w:t>NH</w:t>
                  </w:r>
                  <w:r>
                    <w:rPr>
                      <w:rFonts w:cs="Times New Roman"/>
                      <w:bCs/>
                      <w:color w:val="000000" w:themeColor="text1"/>
                      <w:szCs w:val="21"/>
                      <w:vertAlign w:val="subscript"/>
                      <w14:textFill>
                        <w14:solidFill>
                          <w14:schemeClr w14:val="tx1"/>
                        </w14:solidFill>
                      </w14:textFill>
                    </w:rPr>
                    <w:t>3</w:t>
                  </w:r>
                  <w:r>
                    <w:rPr>
                      <w:rFonts w:cs="Times New Roman"/>
                      <w:bCs/>
                      <w:color w:val="000000" w:themeColor="text1"/>
                      <w:szCs w:val="21"/>
                      <w14:textFill>
                        <w14:solidFill>
                          <w14:schemeClr w14:val="tx1"/>
                        </w14:solidFill>
                      </w14:textFill>
                    </w:rPr>
                    <w:t>-N</w:t>
                  </w:r>
                </w:p>
              </w:tc>
              <w:tc>
                <w:tcPr>
                  <w:tcW w:w="585" w:type="pct"/>
                  <w:tcBorders>
                    <w:tl2br w:val="nil"/>
                    <w:tr2bl w:val="nil"/>
                  </w:tcBorders>
                  <w:shd w:val="clear" w:color="auto" w:fill="auto"/>
                  <w:vAlign w:val="center"/>
                </w:tcPr>
                <w:p w14:paraId="7FAA5D54">
                  <w:pPr>
                    <w:adjustRightInd w:val="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mg/L</w:t>
                  </w:r>
                </w:p>
              </w:tc>
              <w:tc>
                <w:tcPr>
                  <w:tcW w:w="666" w:type="pct"/>
                  <w:tcBorders>
                    <w:tl2br w:val="nil"/>
                    <w:tr2bl w:val="nil"/>
                  </w:tcBorders>
                  <w:shd w:val="clear" w:color="auto" w:fill="auto"/>
                  <w:vAlign w:val="center"/>
                </w:tcPr>
                <w:p w14:paraId="45CB6184">
                  <w:pPr>
                    <w:pStyle w:val="66"/>
                    <w:spacing w:line="31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4</w:t>
                  </w:r>
                  <w:r>
                    <w:rPr>
                      <w:rFonts w:hint="eastAsia" w:cs="Times New Roman"/>
                      <w:color w:val="000000" w:themeColor="text1"/>
                      <w:szCs w:val="21"/>
                      <w14:textFill>
                        <w14:solidFill>
                          <w14:schemeClr w14:val="tx1"/>
                        </w14:solidFill>
                      </w14:textFill>
                    </w:rPr>
                    <w:t>（6）</w:t>
                  </w:r>
                  <w:r>
                    <w:rPr>
                      <w:rFonts w:hint="eastAsia" w:cs="Times New Roman"/>
                      <w:color w:val="000000" w:themeColor="text1"/>
                      <w:szCs w:val="21"/>
                      <w:vertAlign w:val="superscript"/>
                      <w:lang w:val="en-US" w:eastAsia="zh-CN"/>
                      <w14:textFill>
                        <w14:solidFill>
                          <w14:schemeClr w14:val="tx1"/>
                        </w14:solidFill>
                      </w14:textFill>
                    </w:rPr>
                    <w:t>①</w:t>
                  </w:r>
                </w:p>
              </w:tc>
            </w:tr>
            <w:tr w14:paraId="0E782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605" w:type="pct"/>
                  <w:vMerge w:val="continue"/>
                  <w:tcBorders>
                    <w:tl2br w:val="nil"/>
                    <w:tr2bl w:val="nil"/>
                  </w:tcBorders>
                  <w:vAlign w:val="center"/>
                </w:tcPr>
                <w:p w14:paraId="21125997">
                  <w:pPr>
                    <w:adjustRightInd w:val="0"/>
                    <w:jc w:val="center"/>
                    <w:rPr>
                      <w:bCs/>
                      <w:color w:val="000000" w:themeColor="text1"/>
                      <w:szCs w:val="21"/>
                      <w14:textFill>
                        <w14:solidFill>
                          <w14:schemeClr w14:val="tx1"/>
                        </w14:solidFill>
                      </w14:textFill>
                    </w:rPr>
                  </w:pPr>
                </w:p>
              </w:tc>
              <w:tc>
                <w:tcPr>
                  <w:tcW w:w="1599" w:type="pct"/>
                  <w:vMerge w:val="continue"/>
                  <w:tcBorders>
                    <w:tl2br w:val="nil"/>
                    <w:tr2bl w:val="nil"/>
                  </w:tcBorders>
                  <w:vAlign w:val="center"/>
                </w:tcPr>
                <w:p w14:paraId="5803C8F3">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2440FCFA">
                  <w:pPr>
                    <w:adjustRightInd w:val="0"/>
                    <w:jc w:val="center"/>
                    <w:rPr>
                      <w:bCs/>
                      <w:color w:val="000000" w:themeColor="text1"/>
                      <w:szCs w:val="21"/>
                      <w14:textFill>
                        <w14:solidFill>
                          <w14:schemeClr w14:val="tx1"/>
                        </w14:solidFill>
                      </w14:textFill>
                    </w:rPr>
                  </w:pPr>
                </w:p>
              </w:tc>
              <w:tc>
                <w:tcPr>
                  <w:tcW w:w="707" w:type="pct"/>
                  <w:tcBorders>
                    <w:tl2br w:val="nil"/>
                    <w:tr2bl w:val="nil"/>
                  </w:tcBorders>
                  <w:shd w:val="clear" w:color="auto" w:fill="auto"/>
                  <w:vAlign w:val="center"/>
                </w:tcPr>
                <w:p w14:paraId="6C35CF78">
                  <w:pPr>
                    <w:pStyle w:val="66"/>
                    <w:spacing w:line="31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TP</w:t>
                  </w:r>
                </w:p>
              </w:tc>
              <w:tc>
                <w:tcPr>
                  <w:tcW w:w="585" w:type="pct"/>
                  <w:tcBorders>
                    <w:tl2br w:val="nil"/>
                    <w:tr2bl w:val="nil"/>
                  </w:tcBorders>
                  <w:shd w:val="clear" w:color="auto" w:fill="auto"/>
                  <w:vAlign w:val="center"/>
                </w:tcPr>
                <w:p w14:paraId="676527D3">
                  <w:pPr>
                    <w:adjustRightInd w:val="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mg/L</w:t>
                  </w:r>
                </w:p>
              </w:tc>
              <w:tc>
                <w:tcPr>
                  <w:tcW w:w="666" w:type="pct"/>
                  <w:tcBorders>
                    <w:tl2br w:val="nil"/>
                    <w:tr2bl w:val="nil"/>
                  </w:tcBorders>
                  <w:shd w:val="clear" w:color="auto" w:fill="auto"/>
                  <w:vAlign w:val="center"/>
                </w:tcPr>
                <w:p w14:paraId="2EB5C5F6">
                  <w:pPr>
                    <w:pStyle w:val="66"/>
                    <w:spacing w:line="31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0.5</w:t>
                  </w:r>
                </w:p>
              </w:tc>
            </w:tr>
            <w:tr w14:paraId="6FF3D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605" w:type="pct"/>
                  <w:vMerge w:val="continue"/>
                  <w:tcBorders>
                    <w:tl2br w:val="nil"/>
                    <w:tr2bl w:val="nil"/>
                  </w:tcBorders>
                  <w:vAlign w:val="center"/>
                </w:tcPr>
                <w:p w14:paraId="33AE3682">
                  <w:pPr>
                    <w:adjustRightInd w:val="0"/>
                    <w:jc w:val="center"/>
                    <w:rPr>
                      <w:bCs/>
                      <w:color w:val="000000" w:themeColor="text1"/>
                      <w:szCs w:val="21"/>
                      <w14:textFill>
                        <w14:solidFill>
                          <w14:schemeClr w14:val="tx1"/>
                        </w14:solidFill>
                      </w14:textFill>
                    </w:rPr>
                  </w:pPr>
                </w:p>
              </w:tc>
              <w:tc>
                <w:tcPr>
                  <w:tcW w:w="1599" w:type="pct"/>
                  <w:vMerge w:val="continue"/>
                  <w:tcBorders>
                    <w:tl2br w:val="nil"/>
                    <w:tr2bl w:val="nil"/>
                  </w:tcBorders>
                  <w:vAlign w:val="center"/>
                </w:tcPr>
                <w:p w14:paraId="3D6DFA56">
                  <w:pPr>
                    <w:adjustRightInd w:val="0"/>
                    <w:jc w:val="center"/>
                    <w:rPr>
                      <w:bCs/>
                      <w:color w:val="000000" w:themeColor="text1"/>
                      <w:szCs w:val="21"/>
                      <w14:textFill>
                        <w14:solidFill>
                          <w14:schemeClr w14:val="tx1"/>
                        </w14:solidFill>
                      </w14:textFill>
                    </w:rPr>
                  </w:pPr>
                </w:p>
              </w:tc>
              <w:tc>
                <w:tcPr>
                  <w:tcW w:w="836" w:type="pct"/>
                  <w:vMerge w:val="continue"/>
                  <w:tcBorders>
                    <w:tl2br w:val="nil"/>
                    <w:tr2bl w:val="nil"/>
                  </w:tcBorders>
                  <w:vAlign w:val="center"/>
                </w:tcPr>
                <w:p w14:paraId="3F29784E">
                  <w:pPr>
                    <w:adjustRightInd w:val="0"/>
                    <w:jc w:val="center"/>
                    <w:rPr>
                      <w:bCs/>
                      <w:color w:val="000000" w:themeColor="text1"/>
                      <w:szCs w:val="21"/>
                      <w14:textFill>
                        <w14:solidFill>
                          <w14:schemeClr w14:val="tx1"/>
                        </w14:solidFill>
                      </w14:textFill>
                    </w:rPr>
                  </w:pPr>
                </w:p>
              </w:tc>
              <w:tc>
                <w:tcPr>
                  <w:tcW w:w="707" w:type="pct"/>
                  <w:tcBorders>
                    <w:tl2br w:val="nil"/>
                    <w:tr2bl w:val="nil"/>
                  </w:tcBorders>
                  <w:shd w:val="clear" w:color="auto" w:fill="auto"/>
                  <w:vAlign w:val="center"/>
                </w:tcPr>
                <w:p w14:paraId="34F9119E">
                  <w:pPr>
                    <w:pStyle w:val="66"/>
                    <w:spacing w:line="31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TN</w:t>
                  </w:r>
                </w:p>
              </w:tc>
              <w:tc>
                <w:tcPr>
                  <w:tcW w:w="585" w:type="pct"/>
                  <w:tcBorders>
                    <w:tl2br w:val="nil"/>
                    <w:tr2bl w:val="nil"/>
                  </w:tcBorders>
                  <w:shd w:val="clear" w:color="auto" w:fill="auto"/>
                  <w:vAlign w:val="center"/>
                </w:tcPr>
                <w:p w14:paraId="5225A69A">
                  <w:pPr>
                    <w:adjustRightInd w:val="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mg/L</w:t>
                  </w:r>
                </w:p>
              </w:tc>
              <w:tc>
                <w:tcPr>
                  <w:tcW w:w="666" w:type="pct"/>
                  <w:tcBorders>
                    <w:tl2br w:val="nil"/>
                    <w:tr2bl w:val="nil"/>
                  </w:tcBorders>
                  <w:shd w:val="clear" w:color="auto" w:fill="auto"/>
                  <w:vAlign w:val="center"/>
                </w:tcPr>
                <w:p w14:paraId="0975315F">
                  <w:pPr>
                    <w:pStyle w:val="66"/>
                    <w:spacing w:line="31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12</w:t>
                  </w:r>
                  <w:r>
                    <w:rPr>
                      <w:rFonts w:hint="eastAsia" w:cs="Times New Roman"/>
                      <w:color w:val="000000" w:themeColor="text1"/>
                      <w:szCs w:val="21"/>
                      <w14:textFill>
                        <w14:solidFill>
                          <w14:schemeClr w14:val="tx1"/>
                        </w14:solidFill>
                      </w14:textFill>
                    </w:rPr>
                    <w:t>（15）</w:t>
                  </w:r>
                  <w:r>
                    <w:rPr>
                      <w:rFonts w:hint="eastAsia" w:cs="Times New Roman"/>
                      <w:color w:val="000000" w:themeColor="text1"/>
                      <w:szCs w:val="21"/>
                      <w:vertAlign w:val="superscript"/>
                      <w:lang w:val="en-US" w:eastAsia="zh-CN"/>
                      <w14:textFill>
                        <w14:solidFill>
                          <w14:schemeClr w14:val="tx1"/>
                        </w14:solidFill>
                      </w14:textFill>
                    </w:rPr>
                    <w:t>①</w:t>
                  </w:r>
                </w:p>
              </w:tc>
            </w:tr>
          </w:tbl>
          <w:p w14:paraId="0FA0325F">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*注：每年11月1日至次年3月31日执行括号内排放限值。</w:t>
            </w:r>
          </w:p>
          <w:p w14:paraId="0FB90D07">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3、噪声排放标准</w:t>
            </w:r>
          </w:p>
          <w:p w14:paraId="493586F5">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项目营运期各厂界噪声排放执行《工业企业厂界环境噪声排放标准》（GB12348-2008）3类标准，详见表3-1</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w:t>
            </w:r>
          </w:p>
          <w:p w14:paraId="25872E70">
            <w:pPr>
              <w:spacing w:line="360" w:lineRule="exact"/>
              <w:jc w:val="center"/>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t>表3-1</w:t>
            </w:r>
            <w:r>
              <w:rPr>
                <w:rFonts w:hint="eastAsia"/>
                <w:b/>
                <w:bCs/>
                <w:color w:val="000000" w:themeColor="text1"/>
                <w:szCs w:val="21"/>
                <w14:textFill>
                  <w14:solidFill>
                    <w14:schemeClr w14:val="tx1"/>
                  </w14:solidFill>
                </w14:textFill>
              </w:rPr>
              <w:t>0</w:t>
            </w:r>
            <w:r>
              <w:rPr>
                <w:b/>
                <w:bCs/>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噪声排放标准限值</w:t>
            </w:r>
          </w:p>
          <w:tbl>
            <w:tblPr>
              <w:tblStyle w:val="25"/>
              <w:tblW w:w="4996"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382"/>
              <w:gridCol w:w="4756"/>
              <w:gridCol w:w="845"/>
              <w:gridCol w:w="2301"/>
            </w:tblGrid>
            <w:tr w14:paraId="0D0F6656">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93" w:hRule="atLeast"/>
                <w:jc w:val="center"/>
              </w:trPr>
              <w:tc>
                <w:tcPr>
                  <w:tcW w:w="744" w:type="pct"/>
                  <w:vMerge w:val="restart"/>
                  <w:tcBorders>
                    <w:top w:val="single" w:color="auto" w:sz="12" w:space="0"/>
                  </w:tcBorders>
                  <w:vAlign w:val="center"/>
                </w:tcPr>
                <w:p w14:paraId="4E0D3276">
                  <w:pPr>
                    <w:spacing w:line="30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边界名</w:t>
                  </w:r>
                </w:p>
              </w:tc>
              <w:tc>
                <w:tcPr>
                  <w:tcW w:w="2561" w:type="pct"/>
                  <w:vMerge w:val="restart"/>
                  <w:tcBorders>
                    <w:top w:val="single" w:color="auto" w:sz="12" w:space="0"/>
                  </w:tcBorders>
                  <w:vAlign w:val="center"/>
                </w:tcPr>
                <w:p w14:paraId="6B55C669">
                  <w:pPr>
                    <w:spacing w:line="30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c>
                <w:tcPr>
                  <w:tcW w:w="455" w:type="pct"/>
                  <w:vMerge w:val="restart"/>
                  <w:tcBorders>
                    <w:top w:val="single" w:color="auto" w:sz="12" w:space="0"/>
                  </w:tcBorders>
                  <w:vAlign w:val="center"/>
                </w:tcPr>
                <w:p w14:paraId="54A9996A">
                  <w:pPr>
                    <w:spacing w:line="30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级别</w:t>
                  </w:r>
                </w:p>
              </w:tc>
              <w:tc>
                <w:tcPr>
                  <w:tcW w:w="1239" w:type="pct"/>
                  <w:tcBorders>
                    <w:top w:val="single" w:color="auto" w:sz="12" w:space="0"/>
                  </w:tcBorders>
                  <w:vAlign w:val="center"/>
                </w:tcPr>
                <w:p w14:paraId="096F474F">
                  <w:pPr>
                    <w:spacing w:line="30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标准限值dB(A)</w:t>
                  </w:r>
                </w:p>
              </w:tc>
            </w:tr>
            <w:tr w14:paraId="4C2D951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72" w:hRule="atLeast"/>
                <w:jc w:val="center"/>
              </w:trPr>
              <w:tc>
                <w:tcPr>
                  <w:tcW w:w="744" w:type="pct"/>
                  <w:vMerge w:val="continue"/>
                  <w:vAlign w:val="center"/>
                </w:tcPr>
                <w:p w14:paraId="22D5B368">
                  <w:pPr>
                    <w:spacing w:line="300" w:lineRule="exact"/>
                    <w:jc w:val="center"/>
                    <w:rPr>
                      <w:b/>
                      <w:bCs/>
                      <w:color w:val="000000" w:themeColor="text1"/>
                      <w:szCs w:val="21"/>
                      <w14:textFill>
                        <w14:solidFill>
                          <w14:schemeClr w14:val="tx1"/>
                        </w14:solidFill>
                      </w14:textFill>
                    </w:rPr>
                  </w:pPr>
                </w:p>
              </w:tc>
              <w:tc>
                <w:tcPr>
                  <w:tcW w:w="2561" w:type="pct"/>
                  <w:vMerge w:val="continue"/>
                  <w:vAlign w:val="center"/>
                </w:tcPr>
                <w:p w14:paraId="7B505F2A">
                  <w:pPr>
                    <w:spacing w:line="300" w:lineRule="exact"/>
                    <w:jc w:val="center"/>
                    <w:rPr>
                      <w:b/>
                      <w:bCs/>
                      <w:color w:val="000000" w:themeColor="text1"/>
                      <w:szCs w:val="21"/>
                      <w14:textFill>
                        <w14:solidFill>
                          <w14:schemeClr w14:val="tx1"/>
                        </w14:solidFill>
                      </w14:textFill>
                    </w:rPr>
                  </w:pPr>
                </w:p>
              </w:tc>
              <w:tc>
                <w:tcPr>
                  <w:tcW w:w="455" w:type="pct"/>
                  <w:vMerge w:val="continue"/>
                  <w:vAlign w:val="center"/>
                </w:tcPr>
                <w:p w14:paraId="555FCBE9">
                  <w:pPr>
                    <w:spacing w:line="300" w:lineRule="exact"/>
                    <w:jc w:val="center"/>
                    <w:rPr>
                      <w:b/>
                      <w:bCs/>
                      <w:color w:val="000000" w:themeColor="text1"/>
                      <w:szCs w:val="21"/>
                      <w14:textFill>
                        <w14:solidFill>
                          <w14:schemeClr w14:val="tx1"/>
                        </w14:solidFill>
                      </w14:textFill>
                    </w:rPr>
                  </w:pPr>
                </w:p>
              </w:tc>
              <w:tc>
                <w:tcPr>
                  <w:tcW w:w="1239" w:type="pct"/>
                  <w:vAlign w:val="center"/>
                </w:tcPr>
                <w:p w14:paraId="571E9B03">
                  <w:pPr>
                    <w:spacing w:line="30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w:t>
                  </w:r>
                </w:p>
              </w:tc>
            </w:tr>
            <w:tr w14:paraId="0F824FD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15" w:hRule="atLeast"/>
                <w:jc w:val="center"/>
              </w:trPr>
              <w:tc>
                <w:tcPr>
                  <w:tcW w:w="744" w:type="pct"/>
                  <w:tcBorders>
                    <w:bottom w:val="single" w:color="auto" w:sz="12" w:space="0"/>
                  </w:tcBorders>
                  <w:vAlign w:val="center"/>
                </w:tcPr>
                <w:p w14:paraId="0BBE36E8">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项目厂界</w:t>
                  </w:r>
                </w:p>
              </w:tc>
              <w:tc>
                <w:tcPr>
                  <w:tcW w:w="2561" w:type="pct"/>
                  <w:tcBorders>
                    <w:bottom w:val="single" w:color="auto" w:sz="12" w:space="0"/>
                  </w:tcBorders>
                  <w:vAlign w:val="center"/>
                </w:tcPr>
                <w:p w14:paraId="1B4D0CB1">
                  <w:pPr>
                    <w:spacing w:line="300" w:lineRule="exact"/>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《工业企业厂界环境噪声排放标准》（GB12348-2008）</w:t>
                  </w:r>
                </w:p>
              </w:tc>
              <w:tc>
                <w:tcPr>
                  <w:tcW w:w="455" w:type="pct"/>
                  <w:tcBorders>
                    <w:bottom w:val="single" w:color="auto" w:sz="12" w:space="0"/>
                  </w:tcBorders>
                  <w:vAlign w:val="center"/>
                </w:tcPr>
                <w:p w14:paraId="75ECB4CB">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3类</w:t>
                  </w:r>
                </w:p>
              </w:tc>
              <w:tc>
                <w:tcPr>
                  <w:tcW w:w="1239" w:type="pct"/>
                  <w:tcBorders>
                    <w:bottom w:val="single" w:color="auto" w:sz="12" w:space="0"/>
                  </w:tcBorders>
                  <w:vAlign w:val="center"/>
                </w:tcPr>
                <w:p w14:paraId="14E0CF6D">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r>
          </w:tbl>
          <w:p w14:paraId="153E546F">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4、固废污染控制标准</w:t>
            </w:r>
          </w:p>
          <w:p w14:paraId="1339F1EE">
            <w:pPr>
              <w:spacing w:line="480" w:lineRule="exact"/>
              <w:ind w:firstLine="480" w:firstLineChars="200"/>
              <w:rPr>
                <w:snapToGrid w:val="0"/>
                <w:color w:val="000000" w:themeColor="text1"/>
                <w:kern w:val="0"/>
                <w:sz w:val="24"/>
                <w14:textFill>
                  <w14:solidFill>
                    <w14:schemeClr w14:val="tx1"/>
                  </w14:solidFill>
                </w14:textFill>
              </w:rPr>
            </w:pPr>
            <w:r>
              <w:rPr>
                <w:color w:val="000000" w:themeColor="text1"/>
                <w:sz w:val="24"/>
                <w14:textFill>
                  <w14:solidFill>
                    <w14:schemeClr w14:val="tx1"/>
                  </w14:solidFill>
                </w14:textFill>
              </w:rPr>
              <w:t>本项目一般工业固体废物贮存参照《一般工业固体废物贮存和填埋污染控制标准》（GB18599-2020）中防渗漏、防雨淋、防扬尘等相关要求；危险废物贮存执行《危险废物贮存污染控制标准》（GB18597-2023）、《省生态环境厅关于印发《江苏省固体废物全过程环境监管工作意见》的通知》（苏环办〔2024〕16号）中相关要求。</w:t>
            </w:r>
          </w:p>
        </w:tc>
      </w:tr>
    </w:tbl>
    <w:p w14:paraId="599118A0">
      <w:pPr>
        <w:pStyle w:val="21"/>
        <w:spacing w:before="0" w:beforeAutospacing="0" w:after="0" w:afterAutospacing="0"/>
        <w:jc w:val="center"/>
        <w:outlineLvl w:val="0"/>
        <w:rPr>
          <w:rFonts w:ascii="Times New Roman" w:hAnsi="Times New Roman"/>
          <w:snapToGrid w:val="0"/>
          <w:color w:val="000000" w:themeColor="text1"/>
          <w:sz w:val="36"/>
          <w:szCs w:val="36"/>
          <w14:textFill>
            <w14:solidFill>
              <w14:schemeClr w14:val="tx1"/>
            </w14:solidFill>
          </w14:textFill>
        </w:rPr>
        <w:sectPr>
          <w:pgSz w:w="11907" w:h="16840"/>
          <w:pgMar w:top="1440" w:right="1080" w:bottom="1440" w:left="1080" w:header="851" w:footer="851" w:gutter="0"/>
          <w:cols w:space="720" w:num="1"/>
          <w:docGrid w:linePitch="312" w:charSpace="0"/>
        </w:sectPr>
      </w:pP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9467"/>
      </w:tblGrid>
      <w:tr w14:paraId="2B32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 w:type="dxa"/>
            <w:vAlign w:val="center"/>
          </w:tcPr>
          <w:p w14:paraId="2E6A85E5">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w:t>
            </w:r>
          </w:p>
          <w:p w14:paraId="479F7EE1">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控制</w:t>
            </w:r>
          </w:p>
          <w:p w14:paraId="4CD34BAA">
            <w:pPr>
              <w:adjustRightInd w:val="0"/>
              <w:snapToGrid w:val="0"/>
              <w:jc w:val="center"/>
              <w:rPr>
                <w:snapToGrid w:val="0"/>
                <w:color w:val="000000" w:themeColor="text1"/>
                <w:sz w:val="24"/>
                <w14:textFill>
                  <w14:solidFill>
                    <w14:schemeClr w14:val="tx1"/>
                  </w14:solidFill>
                </w14:textFill>
              </w:rPr>
            </w:pPr>
            <w:r>
              <w:rPr>
                <w:color w:val="000000" w:themeColor="text1"/>
                <w:kern w:val="0"/>
                <w:sz w:val="24"/>
                <w14:textFill>
                  <w14:solidFill>
                    <w14:schemeClr w14:val="tx1"/>
                  </w14:solidFill>
                </w14:textFill>
              </w:rPr>
              <w:t>指标</w:t>
            </w:r>
          </w:p>
        </w:tc>
        <w:tc>
          <w:tcPr>
            <w:tcW w:w="8695" w:type="dxa"/>
          </w:tcPr>
          <w:p w14:paraId="610A8F00">
            <w:pPr>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、总量控制指标</w:t>
            </w:r>
          </w:p>
          <w:p w14:paraId="6D1CCF7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表3-1</w:t>
            </w: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 xml:space="preserve">  本项目污染物排放总量控制指标表（单位：t/a）</w:t>
            </w:r>
          </w:p>
          <w:tbl>
            <w:tblPr>
              <w:tblStyle w:val="26"/>
              <w:tblW w:w="496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755"/>
              <w:gridCol w:w="578"/>
              <w:gridCol w:w="1404"/>
              <w:gridCol w:w="1155"/>
              <w:gridCol w:w="1266"/>
              <w:gridCol w:w="1411"/>
              <w:gridCol w:w="1359"/>
              <w:gridCol w:w="1264"/>
            </w:tblGrid>
            <w:tr w14:paraId="543BD6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88" w:type="pct"/>
                  <w:gridSpan w:val="3"/>
                  <w:vMerge w:val="restart"/>
                  <w:vAlign w:val="center"/>
                </w:tcPr>
                <w:p w14:paraId="054FC141">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污染物名称</w:t>
                  </w:r>
                </w:p>
              </w:tc>
              <w:tc>
                <w:tcPr>
                  <w:tcW w:w="628" w:type="pct"/>
                  <w:vMerge w:val="restart"/>
                  <w:vAlign w:val="center"/>
                </w:tcPr>
                <w:p w14:paraId="5FB596EE">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本项目产生量</w:t>
                  </w:r>
                </w:p>
              </w:tc>
              <w:tc>
                <w:tcPr>
                  <w:tcW w:w="688" w:type="pct"/>
                  <w:vMerge w:val="restart"/>
                  <w:vAlign w:val="center"/>
                </w:tcPr>
                <w:p w14:paraId="546C0AC4">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本项目排放量</w:t>
                  </w:r>
                </w:p>
              </w:tc>
              <w:tc>
                <w:tcPr>
                  <w:tcW w:w="1506" w:type="pct"/>
                  <w:gridSpan w:val="2"/>
                  <w:vAlign w:val="center"/>
                </w:tcPr>
                <w:p w14:paraId="4FE5E708">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接管申请量</w:t>
                  </w:r>
                </w:p>
              </w:tc>
              <w:tc>
                <w:tcPr>
                  <w:tcW w:w="687" w:type="pct"/>
                  <w:vMerge w:val="restart"/>
                  <w:vAlign w:val="center"/>
                </w:tcPr>
                <w:p w14:paraId="41DCF1FA">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最终排入外环境量</w:t>
                  </w:r>
                </w:p>
              </w:tc>
            </w:tr>
            <w:tr w14:paraId="39819D1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88" w:type="pct"/>
                  <w:gridSpan w:val="3"/>
                  <w:vMerge w:val="continue"/>
                  <w:vAlign w:val="center"/>
                </w:tcPr>
                <w:p w14:paraId="168E3B43">
                  <w:pPr>
                    <w:jc w:val="center"/>
                    <w:rPr>
                      <w:b/>
                      <w:color w:val="000000" w:themeColor="text1"/>
                      <w:kern w:val="0"/>
                      <w:szCs w:val="21"/>
                      <w14:textFill>
                        <w14:solidFill>
                          <w14:schemeClr w14:val="tx1"/>
                        </w14:solidFill>
                      </w14:textFill>
                    </w:rPr>
                  </w:pPr>
                </w:p>
              </w:tc>
              <w:tc>
                <w:tcPr>
                  <w:tcW w:w="628" w:type="pct"/>
                  <w:vMerge w:val="continue"/>
                  <w:vAlign w:val="center"/>
                </w:tcPr>
                <w:p w14:paraId="69842AB7">
                  <w:pPr>
                    <w:jc w:val="center"/>
                    <w:rPr>
                      <w:b/>
                      <w:color w:val="000000" w:themeColor="text1"/>
                      <w:kern w:val="0"/>
                      <w:szCs w:val="21"/>
                      <w14:textFill>
                        <w14:solidFill>
                          <w14:schemeClr w14:val="tx1"/>
                        </w14:solidFill>
                      </w14:textFill>
                    </w:rPr>
                  </w:pPr>
                </w:p>
              </w:tc>
              <w:tc>
                <w:tcPr>
                  <w:tcW w:w="688" w:type="pct"/>
                  <w:vMerge w:val="continue"/>
                  <w:vAlign w:val="center"/>
                </w:tcPr>
                <w:p w14:paraId="0E67A339">
                  <w:pPr>
                    <w:jc w:val="center"/>
                    <w:rPr>
                      <w:b/>
                      <w:color w:val="000000" w:themeColor="text1"/>
                      <w:kern w:val="0"/>
                      <w:szCs w:val="21"/>
                      <w14:textFill>
                        <w14:solidFill>
                          <w14:schemeClr w14:val="tx1"/>
                        </w14:solidFill>
                      </w14:textFill>
                    </w:rPr>
                  </w:pPr>
                </w:p>
              </w:tc>
              <w:tc>
                <w:tcPr>
                  <w:tcW w:w="767" w:type="pct"/>
                  <w:vAlign w:val="center"/>
                </w:tcPr>
                <w:p w14:paraId="38ED7509">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控制因子</w:t>
                  </w:r>
                </w:p>
              </w:tc>
              <w:tc>
                <w:tcPr>
                  <w:tcW w:w="738" w:type="pct"/>
                  <w:vAlign w:val="center"/>
                </w:tcPr>
                <w:p w14:paraId="08AF9E02">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考核因子</w:t>
                  </w:r>
                </w:p>
              </w:tc>
              <w:tc>
                <w:tcPr>
                  <w:tcW w:w="687" w:type="pct"/>
                  <w:vMerge w:val="continue"/>
                  <w:vAlign w:val="center"/>
                </w:tcPr>
                <w:p w14:paraId="544D6DFE">
                  <w:pPr>
                    <w:jc w:val="center"/>
                    <w:rPr>
                      <w:color w:val="000000" w:themeColor="text1"/>
                      <w:kern w:val="0"/>
                      <w:szCs w:val="21"/>
                      <w14:textFill>
                        <w14:solidFill>
                          <w14:schemeClr w14:val="tx1"/>
                        </w14:solidFill>
                      </w14:textFill>
                    </w:rPr>
                  </w:pPr>
                </w:p>
              </w:tc>
            </w:tr>
            <w:tr w14:paraId="03C004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5" w:type="pct"/>
                  <w:gridSpan w:val="2"/>
                  <w:vMerge w:val="restart"/>
                  <w:vAlign w:val="center"/>
                </w:tcPr>
                <w:p w14:paraId="3C75345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生活污水</w:t>
                  </w:r>
                </w:p>
              </w:tc>
              <w:tc>
                <w:tcPr>
                  <w:tcW w:w="763" w:type="pct"/>
                  <w:vAlign w:val="center"/>
                </w:tcPr>
                <w:p w14:paraId="77656FB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水量</w:t>
                  </w:r>
                </w:p>
              </w:tc>
              <w:tc>
                <w:tcPr>
                  <w:tcW w:w="628" w:type="pct"/>
                  <w:vAlign w:val="center"/>
                </w:tcPr>
                <w:p w14:paraId="097B298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c>
                <w:tcPr>
                  <w:tcW w:w="688" w:type="pct"/>
                  <w:vAlign w:val="center"/>
                </w:tcPr>
                <w:p w14:paraId="54F4F17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c>
                <w:tcPr>
                  <w:tcW w:w="767" w:type="pct"/>
                  <w:vAlign w:val="center"/>
                </w:tcPr>
                <w:p w14:paraId="53E1334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c>
                <w:tcPr>
                  <w:tcW w:w="738" w:type="pct"/>
                  <w:vAlign w:val="center"/>
                </w:tcPr>
                <w:p w14:paraId="0178459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687" w:type="pct"/>
                  <w:vAlign w:val="center"/>
                </w:tcPr>
                <w:p w14:paraId="7E11964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r>
            <w:tr w14:paraId="6479B5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5" w:type="pct"/>
                  <w:gridSpan w:val="2"/>
                  <w:vMerge w:val="continue"/>
                  <w:vAlign w:val="center"/>
                </w:tcPr>
                <w:p w14:paraId="78880952">
                  <w:pPr>
                    <w:jc w:val="center"/>
                    <w:rPr>
                      <w:color w:val="000000" w:themeColor="text1"/>
                      <w:kern w:val="0"/>
                      <w:szCs w:val="21"/>
                      <w14:textFill>
                        <w14:solidFill>
                          <w14:schemeClr w14:val="tx1"/>
                        </w14:solidFill>
                      </w14:textFill>
                    </w:rPr>
                  </w:pPr>
                </w:p>
              </w:tc>
              <w:tc>
                <w:tcPr>
                  <w:tcW w:w="763" w:type="pct"/>
                  <w:vAlign w:val="center"/>
                </w:tcPr>
                <w:p w14:paraId="15DA89F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w:t>
                  </w:r>
                </w:p>
              </w:tc>
              <w:tc>
                <w:tcPr>
                  <w:tcW w:w="628" w:type="pct"/>
                  <w:vAlign w:val="center"/>
                </w:tcPr>
                <w:p w14:paraId="7BEBE09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0.048</w:t>
                  </w:r>
                </w:p>
              </w:tc>
              <w:tc>
                <w:tcPr>
                  <w:tcW w:w="688" w:type="pct"/>
                  <w:vAlign w:val="center"/>
                </w:tcPr>
                <w:p w14:paraId="2314A1A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0.048</w:t>
                  </w:r>
                </w:p>
              </w:tc>
              <w:tc>
                <w:tcPr>
                  <w:tcW w:w="767" w:type="pct"/>
                  <w:vAlign w:val="center"/>
                </w:tcPr>
                <w:p w14:paraId="6989792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0.048</w:t>
                  </w:r>
                </w:p>
              </w:tc>
              <w:tc>
                <w:tcPr>
                  <w:tcW w:w="738" w:type="pct"/>
                  <w:vAlign w:val="center"/>
                </w:tcPr>
                <w:p w14:paraId="59F8A01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687" w:type="pct"/>
                  <w:vAlign w:val="center"/>
                </w:tcPr>
                <w:p w14:paraId="32222F3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0.006</w:t>
                  </w:r>
                </w:p>
              </w:tc>
            </w:tr>
            <w:tr w14:paraId="01ECAE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5" w:type="pct"/>
                  <w:gridSpan w:val="2"/>
                  <w:vMerge w:val="continue"/>
                  <w:vAlign w:val="center"/>
                </w:tcPr>
                <w:p w14:paraId="2C25B722">
                  <w:pPr>
                    <w:jc w:val="center"/>
                    <w:rPr>
                      <w:color w:val="000000" w:themeColor="text1"/>
                      <w:kern w:val="0"/>
                      <w:szCs w:val="21"/>
                      <w14:textFill>
                        <w14:solidFill>
                          <w14:schemeClr w14:val="tx1"/>
                        </w14:solidFill>
                      </w14:textFill>
                    </w:rPr>
                  </w:pPr>
                </w:p>
              </w:tc>
              <w:tc>
                <w:tcPr>
                  <w:tcW w:w="763" w:type="pct"/>
                  <w:vAlign w:val="center"/>
                </w:tcPr>
                <w:p w14:paraId="3DEF638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SS</w:t>
                  </w:r>
                </w:p>
              </w:tc>
              <w:tc>
                <w:tcPr>
                  <w:tcW w:w="628" w:type="pct"/>
                  <w:vAlign w:val="center"/>
                </w:tcPr>
                <w:p w14:paraId="23C9F32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w:t>
                  </w:r>
                </w:p>
              </w:tc>
              <w:tc>
                <w:tcPr>
                  <w:tcW w:w="688" w:type="pct"/>
                  <w:vAlign w:val="center"/>
                </w:tcPr>
                <w:p w14:paraId="1582197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w:t>
                  </w:r>
                </w:p>
              </w:tc>
              <w:tc>
                <w:tcPr>
                  <w:tcW w:w="767" w:type="pct"/>
                  <w:vAlign w:val="center"/>
                </w:tcPr>
                <w:p w14:paraId="3B173B67">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w:t>
                  </w:r>
                </w:p>
              </w:tc>
              <w:tc>
                <w:tcPr>
                  <w:tcW w:w="738" w:type="pct"/>
                  <w:vAlign w:val="center"/>
                </w:tcPr>
                <w:p w14:paraId="054EA41B">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0.03</w:t>
                  </w:r>
                </w:p>
              </w:tc>
              <w:tc>
                <w:tcPr>
                  <w:tcW w:w="687" w:type="pct"/>
                  <w:vAlign w:val="center"/>
                </w:tcPr>
                <w:p w14:paraId="34FA507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0.0012</w:t>
                  </w:r>
                </w:p>
              </w:tc>
            </w:tr>
            <w:tr w14:paraId="008878E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5" w:type="pct"/>
                  <w:gridSpan w:val="2"/>
                  <w:vMerge w:val="continue"/>
                  <w:vAlign w:val="center"/>
                </w:tcPr>
                <w:p w14:paraId="6FE01E58">
                  <w:pPr>
                    <w:jc w:val="center"/>
                    <w:rPr>
                      <w:color w:val="000000" w:themeColor="text1"/>
                      <w:kern w:val="0"/>
                      <w:szCs w:val="21"/>
                      <w14:textFill>
                        <w14:solidFill>
                          <w14:schemeClr w14:val="tx1"/>
                        </w14:solidFill>
                      </w14:textFill>
                    </w:rPr>
                  </w:pPr>
                </w:p>
              </w:tc>
              <w:tc>
                <w:tcPr>
                  <w:tcW w:w="763" w:type="pct"/>
                  <w:vAlign w:val="center"/>
                </w:tcPr>
                <w:p w14:paraId="03F8FC5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628" w:type="pct"/>
                  <w:vAlign w:val="center"/>
                </w:tcPr>
                <w:p w14:paraId="01F4CB5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w:t>
                  </w:r>
                </w:p>
              </w:tc>
              <w:tc>
                <w:tcPr>
                  <w:tcW w:w="688" w:type="pct"/>
                  <w:vAlign w:val="center"/>
                </w:tcPr>
                <w:p w14:paraId="272A155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w:t>
                  </w:r>
                </w:p>
              </w:tc>
              <w:tc>
                <w:tcPr>
                  <w:tcW w:w="767" w:type="pct"/>
                  <w:vAlign w:val="center"/>
                </w:tcPr>
                <w:p w14:paraId="14805AD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w:t>
                  </w:r>
                </w:p>
              </w:tc>
              <w:tc>
                <w:tcPr>
                  <w:tcW w:w="738" w:type="pct"/>
                  <w:vAlign w:val="center"/>
                </w:tcPr>
                <w:p w14:paraId="1B2973C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687" w:type="pct"/>
                  <w:vAlign w:val="center"/>
                </w:tcPr>
                <w:p w14:paraId="204B36F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0.00048</w:t>
                  </w:r>
                </w:p>
              </w:tc>
            </w:tr>
            <w:tr w14:paraId="4349AD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5" w:type="pct"/>
                  <w:gridSpan w:val="2"/>
                  <w:vMerge w:val="continue"/>
                  <w:vAlign w:val="center"/>
                </w:tcPr>
                <w:p w14:paraId="0E91E65F">
                  <w:pPr>
                    <w:jc w:val="center"/>
                    <w:rPr>
                      <w:color w:val="000000" w:themeColor="text1"/>
                      <w:kern w:val="0"/>
                      <w:szCs w:val="21"/>
                      <w14:textFill>
                        <w14:solidFill>
                          <w14:schemeClr w14:val="tx1"/>
                        </w14:solidFill>
                      </w14:textFill>
                    </w:rPr>
                  </w:pPr>
                </w:p>
              </w:tc>
              <w:tc>
                <w:tcPr>
                  <w:tcW w:w="763" w:type="pct"/>
                  <w:vAlign w:val="center"/>
                </w:tcPr>
                <w:p w14:paraId="0E3F787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TP</w:t>
                  </w:r>
                </w:p>
              </w:tc>
              <w:tc>
                <w:tcPr>
                  <w:tcW w:w="628" w:type="pct"/>
                  <w:vAlign w:val="center"/>
                </w:tcPr>
                <w:p w14:paraId="33FC79A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0.00036</w:t>
                  </w:r>
                </w:p>
              </w:tc>
              <w:tc>
                <w:tcPr>
                  <w:tcW w:w="688" w:type="pct"/>
                  <w:vAlign w:val="center"/>
                </w:tcPr>
                <w:p w14:paraId="77D3E1C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0.00036</w:t>
                  </w:r>
                </w:p>
              </w:tc>
              <w:tc>
                <w:tcPr>
                  <w:tcW w:w="767" w:type="pct"/>
                  <w:vAlign w:val="center"/>
                </w:tcPr>
                <w:p w14:paraId="1688A8C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0.00036</w:t>
                  </w:r>
                </w:p>
              </w:tc>
              <w:tc>
                <w:tcPr>
                  <w:tcW w:w="738" w:type="pct"/>
                  <w:vAlign w:val="center"/>
                </w:tcPr>
                <w:p w14:paraId="13BECB1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687" w:type="pct"/>
                  <w:vAlign w:val="center"/>
                </w:tcPr>
                <w:p w14:paraId="1982A03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0.00006</w:t>
                  </w:r>
                </w:p>
              </w:tc>
            </w:tr>
            <w:tr w14:paraId="3F0B6C9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25" w:type="pct"/>
                  <w:gridSpan w:val="2"/>
                  <w:vMerge w:val="continue"/>
                  <w:vAlign w:val="center"/>
                </w:tcPr>
                <w:p w14:paraId="7C95F9A8">
                  <w:pPr>
                    <w:jc w:val="center"/>
                    <w:rPr>
                      <w:color w:val="000000" w:themeColor="text1"/>
                      <w:kern w:val="0"/>
                      <w:szCs w:val="21"/>
                      <w14:textFill>
                        <w14:solidFill>
                          <w14:schemeClr w14:val="tx1"/>
                        </w14:solidFill>
                      </w14:textFill>
                    </w:rPr>
                  </w:pPr>
                </w:p>
              </w:tc>
              <w:tc>
                <w:tcPr>
                  <w:tcW w:w="763" w:type="pct"/>
                  <w:vAlign w:val="center"/>
                </w:tcPr>
                <w:p w14:paraId="2097A6E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TN</w:t>
                  </w:r>
                </w:p>
              </w:tc>
              <w:tc>
                <w:tcPr>
                  <w:tcW w:w="628" w:type="pct"/>
                  <w:vAlign w:val="center"/>
                </w:tcPr>
                <w:p w14:paraId="74E9E18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0.0048</w:t>
                  </w:r>
                </w:p>
              </w:tc>
              <w:tc>
                <w:tcPr>
                  <w:tcW w:w="688" w:type="pct"/>
                  <w:vAlign w:val="center"/>
                </w:tcPr>
                <w:p w14:paraId="4B7DBF1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0.0048</w:t>
                  </w:r>
                </w:p>
              </w:tc>
              <w:tc>
                <w:tcPr>
                  <w:tcW w:w="767" w:type="pct"/>
                  <w:vAlign w:val="center"/>
                </w:tcPr>
                <w:p w14:paraId="32181D3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0.0048</w:t>
                  </w:r>
                </w:p>
              </w:tc>
              <w:tc>
                <w:tcPr>
                  <w:tcW w:w="738" w:type="pct"/>
                  <w:vAlign w:val="center"/>
                </w:tcPr>
                <w:p w14:paraId="62265EC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687" w:type="pct"/>
                  <w:vAlign w:val="center"/>
                </w:tcPr>
                <w:p w14:paraId="750E421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0.00144</w:t>
                  </w:r>
                </w:p>
              </w:tc>
            </w:tr>
            <w:tr w14:paraId="33DE62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11" w:type="pct"/>
                  <w:vMerge w:val="restart"/>
                  <w:vAlign w:val="center"/>
                </w:tcPr>
                <w:p w14:paraId="3451A1B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大气污染物</w:t>
                  </w:r>
                </w:p>
              </w:tc>
              <w:tc>
                <w:tcPr>
                  <w:tcW w:w="313" w:type="pct"/>
                  <w:vMerge w:val="restart"/>
                  <w:vAlign w:val="center"/>
                </w:tcPr>
                <w:p w14:paraId="3AB5C08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无</w:t>
                  </w:r>
                  <w:r>
                    <w:rPr>
                      <w:color w:val="000000" w:themeColor="text1"/>
                      <w:kern w:val="0"/>
                      <w:szCs w:val="21"/>
                      <w14:textFill>
                        <w14:solidFill>
                          <w14:schemeClr w14:val="tx1"/>
                        </w14:solidFill>
                      </w14:textFill>
                    </w:rPr>
                    <w:t>组织</w:t>
                  </w:r>
                </w:p>
              </w:tc>
              <w:tc>
                <w:tcPr>
                  <w:tcW w:w="763" w:type="pct"/>
                  <w:vAlign w:val="center"/>
                </w:tcPr>
                <w:p w14:paraId="69A8973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r>
                    <w:rPr>
                      <w:rFonts w:hint="eastAsia"/>
                      <w:color w:val="000000" w:themeColor="text1"/>
                      <w:szCs w:val="21"/>
                      <w14:textFill>
                        <w14:solidFill>
                          <w14:schemeClr w14:val="tx1"/>
                        </w14:solidFill>
                      </w14:textFill>
                    </w:rPr>
                    <w:t>（含甲醇）</w:t>
                  </w:r>
                </w:p>
              </w:tc>
              <w:tc>
                <w:tcPr>
                  <w:tcW w:w="628" w:type="pct"/>
                  <w:vAlign w:val="center"/>
                </w:tcPr>
                <w:p w14:paraId="03BF244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0.0209</w:t>
                  </w:r>
                </w:p>
              </w:tc>
              <w:tc>
                <w:tcPr>
                  <w:tcW w:w="688" w:type="pct"/>
                  <w:vAlign w:val="center"/>
                </w:tcPr>
                <w:p w14:paraId="56E084B3">
                  <w:pPr>
                    <w:widowControl/>
                    <w:jc w:val="center"/>
                    <w:textAlignment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052</w:t>
                  </w:r>
                </w:p>
              </w:tc>
              <w:tc>
                <w:tcPr>
                  <w:tcW w:w="767" w:type="pct"/>
                  <w:vAlign w:val="center"/>
                </w:tcPr>
                <w:p w14:paraId="7E4FA1FD">
                  <w:pPr>
                    <w:widowControl/>
                    <w:jc w:val="center"/>
                    <w:textAlignment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052</w:t>
                  </w:r>
                </w:p>
              </w:tc>
              <w:tc>
                <w:tcPr>
                  <w:tcW w:w="738" w:type="pct"/>
                  <w:vAlign w:val="center"/>
                </w:tcPr>
                <w:p w14:paraId="50065461">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687" w:type="pct"/>
                  <w:vAlign w:val="center"/>
                </w:tcPr>
                <w:p w14:paraId="1DDFF59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0.0052</w:t>
                  </w:r>
                </w:p>
              </w:tc>
            </w:tr>
            <w:tr w14:paraId="615200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411" w:type="pct"/>
                  <w:vMerge w:val="continue"/>
                  <w:vAlign w:val="center"/>
                </w:tcPr>
                <w:p w14:paraId="7582FE5D">
                  <w:pPr>
                    <w:jc w:val="center"/>
                    <w:rPr>
                      <w:color w:val="000000" w:themeColor="text1"/>
                      <w:kern w:val="0"/>
                      <w:szCs w:val="21"/>
                      <w14:textFill>
                        <w14:solidFill>
                          <w14:schemeClr w14:val="tx1"/>
                        </w14:solidFill>
                      </w14:textFill>
                    </w:rPr>
                  </w:pPr>
                </w:p>
              </w:tc>
              <w:tc>
                <w:tcPr>
                  <w:tcW w:w="313" w:type="pct"/>
                  <w:vMerge w:val="continue"/>
                  <w:vAlign w:val="center"/>
                </w:tcPr>
                <w:p w14:paraId="3D652654">
                  <w:pPr>
                    <w:jc w:val="center"/>
                    <w:rPr>
                      <w:color w:val="000000" w:themeColor="text1"/>
                      <w:kern w:val="0"/>
                      <w:szCs w:val="21"/>
                      <w14:textFill>
                        <w14:solidFill>
                          <w14:schemeClr w14:val="tx1"/>
                        </w14:solidFill>
                      </w14:textFill>
                    </w:rPr>
                  </w:pPr>
                </w:p>
              </w:tc>
              <w:tc>
                <w:tcPr>
                  <w:tcW w:w="763" w:type="pct"/>
                  <w:vAlign w:val="center"/>
                </w:tcPr>
                <w:p w14:paraId="6C7C37C2">
                  <w:pPr>
                    <w:contextualSpacing/>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甲醇</w:t>
                  </w:r>
                </w:p>
              </w:tc>
              <w:tc>
                <w:tcPr>
                  <w:tcW w:w="628" w:type="pct"/>
                  <w:vAlign w:val="center"/>
                </w:tcPr>
                <w:p w14:paraId="7474061C">
                  <w:pPr>
                    <w:widowControl/>
                    <w:jc w:val="center"/>
                    <w:textAlignment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008</w:t>
                  </w:r>
                </w:p>
              </w:tc>
              <w:tc>
                <w:tcPr>
                  <w:tcW w:w="688" w:type="pct"/>
                  <w:vAlign w:val="center"/>
                </w:tcPr>
                <w:p w14:paraId="221B4B19">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0.0002</w:t>
                  </w:r>
                </w:p>
              </w:tc>
              <w:tc>
                <w:tcPr>
                  <w:tcW w:w="767" w:type="pct"/>
                  <w:vAlign w:val="center"/>
                </w:tcPr>
                <w:p w14:paraId="0C1CB95B">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738" w:type="pct"/>
                  <w:vAlign w:val="center"/>
                </w:tcPr>
                <w:p w14:paraId="44FF7F2C">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0.0002</w:t>
                  </w:r>
                </w:p>
              </w:tc>
              <w:tc>
                <w:tcPr>
                  <w:tcW w:w="687" w:type="pct"/>
                  <w:vAlign w:val="center"/>
                </w:tcPr>
                <w:p w14:paraId="18BE8DC8">
                  <w:pPr>
                    <w:widowControl/>
                    <w:jc w:val="center"/>
                    <w:textAlignment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002</w:t>
                  </w:r>
                </w:p>
              </w:tc>
            </w:tr>
            <w:tr w14:paraId="3F2633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5" w:type="pct"/>
                  <w:gridSpan w:val="2"/>
                  <w:vMerge w:val="restart"/>
                  <w:vAlign w:val="center"/>
                </w:tcPr>
                <w:p w14:paraId="21E94BD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固废</w:t>
                  </w:r>
                </w:p>
              </w:tc>
              <w:tc>
                <w:tcPr>
                  <w:tcW w:w="763" w:type="pct"/>
                  <w:vAlign w:val="center"/>
                </w:tcPr>
                <w:p w14:paraId="0E0E88AA">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628" w:type="pct"/>
                  <w:vAlign w:val="center"/>
                </w:tcPr>
                <w:p w14:paraId="5E9D9F46">
                  <w:pPr>
                    <w:spacing w:line="320" w:lineRule="exact"/>
                    <w:jc w:val="center"/>
                    <w:rPr>
                      <w:color w:val="000000" w:themeColor="text1"/>
                      <w:spacing w:val="-11"/>
                      <w:szCs w:val="21"/>
                      <w14:textFill>
                        <w14:solidFill>
                          <w14:schemeClr w14:val="tx1"/>
                        </w14:solidFill>
                      </w14:textFill>
                    </w:rPr>
                  </w:pPr>
                  <w:r>
                    <w:rPr>
                      <w:rFonts w:hint="eastAsia"/>
                      <w:color w:val="000000" w:themeColor="text1"/>
                      <w:spacing w:val="-11"/>
                      <w:szCs w:val="21"/>
                      <w14:textFill>
                        <w14:solidFill>
                          <w14:schemeClr w14:val="tx1"/>
                        </w14:solidFill>
                      </w14:textFill>
                    </w:rPr>
                    <w:t>1.5</w:t>
                  </w:r>
                </w:p>
              </w:tc>
              <w:tc>
                <w:tcPr>
                  <w:tcW w:w="688" w:type="pct"/>
                  <w:vAlign w:val="center"/>
                </w:tcPr>
                <w:p w14:paraId="5FF41F23">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14:textFill>
                        <w14:solidFill>
                          <w14:schemeClr w14:val="tx1"/>
                        </w14:solidFill>
                      </w14:textFill>
                    </w:rPr>
                    <w:t>0</w:t>
                  </w:r>
                </w:p>
              </w:tc>
              <w:tc>
                <w:tcPr>
                  <w:tcW w:w="767" w:type="pct"/>
                  <w:vAlign w:val="center"/>
                </w:tcPr>
                <w:p w14:paraId="335B725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738" w:type="pct"/>
                  <w:vAlign w:val="center"/>
                </w:tcPr>
                <w:p w14:paraId="563E00F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687" w:type="pct"/>
                  <w:vAlign w:val="center"/>
                </w:tcPr>
                <w:p w14:paraId="23B7042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r>
            <w:tr w14:paraId="019A495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5" w:type="pct"/>
                  <w:gridSpan w:val="2"/>
                  <w:vMerge w:val="continue"/>
                  <w:vAlign w:val="center"/>
                </w:tcPr>
                <w:p w14:paraId="377FEFCE">
                  <w:pPr>
                    <w:jc w:val="center"/>
                    <w:rPr>
                      <w:color w:val="000000" w:themeColor="text1"/>
                      <w:kern w:val="0"/>
                      <w:szCs w:val="21"/>
                      <w14:textFill>
                        <w14:solidFill>
                          <w14:schemeClr w14:val="tx1"/>
                        </w14:solidFill>
                      </w14:textFill>
                    </w:rPr>
                  </w:pPr>
                </w:p>
              </w:tc>
              <w:tc>
                <w:tcPr>
                  <w:tcW w:w="763" w:type="pct"/>
                  <w:vAlign w:val="center"/>
                </w:tcPr>
                <w:p w14:paraId="421F7306">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一般固废</w:t>
                  </w:r>
                </w:p>
              </w:tc>
              <w:tc>
                <w:tcPr>
                  <w:tcW w:w="628" w:type="pct"/>
                  <w:vAlign w:val="center"/>
                </w:tcPr>
                <w:p w14:paraId="4B8C8811">
                  <w:pPr>
                    <w:spacing w:line="320" w:lineRule="exact"/>
                    <w:jc w:val="center"/>
                    <w:rPr>
                      <w:color w:val="000000" w:themeColor="text1"/>
                      <w:spacing w:val="-11"/>
                      <w:szCs w:val="21"/>
                      <w14:textFill>
                        <w14:solidFill>
                          <w14:schemeClr w14:val="tx1"/>
                        </w14:solidFill>
                      </w14:textFill>
                    </w:rPr>
                  </w:pPr>
                  <w:r>
                    <w:rPr>
                      <w:color w:val="000000" w:themeColor="text1"/>
                      <w:spacing w:val="-11"/>
                      <w:szCs w:val="21"/>
                      <w14:textFill>
                        <w14:solidFill>
                          <w14:schemeClr w14:val="tx1"/>
                        </w14:solidFill>
                      </w14:textFill>
                    </w:rPr>
                    <w:t>0.0</w:t>
                  </w:r>
                  <w:r>
                    <w:rPr>
                      <w:rFonts w:hint="eastAsia"/>
                      <w:color w:val="000000" w:themeColor="text1"/>
                      <w:spacing w:val="-11"/>
                      <w:szCs w:val="21"/>
                      <w14:textFill>
                        <w14:solidFill>
                          <w14:schemeClr w14:val="tx1"/>
                        </w14:solidFill>
                      </w14:textFill>
                    </w:rPr>
                    <w:t>5</w:t>
                  </w:r>
                </w:p>
              </w:tc>
              <w:tc>
                <w:tcPr>
                  <w:tcW w:w="688" w:type="pct"/>
                  <w:vAlign w:val="center"/>
                </w:tcPr>
                <w:p w14:paraId="694CDAAD">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14:textFill>
                        <w14:solidFill>
                          <w14:schemeClr w14:val="tx1"/>
                        </w14:solidFill>
                      </w14:textFill>
                    </w:rPr>
                    <w:t>0</w:t>
                  </w:r>
                </w:p>
              </w:tc>
              <w:tc>
                <w:tcPr>
                  <w:tcW w:w="767" w:type="pct"/>
                  <w:vAlign w:val="center"/>
                </w:tcPr>
                <w:p w14:paraId="446E0B4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738" w:type="pct"/>
                  <w:vAlign w:val="center"/>
                </w:tcPr>
                <w:p w14:paraId="4CB3298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687" w:type="pct"/>
                  <w:vAlign w:val="center"/>
                </w:tcPr>
                <w:p w14:paraId="104D53F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r>
            <w:tr w14:paraId="1AF025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5" w:type="pct"/>
                  <w:gridSpan w:val="2"/>
                  <w:vMerge w:val="continue"/>
                  <w:vAlign w:val="center"/>
                </w:tcPr>
                <w:p w14:paraId="16FBC9E6">
                  <w:pPr>
                    <w:jc w:val="center"/>
                    <w:rPr>
                      <w:color w:val="000000" w:themeColor="text1"/>
                      <w:kern w:val="0"/>
                      <w:szCs w:val="21"/>
                      <w14:textFill>
                        <w14:solidFill>
                          <w14:schemeClr w14:val="tx1"/>
                        </w14:solidFill>
                      </w14:textFill>
                    </w:rPr>
                  </w:pPr>
                </w:p>
              </w:tc>
              <w:tc>
                <w:tcPr>
                  <w:tcW w:w="763" w:type="pct"/>
                  <w:vAlign w:val="center"/>
                </w:tcPr>
                <w:p w14:paraId="547D40BD">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w:t>
                  </w:r>
                </w:p>
              </w:tc>
              <w:tc>
                <w:tcPr>
                  <w:tcW w:w="628" w:type="pct"/>
                  <w:vAlign w:val="center"/>
                </w:tcPr>
                <w:p w14:paraId="6429833D">
                  <w:pPr>
                    <w:spacing w:line="320" w:lineRule="exact"/>
                    <w:jc w:val="center"/>
                    <w:rPr>
                      <w:rFonts w:hint="eastAsia" w:eastAsia="宋体"/>
                      <w:color w:val="000000" w:themeColor="text1"/>
                      <w:spacing w:val="-11"/>
                      <w:szCs w:val="21"/>
                      <w:lang w:eastAsia="zh-CN"/>
                      <w14:textFill>
                        <w14:solidFill>
                          <w14:schemeClr w14:val="tx1"/>
                        </w14:solidFill>
                      </w14:textFill>
                    </w:rPr>
                  </w:pPr>
                  <w:r>
                    <w:rPr>
                      <w:rFonts w:hint="eastAsia"/>
                      <w:color w:val="000000" w:themeColor="text1"/>
                      <w:spacing w:val="-11"/>
                      <w:szCs w:val="21"/>
                      <w:lang w:eastAsia="zh-CN"/>
                      <w14:textFill>
                        <w14:solidFill>
                          <w14:schemeClr w14:val="tx1"/>
                        </w14:solidFill>
                      </w14:textFill>
                    </w:rPr>
                    <w:t>9.735</w:t>
                  </w:r>
                </w:p>
              </w:tc>
              <w:tc>
                <w:tcPr>
                  <w:tcW w:w="688" w:type="pct"/>
                  <w:vAlign w:val="center"/>
                </w:tcPr>
                <w:p w14:paraId="279CA4F6">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14:textFill>
                        <w14:solidFill>
                          <w14:schemeClr w14:val="tx1"/>
                        </w14:solidFill>
                      </w14:textFill>
                    </w:rPr>
                    <w:t>0</w:t>
                  </w:r>
                </w:p>
              </w:tc>
              <w:tc>
                <w:tcPr>
                  <w:tcW w:w="767" w:type="pct"/>
                  <w:vAlign w:val="center"/>
                </w:tcPr>
                <w:p w14:paraId="3F71372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738" w:type="pct"/>
                  <w:vAlign w:val="center"/>
                </w:tcPr>
                <w:p w14:paraId="755CA49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687" w:type="pct"/>
                  <w:vAlign w:val="center"/>
                </w:tcPr>
                <w:p w14:paraId="7E22DFC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r>
          </w:tbl>
          <w:p w14:paraId="6C7F911F">
            <w:pPr>
              <w:spacing w:line="480" w:lineRule="exact"/>
              <w:jc w:val="center"/>
              <w:rPr>
                <w:rFonts w:hint="eastAsia" w:eastAsia="宋体"/>
                <w:b/>
                <w:bCs/>
                <w:color w:val="000000" w:themeColor="text1"/>
                <w:sz w:val="24"/>
                <w:lang w:val="en-US" w:eastAsia="zh-CN"/>
                <w14:textFill>
                  <w14:solidFill>
                    <w14:schemeClr w14:val="tx1"/>
                  </w14:solidFill>
                </w14:textFill>
              </w:rPr>
            </w:pPr>
            <w:r>
              <w:rPr>
                <w:b/>
                <w:bCs/>
                <w:color w:val="000000" w:themeColor="text1"/>
                <w:szCs w:val="21"/>
                <w14:textFill>
                  <w14:solidFill>
                    <w14:schemeClr w14:val="tx1"/>
                  </w14:solidFill>
                </w14:textFill>
              </w:rPr>
              <w:t>表3-1</w:t>
            </w:r>
            <w:r>
              <w:rPr>
                <w:rFonts w:hint="eastAsia"/>
                <w:b/>
                <w:bCs/>
                <w:color w:val="000000" w:themeColor="text1"/>
                <w:szCs w:val="21"/>
                <w:lang w:val="en-US" w:eastAsia="zh-CN"/>
                <w14:textFill>
                  <w14:solidFill>
                    <w14:schemeClr w14:val="tx1"/>
                  </w14:solidFill>
                </w14:textFill>
              </w:rPr>
              <w:t>2 项目重新报批前后主要污染物排放量变化情况汇总一览表</w:t>
            </w:r>
            <w:r>
              <w:rPr>
                <w:b/>
                <w:bCs/>
                <w:color w:val="000000" w:themeColor="text1"/>
                <w:szCs w:val="21"/>
                <w14:textFill>
                  <w14:solidFill>
                    <w14:schemeClr w14:val="tx1"/>
                  </w14:solidFill>
                </w14:textFill>
              </w:rPr>
              <w:t>（单位：t/a）</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456"/>
              <w:gridCol w:w="975"/>
              <w:gridCol w:w="1458"/>
              <w:gridCol w:w="1948"/>
              <w:gridCol w:w="2191"/>
              <w:gridCol w:w="1219"/>
            </w:tblGrid>
            <w:tr w14:paraId="02AD29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102" w:type="pct"/>
                  <w:gridSpan w:val="3"/>
                  <w:vMerge w:val="restart"/>
                  <w:vAlign w:val="center"/>
                </w:tcPr>
                <w:p w14:paraId="087F2F78">
                  <w:pPr>
                    <w:keepNext w:val="0"/>
                    <w:keepLines w:val="0"/>
                    <w:pageBreakBefore w:val="0"/>
                    <w:kinsoku/>
                    <w:wordWrap/>
                    <w:overflowPunct/>
                    <w:topLinePunct w:val="0"/>
                    <w:autoSpaceDE/>
                    <w:autoSpaceDN/>
                    <w:bidi w:val="0"/>
                    <w:adjustRightInd/>
                    <w:snapToGrid/>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污染物名称</w:t>
                  </w:r>
                </w:p>
              </w:tc>
              <w:tc>
                <w:tcPr>
                  <w:tcW w:w="1053" w:type="pct"/>
                  <w:vMerge w:val="restart"/>
                  <w:vAlign w:val="center"/>
                </w:tcPr>
                <w:p w14:paraId="611FCE55">
                  <w:pPr>
                    <w:keepNext w:val="0"/>
                    <w:keepLines w:val="0"/>
                    <w:pageBreakBefore w:val="0"/>
                    <w:kinsoku/>
                    <w:wordWrap/>
                    <w:overflowPunct/>
                    <w:topLinePunct w:val="0"/>
                    <w:autoSpaceDE/>
                    <w:autoSpaceDN/>
                    <w:bidi w:val="0"/>
                    <w:adjustRightInd/>
                    <w:snapToGrid/>
                    <w:spacing w:line="240" w:lineRule="auto"/>
                    <w:jc w:val="center"/>
                    <w:rPr>
                      <w:rFonts w:hint="default" w:eastAsia="宋体"/>
                      <w:b/>
                      <w:color w:val="000000" w:themeColor="text1"/>
                      <w:kern w:val="0"/>
                      <w:sz w:val="21"/>
                      <w:szCs w:val="21"/>
                      <w:lang w:val="en-US" w:eastAsia="zh-CN"/>
                      <w14:textFill>
                        <w14:solidFill>
                          <w14:schemeClr w14:val="tx1"/>
                        </w14:solidFill>
                      </w14:textFill>
                    </w:rPr>
                  </w:pPr>
                  <w:r>
                    <w:rPr>
                      <w:rFonts w:hint="eastAsia"/>
                      <w:b/>
                      <w:color w:val="000000" w:themeColor="text1"/>
                      <w:kern w:val="0"/>
                      <w:sz w:val="21"/>
                      <w:szCs w:val="21"/>
                      <w:lang w:val="en-US" w:eastAsia="zh-CN"/>
                      <w14:textFill>
                        <w14:solidFill>
                          <w14:schemeClr w14:val="tx1"/>
                        </w14:solidFill>
                      </w14:textFill>
                    </w:rPr>
                    <w:t>原批复环评情况</w:t>
                  </w:r>
                </w:p>
              </w:tc>
              <w:tc>
                <w:tcPr>
                  <w:tcW w:w="1184" w:type="pct"/>
                  <w:vMerge w:val="restart"/>
                  <w:vAlign w:val="center"/>
                </w:tcPr>
                <w:p w14:paraId="7AB2743B">
                  <w:pPr>
                    <w:keepNext w:val="0"/>
                    <w:keepLines w:val="0"/>
                    <w:pageBreakBefore w:val="0"/>
                    <w:kinsoku/>
                    <w:wordWrap/>
                    <w:overflowPunct/>
                    <w:topLinePunct w:val="0"/>
                    <w:autoSpaceDE/>
                    <w:autoSpaceDN/>
                    <w:bidi w:val="0"/>
                    <w:adjustRightInd/>
                    <w:snapToGrid/>
                    <w:spacing w:line="240" w:lineRule="auto"/>
                    <w:jc w:val="center"/>
                    <w:rPr>
                      <w:rFonts w:hint="default" w:eastAsia="宋体"/>
                      <w:b/>
                      <w:color w:val="000000" w:themeColor="text1"/>
                      <w:kern w:val="0"/>
                      <w:sz w:val="21"/>
                      <w:szCs w:val="21"/>
                      <w:lang w:val="en-US" w:eastAsia="zh-CN"/>
                      <w14:textFill>
                        <w14:solidFill>
                          <w14:schemeClr w14:val="tx1"/>
                        </w14:solidFill>
                      </w14:textFill>
                    </w:rPr>
                  </w:pPr>
                  <w:r>
                    <w:rPr>
                      <w:rFonts w:hint="eastAsia"/>
                      <w:b/>
                      <w:color w:val="000000" w:themeColor="text1"/>
                      <w:kern w:val="0"/>
                      <w:sz w:val="21"/>
                      <w:szCs w:val="21"/>
                      <w:lang w:val="en-US" w:eastAsia="zh-CN"/>
                      <w14:textFill>
                        <w14:solidFill>
                          <w14:schemeClr w14:val="tx1"/>
                        </w14:solidFill>
                      </w14:textFill>
                    </w:rPr>
                    <w:t>重新报批项目情况</w:t>
                  </w:r>
                </w:p>
              </w:tc>
              <w:tc>
                <w:tcPr>
                  <w:tcW w:w="659" w:type="pct"/>
                  <w:vMerge w:val="restart"/>
                  <w:vAlign w:val="center"/>
                </w:tcPr>
                <w:p w14:paraId="67049A55">
                  <w:pPr>
                    <w:keepNext w:val="0"/>
                    <w:keepLines w:val="0"/>
                    <w:pageBreakBefore w:val="0"/>
                    <w:kinsoku/>
                    <w:wordWrap/>
                    <w:overflowPunct/>
                    <w:topLinePunct w:val="0"/>
                    <w:autoSpaceDE/>
                    <w:autoSpaceDN/>
                    <w:bidi w:val="0"/>
                    <w:adjustRightInd/>
                    <w:snapToGrid/>
                    <w:spacing w:line="240" w:lineRule="auto"/>
                    <w:jc w:val="center"/>
                    <w:rPr>
                      <w:rFonts w:hint="default" w:eastAsia="宋体"/>
                      <w:b/>
                      <w:color w:val="000000" w:themeColor="text1"/>
                      <w:kern w:val="0"/>
                      <w:sz w:val="21"/>
                      <w:szCs w:val="21"/>
                      <w:lang w:val="en-US" w:eastAsia="zh-CN"/>
                      <w14:textFill>
                        <w14:solidFill>
                          <w14:schemeClr w14:val="tx1"/>
                        </w14:solidFill>
                      </w14:textFill>
                    </w:rPr>
                  </w:pPr>
                  <w:r>
                    <w:rPr>
                      <w:rFonts w:hint="eastAsia"/>
                      <w:b/>
                      <w:color w:val="000000" w:themeColor="text1"/>
                      <w:kern w:val="0"/>
                      <w:sz w:val="21"/>
                      <w:szCs w:val="21"/>
                      <w:lang w:val="en-US" w:eastAsia="zh-CN"/>
                      <w14:textFill>
                        <w14:solidFill>
                          <w14:schemeClr w14:val="tx1"/>
                        </w14:solidFill>
                      </w14:textFill>
                    </w:rPr>
                    <w:t>变化情况</w:t>
                  </w:r>
                </w:p>
              </w:tc>
            </w:tr>
            <w:tr w14:paraId="7FD875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102" w:type="pct"/>
                  <w:gridSpan w:val="3"/>
                  <w:vMerge w:val="continue"/>
                  <w:vAlign w:val="center"/>
                </w:tcPr>
                <w:p w14:paraId="0DC8AFDA">
                  <w:pPr>
                    <w:keepNext w:val="0"/>
                    <w:keepLines w:val="0"/>
                    <w:pageBreakBefore w:val="0"/>
                    <w:kinsoku/>
                    <w:wordWrap/>
                    <w:overflowPunct/>
                    <w:topLinePunct w:val="0"/>
                    <w:autoSpaceDE/>
                    <w:autoSpaceDN/>
                    <w:bidi w:val="0"/>
                    <w:adjustRightInd/>
                    <w:snapToGrid/>
                    <w:spacing w:line="240" w:lineRule="auto"/>
                    <w:jc w:val="center"/>
                    <w:rPr>
                      <w:b/>
                      <w:color w:val="000000" w:themeColor="text1"/>
                      <w:kern w:val="0"/>
                      <w:sz w:val="21"/>
                      <w:szCs w:val="21"/>
                      <w14:textFill>
                        <w14:solidFill>
                          <w14:schemeClr w14:val="tx1"/>
                        </w14:solidFill>
                      </w14:textFill>
                    </w:rPr>
                  </w:pPr>
                </w:p>
              </w:tc>
              <w:tc>
                <w:tcPr>
                  <w:tcW w:w="1053" w:type="pct"/>
                  <w:vMerge w:val="continue"/>
                  <w:vAlign w:val="center"/>
                </w:tcPr>
                <w:p w14:paraId="01BC601E">
                  <w:pPr>
                    <w:keepNext w:val="0"/>
                    <w:keepLines w:val="0"/>
                    <w:pageBreakBefore w:val="0"/>
                    <w:kinsoku/>
                    <w:wordWrap/>
                    <w:overflowPunct/>
                    <w:topLinePunct w:val="0"/>
                    <w:autoSpaceDE/>
                    <w:autoSpaceDN/>
                    <w:bidi w:val="0"/>
                    <w:adjustRightInd/>
                    <w:snapToGrid/>
                    <w:spacing w:line="240" w:lineRule="auto"/>
                    <w:jc w:val="center"/>
                    <w:rPr>
                      <w:b/>
                      <w:color w:val="000000" w:themeColor="text1"/>
                      <w:kern w:val="0"/>
                      <w:sz w:val="21"/>
                      <w:szCs w:val="21"/>
                      <w14:textFill>
                        <w14:solidFill>
                          <w14:schemeClr w14:val="tx1"/>
                        </w14:solidFill>
                      </w14:textFill>
                    </w:rPr>
                  </w:pPr>
                </w:p>
              </w:tc>
              <w:tc>
                <w:tcPr>
                  <w:tcW w:w="1184" w:type="pct"/>
                  <w:vMerge w:val="continue"/>
                  <w:vAlign w:val="center"/>
                </w:tcPr>
                <w:p w14:paraId="62D652E3">
                  <w:pPr>
                    <w:keepNext w:val="0"/>
                    <w:keepLines w:val="0"/>
                    <w:pageBreakBefore w:val="0"/>
                    <w:kinsoku/>
                    <w:wordWrap/>
                    <w:overflowPunct/>
                    <w:topLinePunct w:val="0"/>
                    <w:autoSpaceDE/>
                    <w:autoSpaceDN/>
                    <w:bidi w:val="0"/>
                    <w:adjustRightInd/>
                    <w:snapToGrid/>
                    <w:spacing w:line="240" w:lineRule="auto"/>
                    <w:jc w:val="center"/>
                    <w:rPr>
                      <w:b/>
                      <w:color w:val="000000" w:themeColor="text1"/>
                      <w:kern w:val="0"/>
                      <w:sz w:val="21"/>
                      <w:szCs w:val="21"/>
                      <w14:textFill>
                        <w14:solidFill>
                          <w14:schemeClr w14:val="tx1"/>
                        </w14:solidFill>
                      </w14:textFill>
                    </w:rPr>
                  </w:pPr>
                </w:p>
              </w:tc>
              <w:tc>
                <w:tcPr>
                  <w:tcW w:w="659" w:type="pct"/>
                  <w:vMerge w:val="continue"/>
                  <w:vAlign w:val="center"/>
                </w:tcPr>
                <w:p w14:paraId="6941B655">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p>
              </w:tc>
            </w:tr>
            <w:tr w14:paraId="0D28C1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14" w:type="pct"/>
                  <w:gridSpan w:val="2"/>
                  <w:vMerge w:val="restart"/>
                  <w:vAlign w:val="center"/>
                </w:tcPr>
                <w:p w14:paraId="3E597336">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生活污水</w:t>
                  </w:r>
                </w:p>
              </w:tc>
              <w:tc>
                <w:tcPr>
                  <w:tcW w:w="788" w:type="pct"/>
                  <w:vAlign w:val="center"/>
                </w:tcPr>
                <w:p w14:paraId="1B8FB88E">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水量</w:t>
                  </w:r>
                </w:p>
              </w:tc>
              <w:tc>
                <w:tcPr>
                  <w:tcW w:w="1053" w:type="pct"/>
                  <w:vAlign w:val="center"/>
                </w:tcPr>
                <w:p w14:paraId="2365AF53">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120</w:t>
                  </w:r>
                </w:p>
              </w:tc>
              <w:tc>
                <w:tcPr>
                  <w:tcW w:w="1184" w:type="pct"/>
                  <w:vAlign w:val="center"/>
                </w:tcPr>
                <w:p w14:paraId="444CD1E9">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120</w:t>
                  </w:r>
                </w:p>
              </w:tc>
              <w:tc>
                <w:tcPr>
                  <w:tcW w:w="659" w:type="pct"/>
                  <w:vAlign w:val="center"/>
                </w:tcPr>
                <w:p w14:paraId="6757AF11">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2C5A38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14" w:type="pct"/>
                  <w:gridSpan w:val="2"/>
                  <w:vMerge w:val="continue"/>
                  <w:vAlign w:val="center"/>
                </w:tcPr>
                <w:p w14:paraId="52E73E6D">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p>
              </w:tc>
              <w:tc>
                <w:tcPr>
                  <w:tcW w:w="788" w:type="pct"/>
                  <w:vAlign w:val="center"/>
                </w:tcPr>
                <w:p w14:paraId="5DEE23D2">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COD</w:t>
                  </w:r>
                </w:p>
              </w:tc>
              <w:tc>
                <w:tcPr>
                  <w:tcW w:w="1053" w:type="pct"/>
                  <w:vAlign w:val="center"/>
                </w:tcPr>
                <w:p w14:paraId="6D33E48B">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0.048</w:t>
                  </w:r>
                </w:p>
              </w:tc>
              <w:tc>
                <w:tcPr>
                  <w:tcW w:w="1184" w:type="pct"/>
                  <w:vAlign w:val="center"/>
                </w:tcPr>
                <w:p w14:paraId="3C257A2E">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0.048</w:t>
                  </w:r>
                </w:p>
              </w:tc>
              <w:tc>
                <w:tcPr>
                  <w:tcW w:w="659" w:type="pct"/>
                  <w:vAlign w:val="center"/>
                </w:tcPr>
                <w:p w14:paraId="01A66BAA">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6F00BA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14" w:type="pct"/>
                  <w:gridSpan w:val="2"/>
                  <w:vMerge w:val="continue"/>
                  <w:vAlign w:val="center"/>
                </w:tcPr>
                <w:p w14:paraId="056A5C03">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p>
              </w:tc>
              <w:tc>
                <w:tcPr>
                  <w:tcW w:w="788" w:type="pct"/>
                  <w:vAlign w:val="center"/>
                </w:tcPr>
                <w:p w14:paraId="227D10B1">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SS</w:t>
                  </w:r>
                </w:p>
              </w:tc>
              <w:tc>
                <w:tcPr>
                  <w:tcW w:w="1053" w:type="pct"/>
                  <w:vAlign w:val="center"/>
                </w:tcPr>
                <w:p w14:paraId="4C3FA351">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0.03</w:t>
                  </w:r>
                </w:p>
              </w:tc>
              <w:tc>
                <w:tcPr>
                  <w:tcW w:w="1184" w:type="pct"/>
                  <w:vAlign w:val="center"/>
                </w:tcPr>
                <w:p w14:paraId="0C9D317A">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0.03</w:t>
                  </w:r>
                </w:p>
              </w:tc>
              <w:tc>
                <w:tcPr>
                  <w:tcW w:w="659" w:type="pct"/>
                  <w:vAlign w:val="center"/>
                </w:tcPr>
                <w:p w14:paraId="7792CB7D">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40BDA36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14" w:type="pct"/>
                  <w:gridSpan w:val="2"/>
                  <w:vMerge w:val="continue"/>
                  <w:vAlign w:val="center"/>
                </w:tcPr>
                <w:p w14:paraId="06D12559">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p>
              </w:tc>
              <w:tc>
                <w:tcPr>
                  <w:tcW w:w="788" w:type="pct"/>
                  <w:vAlign w:val="center"/>
                </w:tcPr>
                <w:p w14:paraId="4CF3F1D3">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NH</w:t>
                  </w:r>
                  <w:r>
                    <w:rPr>
                      <w:color w:val="000000" w:themeColor="text1"/>
                      <w:kern w:val="0"/>
                      <w:sz w:val="21"/>
                      <w:szCs w:val="21"/>
                      <w:vertAlign w:val="subscript"/>
                      <w14:textFill>
                        <w14:solidFill>
                          <w14:schemeClr w14:val="tx1"/>
                        </w14:solidFill>
                      </w14:textFill>
                    </w:rPr>
                    <w:t>3</w:t>
                  </w:r>
                  <w:r>
                    <w:rPr>
                      <w:color w:val="000000" w:themeColor="text1"/>
                      <w:kern w:val="0"/>
                      <w:sz w:val="21"/>
                      <w:szCs w:val="21"/>
                      <w14:textFill>
                        <w14:solidFill>
                          <w14:schemeClr w14:val="tx1"/>
                        </w14:solidFill>
                      </w14:textFill>
                    </w:rPr>
                    <w:t>-N</w:t>
                  </w:r>
                </w:p>
              </w:tc>
              <w:tc>
                <w:tcPr>
                  <w:tcW w:w="1053" w:type="pct"/>
                  <w:vAlign w:val="center"/>
                </w:tcPr>
                <w:p w14:paraId="050D5D63">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0.003</w:t>
                  </w:r>
                </w:p>
              </w:tc>
              <w:tc>
                <w:tcPr>
                  <w:tcW w:w="1184" w:type="pct"/>
                  <w:vAlign w:val="center"/>
                </w:tcPr>
                <w:p w14:paraId="26AEFA3F">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0.003</w:t>
                  </w:r>
                </w:p>
              </w:tc>
              <w:tc>
                <w:tcPr>
                  <w:tcW w:w="659" w:type="pct"/>
                  <w:vAlign w:val="center"/>
                </w:tcPr>
                <w:p w14:paraId="154D380E">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5F7F92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14" w:type="pct"/>
                  <w:gridSpan w:val="2"/>
                  <w:vMerge w:val="continue"/>
                  <w:vAlign w:val="center"/>
                </w:tcPr>
                <w:p w14:paraId="06DDC21B">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p>
              </w:tc>
              <w:tc>
                <w:tcPr>
                  <w:tcW w:w="788" w:type="pct"/>
                  <w:vAlign w:val="center"/>
                </w:tcPr>
                <w:p w14:paraId="4D2372B0">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TP</w:t>
                  </w:r>
                </w:p>
              </w:tc>
              <w:tc>
                <w:tcPr>
                  <w:tcW w:w="1053" w:type="pct"/>
                  <w:vAlign w:val="center"/>
                </w:tcPr>
                <w:p w14:paraId="70B821F6">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0.00036</w:t>
                  </w:r>
                </w:p>
              </w:tc>
              <w:tc>
                <w:tcPr>
                  <w:tcW w:w="1184" w:type="pct"/>
                  <w:vAlign w:val="center"/>
                </w:tcPr>
                <w:p w14:paraId="67D471F5">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0.00036</w:t>
                  </w:r>
                </w:p>
              </w:tc>
              <w:tc>
                <w:tcPr>
                  <w:tcW w:w="659" w:type="pct"/>
                  <w:vAlign w:val="center"/>
                </w:tcPr>
                <w:p w14:paraId="028241C0">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7D3C22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14" w:type="pct"/>
                  <w:gridSpan w:val="2"/>
                  <w:vMerge w:val="continue"/>
                  <w:vAlign w:val="center"/>
                </w:tcPr>
                <w:p w14:paraId="3BF611B4">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p>
              </w:tc>
              <w:tc>
                <w:tcPr>
                  <w:tcW w:w="788" w:type="pct"/>
                  <w:vAlign w:val="center"/>
                </w:tcPr>
                <w:p w14:paraId="0A48DFE5">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TN</w:t>
                  </w:r>
                </w:p>
              </w:tc>
              <w:tc>
                <w:tcPr>
                  <w:tcW w:w="1053" w:type="pct"/>
                  <w:vAlign w:val="center"/>
                </w:tcPr>
                <w:p w14:paraId="169C465E">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0.0048</w:t>
                  </w:r>
                </w:p>
              </w:tc>
              <w:tc>
                <w:tcPr>
                  <w:tcW w:w="1184" w:type="pct"/>
                  <w:vAlign w:val="center"/>
                </w:tcPr>
                <w:p w14:paraId="5DB48F88">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0.0048</w:t>
                  </w:r>
                </w:p>
              </w:tc>
              <w:tc>
                <w:tcPr>
                  <w:tcW w:w="659" w:type="pct"/>
                  <w:vAlign w:val="center"/>
                </w:tcPr>
                <w:p w14:paraId="6F5D4D3C">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29C034A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87" w:type="pct"/>
                  <w:vAlign w:val="center"/>
                </w:tcPr>
                <w:p w14:paraId="1032B793">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大气污染物</w:t>
                  </w:r>
                </w:p>
              </w:tc>
              <w:tc>
                <w:tcPr>
                  <w:tcW w:w="527" w:type="pct"/>
                  <w:vAlign w:val="center"/>
                </w:tcPr>
                <w:p w14:paraId="57EA2109">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无</w:t>
                  </w:r>
                  <w:r>
                    <w:rPr>
                      <w:color w:val="000000" w:themeColor="text1"/>
                      <w:kern w:val="0"/>
                      <w:sz w:val="21"/>
                      <w:szCs w:val="21"/>
                      <w14:textFill>
                        <w14:solidFill>
                          <w14:schemeClr w14:val="tx1"/>
                        </w14:solidFill>
                      </w14:textFill>
                    </w:rPr>
                    <w:t>组织</w:t>
                  </w:r>
                </w:p>
              </w:tc>
              <w:tc>
                <w:tcPr>
                  <w:tcW w:w="788" w:type="pct"/>
                  <w:vAlign w:val="center"/>
                </w:tcPr>
                <w:p w14:paraId="0169A469">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非甲烷总烃</w:t>
                  </w:r>
                </w:p>
              </w:tc>
              <w:tc>
                <w:tcPr>
                  <w:tcW w:w="1053" w:type="pct"/>
                  <w:vAlign w:val="center"/>
                </w:tcPr>
                <w:p w14:paraId="1088C5A9">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000000" w:themeColor="text1"/>
                      <w:kern w:val="0"/>
                      <w:sz w:val="21"/>
                      <w:szCs w:val="21"/>
                      <w:lang w:bidi="ar"/>
                      <w14:textFill>
                        <w14:solidFill>
                          <w14:schemeClr w14:val="tx1"/>
                        </w14:solidFill>
                      </w14:textFill>
                    </w:rPr>
                  </w:pP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052</w:t>
                  </w:r>
                </w:p>
              </w:tc>
              <w:tc>
                <w:tcPr>
                  <w:tcW w:w="1184" w:type="pct"/>
                  <w:vAlign w:val="center"/>
                </w:tcPr>
                <w:p w14:paraId="6785F5F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eastAsia="宋体"/>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0.008</w:t>
                  </w:r>
                </w:p>
              </w:tc>
              <w:tc>
                <w:tcPr>
                  <w:tcW w:w="659" w:type="pct"/>
                  <w:vAlign w:val="center"/>
                </w:tcPr>
                <w:p w14:paraId="7BBB3A7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eastAsia="宋体"/>
                      <w:color w:val="000000" w:themeColor="text1"/>
                      <w:kern w:val="0"/>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-0.0028</w:t>
                  </w:r>
                </w:p>
              </w:tc>
            </w:tr>
            <w:tr w14:paraId="371551F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14" w:type="pct"/>
                  <w:gridSpan w:val="2"/>
                  <w:vMerge w:val="restart"/>
                  <w:vAlign w:val="center"/>
                </w:tcPr>
                <w:p w14:paraId="0123BCA9">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固废</w:t>
                  </w:r>
                </w:p>
              </w:tc>
              <w:tc>
                <w:tcPr>
                  <w:tcW w:w="788" w:type="pct"/>
                  <w:vAlign w:val="center"/>
                </w:tcPr>
                <w:p w14:paraId="43D823E1">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生活垃圾</w:t>
                  </w:r>
                </w:p>
              </w:tc>
              <w:tc>
                <w:tcPr>
                  <w:tcW w:w="1053" w:type="pct"/>
                  <w:vAlign w:val="center"/>
                </w:tcPr>
                <w:p w14:paraId="10904490">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000000" w:themeColor="text1"/>
                      <w:spacing w:val="-11"/>
                      <w:sz w:val="21"/>
                      <w:szCs w:val="21"/>
                      <w:lang w:eastAsia="zh-CN"/>
                      <w14:textFill>
                        <w14:solidFill>
                          <w14:schemeClr w14:val="tx1"/>
                        </w14:solidFill>
                      </w14:textFill>
                    </w:rPr>
                  </w:pPr>
                  <w:r>
                    <w:rPr>
                      <w:rFonts w:hint="eastAsia"/>
                      <w:color w:val="000000" w:themeColor="text1"/>
                      <w:spacing w:val="-11"/>
                      <w:sz w:val="21"/>
                      <w:szCs w:val="21"/>
                      <w:lang w:val="en-US" w:eastAsia="zh-CN"/>
                      <w14:textFill>
                        <w14:solidFill>
                          <w14:schemeClr w14:val="tx1"/>
                        </w14:solidFill>
                      </w14:textFill>
                    </w:rPr>
                    <w:t>0</w:t>
                  </w:r>
                </w:p>
              </w:tc>
              <w:tc>
                <w:tcPr>
                  <w:tcW w:w="1184" w:type="pct"/>
                  <w:vAlign w:val="center"/>
                </w:tcPr>
                <w:p w14:paraId="11B339EA">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000000" w:themeColor="text1"/>
                      <w:kern w:val="0"/>
                      <w:sz w:val="21"/>
                      <w:szCs w:val="21"/>
                      <w:lang w:bidi="ar"/>
                      <w14:textFill>
                        <w14:solidFill>
                          <w14:schemeClr w14:val="tx1"/>
                        </w14:solidFill>
                      </w14:textFill>
                    </w:rPr>
                  </w:pPr>
                  <w:r>
                    <w:rPr>
                      <w:color w:val="000000" w:themeColor="text1"/>
                      <w:kern w:val="0"/>
                      <w:sz w:val="21"/>
                      <w:szCs w:val="21"/>
                      <w14:textFill>
                        <w14:solidFill>
                          <w14:schemeClr w14:val="tx1"/>
                        </w14:solidFill>
                      </w14:textFill>
                    </w:rPr>
                    <w:t>0</w:t>
                  </w:r>
                </w:p>
              </w:tc>
              <w:tc>
                <w:tcPr>
                  <w:tcW w:w="659" w:type="pct"/>
                  <w:vAlign w:val="center"/>
                </w:tcPr>
                <w:p w14:paraId="6E3A6357">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w:t>
                  </w:r>
                </w:p>
              </w:tc>
            </w:tr>
            <w:tr w14:paraId="5F4881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14" w:type="pct"/>
                  <w:gridSpan w:val="2"/>
                  <w:vMerge w:val="continue"/>
                  <w:vAlign w:val="center"/>
                </w:tcPr>
                <w:p w14:paraId="6A703BEF">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p>
              </w:tc>
              <w:tc>
                <w:tcPr>
                  <w:tcW w:w="788" w:type="pct"/>
                  <w:vAlign w:val="center"/>
                </w:tcPr>
                <w:p w14:paraId="0905F891">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一般固废</w:t>
                  </w:r>
                </w:p>
              </w:tc>
              <w:tc>
                <w:tcPr>
                  <w:tcW w:w="1053" w:type="pct"/>
                  <w:vAlign w:val="center"/>
                </w:tcPr>
                <w:p w14:paraId="2DDBB938">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000000" w:themeColor="text1"/>
                      <w:spacing w:val="-11"/>
                      <w:sz w:val="21"/>
                      <w:szCs w:val="21"/>
                      <w:lang w:eastAsia="zh-CN"/>
                      <w14:textFill>
                        <w14:solidFill>
                          <w14:schemeClr w14:val="tx1"/>
                        </w14:solidFill>
                      </w14:textFill>
                    </w:rPr>
                  </w:pPr>
                  <w:r>
                    <w:rPr>
                      <w:rFonts w:hint="eastAsia"/>
                      <w:color w:val="000000" w:themeColor="text1"/>
                      <w:spacing w:val="-11"/>
                      <w:sz w:val="21"/>
                      <w:szCs w:val="21"/>
                      <w:lang w:val="en-US" w:eastAsia="zh-CN"/>
                      <w14:textFill>
                        <w14:solidFill>
                          <w14:schemeClr w14:val="tx1"/>
                        </w14:solidFill>
                      </w14:textFill>
                    </w:rPr>
                    <w:t>0</w:t>
                  </w:r>
                </w:p>
              </w:tc>
              <w:tc>
                <w:tcPr>
                  <w:tcW w:w="1184" w:type="pct"/>
                  <w:vAlign w:val="center"/>
                </w:tcPr>
                <w:p w14:paraId="27AB6EC4">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000000" w:themeColor="text1"/>
                      <w:kern w:val="0"/>
                      <w:sz w:val="21"/>
                      <w:szCs w:val="21"/>
                      <w:lang w:bidi="ar"/>
                      <w14:textFill>
                        <w14:solidFill>
                          <w14:schemeClr w14:val="tx1"/>
                        </w14:solidFill>
                      </w14:textFill>
                    </w:rPr>
                  </w:pPr>
                  <w:r>
                    <w:rPr>
                      <w:color w:val="000000" w:themeColor="text1"/>
                      <w:kern w:val="0"/>
                      <w:sz w:val="21"/>
                      <w:szCs w:val="21"/>
                      <w14:textFill>
                        <w14:solidFill>
                          <w14:schemeClr w14:val="tx1"/>
                        </w14:solidFill>
                      </w14:textFill>
                    </w:rPr>
                    <w:t>0</w:t>
                  </w:r>
                </w:p>
              </w:tc>
              <w:tc>
                <w:tcPr>
                  <w:tcW w:w="659" w:type="pct"/>
                  <w:vAlign w:val="center"/>
                </w:tcPr>
                <w:p w14:paraId="1E4C78AC">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w:t>
                  </w:r>
                </w:p>
              </w:tc>
            </w:tr>
            <w:tr w14:paraId="00CA3F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14" w:type="pct"/>
                  <w:gridSpan w:val="2"/>
                  <w:vMerge w:val="continue"/>
                  <w:vAlign w:val="center"/>
                </w:tcPr>
                <w:p w14:paraId="2263C373">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p>
              </w:tc>
              <w:tc>
                <w:tcPr>
                  <w:tcW w:w="788" w:type="pct"/>
                  <w:vAlign w:val="center"/>
                </w:tcPr>
                <w:p w14:paraId="5213C024">
                  <w:pPr>
                    <w:keepNext w:val="0"/>
                    <w:keepLines w:val="0"/>
                    <w:pageBreakBefore w:val="0"/>
                    <w:kinsoku/>
                    <w:wordWrap/>
                    <w:overflowPunct/>
                    <w:topLinePunct w:val="0"/>
                    <w:autoSpaceDE/>
                    <w:autoSpaceDN/>
                    <w:bidi w:val="0"/>
                    <w:adjustRightInd/>
                    <w:snapToGrid/>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危险废物</w:t>
                  </w:r>
                </w:p>
              </w:tc>
              <w:tc>
                <w:tcPr>
                  <w:tcW w:w="1053" w:type="pct"/>
                  <w:vAlign w:val="center"/>
                </w:tcPr>
                <w:p w14:paraId="49F83F2E">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000000" w:themeColor="text1"/>
                      <w:spacing w:val="-11"/>
                      <w:sz w:val="21"/>
                      <w:szCs w:val="21"/>
                      <w:lang w:eastAsia="zh-CN"/>
                      <w14:textFill>
                        <w14:solidFill>
                          <w14:schemeClr w14:val="tx1"/>
                        </w14:solidFill>
                      </w14:textFill>
                    </w:rPr>
                  </w:pPr>
                  <w:r>
                    <w:rPr>
                      <w:rFonts w:hint="eastAsia"/>
                      <w:color w:val="000000" w:themeColor="text1"/>
                      <w:spacing w:val="-11"/>
                      <w:sz w:val="21"/>
                      <w:szCs w:val="21"/>
                      <w:lang w:val="en-US" w:eastAsia="zh-CN"/>
                      <w14:textFill>
                        <w14:solidFill>
                          <w14:schemeClr w14:val="tx1"/>
                        </w14:solidFill>
                      </w14:textFill>
                    </w:rPr>
                    <w:t>0</w:t>
                  </w:r>
                </w:p>
              </w:tc>
              <w:tc>
                <w:tcPr>
                  <w:tcW w:w="1184" w:type="pct"/>
                  <w:vAlign w:val="center"/>
                </w:tcPr>
                <w:p w14:paraId="220A0595">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000000" w:themeColor="text1"/>
                      <w:kern w:val="0"/>
                      <w:sz w:val="21"/>
                      <w:szCs w:val="21"/>
                      <w:lang w:bidi="ar"/>
                      <w14:textFill>
                        <w14:solidFill>
                          <w14:schemeClr w14:val="tx1"/>
                        </w14:solidFill>
                      </w14:textFill>
                    </w:rPr>
                  </w:pPr>
                  <w:r>
                    <w:rPr>
                      <w:color w:val="000000" w:themeColor="text1"/>
                      <w:kern w:val="0"/>
                      <w:sz w:val="21"/>
                      <w:szCs w:val="21"/>
                      <w14:textFill>
                        <w14:solidFill>
                          <w14:schemeClr w14:val="tx1"/>
                        </w14:solidFill>
                      </w14:textFill>
                    </w:rPr>
                    <w:t>0</w:t>
                  </w:r>
                </w:p>
              </w:tc>
              <w:tc>
                <w:tcPr>
                  <w:tcW w:w="659" w:type="pct"/>
                  <w:vAlign w:val="center"/>
                </w:tcPr>
                <w:p w14:paraId="01585C0D">
                  <w:pPr>
                    <w:keepNext w:val="0"/>
                    <w:keepLines w:val="0"/>
                    <w:pageBreakBefore w:val="0"/>
                    <w:kinsoku/>
                    <w:wordWrap/>
                    <w:overflowPunct/>
                    <w:topLinePunct w:val="0"/>
                    <w:autoSpaceDE/>
                    <w:autoSpaceDN/>
                    <w:bidi w:val="0"/>
                    <w:adjustRightInd/>
                    <w:snapToGrid/>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w:t>
                  </w:r>
                </w:p>
              </w:tc>
            </w:tr>
          </w:tbl>
          <w:p w14:paraId="09D67107">
            <w:pPr>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、总量平衡方案</w:t>
            </w:r>
          </w:p>
          <w:p w14:paraId="02BABFE9">
            <w:pPr>
              <w:adjustRightInd w:val="0"/>
              <w:snapToGrid w:val="0"/>
              <w:spacing w:line="480" w:lineRule="exac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（1）大气污染物</w:t>
            </w:r>
          </w:p>
          <w:p w14:paraId="5161011F">
            <w:pPr>
              <w:adjustRightInd w:val="0"/>
              <w:snapToGrid w:val="0"/>
              <w:spacing w:line="480" w:lineRule="exac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废气：根据《常州市建设项目主要污染物排放总量指标审核及管理实施细则》（常政办发〔2015〕104号）规定：“新、改、扩建排放烟粉尘、挥发性有机物的项目，实行现役源2倍削减量替代或关闭类项目1.5倍削减量替代”。</w:t>
            </w:r>
          </w:p>
          <w:p w14:paraId="1174D3F0">
            <w:pPr>
              <w:adjustRightInd w:val="0"/>
              <w:snapToGrid w:val="0"/>
              <w:spacing w:line="480" w:lineRule="exact"/>
              <w:ind w:firstLine="42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根据《市生态环境局关于博帝生物技术（常州）有限公司实验室建设项目环境影响报告表的批复》（常金环审</w:t>
            </w:r>
            <w:r>
              <w:rPr>
                <w:color w:val="000000" w:themeColor="text1"/>
                <w:sz w:val="24"/>
                <w14:textFill>
                  <w14:solidFill>
                    <w14:schemeClr w14:val="tx1"/>
                  </w14:solidFill>
                </w14:textFill>
              </w:rPr>
              <w:t>〔20</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5〕</w:t>
            </w:r>
            <w:r>
              <w:rPr>
                <w:rFonts w:hint="eastAsia"/>
                <w:color w:val="000000" w:themeColor="text1"/>
                <w:sz w:val="24"/>
                <w:lang w:val="en-US" w:eastAsia="zh-CN"/>
                <w14:textFill>
                  <w14:solidFill>
                    <w14:schemeClr w14:val="tx1"/>
                  </w14:solidFill>
                </w14:textFill>
              </w:rPr>
              <w:t>85）号）可知，项目报批前非甲烷总烃许可排放量为0.008</w:t>
            </w:r>
            <w:r>
              <w:rPr>
                <w:color w:val="000000" w:themeColor="text1"/>
                <w:sz w:val="24"/>
                <w14:textFill>
                  <w14:solidFill>
                    <w14:schemeClr w14:val="tx1"/>
                  </w14:solidFill>
                </w14:textFill>
              </w:rPr>
              <w:t>t/a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项目重新报批后非甲烷总烃排放量为0.0052</w:t>
            </w:r>
            <w:r>
              <w:rPr>
                <w:color w:val="000000" w:themeColor="text1"/>
                <w:sz w:val="24"/>
                <w14:textFill>
                  <w14:solidFill>
                    <w14:schemeClr w14:val="tx1"/>
                  </w14:solidFill>
                </w14:textFill>
              </w:rPr>
              <w:t>t/a</w:t>
            </w:r>
            <w:r>
              <w:rPr>
                <w:rFonts w:hint="eastAsia"/>
                <w:color w:val="000000" w:themeColor="text1"/>
                <w:sz w:val="24"/>
                <w:lang w:val="en-US" w:eastAsia="zh-CN"/>
                <w14:textFill>
                  <w14:solidFill>
                    <w14:schemeClr w14:val="tx1"/>
                  </w14:solidFill>
                </w14:textFill>
              </w:rPr>
              <w:t>，本项目无需重新申请总量。</w:t>
            </w:r>
          </w:p>
          <w:p w14:paraId="49F36837">
            <w:pPr>
              <w:adjustRightInd w:val="0"/>
              <w:snapToGrid w:val="0"/>
              <w:spacing w:line="480" w:lineRule="exac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（2）水污染物</w:t>
            </w:r>
          </w:p>
          <w:p w14:paraId="19F1F181">
            <w:pPr>
              <w:adjustRightInd w:val="0"/>
              <w:snapToGrid w:val="0"/>
              <w:spacing w:line="480" w:lineRule="exac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本项目生活污水经市政污水管网接至常州市金坛区第二污水厂集中处理，水污染物排放总量在常州市金坛区第二污水厂内平衡</w:t>
            </w:r>
            <w:r>
              <w:rPr>
                <w:rFonts w:hint="eastAsia"/>
                <w:color w:val="000000" w:themeColor="text1"/>
                <w:sz w:val="24"/>
                <w:lang w:eastAsia="zh-CN"/>
                <w14:textFill>
                  <w14:solidFill>
                    <w14:schemeClr w14:val="tx1"/>
                  </w14:solidFill>
                </w14:textFill>
              </w:rPr>
              <w:t>，不再另行增加批准建设项目主要水污染物的总量指标。</w:t>
            </w:r>
          </w:p>
          <w:p w14:paraId="71CAAE70">
            <w:pPr>
              <w:adjustRightInd w:val="0"/>
              <w:snapToGrid w:val="0"/>
              <w:spacing w:line="480" w:lineRule="exac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（3）固体废弃物</w:t>
            </w:r>
          </w:p>
          <w:p w14:paraId="0792F0F5">
            <w:pPr>
              <w:spacing w:line="480" w:lineRule="exact"/>
              <w:ind w:firstLine="480" w:firstLineChars="200"/>
              <w:rPr>
                <w:snapToGrid w:val="0"/>
                <w:color w:val="000000" w:themeColor="text1"/>
                <w:sz w:val="24"/>
                <w14:textFill>
                  <w14:solidFill>
                    <w14:schemeClr w14:val="tx1"/>
                  </w14:solidFill>
                </w14:textFill>
              </w:rPr>
            </w:pPr>
            <w:r>
              <w:rPr>
                <w:color w:val="000000" w:themeColor="text1"/>
                <w:sz w:val="24"/>
                <w14:textFill>
                  <w14:solidFill>
                    <w14:schemeClr w14:val="tx1"/>
                  </w14:solidFill>
                </w14:textFill>
              </w:rPr>
              <w:t>本项目固体废弃物全部“零”排放，不会产生二次污染，故不申请总量。</w:t>
            </w:r>
          </w:p>
        </w:tc>
      </w:tr>
    </w:tbl>
    <w:p w14:paraId="4F62F219">
      <w:pPr>
        <w:pStyle w:val="21"/>
        <w:spacing w:before="0" w:beforeAutospacing="0" w:after="0" w:afterAutospacing="0"/>
        <w:jc w:val="both"/>
        <w:outlineLvl w:val="0"/>
        <w:rPr>
          <w:rFonts w:ascii="Times New Roman" w:hAnsi="Times New Roman"/>
          <w:snapToGrid w:val="0"/>
          <w:color w:val="000000" w:themeColor="text1"/>
          <w:sz w:val="36"/>
          <w:szCs w:val="36"/>
          <w14:textFill>
            <w14:solidFill>
              <w14:schemeClr w14:val="tx1"/>
            </w14:solidFill>
          </w14:textFill>
        </w:rPr>
        <w:sectPr>
          <w:pgSz w:w="11907" w:h="16840"/>
          <w:pgMar w:top="1440" w:right="1080" w:bottom="1440" w:left="1080" w:header="851" w:footer="851" w:gutter="0"/>
          <w:cols w:space="720" w:num="1"/>
          <w:docGrid w:linePitch="312" w:charSpace="0"/>
        </w:sectPr>
      </w:pPr>
    </w:p>
    <w:p w14:paraId="21EE7A3B">
      <w:pPr>
        <w:pStyle w:val="21"/>
        <w:spacing w:before="0" w:beforeAutospacing="0" w:after="0" w:afterAutospacing="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t>四、主要环境影响和保护措施</w:t>
      </w:r>
    </w:p>
    <w:tbl>
      <w:tblPr>
        <w:tblStyle w:val="25"/>
        <w:tblW w:w="504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2"/>
        <w:gridCol w:w="9600"/>
      </w:tblGrid>
      <w:tr w14:paraId="5A9B8C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359" w:type="dxa"/>
            <w:tcMar>
              <w:left w:w="28" w:type="dxa"/>
              <w:right w:w="28" w:type="dxa"/>
            </w:tcMar>
            <w:vAlign w:val="center"/>
          </w:tcPr>
          <w:p w14:paraId="54D3F868">
            <w:pPr>
              <w:pStyle w:val="21"/>
              <w:adjustRightInd w:val="0"/>
              <w:snapToGrid w:val="0"/>
              <w:spacing w:before="0" w:beforeAutospacing="0" w:after="0" w:afterAutospacing="0"/>
              <w:jc w:val="center"/>
              <w:rPr>
                <w:rFonts w:ascii="Times New Roman" w:hAnsi="Times New Roman"/>
                <w:bCs/>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施工期环境保护措施</w:t>
            </w:r>
          </w:p>
        </w:tc>
        <w:tc>
          <w:tcPr>
            <w:tcW w:w="9524" w:type="dxa"/>
            <w:vAlign w:val="center"/>
          </w:tcPr>
          <w:p w14:paraId="62ED98DA">
            <w:pPr>
              <w:tabs>
                <w:tab w:val="left" w:pos="2160"/>
              </w:tabs>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博帝生物技术（常州）有限公司使用现有标准厂房，本项目在该车间内进行生产，施工期主要是在现有的生产车间内进行设备的安装和调试，不涉及厂房施工建设，基本无施工粉尘、噪声以及建筑垃圾产生。</w:t>
            </w:r>
          </w:p>
          <w:p w14:paraId="500DD2B0">
            <w:pPr>
              <w:tabs>
                <w:tab w:val="left" w:pos="2160"/>
              </w:tabs>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本项目施工期主要是运输设备的汽车进出产生少量的汽车尾气，不予考虑；管道敷设和设备安装产生的噪声，由于这些施工是在现有的生产车间内进行的，经过厂房的隔声后不会对附近产生噪声影响。</w:t>
            </w:r>
          </w:p>
          <w:p w14:paraId="3D588E91">
            <w:pPr>
              <w:tabs>
                <w:tab w:val="left" w:pos="2160"/>
              </w:tabs>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所以本项目的施工期过程简单，对周边环境影响较小。</w:t>
            </w:r>
          </w:p>
          <w:p w14:paraId="09622858">
            <w:pPr>
              <w:tabs>
                <w:tab w:val="left" w:pos="2160"/>
              </w:tabs>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以下就噪声及固废对环境的影响加以分析，并提出相应的防治措施。</w:t>
            </w:r>
          </w:p>
          <w:p w14:paraId="15B27F61">
            <w:pPr>
              <w:tabs>
                <w:tab w:val="left" w:pos="2160"/>
              </w:tabs>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（1）施工期噪声影响分析及防治</w:t>
            </w:r>
          </w:p>
          <w:p w14:paraId="7BCD63AF">
            <w:pPr>
              <w:tabs>
                <w:tab w:val="left" w:pos="2160"/>
              </w:tabs>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由于安装设备一般于白天作业，应加强对设备安装的管理和操作人员的环境意识教育，严格控制设备运输及安装过程中噪声，降低对周围环境的噪声影响。</w:t>
            </w:r>
          </w:p>
          <w:p w14:paraId="11761A4D">
            <w:pPr>
              <w:tabs>
                <w:tab w:val="left" w:pos="2160"/>
              </w:tabs>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（2）施工期固废影响分析及防治对策</w:t>
            </w:r>
          </w:p>
          <w:p w14:paraId="7ADBBAD6">
            <w:pPr>
              <w:tabs>
                <w:tab w:val="left" w:pos="2160"/>
              </w:tabs>
              <w:spacing w:line="480" w:lineRule="exact"/>
              <w:ind w:firstLine="480" w:firstLineChars="200"/>
              <w:rPr>
                <w:bCs/>
                <w:color w:val="000000" w:themeColor="text1"/>
                <w:spacing w:val="-10"/>
                <w:sz w:val="24"/>
                <w14:textFill>
                  <w14:solidFill>
                    <w14:schemeClr w14:val="tx1"/>
                  </w14:solidFill>
                </w14:textFill>
              </w:rPr>
            </w:pPr>
            <w:r>
              <w:rPr>
                <w:bCs/>
                <w:color w:val="000000" w:themeColor="text1"/>
                <w:sz w:val="24"/>
                <w14:textFill>
                  <w14:solidFill>
                    <w14:schemeClr w14:val="tx1"/>
                  </w14:solidFill>
                </w14:textFill>
              </w:rPr>
              <w:t>设备安装期间产生的固废主要是设备包装材料以及废安装材料。安装设备过程中产生的废包装及废材料应及时集中收集处理，并及时清运，一般外卖至固废回收站，从而维护厂区的环境卫生，保证产品质量。装修期间及时清理现场的废弃物；同时加强对装修人员的教育，不随意乱丢废弃物，倡导文明和绿色施工。</w:t>
            </w:r>
          </w:p>
        </w:tc>
      </w:tr>
      <w:tr w14:paraId="5017E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359" w:type="dxa"/>
            <w:tcMar>
              <w:left w:w="28" w:type="dxa"/>
              <w:right w:w="28" w:type="dxa"/>
            </w:tcMar>
            <w:vAlign w:val="center"/>
          </w:tcPr>
          <w:p w14:paraId="1C7514B3">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52A7DF68">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0D328475">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661030A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162760B2">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7FB540F6">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tc>
        <w:tc>
          <w:tcPr>
            <w:tcW w:w="9524" w:type="dxa"/>
            <w:vAlign w:val="center"/>
          </w:tcPr>
          <w:p w14:paraId="678A1553">
            <w:pPr>
              <w:spacing w:line="480" w:lineRule="exact"/>
              <w:rPr>
                <w:color w:val="000000" w:themeColor="text1"/>
                <w:spacing w:val="-2"/>
                <w:sz w:val="24"/>
                <w14:textFill>
                  <w14:solidFill>
                    <w14:schemeClr w14:val="tx1"/>
                  </w14:solidFill>
                </w14:textFill>
              </w:rPr>
            </w:pPr>
            <w:r>
              <w:rPr>
                <w:b/>
                <w:bCs/>
                <w:color w:val="000000" w:themeColor="text1"/>
                <w:spacing w:val="-4"/>
                <w:sz w:val="24"/>
                <w14:textFill>
                  <w14:solidFill>
                    <w14:schemeClr w14:val="tx1"/>
                  </w14:solidFill>
                </w14:textFill>
              </w:rPr>
              <w:t>1、废气</w:t>
            </w:r>
          </w:p>
          <w:p w14:paraId="37610A03">
            <w:pPr>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1.1污染物产生情况</w:t>
            </w:r>
          </w:p>
          <w:p w14:paraId="20C9EE68">
            <w:pPr>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本项目物料配置、称量均在通风橱内进行，配置过程产生少量废气，由于相关物料使用量极少，本次评价不做定量分析。</w:t>
            </w:r>
          </w:p>
          <w:p w14:paraId="7DCBD309">
            <w:pPr>
              <w:spacing w:line="480" w:lineRule="exact"/>
              <w:ind w:left="420" w:left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（1）检验废气G1-1</w:t>
            </w:r>
          </w:p>
          <w:p w14:paraId="0F6BF682">
            <w:pPr>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实验室检验使用的有机溶剂主要为乙腈、甲醇，在密闭的高效液相色谱仪中使用。参考《江苏百英生物科技有限公司抗体、蛋白药物及诊断试剂原料研发与生产综合服务基地项目环境影响报告书》，检验废气产生量以有机溶剂用量的20%计。本项目实验室实验甲醇5L（密度为0.7918</w:t>
            </w:r>
            <w:r>
              <w:rPr>
                <w:color w:val="000000" w:themeColor="text1"/>
                <w:spacing w:val="-2"/>
                <w:sz w:val="24"/>
                <w14:textFill>
                  <w14:solidFill>
                    <w14:schemeClr w14:val="tx1"/>
                  </w14:solidFill>
                </w14:textFill>
              </w:rPr>
              <w:t>g/cm</w:t>
            </w:r>
            <w:r>
              <w:rPr>
                <w:color w:val="000000" w:themeColor="text1"/>
                <w:spacing w:val="-2"/>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）、乙腈5L（密度为0.786</w:t>
            </w:r>
            <w:r>
              <w:rPr>
                <w:color w:val="000000" w:themeColor="text1"/>
                <w:spacing w:val="-2"/>
                <w:sz w:val="24"/>
                <w14:textFill>
                  <w14:solidFill>
                    <w14:schemeClr w14:val="tx1"/>
                  </w14:solidFill>
                </w14:textFill>
              </w:rPr>
              <w:t>g/cm</w:t>
            </w:r>
            <w:r>
              <w:rPr>
                <w:color w:val="000000" w:themeColor="text1"/>
                <w:spacing w:val="-2"/>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），则非甲烷总烃产生量为0.0016t/a、甲醇产生量为0.0008t/a。</w:t>
            </w:r>
          </w:p>
          <w:p w14:paraId="3BDCA4FB">
            <w:pPr>
              <w:spacing w:line="480" w:lineRule="exact"/>
              <w:ind w:left="420" w:left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（2）发酵废气G2-1</w:t>
            </w:r>
          </w:p>
          <w:p w14:paraId="1AB1FD2A">
            <w:pPr>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本项目发酵过程的以甘油、葡萄糖为主，含氮以及含硫物料使用量较少，且不属于腐败发酵或者厌氧发酵，基本不会产生氨气及硫化氢，本项目不进一步分析。发酵过程主要产生二氧化碳和水汽。</w:t>
            </w:r>
          </w:p>
          <w:p w14:paraId="3949EEC7">
            <w:pPr>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（3）固液分离废气G3-1、析晶过滤废气G3-2、乙醇回收废气G3-3</w:t>
            </w:r>
          </w:p>
          <w:p w14:paraId="645A1CCF">
            <w:pPr>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根据本项目溶剂回收乙醇物料平衡，非甲烷总烃产生量为0.018t/a</w:t>
            </w:r>
          </w:p>
          <w:p w14:paraId="70102D34">
            <w:pPr>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（4）消毒废气G5-1</w:t>
            </w:r>
          </w:p>
          <w:p w14:paraId="37A31555">
            <w:pPr>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本项目使用75%乙醇用于实验设备表面</w:t>
            </w:r>
            <w:r>
              <w:rPr>
                <w:rFonts w:hint="eastAsia"/>
                <w:color w:val="000000" w:themeColor="text1"/>
                <w:spacing w:val="-2"/>
                <w:sz w:val="24"/>
                <w14:textFill>
                  <w14:solidFill>
                    <w14:schemeClr w14:val="tx1"/>
                  </w14:solidFill>
                </w14:textFill>
              </w:rPr>
              <w:t>以及</w:t>
            </w:r>
            <w:r>
              <w:rPr>
                <w:color w:val="000000" w:themeColor="text1"/>
                <w:spacing w:val="-2"/>
                <w:sz w:val="24"/>
                <w14:textFill>
                  <w14:solidFill>
                    <w14:schemeClr w14:val="tx1"/>
                  </w14:solidFill>
                </w14:textFill>
              </w:rPr>
              <w:t>手部消毒</w:t>
            </w:r>
            <w:r>
              <w:rPr>
                <w:rFonts w:hint="eastAsia"/>
                <w:color w:val="000000" w:themeColor="text1"/>
                <w:spacing w:val="-2"/>
                <w:sz w:val="24"/>
                <w14:textFill>
                  <w14:solidFill>
                    <w14:schemeClr w14:val="tx1"/>
                  </w14:solidFill>
                </w14:textFill>
              </w:rPr>
              <w:t>，乙醇使用量为2L，其密度为0.86</w:t>
            </w:r>
            <w:r>
              <w:rPr>
                <w:color w:val="000000" w:themeColor="text1"/>
                <w:spacing w:val="-2"/>
                <w:sz w:val="24"/>
                <w14:textFill>
                  <w14:solidFill>
                    <w14:schemeClr w14:val="tx1"/>
                  </w14:solidFill>
                </w14:textFill>
              </w:rPr>
              <w:t>g/cm</w:t>
            </w:r>
            <w:r>
              <w:rPr>
                <w:color w:val="000000" w:themeColor="text1"/>
                <w:spacing w:val="-2"/>
                <w:sz w:val="24"/>
                <w:vertAlign w:val="superscript"/>
                <w14:textFill>
                  <w14:solidFill>
                    <w14:schemeClr w14:val="tx1"/>
                  </w14:solidFill>
                </w14:textFill>
              </w:rPr>
              <w:t>3</w:t>
            </w:r>
            <w:r>
              <w:rPr>
                <w:rFonts w:hint="eastAsia"/>
                <w:color w:val="000000" w:themeColor="text1"/>
                <w:spacing w:val="-2"/>
                <w:sz w:val="24"/>
                <w14:textFill>
                  <w14:solidFill>
                    <w14:schemeClr w14:val="tx1"/>
                  </w14:solidFill>
                </w14:textFill>
              </w:rPr>
              <w:t>，以全部挥发考虑，非甲烷总烃产生量为0.0013t/a。</w:t>
            </w:r>
          </w:p>
          <w:p w14:paraId="06763805">
            <w:pPr>
              <w:tabs>
                <w:tab w:val="left" w:pos="1684"/>
              </w:tabs>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（5）危废仓库废气</w:t>
            </w:r>
          </w:p>
          <w:p w14:paraId="004FDF01">
            <w:pPr>
              <w:tabs>
                <w:tab w:val="left" w:pos="1684"/>
              </w:tabs>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根据《危险废物贮存污染控制标准》（GB 18597-2023）中6.2.3要求： 贮存易产生粉尘、VOCs、酸雾、有毒有害大气污染物和刺激性气味气体的危险废物贮存库，应设置气体收集装置和气体净化设施；气体净化设施的排气筒高度应符合GB 16297要求。本项目危废暂存间主要废活性炭、废试剂瓶、废液等，固态危险废物产生后由现场立即用塑料缠绕膜进行缠绕打包称量后贮存至危废仓库内，液态危废暂存于密闭的废液储罐，因此不易产生有机废气，本次不定量分析。</w:t>
            </w:r>
          </w:p>
          <w:p w14:paraId="132ACBE9">
            <w:pPr>
              <w:tabs>
                <w:tab w:val="left" w:pos="1684"/>
              </w:tabs>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1.2</w:t>
            </w:r>
            <w:r>
              <w:rPr>
                <w:b/>
                <w:bCs/>
                <w:color w:val="000000" w:themeColor="text1"/>
                <w:sz w:val="24"/>
                <w14:textFill>
                  <w14:solidFill>
                    <w14:schemeClr w14:val="tx1"/>
                  </w14:solidFill>
                </w14:textFill>
              </w:rPr>
              <w:t>废气治理措施</w:t>
            </w:r>
          </w:p>
          <w:p w14:paraId="6BDD5301">
            <w:pPr>
              <w:tabs>
                <w:tab w:val="left" w:pos="1684"/>
              </w:tabs>
              <w:spacing w:line="480" w:lineRule="exact"/>
              <w:ind w:left="4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废气收集治理</w:t>
            </w:r>
            <w:r>
              <w:rPr>
                <w:rFonts w:hint="eastAsia"/>
                <w:b/>
                <w:bCs/>
                <w:color w:val="000000" w:themeColor="text1"/>
                <w:sz w:val="24"/>
                <w14:textFill>
                  <w14:solidFill>
                    <w14:schemeClr w14:val="tx1"/>
                  </w14:solidFill>
                </w14:textFill>
              </w:rPr>
              <w:t>措施</w:t>
            </w:r>
          </w:p>
          <w:p w14:paraId="24C63FC3">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使用挥发性化学试剂的实验操作过程在通风橱和万向罩内进行。在实验台上设置万向罩，检验废气G1-1、发酵废气G2-1通过万向罩收集；在实验室设置通风橱，固液分离废气G3-1、析晶过滤废气G3-2、乙醇回收废气G3-3以及物料配制称量废气通过通风橱收集，收集后均通过活性炭吸附装置处理后无组织排放。废气收集效率为90%，有机废气去除效率为80%。</w:t>
            </w:r>
          </w:p>
          <w:p w14:paraId="6488E531">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消毒废气G5-1在车间无组织排放。实验设备与器具分布在实验室中，擦拭为手工操作，擦拭的位置分散无法集中和固定，因此擦拭过</w:t>
            </w:r>
            <w:r>
              <w:rPr>
                <w:rFonts w:hint="eastAsia"/>
                <w:color w:val="000000" w:themeColor="text1"/>
                <w:kern w:val="0"/>
                <w:sz w:val="24"/>
                <w:lang w:eastAsia="zh-CN"/>
                <w14:textFill>
                  <w14:solidFill>
                    <w14:schemeClr w14:val="tx1"/>
                  </w14:solidFill>
                </w14:textFill>
              </w:rPr>
              <w:t>程中</w:t>
            </w:r>
            <w:r>
              <w:rPr>
                <w:rFonts w:hint="eastAsia"/>
                <w:color w:val="000000" w:themeColor="text1"/>
                <w:kern w:val="0"/>
                <w:sz w:val="24"/>
                <w14:textFill>
                  <w14:solidFill>
                    <w14:schemeClr w14:val="tx1"/>
                  </w14:solidFill>
                </w14:textFill>
              </w:rPr>
              <w:t>产生的废气无法进行有效收集，消毒废气G5-1在车间无组织排放。此部分废气产生量极小，在车间无组织排放合理。</w:t>
            </w:r>
          </w:p>
          <w:p w14:paraId="72CD8255">
            <w:pPr>
              <w:tabs>
                <w:tab w:val="left" w:pos="1684"/>
              </w:tabs>
              <w:spacing w:line="480" w:lineRule="exact"/>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（2）废气处理措施技术可行性分析</w:t>
            </w:r>
          </w:p>
          <w:p w14:paraId="510DE88B">
            <w:pPr>
              <w:tabs>
                <w:tab w:val="left" w:pos="1684"/>
              </w:tabs>
              <w:spacing w:line="480" w:lineRule="exact"/>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依据《实验室挥发性有机物污染防治技术指南》（T/ACEF001-2020）中“有机溶剂年使用量≤0.1吨的实验室单元，可选用内置吸附装置的无管道通风柜”。</w:t>
            </w:r>
            <w:r>
              <w:rPr>
                <w:rFonts w:hint="eastAsia"/>
                <w:color w:val="000000" w:themeColor="text1"/>
                <w:kern w:val="0"/>
                <w:sz w:val="24"/>
                <w14:textFill>
                  <w14:solidFill>
                    <w14:schemeClr w14:val="tx1"/>
                  </w14:solidFill>
                </w14:textFill>
              </w:rPr>
              <w:t>且根据</w:t>
            </w:r>
            <w:r>
              <w:rPr>
                <w:color w:val="000000" w:themeColor="text1"/>
                <w:sz w:val="24"/>
                <w14:textFill>
                  <w14:solidFill>
                    <w14:schemeClr w14:val="tx1"/>
                  </w14:solidFill>
                </w14:textFill>
              </w:rPr>
              <w:t>《实验室废气污染控制技术规范》（DB32/T4455-2023）</w:t>
            </w:r>
            <w:r>
              <w:rPr>
                <w:rFonts w:hint="eastAsia"/>
                <w:color w:val="000000" w:themeColor="text1"/>
                <w:sz w:val="24"/>
                <w14:textFill>
                  <w14:solidFill>
                    <w14:schemeClr w14:val="tx1"/>
                  </w14:solidFill>
                </w14:textFill>
              </w:rPr>
              <w:t>中：有废气产生的实验设备和操作工位宜设置在排风柜中，进行实验操作时排风柜应正常开启，操作口平均面风速不宜低于0.4m/s。排风柜应符合JB/T6412的要求，变风量排风柜应符合JG/T 222的要求，可在排风柜出口选配活性炭过滤器。产生和使用易挥发物质的仪器或操作工位，以及其他产生废气的实验室设备，未在排风柜中进行的，应在其上方安装废气收集排风罩，排风罩设置应符合GB/T16758的规定。距排风罩开口面最远处废气无组织排放位置控制风速不应低于0.3m/s，控制风速的测量按照GB/T16758、WS/T757执行。</w:t>
            </w:r>
          </w:p>
          <w:p w14:paraId="1D9F0B78">
            <w:pPr>
              <w:tabs>
                <w:tab w:val="left" w:pos="1684"/>
              </w:tabs>
              <w:spacing w:line="48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本项目选用</w:t>
            </w:r>
            <w:r>
              <w:rPr>
                <w:rFonts w:hint="eastAsia"/>
                <w:color w:val="000000" w:themeColor="text1"/>
                <w:kern w:val="0"/>
                <w:sz w:val="24"/>
                <w14:textFill>
                  <w14:solidFill>
                    <w14:schemeClr w14:val="tx1"/>
                  </w14:solidFill>
                </w14:textFill>
              </w:rPr>
              <w:t>通风橱、万向罩收集废气，使用活性炭吸附装置</w:t>
            </w:r>
            <w:r>
              <w:rPr>
                <w:color w:val="000000" w:themeColor="text1"/>
                <w:kern w:val="0"/>
                <w:sz w:val="24"/>
                <w14:textFill>
                  <w14:solidFill>
                    <w14:schemeClr w14:val="tx1"/>
                  </w14:solidFill>
                </w14:textFill>
              </w:rPr>
              <w:t>对</w:t>
            </w:r>
            <w:r>
              <w:rPr>
                <w:rFonts w:hint="eastAsia"/>
                <w:color w:val="000000" w:themeColor="text1"/>
                <w:kern w:val="0"/>
                <w:sz w:val="24"/>
                <w14:textFill>
                  <w14:solidFill>
                    <w14:schemeClr w14:val="tx1"/>
                  </w14:solidFill>
                </w14:textFill>
              </w:rPr>
              <w:t>废气</w:t>
            </w:r>
            <w:r>
              <w:rPr>
                <w:color w:val="000000" w:themeColor="text1"/>
                <w:kern w:val="0"/>
                <w:sz w:val="24"/>
                <w14:textFill>
                  <w14:solidFill>
                    <w14:schemeClr w14:val="tx1"/>
                  </w14:solidFill>
                </w14:textFill>
              </w:rPr>
              <w:t>进行处理</w:t>
            </w:r>
            <w:r>
              <w:rPr>
                <w:rFonts w:hint="eastAsia"/>
                <w:color w:val="000000" w:themeColor="text1"/>
                <w:kern w:val="0"/>
                <w:sz w:val="24"/>
                <w14:textFill>
                  <w14:solidFill>
                    <w14:schemeClr w14:val="tx1"/>
                  </w14:solidFill>
                </w14:textFill>
              </w:rPr>
              <w:t>具有可行性</w:t>
            </w:r>
            <w:r>
              <w:rPr>
                <w:color w:val="000000" w:themeColor="text1"/>
                <w:kern w:val="0"/>
                <w:sz w:val="24"/>
                <w14:textFill>
                  <w14:solidFill>
                    <w14:schemeClr w14:val="tx1"/>
                  </w14:solidFill>
                </w14:textFill>
              </w:rPr>
              <w:t>。</w:t>
            </w:r>
          </w:p>
          <w:p w14:paraId="7987AE71">
            <w:pPr>
              <w:tabs>
                <w:tab w:val="left" w:pos="1684"/>
              </w:tabs>
              <w:spacing w:line="480" w:lineRule="exact"/>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本项目废气处理工艺流程图如下：</w:t>
            </w:r>
          </w:p>
          <w:p w14:paraId="653C1990">
            <w:pPr>
              <w:tabs>
                <w:tab w:val="left" w:pos="1684"/>
              </w:tabs>
              <w:jc w:val="center"/>
              <w:rPr>
                <w:b/>
                <w:bCs/>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906135" cy="1731645"/>
                  <wp:effectExtent l="0" t="0" r="18415" b="190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8"/>
                          <a:stretch>
                            <a:fillRect/>
                          </a:stretch>
                        </pic:blipFill>
                        <pic:spPr>
                          <a:xfrm>
                            <a:off x="0" y="0"/>
                            <a:ext cx="5906135" cy="1731645"/>
                          </a:xfrm>
                          <a:prstGeom prst="rect">
                            <a:avLst/>
                          </a:prstGeom>
                          <a:noFill/>
                          <a:ln>
                            <a:noFill/>
                          </a:ln>
                        </pic:spPr>
                      </pic:pic>
                    </a:graphicData>
                  </a:graphic>
                </wp:inline>
              </w:drawing>
            </w:r>
          </w:p>
          <w:p w14:paraId="4DAD9489">
            <w:pPr>
              <w:tabs>
                <w:tab w:val="left" w:pos="1684"/>
              </w:tabs>
              <w:spacing w:line="4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图4-1废气处理工艺流程图</w:t>
            </w:r>
          </w:p>
          <w:p w14:paraId="172822D7">
            <w:pPr>
              <w:tabs>
                <w:tab w:val="left" w:pos="1684"/>
              </w:tabs>
              <w:spacing w:line="480" w:lineRule="exact"/>
              <w:ind w:left="4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废气收集系统</w:t>
            </w:r>
          </w:p>
          <w:p w14:paraId="79CD4820">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本项目共设置1个通风橱、2个万向罩，</w:t>
            </w:r>
            <w:r>
              <w:rPr>
                <w:color w:val="000000" w:themeColor="text1"/>
                <w:kern w:val="0"/>
                <w:sz w:val="24"/>
                <w14:textFill>
                  <w14:solidFill>
                    <w14:schemeClr w14:val="tx1"/>
                  </w14:solidFill>
                </w14:textFill>
              </w:rPr>
              <w:t>参考</w:t>
            </w:r>
            <w:r>
              <w:rPr>
                <w:rFonts w:hint="eastAsia"/>
                <w:color w:val="000000" w:themeColor="text1"/>
                <w:kern w:val="0"/>
                <w:sz w:val="24"/>
                <w14:textFill>
                  <w14:solidFill>
                    <w14:schemeClr w14:val="tx1"/>
                  </w14:solidFill>
                </w14:textFill>
              </w:rPr>
              <w:t>《废气处理工程技术手册》（王纯张殿印主编）对该系统收集风量计算，过程如下。</w:t>
            </w:r>
          </w:p>
          <w:p w14:paraId="5354F267">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通风橱风量计算公式：</w:t>
            </w:r>
          </w:p>
          <w:p w14:paraId="7CE44024">
            <w:pPr>
              <w:tabs>
                <w:tab w:val="left" w:pos="1684"/>
              </w:tabs>
              <w:spacing w:line="480" w:lineRule="exact"/>
              <w:ind w:firstLine="480" w:firstLineChars="20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L=V×F×</w:t>
            </w:r>
            <w:r>
              <w:rPr>
                <w:color w:val="000000" w:themeColor="text1"/>
                <w:kern w:val="0"/>
                <w:sz w:val="24"/>
                <w14:textFill>
                  <w14:solidFill>
                    <w14:schemeClr w14:val="tx1"/>
                  </w14:solidFill>
                </w14:textFill>
              </w:rPr>
              <w:t>β</w:t>
            </w:r>
            <w:r>
              <w:rPr>
                <w:rFonts w:hint="eastAsia"/>
                <w:color w:val="000000" w:themeColor="text1"/>
                <w:kern w:val="0"/>
                <w:sz w:val="24"/>
                <w14:textFill>
                  <w14:solidFill>
                    <w14:schemeClr w14:val="tx1"/>
                  </w14:solidFill>
                </w14:textFill>
              </w:rPr>
              <w:t>×3600</w:t>
            </w:r>
          </w:p>
          <w:p w14:paraId="5B7DA667">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式中：</w:t>
            </w:r>
          </w:p>
          <w:p w14:paraId="7E65AB09">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L——通风橱的计算风量，m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/h。</w:t>
            </w:r>
          </w:p>
          <w:p w14:paraId="1D5F6E82">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V——操作口平均风速，m/s。可取0.3~0.5，根据内部有害物质的危险性调节；越危险风速越高；本次计算取0.4m/s。</w:t>
            </w:r>
          </w:p>
          <w:p w14:paraId="711F3CFA">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F——操作口面积，m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；长度为0.8m，</w:t>
            </w:r>
            <w:r>
              <w:rPr>
                <w:rFonts w:hint="eastAsia"/>
                <w:color w:val="000000" w:themeColor="text1"/>
                <w:kern w:val="0"/>
                <w:sz w:val="24"/>
                <w:lang w:eastAsia="zh-CN"/>
                <w14:textFill>
                  <w14:solidFill>
                    <w14:schemeClr w14:val="tx1"/>
                  </w14:solidFill>
                </w14:textFill>
              </w:rPr>
              <w:t>宽度</w:t>
            </w:r>
            <w:r>
              <w:rPr>
                <w:rFonts w:hint="eastAsia"/>
                <w:color w:val="000000" w:themeColor="text1"/>
                <w:kern w:val="0"/>
                <w:sz w:val="24"/>
                <w14:textFill>
                  <w14:solidFill>
                    <w14:schemeClr w14:val="tx1"/>
                  </w14:solidFill>
                </w14:textFill>
              </w:rPr>
              <w:t>为0.5m，故操作口面积为0.4m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w:t>
            </w:r>
          </w:p>
          <w:p w14:paraId="56733529">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β——安全系数，一般取1.05~1.1；本次计算取1.05。</w:t>
            </w:r>
          </w:p>
          <w:p w14:paraId="1CCB46EE">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经计算，本项目通风橱计算风量为605m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/h。</w:t>
            </w:r>
          </w:p>
          <w:p w14:paraId="3D6CD48E">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吸风罩风量计算公式：</w:t>
            </w:r>
          </w:p>
          <w:p w14:paraId="132318FD">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L=V×F×3600</w:t>
            </w:r>
          </w:p>
          <w:p w14:paraId="44826DBD">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式中：</w:t>
            </w:r>
          </w:p>
          <w:p w14:paraId="5AB8BE9B">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L——顶吸罩的计算风量，m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/h；</w:t>
            </w:r>
          </w:p>
          <w:p w14:paraId="7C751D11">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V——罩口平均风速，m/s。可取0.5~1.25，本次核算取0.5m/s；</w:t>
            </w:r>
          </w:p>
          <w:p w14:paraId="33E9106F">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F——罩口面积m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；集气罩半径为0.2m，故罩口面积为0.1m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w:t>
            </w:r>
          </w:p>
          <w:p w14:paraId="0F284486">
            <w:pPr>
              <w:tabs>
                <w:tab w:val="left" w:pos="1684"/>
              </w:tabs>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经计算，本项目单个吸风罩计算风量为180m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/h。</w:t>
            </w:r>
          </w:p>
          <w:p w14:paraId="16D98620">
            <w:pPr>
              <w:tabs>
                <w:tab w:val="left" w:pos="1684"/>
              </w:tabs>
              <w:spacing w:line="48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 xml:space="preserve">1 </w:t>
            </w:r>
            <w:r>
              <w:rPr>
                <w:b/>
                <w:bCs/>
                <w:color w:val="000000" w:themeColor="text1"/>
                <w:szCs w:val="21"/>
                <w14:textFill>
                  <w14:solidFill>
                    <w14:schemeClr w14:val="tx1"/>
                  </w14:solidFill>
                </w14:textFill>
              </w:rPr>
              <w:t>本项目废气收集核算表</w:t>
            </w:r>
          </w:p>
          <w:tbl>
            <w:tblPr>
              <w:tblStyle w:val="2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69"/>
              <w:gridCol w:w="2218"/>
              <w:gridCol w:w="2195"/>
              <w:gridCol w:w="2196"/>
            </w:tblGrid>
            <w:tr w14:paraId="64320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75" w:type="pct"/>
                  <w:tcBorders>
                    <w:tl2br w:val="nil"/>
                    <w:tr2bl w:val="nil"/>
                  </w:tcBorders>
                  <w:vAlign w:val="center"/>
                </w:tcPr>
                <w:p w14:paraId="31FB2B01">
                  <w:pPr>
                    <w:widowControl/>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产污节点</w:t>
                  </w:r>
                </w:p>
              </w:tc>
              <w:tc>
                <w:tcPr>
                  <w:tcW w:w="1182" w:type="pct"/>
                  <w:tcBorders>
                    <w:tl2br w:val="nil"/>
                    <w:tr2bl w:val="nil"/>
                  </w:tcBorders>
                  <w:vAlign w:val="center"/>
                </w:tcPr>
                <w:p w14:paraId="0BAD93BE">
                  <w:pPr>
                    <w:widowControl/>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收集方式</w:t>
                  </w:r>
                </w:p>
              </w:tc>
              <w:tc>
                <w:tcPr>
                  <w:tcW w:w="1170" w:type="pct"/>
                  <w:tcBorders>
                    <w:tl2br w:val="nil"/>
                    <w:tr2bl w:val="nil"/>
                  </w:tcBorders>
                  <w:vAlign w:val="center"/>
                </w:tcPr>
                <w:p w14:paraId="1D09935A">
                  <w:pPr>
                    <w:widowControl/>
                    <w:jc w:val="center"/>
                    <w:textAlignment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计算风量</w:t>
                  </w:r>
                </w:p>
              </w:tc>
              <w:tc>
                <w:tcPr>
                  <w:tcW w:w="1171" w:type="pct"/>
                  <w:tcBorders>
                    <w:tl2br w:val="nil"/>
                    <w:tr2bl w:val="nil"/>
                  </w:tcBorders>
                  <w:vAlign w:val="center"/>
                </w:tcPr>
                <w:p w14:paraId="1366A76F">
                  <w:pPr>
                    <w:widowControl/>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设计风量</w:t>
                  </w:r>
                </w:p>
              </w:tc>
            </w:tr>
            <w:tr w14:paraId="4864D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475" w:type="pct"/>
                  <w:tcBorders>
                    <w:tl2br w:val="nil"/>
                    <w:tr2bl w:val="nil"/>
                  </w:tcBorders>
                  <w:vAlign w:val="center"/>
                </w:tcPr>
                <w:p w14:paraId="6E807CB1">
                  <w:pPr>
                    <w:tabs>
                      <w:tab w:val="left" w:pos="1684"/>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溶剂萃取、乙醇回收</w:t>
                  </w:r>
                  <w:r>
                    <w:rPr>
                      <w:rFonts w:hint="eastAsia"/>
                      <w:color w:val="000000" w:themeColor="text1"/>
                      <w:szCs w:val="21"/>
                      <w14:textFill>
                        <w14:solidFill>
                          <w14:schemeClr w14:val="tx1"/>
                        </w14:solidFill>
                      </w14:textFill>
                    </w:rPr>
                    <w:t>、物料配制、称量</w:t>
                  </w:r>
                </w:p>
              </w:tc>
              <w:tc>
                <w:tcPr>
                  <w:tcW w:w="1182" w:type="pct"/>
                  <w:tcBorders>
                    <w:tl2br w:val="nil"/>
                    <w:tr2bl w:val="nil"/>
                  </w:tcBorders>
                  <w:vAlign w:val="center"/>
                </w:tcPr>
                <w:p w14:paraId="523C8B76">
                  <w:pPr>
                    <w:tabs>
                      <w:tab w:val="left" w:pos="1684"/>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通风橱</w:t>
                  </w:r>
                </w:p>
              </w:tc>
              <w:tc>
                <w:tcPr>
                  <w:tcW w:w="1170" w:type="pct"/>
                  <w:tcBorders>
                    <w:tl2br w:val="nil"/>
                    <w:tr2bl w:val="nil"/>
                  </w:tcBorders>
                  <w:vAlign w:val="center"/>
                </w:tcPr>
                <w:p w14:paraId="77BEFCC3">
                  <w:pPr>
                    <w:tabs>
                      <w:tab w:val="left" w:pos="1684"/>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/h</w:t>
                  </w:r>
                </w:p>
              </w:tc>
              <w:tc>
                <w:tcPr>
                  <w:tcW w:w="1171" w:type="pct"/>
                  <w:vMerge w:val="restart"/>
                  <w:tcBorders>
                    <w:tl2br w:val="nil"/>
                    <w:tr2bl w:val="nil"/>
                  </w:tcBorders>
                  <w:vAlign w:val="center"/>
                </w:tcPr>
                <w:p w14:paraId="74F3CF4E">
                  <w:pPr>
                    <w:tabs>
                      <w:tab w:val="left" w:pos="1684"/>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/h</w:t>
                  </w:r>
                </w:p>
              </w:tc>
            </w:tr>
            <w:tr w14:paraId="2F2CE2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475" w:type="pct"/>
                  <w:tcBorders>
                    <w:tl2br w:val="nil"/>
                    <w:tr2bl w:val="nil"/>
                  </w:tcBorders>
                  <w:vAlign w:val="center"/>
                </w:tcPr>
                <w:p w14:paraId="5F970C9B">
                  <w:pPr>
                    <w:tabs>
                      <w:tab w:val="left" w:pos="1684"/>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检验、发酵</w:t>
                  </w:r>
                </w:p>
              </w:tc>
              <w:tc>
                <w:tcPr>
                  <w:tcW w:w="1182" w:type="pct"/>
                  <w:tcBorders>
                    <w:tl2br w:val="nil"/>
                    <w:tr2bl w:val="nil"/>
                  </w:tcBorders>
                  <w:vAlign w:val="center"/>
                </w:tcPr>
                <w:p w14:paraId="40CB7877">
                  <w:pPr>
                    <w:tabs>
                      <w:tab w:val="left" w:pos="1684"/>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万向罩</w:t>
                  </w:r>
                </w:p>
              </w:tc>
              <w:tc>
                <w:tcPr>
                  <w:tcW w:w="1170" w:type="pct"/>
                  <w:tcBorders>
                    <w:tl2br w:val="nil"/>
                    <w:tr2bl w:val="nil"/>
                  </w:tcBorders>
                  <w:vAlign w:val="center"/>
                </w:tcPr>
                <w:p w14:paraId="58D9451F">
                  <w:pPr>
                    <w:tabs>
                      <w:tab w:val="left" w:pos="1684"/>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/h</w:t>
                  </w:r>
                </w:p>
              </w:tc>
              <w:tc>
                <w:tcPr>
                  <w:tcW w:w="1171" w:type="pct"/>
                  <w:vMerge w:val="continue"/>
                  <w:tcBorders>
                    <w:tl2br w:val="nil"/>
                    <w:tr2bl w:val="nil"/>
                  </w:tcBorders>
                  <w:vAlign w:val="center"/>
                </w:tcPr>
                <w:p w14:paraId="223D9293">
                  <w:pPr>
                    <w:tabs>
                      <w:tab w:val="left" w:pos="1684"/>
                    </w:tabs>
                    <w:jc w:val="center"/>
                    <w:rPr>
                      <w:color w:val="000000" w:themeColor="text1"/>
                      <w:szCs w:val="21"/>
                      <w14:textFill>
                        <w14:solidFill>
                          <w14:schemeClr w14:val="tx1"/>
                        </w14:solidFill>
                      </w14:textFill>
                    </w:rPr>
                  </w:pPr>
                </w:p>
              </w:tc>
            </w:tr>
          </w:tbl>
          <w:p w14:paraId="680789AD">
            <w:pPr>
              <w:tabs>
                <w:tab w:val="left" w:pos="1684"/>
              </w:tabs>
              <w:spacing w:line="480" w:lineRule="exact"/>
              <w:ind w:firstLine="480" w:firstLineChars="20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w:t>
            </w:r>
            <w:r>
              <w:rPr>
                <w:color w:val="000000" w:themeColor="text1"/>
                <w:kern w:val="0"/>
                <w:sz w:val="24"/>
                <w14:textFill>
                  <w14:solidFill>
                    <w14:schemeClr w14:val="tx1"/>
                  </w14:solidFill>
                </w14:textFill>
              </w:rPr>
              <w:t>《实验室挥发性有机物污染防治技术指南》（T/ACEF001-2020）</w:t>
            </w:r>
            <w:r>
              <w:rPr>
                <w:rFonts w:hint="eastAsia"/>
                <w:color w:val="000000" w:themeColor="text1"/>
                <w:kern w:val="0"/>
                <w:sz w:val="24"/>
                <w14:textFill>
                  <w14:solidFill>
                    <w14:schemeClr w14:val="tx1"/>
                  </w14:solidFill>
                </w14:textFill>
              </w:rPr>
              <w:t>，吸附设施的风量按照最大废气排放量的120%进行设计，本项目</w:t>
            </w:r>
            <w:r>
              <w:rPr>
                <w:color w:val="000000" w:themeColor="text1"/>
                <w:sz w:val="24"/>
                <w14:textFill>
                  <w14:solidFill>
                    <w14:schemeClr w14:val="tx1"/>
                  </w14:solidFill>
                </w14:textFill>
              </w:rPr>
              <w:t>设计风量为1</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/h能够满足废气</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0%的收集要求。</w:t>
            </w:r>
            <w:r>
              <w:rPr>
                <w:rFonts w:hint="eastAsia"/>
                <w:color w:val="000000" w:themeColor="text1"/>
                <w:sz w:val="24"/>
                <w14:textFill>
                  <w14:solidFill>
                    <w14:schemeClr w14:val="tx1"/>
                  </w14:solidFill>
                </w14:textFill>
              </w:rPr>
              <w:t xml:space="preserve"> </w:t>
            </w:r>
          </w:p>
          <w:p w14:paraId="0439B2CE">
            <w:pPr>
              <w:tabs>
                <w:tab w:val="left" w:pos="1684"/>
              </w:tabs>
              <w:spacing w:line="480" w:lineRule="exact"/>
              <w:ind w:left="4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废气处理装置运行原理</w:t>
            </w:r>
          </w:p>
          <w:p w14:paraId="348D2D1A">
            <w:pPr>
              <w:pStyle w:val="108"/>
              <w:adjustRightInd/>
              <w:snapToGrid/>
              <w:spacing w:before="0" w:beforeLines="0" w:after="0" w:afterLines="0" w:line="480" w:lineRule="exact"/>
              <w:ind w:firstLine="480"/>
              <w:rPr>
                <w:rFonts w:eastAsia="宋体"/>
                <w:bCs w:val="0"/>
                <w:color w:val="000000" w:themeColor="text1"/>
                <w:spacing w:val="0"/>
                <w14:textFill>
                  <w14:solidFill>
                    <w14:schemeClr w14:val="tx1"/>
                  </w14:solidFill>
                </w14:textFill>
              </w:rPr>
            </w:pPr>
            <w:r>
              <w:rPr>
                <w:rFonts w:eastAsia="宋体"/>
                <w:bCs w:val="0"/>
                <w:color w:val="000000" w:themeColor="text1"/>
                <w:spacing w:val="0"/>
                <w14:textFill>
                  <w14:solidFill>
                    <w14:schemeClr w14:val="tx1"/>
                  </w14:solidFill>
                </w14:textFill>
              </w:rPr>
              <w:t>活性炭是一种多孔性的含炭物质，它具有高度发达的孔隙构造，</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"http://zhidao.baidu.com/search?word=活性炭&amp;fr=qb_search_exp&amp;ie=utf8" </w:instrText>
            </w:r>
            <w:r>
              <w:rPr>
                <w:color w:val="000000" w:themeColor="text1"/>
                <w14:textFill>
                  <w14:solidFill>
                    <w14:schemeClr w14:val="tx1"/>
                  </w14:solidFill>
                </w14:textFill>
              </w:rPr>
              <w:fldChar w:fldCharType="separate"/>
            </w:r>
            <w:r>
              <w:rPr>
                <w:rFonts w:eastAsia="宋体"/>
                <w:bCs w:val="0"/>
                <w:color w:val="000000" w:themeColor="text1"/>
                <w:spacing w:val="0"/>
                <w14:textFill>
                  <w14:solidFill>
                    <w14:schemeClr w14:val="tx1"/>
                  </w14:solidFill>
                </w14:textFill>
              </w:rPr>
              <w:t>活性炭</w:t>
            </w:r>
            <w:r>
              <w:rPr>
                <w:rFonts w:eastAsia="宋体"/>
                <w:bCs w:val="0"/>
                <w:color w:val="000000" w:themeColor="text1"/>
                <w:spacing w:val="0"/>
                <w14:textFill>
                  <w14:solidFill>
                    <w14:schemeClr w14:val="tx1"/>
                  </w14:solidFill>
                </w14:textFill>
              </w:rPr>
              <w:fldChar w:fldCharType="end"/>
            </w:r>
            <w:r>
              <w:rPr>
                <w:rFonts w:eastAsia="宋体"/>
                <w:bCs w:val="0"/>
                <w:color w:val="000000" w:themeColor="text1"/>
                <w:spacing w:val="0"/>
                <w14:textFill>
                  <w14:solidFill>
                    <w14:schemeClr w14:val="tx1"/>
                  </w14:solidFill>
                </w14:textFill>
              </w:rPr>
              <w:t>的多孔结构为其提供了大量的表面积，能与气体（杂质）充分接触，从而赋予了</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"http://zhidao.baidu.com/search?word=活性炭&amp;fr=qb_search_exp&amp;ie=utf8" </w:instrText>
            </w:r>
            <w:r>
              <w:rPr>
                <w:color w:val="000000" w:themeColor="text1"/>
                <w14:textFill>
                  <w14:solidFill>
                    <w14:schemeClr w14:val="tx1"/>
                  </w14:solidFill>
                </w14:textFill>
              </w:rPr>
              <w:fldChar w:fldCharType="separate"/>
            </w:r>
            <w:r>
              <w:rPr>
                <w:rFonts w:eastAsia="宋体"/>
                <w:bCs w:val="0"/>
                <w:color w:val="000000" w:themeColor="text1"/>
                <w:spacing w:val="0"/>
                <w14:textFill>
                  <w14:solidFill>
                    <w14:schemeClr w14:val="tx1"/>
                  </w14:solidFill>
                </w14:textFill>
              </w:rPr>
              <w:t>活性炭</w:t>
            </w:r>
            <w:r>
              <w:rPr>
                <w:rFonts w:eastAsia="宋体"/>
                <w:bCs w:val="0"/>
                <w:color w:val="000000" w:themeColor="text1"/>
                <w:spacing w:val="0"/>
                <w14:textFill>
                  <w14:solidFill>
                    <w14:schemeClr w14:val="tx1"/>
                  </w14:solidFill>
                </w14:textFill>
              </w:rPr>
              <w:fldChar w:fldCharType="end"/>
            </w:r>
            <w:r>
              <w:rPr>
                <w:rFonts w:eastAsia="宋体"/>
                <w:bCs w:val="0"/>
                <w:color w:val="000000" w:themeColor="text1"/>
                <w:spacing w:val="0"/>
                <w14:textFill>
                  <w14:solidFill>
                    <w14:schemeClr w14:val="tx1"/>
                  </w14:solidFill>
                </w14:textFill>
              </w:rPr>
              <w:t>所特有的吸附性能，使其非常容易达到吸收收集杂质的目的。就像</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"http://zhidao.baidu.com/search?word=磁力&amp;fr=qb_search_exp&amp;ie=utf8" </w:instrText>
            </w:r>
            <w:r>
              <w:rPr>
                <w:color w:val="000000" w:themeColor="text1"/>
                <w14:textFill>
                  <w14:solidFill>
                    <w14:schemeClr w14:val="tx1"/>
                  </w14:solidFill>
                </w14:textFill>
              </w:rPr>
              <w:fldChar w:fldCharType="separate"/>
            </w:r>
            <w:r>
              <w:rPr>
                <w:rFonts w:eastAsia="宋体"/>
                <w:bCs w:val="0"/>
                <w:color w:val="000000" w:themeColor="text1"/>
                <w:spacing w:val="0"/>
                <w14:textFill>
                  <w14:solidFill>
                    <w14:schemeClr w14:val="tx1"/>
                  </w14:solidFill>
                </w14:textFill>
              </w:rPr>
              <w:t>磁力</w:t>
            </w:r>
            <w:r>
              <w:rPr>
                <w:rFonts w:eastAsia="宋体"/>
                <w:bCs w:val="0"/>
                <w:color w:val="000000" w:themeColor="text1"/>
                <w:spacing w:val="0"/>
                <w14:textFill>
                  <w14:solidFill>
                    <w14:schemeClr w14:val="tx1"/>
                  </w14:solidFill>
                </w14:textFill>
              </w:rPr>
              <w:fldChar w:fldCharType="end"/>
            </w:r>
            <w:r>
              <w:rPr>
                <w:rFonts w:eastAsia="宋体"/>
                <w:bCs w:val="0"/>
                <w:color w:val="000000" w:themeColor="text1"/>
                <w:spacing w:val="0"/>
                <w14:textFill>
                  <w14:solidFill>
                    <w14:schemeClr w14:val="tx1"/>
                  </w14:solidFill>
                </w14:textFill>
              </w:rPr>
              <w:t>一样，所有的分子之间都具有相互引力。正因为如此，活性炭孔壁上的大量的分子可以产生强大的引力，从而达到将有害的杂质吸引到孔径中的目的。</w:t>
            </w:r>
          </w:p>
          <w:p w14:paraId="270814FD">
            <w:pPr>
              <w:pStyle w:val="108"/>
              <w:adjustRightInd/>
              <w:snapToGrid/>
              <w:spacing w:before="0" w:beforeLines="0" w:after="0" w:afterLines="0" w:line="480" w:lineRule="exact"/>
              <w:ind w:firstLine="482"/>
              <w:rPr>
                <w:rFonts w:eastAsia="宋体"/>
                <w:b/>
                <w:color w:val="000000" w:themeColor="text1"/>
                <w:spacing w:val="0"/>
                <w14:textFill>
                  <w14:solidFill>
                    <w14:schemeClr w14:val="tx1"/>
                  </w14:solidFill>
                </w14:textFill>
              </w:rPr>
            </w:pPr>
            <w:r>
              <w:rPr>
                <w:rFonts w:eastAsia="宋体"/>
                <w:b/>
                <w:color w:val="000000" w:themeColor="text1"/>
                <w:spacing w:val="0"/>
                <w14:textFill>
                  <w14:solidFill>
                    <w14:schemeClr w14:val="tx1"/>
                  </w14:solidFill>
                </w14:textFill>
              </w:rPr>
              <w:t>处理可行性及达标分析：</w:t>
            </w:r>
          </w:p>
          <w:p w14:paraId="7C19FFE1">
            <w:pPr>
              <w:pStyle w:val="108"/>
              <w:adjustRightInd/>
              <w:snapToGrid/>
              <w:spacing w:before="0" w:beforeLines="0" w:after="0" w:afterLines="0" w:line="480" w:lineRule="exact"/>
              <w:ind w:firstLine="500"/>
              <w:rPr>
                <w:rFonts w:eastAsia="宋体"/>
                <w:bCs w:val="0"/>
                <w:color w:val="000000" w:themeColor="text1"/>
                <w:spacing w:val="0"/>
                <w14:textFill>
                  <w14:solidFill>
                    <w14:schemeClr w14:val="tx1"/>
                  </w14:solidFill>
                </w14:textFill>
              </w:rPr>
            </w:pPr>
            <w:r>
              <w:rPr>
                <w:rFonts w:eastAsia="宋体"/>
                <w:color w:val="000000" w:themeColor="text1"/>
                <w:szCs w:val="24"/>
                <w14:textFill>
                  <w14:solidFill>
                    <w14:schemeClr w14:val="tx1"/>
                  </w14:solidFill>
                </w14:textFill>
              </w:rPr>
              <w:t>根据《材料研究与应用》2010年12月第4卷第4期，余倩等人《活性炭吸附技术对VOCs净化处理的研究进展》一文，采用吸附法能够使VOCs的去除率高达90-95%</w:t>
            </w:r>
            <w:r>
              <w:rPr>
                <w:rFonts w:eastAsia="宋体"/>
                <w:bCs w:val="0"/>
                <w:color w:val="000000" w:themeColor="text1"/>
                <w:spacing w:val="0"/>
                <w14:textFill>
                  <w14:solidFill>
                    <w14:schemeClr w14:val="tx1"/>
                  </w14:solidFill>
                </w14:textFill>
              </w:rPr>
              <w:t>，在合理控制废气流量、及时更换吸附饱和的活性炭的前提下，有机废气中的污染物均可以得到有效去除；同时，根据2014年国家科技部和环保部发布的《大气污染防治先进技术汇编》，活性炭吸附处理低浓度有机废气，净化效率可达到90%以上。本项目采用“活性炭吸附装置”</w:t>
            </w:r>
            <w:r>
              <w:rPr>
                <w:rFonts w:hint="eastAsia" w:eastAsia="宋体"/>
                <w:bCs w:val="0"/>
                <w:color w:val="000000" w:themeColor="text1"/>
                <w:spacing w:val="0"/>
                <w14:textFill>
                  <w14:solidFill>
                    <w14:schemeClr w14:val="tx1"/>
                  </w14:solidFill>
                </w14:textFill>
              </w:rPr>
              <w:t>处理</w:t>
            </w:r>
            <w:r>
              <w:rPr>
                <w:rFonts w:eastAsia="宋体"/>
                <w:bCs w:val="0"/>
                <w:color w:val="000000" w:themeColor="text1"/>
                <w:spacing w:val="0"/>
                <w14:textFill>
                  <w14:solidFill>
                    <w14:schemeClr w14:val="tx1"/>
                  </w14:solidFill>
                </w14:textFill>
              </w:rPr>
              <w:t>有机废气，有机废气处理效率保守取80%，具有可行性。</w:t>
            </w:r>
          </w:p>
          <w:p w14:paraId="0C7A5001">
            <w:pPr>
              <w:pStyle w:val="8"/>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14:textFill>
                  <w14:solidFill>
                    <w14:schemeClr w14:val="tx1"/>
                  </w14:solidFill>
                </w14:textFill>
              </w:rPr>
              <w:t xml:space="preserve">2 </w:t>
            </w:r>
            <w:r>
              <w:rPr>
                <w:b/>
                <w:bCs/>
                <w:color w:val="000000" w:themeColor="text1"/>
                <w:sz w:val="21"/>
                <w:szCs w:val="21"/>
                <w14:textFill>
                  <w14:solidFill>
                    <w14:schemeClr w14:val="tx1"/>
                  </w14:solidFill>
                </w14:textFill>
              </w:rPr>
              <w:t xml:space="preserve"> 活性炭装置技术参数</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336"/>
              <w:gridCol w:w="2566"/>
              <w:gridCol w:w="2337"/>
              <w:gridCol w:w="2141"/>
            </w:tblGrid>
            <w:tr w14:paraId="0287D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1245" w:type="pct"/>
                  <w:tcBorders>
                    <w:tl2br w:val="nil"/>
                    <w:tr2bl w:val="nil"/>
                  </w:tcBorders>
                  <w:shd w:val="clear" w:color="auto" w:fill="FFFFFF"/>
                  <w:noWrap/>
                  <w:vAlign w:val="center"/>
                </w:tcPr>
                <w:p w14:paraId="4B5BF42E">
                  <w:pPr>
                    <w:widowControl/>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名称</w:t>
                  </w:r>
                </w:p>
              </w:tc>
              <w:tc>
                <w:tcPr>
                  <w:tcW w:w="1367" w:type="pct"/>
                  <w:tcBorders>
                    <w:tl2br w:val="nil"/>
                    <w:tr2bl w:val="nil"/>
                  </w:tcBorders>
                  <w:shd w:val="clear" w:color="auto" w:fill="FFFFFF"/>
                  <w:noWrap/>
                  <w:vAlign w:val="center"/>
                </w:tcPr>
                <w:p w14:paraId="21B35CEF">
                  <w:pPr>
                    <w:widowControl/>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技术参数</w:t>
                  </w:r>
                </w:p>
              </w:tc>
              <w:tc>
                <w:tcPr>
                  <w:tcW w:w="1245" w:type="pct"/>
                  <w:tcBorders>
                    <w:tl2br w:val="nil"/>
                    <w:tr2bl w:val="nil"/>
                  </w:tcBorders>
                  <w:shd w:val="clear" w:color="auto" w:fill="FFFFFF"/>
                  <w:noWrap/>
                  <w:vAlign w:val="center"/>
                </w:tcPr>
                <w:p w14:paraId="7900F697">
                  <w:pPr>
                    <w:widowControl/>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苏环办</w:t>
                  </w:r>
                  <w:r>
                    <w:rPr>
                      <w:rFonts w:hint="eastAsia"/>
                      <w:b/>
                      <w:bCs/>
                      <w:snapToGrid w:val="0"/>
                      <w:color w:val="000000" w:themeColor="text1"/>
                      <w:kern w:val="0"/>
                      <w:szCs w:val="21"/>
                      <w14:textFill>
                        <w14:solidFill>
                          <w14:schemeClr w14:val="tx1"/>
                        </w14:solidFill>
                      </w14:textFill>
                    </w:rPr>
                    <w:t>〔2022〕218号</w:t>
                  </w:r>
                </w:p>
              </w:tc>
              <w:tc>
                <w:tcPr>
                  <w:tcW w:w="1140" w:type="pct"/>
                  <w:tcBorders>
                    <w:tl2br w:val="nil"/>
                    <w:tr2bl w:val="nil"/>
                  </w:tcBorders>
                  <w:shd w:val="clear" w:color="auto" w:fill="FFFFFF"/>
                  <w:noWrap/>
                  <w:vAlign w:val="center"/>
                </w:tcPr>
                <w:p w14:paraId="350100C8">
                  <w:pPr>
                    <w:widowControl/>
                    <w:adjustRightInd w:val="0"/>
                    <w:snapToGrid w:val="0"/>
                    <w:jc w:val="center"/>
                    <w:rPr>
                      <w:b/>
                      <w:bCs/>
                      <w:snapToGrid w:val="0"/>
                      <w:color w:val="000000" w:themeColor="text1"/>
                      <w:kern w:val="0"/>
                      <w:szCs w:val="21"/>
                      <w14:textFill>
                        <w14:solidFill>
                          <w14:schemeClr w14:val="tx1"/>
                        </w14:solidFill>
                      </w14:textFill>
                    </w:rPr>
                  </w:pPr>
                  <w:r>
                    <w:rPr>
                      <w:rFonts w:hint="eastAsia"/>
                      <w:b/>
                      <w:bCs/>
                      <w:color w:val="000000" w:themeColor="text1"/>
                      <w14:textFill>
                        <w14:solidFill>
                          <w14:schemeClr w14:val="tx1"/>
                        </w14:solidFill>
                      </w14:textFill>
                    </w:rPr>
                    <w:t>DB32/T5030</w:t>
                  </w:r>
                </w:p>
              </w:tc>
            </w:tr>
            <w:tr w14:paraId="7D0DE6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2F7525E1">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废气净化方式</w:t>
                  </w:r>
                </w:p>
              </w:tc>
              <w:tc>
                <w:tcPr>
                  <w:tcW w:w="1367" w:type="pct"/>
                  <w:tcBorders>
                    <w:tl2br w:val="nil"/>
                    <w:tr2bl w:val="nil"/>
                  </w:tcBorders>
                  <w:noWrap/>
                  <w:vAlign w:val="center"/>
                </w:tcPr>
                <w:p w14:paraId="3C3AF757">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活性炭吸附处理</w:t>
                  </w:r>
                </w:p>
              </w:tc>
              <w:tc>
                <w:tcPr>
                  <w:tcW w:w="1245" w:type="pct"/>
                  <w:tcBorders>
                    <w:tl2br w:val="nil"/>
                    <w:tr2bl w:val="nil"/>
                  </w:tcBorders>
                  <w:noWrap/>
                  <w:vAlign w:val="center"/>
                </w:tcPr>
                <w:p w14:paraId="3D2FA3D7">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1140" w:type="pct"/>
                  <w:tcBorders>
                    <w:tl2br w:val="nil"/>
                    <w:tr2bl w:val="nil"/>
                  </w:tcBorders>
                  <w:noWrap/>
                  <w:vAlign w:val="center"/>
                </w:tcPr>
                <w:p w14:paraId="67AD43C6">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r>
            <w:tr w14:paraId="2825F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1950F26E">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风量</w:t>
                  </w:r>
                </w:p>
              </w:tc>
              <w:tc>
                <w:tcPr>
                  <w:tcW w:w="1367" w:type="pct"/>
                  <w:tcBorders>
                    <w:tl2br w:val="nil"/>
                    <w:tr2bl w:val="nil"/>
                  </w:tcBorders>
                  <w:noWrap/>
                  <w:vAlign w:val="center"/>
                </w:tcPr>
                <w:p w14:paraId="51711A56">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12</w:t>
                  </w:r>
                  <w:r>
                    <w:rPr>
                      <w:snapToGrid w:val="0"/>
                      <w:color w:val="000000" w:themeColor="text1"/>
                      <w:kern w:val="0"/>
                      <w:szCs w:val="21"/>
                      <w14:textFill>
                        <w14:solidFill>
                          <w14:schemeClr w14:val="tx1"/>
                        </w14:solidFill>
                      </w14:textFill>
                    </w:rPr>
                    <w:t>00m</w:t>
                  </w:r>
                  <w:r>
                    <w:rPr>
                      <w:snapToGrid w:val="0"/>
                      <w:color w:val="000000" w:themeColor="text1"/>
                      <w:kern w:val="0"/>
                      <w:szCs w:val="21"/>
                      <w:vertAlign w:val="superscript"/>
                      <w14:textFill>
                        <w14:solidFill>
                          <w14:schemeClr w14:val="tx1"/>
                        </w14:solidFill>
                      </w14:textFill>
                    </w:rPr>
                    <w:t>3</w:t>
                  </w:r>
                  <w:r>
                    <w:rPr>
                      <w:snapToGrid w:val="0"/>
                      <w:color w:val="000000" w:themeColor="text1"/>
                      <w:kern w:val="0"/>
                      <w:szCs w:val="21"/>
                      <w14:textFill>
                        <w14:solidFill>
                          <w14:schemeClr w14:val="tx1"/>
                        </w14:solidFill>
                      </w14:textFill>
                    </w:rPr>
                    <w:t>/h</w:t>
                  </w:r>
                </w:p>
              </w:tc>
              <w:tc>
                <w:tcPr>
                  <w:tcW w:w="1245" w:type="pct"/>
                  <w:tcBorders>
                    <w:tl2br w:val="nil"/>
                    <w:tr2bl w:val="nil"/>
                  </w:tcBorders>
                  <w:noWrap/>
                  <w:vAlign w:val="center"/>
                </w:tcPr>
                <w:p w14:paraId="7B0C2DCE">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1140" w:type="pct"/>
                  <w:tcBorders>
                    <w:tl2br w:val="nil"/>
                    <w:tr2bl w:val="nil"/>
                  </w:tcBorders>
                  <w:noWrap/>
                  <w:vAlign w:val="center"/>
                </w:tcPr>
                <w:p w14:paraId="1D462C80">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r>
            <w:tr w14:paraId="68534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54731B6F">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废气温度</w:t>
                  </w:r>
                </w:p>
              </w:tc>
              <w:tc>
                <w:tcPr>
                  <w:tcW w:w="1367" w:type="pct"/>
                  <w:tcBorders>
                    <w:tl2br w:val="nil"/>
                    <w:tr2bl w:val="nil"/>
                  </w:tcBorders>
                  <w:noWrap/>
                  <w:vAlign w:val="center"/>
                </w:tcPr>
                <w:p w14:paraId="5EF04E75">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≤40℃</w:t>
                  </w:r>
                </w:p>
              </w:tc>
              <w:tc>
                <w:tcPr>
                  <w:tcW w:w="1245" w:type="pct"/>
                  <w:tcBorders>
                    <w:tl2br w:val="nil"/>
                    <w:tr2bl w:val="nil"/>
                  </w:tcBorders>
                  <w:noWrap/>
                  <w:vAlign w:val="center"/>
                </w:tcPr>
                <w:p w14:paraId="43FED63D">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≤40℃</w:t>
                  </w:r>
                </w:p>
              </w:tc>
              <w:tc>
                <w:tcPr>
                  <w:tcW w:w="1140" w:type="pct"/>
                  <w:tcBorders>
                    <w:tl2br w:val="nil"/>
                    <w:tr2bl w:val="nil"/>
                  </w:tcBorders>
                  <w:noWrap/>
                  <w:vAlign w:val="center"/>
                </w:tcPr>
                <w:p w14:paraId="226DC60B">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r>
            <w:tr w14:paraId="4A29D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5EA49639">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箱体规格（长度×宽度×高度）</w:t>
                  </w:r>
                </w:p>
              </w:tc>
              <w:tc>
                <w:tcPr>
                  <w:tcW w:w="1367" w:type="pct"/>
                  <w:tcBorders>
                    <w:tl2br w:val="nil"/>
                    <w:tr2bl w:val="nil"/>
                  </w:tcBorders>
                  <w:noWrap/>
                  <w:vAlign w:val="center"/>
                </w:tcPr>
                <w:p w14:paraId="6B23E2C5">
                  <w:pPr>
                    <w:widowControl/>
                    <w:adjustRightInd w:val="0"/>
                    <w:snapToGrid w:val="0"/>
                    <w:jc w:val="center"/>
                    <w:textAlignment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.0m×</w:t>
                  </w:r>
                  <w:r>
                    <w:rPr>
                      <w:rFonts w:hint="eastAsia"/>
                      <w:snapToGrid w:val="0"/>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.0m×</w:t>
                  </w:r>
                  <w:r>
                    <w:rPr>
                      <w:rFonts w:hint="eastAsia"/>
                      <w:snapToGrid w:val="0"/>
                      <w:color w:val="000000" w:themeColor="text1"/>
                      <w:kern w:val="0"/>
                      <w:szCs w:val="21"/>
                      <w14:textFill>
                        <w14:solidFill>
                          <w14:schemeClr w14:val="tx1"/>
                        </w14:solidFill>
                      </w14:textFill>
                    </w:rPr>
                    <w:t>0.4</w:t>
                  </w:r>
                  <w:r>
                    <w:rPr>
                      <w:snapToGrid w:val="0"/>
                      <w:color w:val="000000" w:themeColor="text1"/>
                      <w:kern w:val="0"/>
                      <w:szCs w:val="21"/>
                      <w14:textFill>
                        <w14:solidFill>
                          <w14:schemeClr w14:val="tx1"/>
                        </w14:solidFill>
                      </w14:textFill>
                    </w:rPr>
                    <w:t>m</w:t>
                  </w:r>
                </w:p>
              </w:tc>
              <w:tc>
                <w:tcPr>
                  <w:tcW w:w="1245" w:type="pct"/>
                  <w:tcBorders>
                    <w:tl2br w:val="nil"/>
                    <w:tr2bl w:val="nil"/>
                  </w:tcBorders>
                  <w:noWrap/>
                  <w:vAlign w:val="center"/>
                </w:tcPr>
                <w:p w14:paraId="5ABF8624">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1140" w:type="pct"/>
                  <w:tcBorders>
                    <w:tl2br w:val="nil"/>
                    <w:tr2bl w:val="nil"/>
                  </w:tcBorders>
                  <w:noWrap/>
                  <w:vAlign w:val="center"/>
                </w:tcPr>
                <w:p w14:paraId="008A068C">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r>
            <w:tr w14:paraId="0A35B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426F86FE">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活性炭类型</w:t>
                  </w:r>
                </w:p>
              </w:tc>
              <w:tc>
                <w:tcPr>
                  <w:tcW w:w="1367" w:type="pct"/>
                  <w:tcBorders>
                    <w:tl2br w:val="nil"/>
                    <w:tr2bl w:val="nil"/>
                  </w:tcBorders>
                  <w:noWrap/>
                  <w:vAlign w:val="center"/>
                </w:tcPr>
                <w:p w14:paraId="4B9AA500">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颗粒状活性炭</w:t>
                  </w:r>
                </w:p>
              </w:tc>
              <w:tc>
                <w:tcPr>
                  <w:tcW w:w="1245" w:type="pct"/>
                  <w:tcBorders>
                    <w:tl2br w:val="nil"/>
                    <w:tr2bl w:val="nil"/>
                  </w:tcBorders>
                  <w:noWrap/>
                  <w:vAlign w:val="center"/>
                </w:tcPr>
                <w:p w14:paraId="06B8CBF7">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1140" w:type="pct"/>
                  <w:tcBorders>
                    <w:tl2br w:val="nil"/>
                    <w:tr2bl w:val="nil"/>
                  </w:tcBorders>
                  <w:noWrap/>
                  <w:vAlign w:val="center"/>
                </w:tcPr>
                <w:p w14:paraId="7A7589D6">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r>
            <w:tr w14:paraId="2E1C4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4AEEDCD7">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比表面积（m</w:t>
                  </w:r>
                  <w:r>
                    <w:rPr>
                      <w:snapToGrid w:val="0"/>
                      <w:color w:val="000000" w:themeColor="text1"/>
                      <w:kern w:val="0"/>
                      <w:szCs w:val="21"/>
                      <w:vertAlign w:val="superscript"/>
                      <w14:textFill>
                        <w14:solidFill>
                          <w14:schemeClr w14:val="tx1"/>
                        </w14:solidFill>
                      </w14:textFill>
                    </w:rPr>
                    <w:t>2</w:t>
                  </w:r>
                  <w:r>
                    <w:rPr>
                      <w:snapToGrid w:val="0"/>
                      <w:color w:val="000000" w:themeColor="text1"/>
                      <w:kern w:val="0"/>
                      <w:szCs w:val="21"/>
                      <w14:textFill>
                        <w14:solidFill>
                          <w14:schemeClr w14:val="tx1"/>
                        </w14:solidFill>
                      </w14:textFill>
                    </w:rPr>
                    <w:t>/g）</w:t>
                  </w:r>
                </w:p>
              </w:tc>
              <w:tc>
                <w:tcPr>
                  <w:tcW w:w="1367" w:type="pct"/>
                  <w:tcBorders>
                    <w:tl2br w:val="nil"/>
                    <w:tr2bl w:val="nil"/>
                  </w:tcBorders>
                  <w:noWrap/>
                  <w:vAlign w:val="center"/>
                </w:tcPr>
                <w:p w14:paraId="489B07C3">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900</w:t>
                  </w:r>
                </w:p>
              </w:tc>
              <w:tc>
                <w:tcPr>
                  <w:tcW w:w="1245" w:type="pct"/>
                  <w:tcBorders>
                    <w:tl2br w:val="nil"/>
                    <w:tr2bl w:val="nil"/>
                  </w:tcBorders>
                  <w:noWrap/>
                  <w:vAlign w:val="center"/>
                </w:tcPr>
                <w:p w14:paraId="7E858DA4">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≥850</w:t>
                  </w:r>
                </w:p>
              </w:tc>
              <w:tc>
                <w:tcPr>
                  <w:tcW w:w="1140" w:type="pct"/>
                  <w:tcBorders>
                    <w:tl2br w:val="nil"/>
                    <w:tr2bl w:val="nil"/>
                  </w:tcBorders>
                  <w:noWrap/>
                  <w:vAlign w:val="center"/>
                </w:tcPr>
                <w:p w14:paraId="6497C98E">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r>
            <w:tr w14:paraId="6C744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0E98349C">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装填</w:t>
                  </w:r>
                  <w:r>
                    <w:rPr>
                      <w:snapToGrid w:val="0"/>
                      <w:color w:val="000000" w:themeColor="text1"/>
                      <w:kern w:val="0"/>
                      <w:szCs w:val="21"/>
                      <w14:textFill>
                        <w14:solidFill>
                          <w14:schemeClr w14:val="tx1"/>
                        </w14:solidFill>
                      </w14:textFill>
                    </w:rPr>
                    <w:t>密度（g/cm</w:t>
                  </w:r>
                  <w:r>
                    <w:rPr>
                      <w:snapToGrid w:val="0"/>
                      <w:color w:val="000000" w:themeColor="text1"/>
                      <w:kern w:val="0"/>
                      <w:szCs w:val="21"/>
                      <w:vertAlign w:val="superscript"/>
                      <w14:textFill>
                        <w14:solidFill>
                          <w14:schemeClr w14:val="tx1"/>
                        </w14:solidFill>
                      </w14:textFill>
                    </w:rPr>
                    <w:t>3</w:t>
                  </w:r>
                  <w:r>
                    <w:rPr>
                      <w:snapToGrid w:val="0"/>
                      <w:color w:val="000000" w:themeColor="text1"/>
                      <w:kern w:val="0"/>
                      <w:szCs w:val="21"/>
                      <w14:textFill>
                        <w14:solidFill>
                          <w14:schemeClr w14:val="tx1"/>
                        </w14:solidFill>
                      </w14:textFill>
                    </w:rPr>
                    <w:t>）</w:t>
                  </w:r>
                </w:p>
              </w:tc>
              <w:tc>
                <w:tcPr>
                  <w:tcW w:w="1367" w:type="pct"/>
                  <w:tcBorders>
                    <w:tl2br w:val="nil"/>
                    <w:tr2bl w:val="nil"/>
                  </w:tcBorders>
                  <w:noWrap/>
                  <w:vAlign w:val="center"/>
                </w:tcPr>
                <w:p w14:paraId="002702CB">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0.45</w:t>
                  </w:r>
                </w:p>
              </w:tc>
              <w:tc>
                <w:tcPr>
                  <w:tcW w:w="1245" w:type="pct"/>
                  <w:tcBorders>
                    <w:tl2br w:val="nil"/>
                    <w:tr2bl w:val="nil"/>
                  </w:tcBorders>
                  <w:noWrap/>
                  <w:vAlign w:val="center"/>
                </w:tcPr>
                <w:p w14:paraId="73A2C91C">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0.35~0.55</w:t>
                  </w:r>
                </w:p>
              </w:tc>
              <w:tc>
                <w:tcPr>
                  <w:tcW w:w="1140" w:type="pct"/>
                  <w:tcBorders>
                    <w:tl2br w:val="nil"/>
                    <w:tr2bl w:val="nil"/>
                  </w:tcBorders>
                  <w:noWrap/>
                  <w:vAlign w:val="center"/>
                </w:tcPr>
                <w:p w14:paraId="470A2D2F">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0.35~0.6</w:t>
                  </w:r>
                </w:p>
              </w:tc>
            </w:tr>
            <w:tr w14:paraId="665B6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451E6D29">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碘吸附值（mg/g）</w:t>
                  </w:r>
                </w:p>
              </w:tc>
              <w:tc>
                <w:tcPr>
                  <w:tcW w:w="1367" w:type="pct"/>
                  <w:tcBorders>
                    <w:tl2br w:val="nil"/>
                    <w:tr2bl w:val="nil"/>
                  </w:tcBorders>
                  <w:noWrap/>
                  <w:vAlign w:val="center"/>
                </w:tcPr>
                <w:p w14:paraId="3B4E89F3">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800</w:t>
                  </w:r>
                </w:p>
              </w:tc>
              <w:tc>
                <w:tcPr>
                  <w:tcW w:w="1245" w:type="pct"/>
                  <w:tcBorders>
                    <w:tl2br w:val="nil"/>
                    <w:tr2bl w:val="nil"/>
                  </w:tcBorders>
                  <w:noWrap/>
                  <w:vAlign w:val="center"/>
                </w:tcPr>
                <w:p w14:paraId="4F0EF0C4">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≥800</w:t>
                  </w:r>
                </w:p>
              </w:tc>
              <w:tc>
                <w:tcPr>
                  <w:tcW w:w="1140" w:type="pct"/>
                  <w:tcBorders>
                    <w:tl2br w:val="nil"/>
                    <w:tr2bl w:val="nil"/>
                  </w:tcBorders>
                  <w:noWrap/>
                  <w:vAlign w:val="center"/>
                </w:tcPr>
                <w:p w14:paraId="0B375F9B">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≥800</w:t>
                  </w:r>
                </w:p>
              </w:tc>
            </w:tr>
            <w:tr w14:paraId="0C15A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5C700749">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气流速度（m/s）</w:t>
                  </w:r>
                </w:p>
              </w:tc>
              <w:tc>
                <w:tcPr>
                  <w:tcW w:w="1367" w:type="pct"/>
                  <w:tcBorders>
                    <w:tl2br w:val="nil"/>
                    <w:tr2bl w:val="nil"/>
                  </w:tcBorders>
                  <w:noWrap/>
                  <w:vAlign w:val="center"/>
                </w:tcPr>
                <w:p w14:paraId="50D46744">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0.58</w:t>
                  </w:r>
                </w:p>
              </w:tc>
              <w:tc>
                <w:tcPr>
                  <w:tcW w:w="1245" w:type="pct"/>
                  <w:tcBorders>
                    <w:tl2br w:val="nil"/>
                    <w:tr2bl w:val="nil"/>
                  </w:tcBorders>
                  <w:noWrap/>
                  <w:vAlign w:val="center"/>
                </w:tcPr>
                <w:p w14:paraId="7F8A7D2E">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≤0.60</w:t>
                  </w:r>
                </w:p>
              </w:tc>
              <w:tc>
                <w:tcPr>
                  <w:tcW w:w="1140" w:type="pct"/>
                  <w:tcBorders>
                    <w:tl2br w:val="nil"/>
                    <w:tr2bl w:val="nil"/>
                  </w:tcBorders>
                  <w:noWrap/>
                  <w:vAlign w:val="center"/>
                </w:tcPr>
                <w:p w14:paraId="7EF159F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1F17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35AF1413">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填充量</w:t>
                  </w:r>
                </w:p>
              </w:tc>
              <w:tc>
                <w:tcPr>
                  <w:tcW w:w="1367" w:type="pct"/>
                  <w:tcBorders>
                    <w:tl2br w:val="nil"/>
                    <w:tr2bl w:val="nil"/>
                  </w:tcBorders>
                  <w:noWrap/>
                  <w:vAlign w:val="center"/>
                </w:tcPr>
                <w:p w14:paraId="18A1E1B0">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4</w:t>
                  </w:r>
                  <w:r>
                    <w:rPr>
                      <w:snapToGrid w:val="0"/>
                      <w:color w:val="000000" w:themeColor="text1"/>
                      <w:kern w:val="0"/>
                      <w:szCs w:val="21"/>
                      <w14:textFill>
                        <w14:solidFill>
                          <w14:schemeClr w14:val="tx1"/>
                        </w14:solidFill>
                      </w14:textFill>
                    </w:rPr>
                    <w:t>0kg</w:t>
                  </w:r>
                </w:p>
              </w:tc>
              <w:tc>
                <w:tcPr>
                  <w:tcW w:w="1245" w:type="pct"/>
                  <w:tcBorders>
                    <w:tl2br w:val="nil"/>
                    <w:tr2bl w:val="nil"/>
                  </w:tcBorders>
                  <w:noWrap/>
                  <w:vAlign w:val="center"/>
                </w:tcPr>
                <w:p w14:paraId="155BED0A">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1140" w:type="pct"/>
                  <w:tcBorders>
                    <w:tl2br w:val="nil"/>
                    <w:tr2bl w:val="nil"/>
                  </w:tcBorders>
                  <w:noWrap/>
                  <w:vAlign w:val="center"/>
                </w:tcPr>
                <w:p w14:paraId="02A152C8">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7CF3A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2708CB22">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更换周期</w:t>
                  </w:r>
                </w:p>
              </w:tc>
              <w:tc>
                <w:tcPr>
                  <w:tcW w:w="1367" w:type="pct"/>
                  <w:tcBorders>
                    <w:tl2br w:val="nil"/>
                    <w:tr2bl w:val="nil"/>
                  </w:tcBorders>
                  <w:noWrap/>
                  <w:vAlign w:val="center"/>
                </w:tcPr>
                <w:p w14:paraId="17659132">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85</w:t>
                  </w:r>
                  <w:r>
                    <w:rPr>
                      <w:snapToGrid w:val="0"/>
                      <w:color w:val="000000" w:themeColor="text1"/>
                      <w:kern w:val="0"/>
                      <w:szCs w:val="21"/>
                      <w14:textFill>
                        <w14:solidFill>
                          <w14:schemeClr w14:val="tx1"/>
                        </w14:solidFill>
                      </w14:textFill>
                    </w:rPr>
                    <w:t>个工作日</w:t>
                  </w:r>
                  <w:r>
                    <w:rPr>
                      <w:rFonts w:hint="eastAsia"/>
                      <w:snapToGrid w:val="0"/>
                      <w:color w:val="000000" w:themeColor="text1"/>
                      <w:kern w:val="0"/>
                      <w:szCs w:val="21"/>
                      <w14:textFill>
                        <w14:solidFill>
                          <w14:schemeClr w14:val="tx1"/>
                        </w14:solidFill>
                      </w14:textFill>
                    </w:rPr>
                    <w:t>（三个月）</w:t>
                  </w:r>
                </w:p>
              </w:tc>
              <w:tc>
                <w:tcPr>
                  <w:tcW w:w="1245" w:type="pct"/>
                  <w:tcBorders>
                    <w:tl2br w:val="nil"/>
                    <w:tr2bl w:val="nil"/>
                  </w:tcBorders>
                  <w:noWrap/>
                  <w:vAlign w:val="center"/>
                </w:tcPr>
                <w:p w14:paraId="2E7FDFB1">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1140" w:type="pct"/>
                  <w:tcBorders>
                    <w:tl2br w:val="nil"/>
                    <w:tr2bl w:val="nil"/>
                  </w:tcBorders>
                  <w:noWrap/>
                  <w:vAlign w:val="center"/>
                </w:tcPr>
                <w:p w14:paraId="7AB54970">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7A139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03F517B9">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设计处理效率</w:t>
                  </w:r>
                </w:p>
              </w:tc>
              <w:tc>
                <w:tcPr>
                  <w:tcW w:w="1367" w:type="pct"/>
                  <w:tcBorders>
                    <w:tl2br w:val="nil"/>
                    <w:tr2bl w:val="nil"/>
                  </w:tcBorders>
                  <w:noWrap/>
                  <w:vAlign w:val="center"/>
                </w:tcPr>
                <w:p w14:paraId="6C9BB59F">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8</w:t>
                  </w:r>
                  <w:r>
                    <w:rPr>
                      <w:snapToGrid w:val="0"/>
                      <w:color w:val="000000" w:themeColor="text1"/>
                      <w:kern w:val="0"/>
                      <w:szCs w:val="21"/>
                      <w14:textFill>
                        <w14:solidFill>
                          <w14:schemeClr w14:val="tx1"/>
                        </w14:solidFill>
                      </w14:textFill>
                    </w:rPr>
                    <w:t>0%</w:t>
                  </w:r>
                </w:p>
              </w:tc>
              <w:tc>
                <w:tcPr>
                  <w:tcW w:w="1245" w:type="pct"/>
                  <w:tcBorders>
                    <w:tl2br w:val="nil"/>
                    <w:tr2bl w:val="nil"/>
                  </w:tcBorders>
                  <w:noWrap/>
                  <w:vAlign w:val="center"/>
                </w:tcPr>
                <w:p w14:paraId="2C93956A">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1140" w:type="pct"/>
                  <w:tcBorders>
                    <w:tl2br w:val="nil"/>
                    <w:tr2bl w:val="nil"/>
                  </w:tcBorders>
                  <w:noWrap/>
                  <w:vAlign w:val="center"/>
                </w:tcPr>
                <w:p w14:paraId="34D7D8B4">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4F66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noWrap/>
                  <w:vAlign w:val="center"/>
                </w:tcPr>
                <w:p w14:paraId="5F156788">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水分含量（%）</w:t>
                  </w:r>
                </w:p>
              </w:tc>
              <w:tc>
                <w:tcPr>
                  <w:tcW w:w="1367" w:type="pct"/>
                  <w:tcBorders>
                    <w:tl2br w:val="nil"/>
                    <w:tr2bl w:val="nil"/>
                  </w:tcBorders>
                  <w:noWrap/>
                  <w:vAlign w:val="center"/>
                </w:tcPr>
                <w:p w14:paraId="5331A9C4">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w:t>
                  </w:r>
                </w:p>
              </w:tc>
              <w:tc>
                <w:tcPr>
                  <w:tcW w:w="1245" w:type="pct"/>
                  <w:tcBorders>
                    <w:tl2br w:val="nil"/>
                    <w:tr2bl w:val="nil"/>
                  </w:tcBorders>
                  <w:noWrap/>
                  <w:vAlign w:val="center"/>
                </w:tcPr>
                <w:p w14:paraId="334AAA7B">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≤10</w:t>
                  </w:r>
                </w:p>
              </w:tc>
              <w:tc>
                <w:tcPr>
                  <w:tcW w:w="1140" w:type="pct"/>
                  <w:tcBorders>
                    <w:tl2br w:val="nil"/>
                    <w:tr2bl w:val="nil"/>
                  </w:tcBorders>
                  <w:noWrap/>
                  <w:vAlign w:val="center"/>
                </w:tcPr>
                <w:p w14:paraId="527B0833">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≤10</w:t>
                  </w:r>
                </w:p>
              </w:tc>
            </w:tr>
            <w:tr w14:paraId="0A7EA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vAlign w:val="center"/>
                </w:tcPr>
                <w:p w14:paraId="0CA7EB7A">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耐磨强度（%）</w:t>
                  </w:r>
                </w:p>
              </w:tc>
              <w:tc>
                <w:tcPr>
                  <w:tcW w:w="1367" w:type="pct"/>
                  <w:tcBorders>
                    <w:tl2br w:val="nil"/>
                    <w:tr2bl w:val="nil"/>
                  </w:tcBorders>
                  <w:vAlign w:val="center"/>
                </w:tcPr>
                <w:p w14:paraId="210169EF">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90</w:t>
                  </w:r>
                </w:p>
              </w:tc>
              <w:tc>
                <w:tcPr>
                  <w:tcW w:w="1245" w:type="pct"/>
                  <w:tcBorders>
                    <w:tl2br w:val="nil"/>
                    <w:tr2bl w:val="nil"/>
                  </w:tcBorders>
                  <w:vAlign w:val="center"/>
                </w:tcPr>
                <w:p w14:paraId="4E49BBA8">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≥90</w:t>
                  </w:r>
                </w:p>
              </w:tc>
              <w:tc>
                <w:tcPr>
                  <w:tcW w:w="1140" w:type="pct"/>
                  <w:tcBorders>
                    <w:tl2br w:val="nil"/>
                    <w:tr2bl w:val="nil"/>
                  </w:tcBorders>
                  <w:vAlign w:val="center"/>
                </w:tcPr>
                <w:p w14:paraId="7DB100F5">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≥90</w:t>
                  </w:r>
                </w:p>
              </w:tc>
            </w:tr>
            <w:tr w14:paraId="5FFC0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vAlign w:val="center"/>
                </w:tcPr>
                <w:p w14:paraId="386173EF">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着火点（℃）</w:t>
                  </w:r>
                </w:p>
              </w:tc>
              <w:tc>
                <w:tcPr>
                  <w:tcW w:w="1367" w:type="pct"/>
                  <w:tcBorders>
                    <w:tl2br w:val="nil"/>
                    <w:tr2bl w:val="nil"/>
                  </w:tcBorders>
                  <w:vAlign w:val="center"/>
                </w:tcPr>
                <w:p w14:paraId="0DA95EB6">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400</w:t>
                  </w:r>
                </w:p>
              </w:tc>
              <w:tc>
                <w:tcPr>
                  <w:tcW w:w="1245" w:type="pct"/>
                  <w:tcBorders>
                    <w:tl2br w:val="nil"/>
                    <w:tr2bl w:val="nil"/>
                  </w:tcBorders>
                  <w:vAlign w:val="center"/>
                </w:tcPr>
                <w:p w14:paraId="35A31926">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≥350</w:t>
                  </w:r>
                </w:p>
              </w:tc>
              <w:tc>
                <w:tcPr>
                  <w:tcW w:w="1140" w:type="pct"/>
                  <w:tcBorders>
                    <w:tl2br w:val="nil"/>
                    <w:tr2bl w:val="nil"/>
                  </w:tcBorders>
                  <w:vAlign w:val="center"/>
                </w:tcPr>
                <w:p w14:paraId="4D08A703">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≥350</w:t>
                  </w:r>
                </w:p>
              </w:tc>
            </w:tr>
            <w:tr w14:paraId="03CD9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45" w:type="pct"/>
                  <w:tcBorders>
                    <w:tl2br w:val="nil"/>
                    <w:tr2bl w:val="nil"/>
                  </w:tcBorders>
                  <w:vAlign w:val="center"/>
                </w:tcPr>
                <w:p w14:paraId="61B0A821">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四氯化碳吸附率</w:t>
                  </w:r>
                  <w:r>
                    <w:rPr>
                      <w:snapToGrid w:val="0"/>
                      <w:color w:val="000000" w:themeColor="text1"/>
                      <w:kern w:val="0"/>
                      <w:szCs w:val="21"/>
                      <w14:textFill>
                        <w14:solidFill>
                          <w14:schemeClr w14:val="tx1"/>
                        </w14:solidFill>
                      </w14:textFill>
                    </w:rPr>
                    <w:t>（%）</w:t>
                  </w:r>
                </w:p>
              </w:tc>
              <w:tc>
                <w:tcPr>
                  <w:tcW w:w="1367" w:type="pct"/>
                  <w:tcBorders>
                    <w:tl2br w:val="nil"/>
                    <w:tr2bl w:val="nil"/>
                  </w:tcBorders>
                  <w:vAlign w:val="center"/>
                </w:tcPr>
                <w:p w14:paraId="512EE80F">
                  <w:pPr>
                    <w:widowControl/>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45</w:t>
                  </w:r>
                </w:p>
              </w:tc>
              <w:tc>
                <w:tcPr>
                  <w:tcW w:w="1245" w:type="pct"/>
                  <w:tcBorders>
                    <w:tl2br w:val="nil"/>
                    <w:tr2bl w:val="nil"/>
                  </w:tcBorders>
                  <w:vAlign w:val="center"/>
                </w:tcPr>
                <w:p w14:paraId="0F895AC6">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45</w:t>
                  </w:r>
                </w:p>
              </w:tc>
              <w:tc>
                <w:tcPr>
                  <w:tcW w:w="1140" w:type="pct"/>
                  <w:tcBorders>
                    <w:tl2br w:val="nil"/>
                    <w:tr2bl w:val="nil"/>
                  </w:tcBorders>
                  <w:vAlign w:val="center"/>
                </w:tcPr>
                <w:p w14:paraId="236C10CF">
                  <w:pPr>
                    <w:widowControl/>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r>
                    <w:rPr>
                      <w:rFonts w:hint="eastAsia"/>
                      <w:snapToGrid w:val="0"/>
                      <w:color w:val="000000" w:themeColor="text1"/>
                      <w:kern w:val="0"/>
                      <w:szCs w:val="21"/>
                      <w14:textFill>
                        <w14:solidFill>
                          <w14:schemeClr w14:val="tx1"/>
                        </w14:solidFill>
                      </w14:textFill>
                    </w:rPr>
                    <w:t>40</w:t>
                  </w:r>
                </w:p>
              </w:tc>
            </w:tr>
          </w:tbl>
          <w:p w14:paraId="00ECB069">
            <w:pPr>
              <w:adjustRightInd w:val="0"/>
              <w:snapToGrid w:val="0"/>
              <w:spacing w:line="480" w:lineRule="exact"/>
              <w:ind w:firstLine="480" w:firstLineChars="200"/>
              <w:rPr>
                <w:color w:val="000000" w:themeColor="text1"/>
                <w:kern w:val="0"/>
                <w:sz w:val="24"/>
                <w:shd w:val="clear" w:color="auto" w:fill="FFFFFF"/>
                <w14:textFill>
                  <w14:solidFill>
                    <w14:schemeClr w14:val="tx1"/>
                  </w14:solidFill>
                </w14:textFill>
              </w:rPr>
            </w:pPr>
            <w:r>
              <w:rPr>
                <w:color w:val="000000" w:themeColor="text1"/>
                <w:kern w:val="0"/>
                <w:sz w:val="24"/>
                <w:shd w:val="clear" w:color="auto" w:fill="FFFFFF"/>
                <w14:textFill>
                  <w14:solidFill>
                    <w14:schemeClr w14:val="tx1"/>
                  </w14:solidFill>
                </w14:textFill>
              </w:rPr>
              <w:t>根据《江苏省生态环境厅关于将排污单位活性炭使用纳入排污许可管理的通知》（苏环办〔2021〕218号），活性炭更换周期计算如下：</w:t>
            </w:r>
          </w:p>
          <w:p w14:paraId="13385103">
            <w:pPr>
              <w:spacing w:line="480" w:lineRule="exact"/>
              <w:ind w:firstLine="480" w:firstLineChars="2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T=m×s÷（c×10</w:t>
            </w:r>
            <w:r>
              <w:rPr>
                <w:color w:val="000000" w:themeColor="text1"/>
                <w:sz w:val="24"/>
                <w:vertAlign w:val="superscript"/>
                <w14:textFill>
                  <w14:solidFill>
                    <w14:schemeClr w14:val="tx1"/>
                  </w14:solidFill>
                </w14:textFill>
              </w:rPr>
              <w:t>-6</w:t>
            </w:r>
            <w:r>
              <w:rPr>
                <w:color w:val="000000" w:themeColor="text1"/>
                <w:sz w:val="24"/>
                <w14:textFill>
                  <w14:solidFill>
                    <w14:schemeClr w14:val="tx1"/>
                  </w14:solidFill>
                </w14:textFill>
              </w:rPr>
              <w:t>×Q×t）</w:t>
            </w:r>
          </w:p>
          <w:p w14:paraId="7288A1A7">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式中：T—更换周期，天；</w:t>
            </w:r>
          </w:p>
          <w:p w14:paraId="7EAE6688">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m—活性炭的用量，kg；本项目</w:t>
            </w:r>
            <w:r>
              <w:rPr>
                <w:rFonts w:hint="eastAsia"/>
                <w:color w:val="000000" w:themeColor="text1"/>
                <w:sz w:val="24"/>
                <w14:textFill>
                  <w14:solidFill>
                    <w14:schemeClr w14:val="tx1"/>
                  </w14:solidFill>
                </w14:textFill>
              </w:rPr>
              <w:t>废气</w:t>
            </w:r>
            <w:r>
              <w:rPr>
                <w:color w:val="000000" w:themeColor="text1"/>
                <w:sz w:val="24"/>
                <w14:textFill>
                  <w14:solidFill>
                    <w14:schemeClr w14:val="tx1"/>
                  </w14:solidFill>
                </w14:textFill>
              </w:rPr>
              <w:t>处理设施“活性炭吸附装置”中活性炭装填量为</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0kg。</w:t>
            </w:r>
          </w:p>
          <w:p w14:paraId="03A0765B">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s—动态吸附量，%</w:t>
            </w:r>
            <w:r>
              <w:rPr>
                <w:rFonts w:hint="eastAsia"/>
                <w:color w:val="000000" w:themeColor="text1"/>
                <w:sz w:val="24"/>
                <w14:textFill>
                  <w14:solidFill>
                    <w14:schemeClr w14:val="tx1"/>
                  </w14:solidFill>
                </w14:textFill>
              </w:rPr>
              <w:t>，取10%</w:t>
            </w:r>
            <w:r>
              <w:rPr>
                <w:color w:val="000000" w:themeColor="text1"/>
                <w:sz w:val="24"/>
                <w14:textFill>
                  <w14:solidFill>
                    <w14:schemeClr w14:val="tx1"/>
                  </w14:solidFill>
                </w14:textFill>
              </w:rPr>
              <w:t>；</w:t>
            </w:r>
          </w:p>
          <w:p w14:paraId="3DE939C8">
            <w:pPr>
              <w:spacing w:line="480" w:lineRule="exact"/>
              <w:ind w:firstLine="480" w:firstLineChars="200"/>
              <w:rPr>
                <w:color w:val="FF0000"/>
                <w:sz w:val="24"/>
              </w:rPr>
            </w:pPr>
            <w:r>
              <w:rPr>
                <w:color w:val="FF0000"/>
                <w:sz w:val="24"/>
              </w:rPr>
              <w:t>c—活性炭削减的VOCs浓度，mg/m</w:t>
            </w:r>
            <w:r>
              <w:rPr>
                <w:color w:val="FF0000"/>
                <w:sz w:val="24"/>
                <w:vertAlign w:val="superscript"/>
              </w:rPr>
              <w:t>3</w:t>
            </w:r>
            <w:r>
              <w:rPr>
                <w:color w:val="FF0000"/>
                <w:sz w:val="24"/>
              </w:rPr>
              <w:t>；“二级活性炭吸附装置”削减的VOCs浓度为</w:t>
            </w:r>
            <w:r>
              <w:rPr>
                <w:rFonts w:hint="eastAsia"/>
                <w:color w:val="FF0000"/>
                <w:sz w:val="24"/>
                <w:lang w:val="en-US" w:eastAsia="zh-CN"/>
              </w:rPr>
              <w:t>4.89</w:t>
            </w:r>
            <w:r>
              <w:rPr>
                <w:color w:val="FF0000"/>
                <w:sz w:val="24"/>
              </w:rPr>
              <w:t>mg/m</w:t>
            </w:r>
            <w:r>
              <w:rPr>
                <w:color w:val="FF0000"/>
                <w:sz w:val="24"/>
                <w:vertAlign w:val="superscript"/>
              </w:rPr>
              <w:t>3</w:t>
            </w:r>
            <w:r>
              <w:rPr>
                <w:rFonts w:hint="eastAsia"/>
                <w:color w:val="FF0000"/>
                <w:sz w:val="24"/>
                <w:vertAlign w:val="baseline"/>
                <w:lang w:eastAsia="zh-CN"/>
              </w:rPr>
              <w:t>（</w:t>
            </w:r>
            <w:r>
              <w:rPr>
                <w:rFonts w:hint="eastAsia"/>
                <w:color w:val="FF0000"/>
                <w:sz w:val="24"/>
                <w:vertAlign w:val="baseline"/>
                <w:lang w:val="en-US" w:eastAsia="zh-CN"/>
              </w:rPr>
              <w:t>本项目进入二级活性炭吸附装置的有机废气量为0.0176t/a、浓度为6.11</w:t>
            </w:r>
            <w:r>
              <w:rPr>
                <w:color w:val="FF0000"/>
                <w:sz w:val="24"/>
              </w:rPr>
              <w:t>mg/m</w:t>
            </w:r>
            <w:r>
              <w:rPr>
                <w:color w:val="FF0000"/>
                <w:sz w:val="24"/>
                <w:vertAlign w:val="superscript"/>
              </w:rPr>
              <w:t>3</w:t>
            </w:r>
            <w:r>
              <w:rPr>
                <w:color w:val="FF0000"/>
                <w:sz w:val="24"/>
              </w:rPr>
              <w:t>，</w:t>
            </w:r>
            <w:r>
              <w:rPr>
                <w:rFonts w:hint="eastAsia"/>
                <w:color w:val="FF0000"/>
                <w:sz w:val="24"/>
                <w:lang w:val="en-US" w:eastAsia="zh-CN"/>
              </w:rPr>
              <w:t>处理效率为80%，则</w:t>
            </w:r>
            <w:r>
              <w:rPr>
                <w:color w:val="FF0000"/>
                <w:sz w:val="24"/>
              </w:rPr>
              <w:t>削减的</w:t>
            </w:r>
            <w:r>
              <w:rPr>
                <w:rFonts w:hint="eastAsia"/>
                <w:color w:val="FF0000"/>
                <w:sz w:val="24"/>
                <w:lang w:val="en-US" w:eastAsia="zh-CN"/>
              </w:rPr>
              <w:t>有机废气浓度为4.89</w:t>
            </w:r>
            <w:r>
              <w:rPr>
                <w:color w:val="FF0000"/>
                <w:sz w:val="24"/>
              </w:rPr>
              <w:t>mg/m</w:t>
            </w:r>
            <w:r>
              <w:rPr>
                <w:color w:val="FF0000"/>
                <w:sz w:val="24"/>
                <w:vertAlign w:val="superscript"/>
              </w:rPr>
              <w:t>3</w:t>
            </w:r>
            <w:r>
              <w:rPr>
                <w:rFonts w:hint="eastAsia"/>
                <w:color w:val="FF0000"/>
                <w:sz w:val="24"/>
                <w:vertAlign w:val="baseline"/>
                <w:lang w:eastAsia="zh-CN"/>
              </w:rPr>
              <w:t>）</w:t>
            </w:r>
            <w:r>
              <w:rPr>
                <w:color w:val="FF0000"/>
                <w:sz w:val="24"/>
              </w:rPr>
              <w:t>。</w:t>
            </w:r>
          </w:p>
          <w:p w14:paraId="375A7464">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Q—风量，单位m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/h；废气处理设施设计风量为</w:t>
            </w:r>
            <w:r>
              <w:rPr>
                <w:rFonts w:hint="eastAsia"/>
                <w:color w:val="000000" w:themeColor="text1"/>
                <w:sz w:val="24"/>
                <w14:textFill>
                  <w14:solidFill>
                    <w14:schemeClr w14:val="tx1"/>
                  </w14:solidFill>
                </w14:textFill>
              </w:rPr>
              <w:t>12</w:t>
            </w:r>
            <w:r>
              <w:rPr>
                <w:color w:val="000000" w:themeColor="text1"/>
                <w:sz w:val="24"/>
                <w14:textFill>
                  <w14:solidFill>
                    <w14:schemeClr w14:val="tx1"/>
                  </w14:solidFill>
                </w14:textFill>
              </w:rPr>
              <w:t>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p>
          <w:p w14:paraId="242FE5CA">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t—运行时间，单位h/d。废气处理设施日运行</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h。</w:t>
            </w:r>
          </w:p>
          <w:p w14:paraId="5C8F3878">
            <w:pPr>
              <w:pStyle w:val="8"/>
              <w:spacing w:before="0" w:after="0" w:line="480" w:lineRule="exact"/>
              <w:ind w:right="0"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根据上述公式及参数计算得废气处理设施活性炭更换周期</w:t>
            </w:r>
            <w:r>
              <w:rPr>
                <w:rFonts w:hint="eastAsia"/>
                <w:color w:val="000000" w:themeColor="text1"/>
                <w:sz w:val="24"/>
                <w14:textFill>
                  <w14:solidFill>
                    <w14:schemeClr w14:val="tx1"/>
                  </w14:solidFill>
                </w14:textFill>
              </w:rPr>
              <w:t>约</w:t>
            </w:r>
            <w:r>
              <w:rPr>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85</w:t>
            </w:r>
            <w:r>
              <w:rPr>
                <w:color w:val="000000" w:themeColor="text1"/>
                <w:sz w:val="24"/>
                <w14:textFill>
                  <w14:solidFill>
                    <w14:schemeClr w14:val="tx1"/>
                  </w14:solidFill>
                </w14:textFill>
              </w:rPr>
              <w:t>d/次</w:t>
            </w:r>
            <w:r>
              <w:rPr>
                <w:rFonts w:hint="eastAsia"/>
                <w:color w:val="000000" w:themeColor="text1"/>
                <w:sz w:val="24"/>
                <w14:textFill>
                  <w14:solidFill>
                    <w14:schemeClr w14:val="tx1"/>
                  </w14:solidFill>
                </w14:textFill>
              </w:rPr>
              <w:t>，企业年工作300d，</w:t>
            </w:r>
            <w:r>
              <w:rPr>
                <w:color w:val="000000" w:themeColor="text1"/>
                <w:sz w:val="24"/>
                <w14:textFill>
                  <w14:solidFill>
                    <w14:schemeClr w14:val="tx1"/>
                  </w14:solidFill>
                </w14:textFill>
              </w:rPr>
              <w:t>废气处理设施活性炭更换周期</w:t>
            </w:r>
            <w:r>
              <w:rPr>
                <w:rFonts w:hint="eastAsia"/>
                <w:color w:val="000000" w:themeColor="text1"/>
                <w:sz w:val="24"/>
                <w14:textFill>
                  <w14:solidFill>
                    <w14:schemeClr w14:val="tx1"/>
                  </w14:solidFill>
                </w14:textFill>
              </w:rPr>
              <w:t>约三个月，符合要求。</w:t>
            </w:r>
          </w:p>
          <w:p w14:paraId="7D76355F">
            <w:pPr>
              <w:pStyle w:val="8"/>
              <w:spacing w:before="0" w:after="0" w:line="480" w:lineRule="exact"/>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根据《市生态环境局关于进一步强化涉气企业活性炭使用管理的通知》（常环气【2024】2号）内容：①严把活性炭质量关。选用的活性炭必须符合《吸附法工业有机废气治理工程技术规范》（HJ 2026-2013）等标准要求。②确保足量规范填充。应根据废气特性、浓度、风量、设计去除效率等因素，科学核算活性炭填充量，确保满足设计要求并留有合理余量。填充时应均匀分布，避免出现气流短路。③建立定期更换制度。企业必须建立活性炭定期更换制度，根据生产负荷、废气浓度、活性炭吸附容量等因素，科学确定更换周期，原则上不应超过设计周期。当活性炭吸附饱和或效率明显下降时，必须及时更换，并记录更换时间、更换量等信息。鼓励采用连续监测数据、压差监测、定期检测出口浓度等方式判断活性炭饱和状态，实现精准更换。</w:t>
            </w:r>
          </w:p>
          <w:p w14:paraId="3AEA7F4A">
            <w:pPr>
              <w:pStyle w:val="8"/>
              <w:spacing w:before="0" w:after="0" w:line="480" w:lineRule="exact"/>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本项目选用的活性炭质量满足（苏环办〔2022〕218号）、（DB32/T5030）等要求，活性炭填充规范，由专业单位设计安装。本项目</w:t>
            </w:r>
            <w:r>
              <w:rPr>
                <w:color w:val="000000" w:themeColor="text1"/>
                <w:sz w:val="24"/>
                <w14:textFill>
                  <w14:solidFill>
                    <w14:schemeClr w14:val="tx1"/>
                  </w14:solidFill>
                </w14:textFill>
              </w:rPr>
              <w:t>废气处理设施活性炭更换周期</w:t>
            </w:r>
            <w:r>
              <w:rPr>
                <w:rFonts w:hint="eastAsia"/>
                <w:color w:val="000000" w:themeColor="text1"/>
                <w:sz w:val="24"/>
                <w14:textFill>
                  <w14:solidFill>
                    <w14:schemeClr w14:val="tx1"/>
                  </w14:solidFill>
                </w14:textFill>
              </w:rPr>
              <w:t>约三个月，符合要求。</w:t>
            </w:r>
          </w:p>
          <w:p w14:paraId="51220470">
            <w:pPr>
              <w:pStyle w:val="8"/>
              <w:spacing w:before="0" w:after="0" w:line="480" w:lineRule="exact"/>
              <w:ind w:right="0" w:firstLine="482" w:firstLineChars="200"/>
              <w:rPr>
                <w:b/>
                <w:bCs/>
                <w:color w:val="000000" w:themeColor="text1"/>
                <w:kern w:val="2"/>
                <w:sz w:val="24"/>
                <w:szCs w:val="24"/>
                <w14:textFill>
                  <w14:solidFill>
                    <w14:schemeClr w14:val="tx1"/>
                  </w14:solidFill>
                </w14:textFill>
              </w:rPr>
            </w:pPr>
            <w:r>
              <w:rPr>
                <w:rFonts w:hint="eastAsia"/>
                <w:b/>
                <w:bCs/>
                <w:color w:val="000000" w:themeColor="text1"/>
                <w:kern w:val="2"/>
                <w:sz w:val="24"/>
                <w:szCs w:val="24"/>
                <w14:textFill>
                  <w14:solidFill>
                    <w14:schemeClr w14:val="tx1"/>
                  </w14:solidFill>
                </w14:textFill>
              </w:rPr>
              <w:t>（4）其他无组织废气治理措施</w:t>
            </w:r>
          </w:p>
          <w:p w14:paraId="21110C43">
            <w:pPr>
              <w:pStyle w:val="8"/>
              <w:spacing w:before="0" w:after="0" w:line="480" w:lineRule="exact"/>
              <w:ind w:right="0" w:firstLine="480" w:firstLineChars="200"/>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根据</w:t>
            </w:r>
            <w:r>
              <w:rPr>
                <w:color w:val="000000" w:themeColor="text1"/>
                <w:sz w:val="24"/>
                <w14:textFill>
                  <w14:solidFill>
                    <w14:schemeClr w14:val="tx1"/>
                  </w14:solidFill>
                </w14:textFill>
              </w:rPr>
              <w:t>《实验室废气污染控制技术规范》（DB32/T4455-2023）</w:t>
            </w:r>
            <w:r>
              <w:rPr>
                <w:rFonts w:hint="eastAsia"/>
                <w:color w:val="000000" w:themeColor="text1"/>
                <w:sz w:val="24"/>
                <w14:textFill>
                  <w14:solidFill>
                    <w14:schemeClr w14:val="tx1"/>
                  </w14:solidFill>
                </w14:textFill>
              </w:rPr>
              <w:t>、</w:t>
            </w:r>
            <w:r>
              <w:rPr>
                <w:rFonts w:hint="eastAsia"/>
                <w:color w:val="000000" w:themeColor="text1"/>
                <w:kern w:val="2"/>
                <w:sz w:val="24"/>
                <w:szCs w:val="24"/>
                <w14:textFill>
                  <w14:solidFill>
                    <w14:schemeClr w14:val="tx1"/>
                  </w14:solidFill>
                </w14:textFill>
              </w:rPr>
              <w:t>《大气污染物综合排放标准》（DB32/4041-2021），结合本项目生产特点，本项目采取的无组织废气污染防治措施如下：</w:t>
            </w:r>
          </w:p>
          <w:p w14:paraId="26103C6F">
            <w:pPr>
              <w:pStyle w:val="8"/>
              <w:spacing w:before="0" w:after="0" w:line="480" w:lineRule="exact"/>
              <w:ind w:right="0" w:firstLine="480" w:firstLineChars="200"/>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①提高实验室的密闭程度，合理设计送排风系统，提高废气捕集率，尽量将废气收集集中处置、排放，减少无组织排放废气的产生量，减少其环境影响。</w:t>
            </w:r>
          </w:p>
          <w:p w14:paraId="57EB3CD9">
            <w:pPr>
              <w:pStyle w:val="8"/>
              <w:spacing w:before="0" w:after="0" w:line="480" w:lineRule="exact"/>
              <w:ind w:right="0" w:firstLine="480" w:firstLineChars="200"/>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②加强实验室管理，规范操作，使设备处于正常工作状态，减少生产、控制、输送等过程中的废气散发，主控装置尽可能采用自动控制系统。</w:t>
            </w:r>
          </w:p>
          <w:p w14:paraId="768A3874">
            <w:pPr>
              <w:pStyle w:val="8"/>
              <w:spacing w:before="0" w:after="0" w:line="480" w:lineRule="exact"/>
              <w:ind w:right="0" w:firstLine="480" w:firstLineChars="200"/>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③加强员工的培训和管理，增强员工的环保意识，减少人为造成的对环境的污染。</w:t>
            </w:r>
          </w:p>
          <w:p w14:paraId="2FA4C25D">
            <w:pPr>
              <w:pStyle w:val="8"/>
              <w:spacing w:before="0" w:after="0" w:line="480" w:lineRule="exact"/>
              <w:ind w:right="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1.3排放</w:t>
            </w:r>
            <w:r>
              <w:rPr>
                <w:b/>
                <w:bCs/>
                <w:color w:val="000000" w:themeColor="text1"/>
                <w:sz w:val="24"/>
                <w14:textFill>
                  <w14:solidFill>
                    <w14:schemeClr w14:val="tx1"/>
                  </w14:solidFill>
                </w14:textFill>
              </w:rPr>
              <w:t>情况分析</w:t>
            </w:r>
          </w:p>
          <w:p w14:paraId="5EC125F3">
            <w:pPr>
              <w:adjustRightInd w:val="0"/>
              <w:snapToGrid w:val="0"/>
              <w:spacing w:line="480" w:lineRule="exact"/>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本项目无组织废气排放情况见</w:t>
            </w:r>
            <w:r>
              <w:rPr>
                <w:rFonts w:hint="eastAsia"/>
                <w:bCs/>
                <w:color w:val="000000" w:themeColor="text1"/>
                <w:sz w:val="24"/>
                <w14:textFill>
                  <w14:solidFill>
                    <w14:schemeClr w14:val="tx1"/>
                  </w14:solidFill>
                </w14:textFill>
              </w:rPr>
              <w:t>下表</w:t>
            </w:r>
            <w:r>
              <w:rPr>
                <w:bCs/>
                <w:color w:val="000000" w:themeColor="text1"/>
                <w:sz w:val="24"/>
                <w14:textFill>
                  <w14:solidFill>
                    <w14:schemeClr w14:val="tx1"/>
                  </w14:solidFill>
                </w14:textFill>
              </w:rPr>
              <w:t>。</w:t>
            </w:r>
          </w:p>
          <w:p w14:paraId="32D9D603">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 xml:space="preserve">  本项目无组织废气产生及排放情况表</w:t>
            </w:r>
          </w:p>
          <w:tbl>
            <w:tblPr>
              <w:tblStyle w:val="2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92"/>
              <w:gridCol w:w="1203"/>
              <w:gridCol w:w="1049"/>
              <w:gridCol w:w="1074"/>
              <w:gridCol w:w="1134"/>
              <w:gridCol w:w="1135"/>
              <w:gridCol w:w="979"/>
              <w:gridCol w:w="1052"/>
              <w:gridCol w:w="960"/>
            </w:tblGrid>
            <w:tr w14:paraId="08E46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654" w:hRule="atLeast"/>
              </w:trPr>
              <w:tc>
                <w:tcPr>
                  <w:tcW w:w="423" w:type="pct"/>
                  <w:vAlign w:val="center"/>
                </w:tcPr>
                <w:p w14:paraId="69F3F8C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面源名称</w:t>
                  </w:r>
                </w:p>
              </w:tc>
              <w:tc>
                <w:tcPr>
                  <w:tcW w:w="641" w:type="pct"/>
                  <w:vAlign w:val="center"/>
                </w:tcPr>
                <w:p w14:paraId="4F9C7D6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污染物产生环节</w:t>
                  </w:r>
                </w:p>
              </w:tc>
              <w:tc>
                <w:tcPr>
                  <w:tcW w:w="559" w:type="pct"/>
                  <w:vAlign w:val="center"/>
                </w:tcPr>
                <w:p w14:paraId="4184BE3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p w14:paraId="1C81912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572" w:type="pct"/>
                  <w:vAlign w:val="center"/>
                </w:tcPr>
                <w:p w14:paraId="31AB65B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污染物产生量t/a</w:t>
                  </w:r>
                </w:p>
              </w:tc>
              <w:tc>
                <w:tcPr>
                  <w:tcW w:w="604" w:type="pct"/>
                  <w:vAlign w:val="center"/>
                </w:tcPr>
                <w:p w14:paraId="17699BFC">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产生</w:t>
                  </w:r>
                  <w:r>
                    <w:rPr>
                      <w:b/>
                      <w:bCs/>
                      <w:color w:val="000000" w:themeColor="text1"/>
                      <w:szCs w:val="21"/>
                      <w14:textFill>
                        <w14:solidFill>
                          <w14:schemeClr w14:val="tx1"/>
                        </w14:solidFill>
                      </w14:textFill>
                    </w:rPr>
                    <w:t>速率kg/h</w:t>
                  </w:r>
                </w:p>
              </w:tc>
              <w:tc>
                <w:tcPr>
                  <w:tcW w:w="604" w:type="pct"/>
                  <w:vAlign w:val="center"/>
                </w:tcPr>
                <w:p w14:paraId="4991D41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治理措施</w:t>
                  </w:r>
                </w:p>
              </w:tc>
              <w:tc>
                <w:tcPr>
                  <w:tcW w:w="521" w:type="pct"/>
                  <w:vAlign w:val="center"/>
                </w:tcPr>
                <w:p w14:paraId="7A830D8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污染物排放量t/a</w:t>
                  </w:r>
                </w:p>
              </w:tc>
              <w:tc>
                <w:tcPr>
                  <w:tcW w:w="560" w:type="pct"/>
                  <w:vAlign w:val="center"/>
                </w:tcPr>
                <w:p w14:paraId="10AB390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排放速率kg/h</w:t>
                  </w:r>
                </w:p>
              </w:tc>
              <w:tc>
                <w:tcPr>
                  <w:tcW w:w="511" w:type="pct"/>
                  <w:vAlign w:val="center"/>
                </w:tcPr>
                <w:p w14:paraId="13B7AFE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面源面积（m</w:t>
                  </w:r>
                  <w:r>
                    <w:rPr>
                      <w:b/>
                      <w:bCs/>
                      <w:color w:val="000000" w:themeColor="text1"/>
                      <w:szCs w:val="21"/>
                      <w:vertAlign w:val="superscript"/>
                      <w14:textFill>
                        <w14:solidFill>
                          <w14:schemeClr w14:val="tx1"/>
                        </w14:solidFill>
                      </w14:textFill>
                    </w:rPr>
                    <w:t>2</w:t>
                  </w:r>
                  <w:r>
                    <w:rPr>
                      <w:b/>
                      <w:bCs/>
                      <w:color w:val="000000" w:themeColor="text1"/>
                      <w:szCs w:val="21"/>
                      <w14:textFill>
                        <w14:solidFill>
                          <w14:schemeClr w14:val="tx1"/>
                        </w14:solidFill>
                      </w14:textFill>
                    </w:rPr>
                    <w:t>）</w:t>
                  </w:r>
                </w:p>
              </w:tc>
            </w:tr>
            <w:tr w14:paraId="01C0C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90" w:hRule="atLeast"/>
              </w:trPr>
              <w:tc>
                <w:tcPr>
                  <w:tcW w:w="423" w:type="pct"/>
                  <w:vMerge w:val="restart"/>
                  <w:vAlign w:val="center"/>
                </w:tcPr>
                <w:p w14:paraId="3E303CD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生产车间</w:t>
                  </w:r>
                </w:p>
              </w:tc>
              <w:tc>
                <w:tcPr>
                  <w:tcW w:w="641" w:type="pct"/>
                  <w:vAlign w:val="center"/>
                </w:tcPr>
                <w:p w14:paraId="5B9BAC1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溶剂萃取、乙醇回收</w:t>
                  </w:r>
                </w:p>
              </w:tc>
              <w:tc>
                <w:tcPr>
                  <w:tcW w:w="559" w:type="pct"/>
                  <w:vAlign w:val="center"/>
                </w:tcPr>
                <w:p w14:paraId="7E251AC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049" w:type="dxa"/>
                  <w:vAlign w:val="center"/>
                </w:tcPr>
                <w:p w14:paraId="7082631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0.018</w:t>
                  </w:r>
                </w:p>
              </w:tc>
              <w:tc>
                <w:tcPr>
                  <w:tcW w:w="604" w:type="pct"/>
                  <w:vAlign w:val="center"/>
                </w:tcPr>
                <w:p w14:paraId="55207F2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0.0075</w:t>
                  </w:r>
                </w:p>
              </w:tc>
              <w:tc>
                <w:tcPr>
                  <w:tcW w:w="604" w:type="pct"/>
                  <w:vMerge w:val="restart"/>
                  <w:vAlign w:val="center"/>
                </w:tcPr>
                <w:p w14:paraId="5ABA3F7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活性炭吸附装置</w:t>
                  </w:r>
                </w:p>
              </w:tc>
              <w:tc>
                <w:tcPr>
                  <w:tcW w:w="521" w:type="pct"/>
                  <w:vAlign w:val="center"/>
                </w:tcPr>
                <w:p w14:paraId="3621018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0.0036</w:t>
                  </w:r>
                </w:p>
              </w:tc>
              <w:tc>
                <w:tcPr>
                  <w:tcW w:w="560" w:type="pct"/>
                  <w:vAlign w:val="center"/>
                </w:tcPr>
                <w:p w14:paraId="2B44A7A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0.0015</w:t>
                  </w:r>
                </w:p>
              </w:tc>
              <w:tc>
                <w:tcPr>
                  <w:tcW w:w="511" w:type="pct"/>
                  <w:vMerge w:val="restart"/>
                  <w:vAlign w:val="center"/>
                </w:tcPr>
                <w:p w14:paraId="03E19FE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16*10</w:t>
                  </w:r>
                </w:p>
              </w:tc>
            </w:tr>
            <w:tr w14:paraId="4137A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90" w:hRule="atLeast"/>
              </w:trPr>
              <w:tc>
                <w:tcPr>
                  <w:tcW w:w="423" w:type="pct"/>
                  <w:vMerge w:val="continue"/>
                  <w:vAlign w:val="center"/>
                </w:tcPr>
                <w:p w14:paraId="5CCAF699">
                  <w:pPr>
                    <w:jc w:val="center"/>
                    <w:rPr>
                      <w:color w:val="000000" w:themeColor="text1"/>
                      <w:szCs w:val="21"/>
                      <w14:textFill>
                        <w14:solidFill>
                          <w14:schemeClr w14:val="tx1"/>
                        </w14:solidFill>
                      </w14:textFill>
                    </w:rPr>
                  </w:pPr>
                </w:p>
              </w:tc>
              <w:tc>
                <w:tcPr>
                  <w:tcW w:w="641" w:type="pct"/>
                  <w:vMerge w:val="restart"/>
                  <w:vAlign w:val="center"/>
                </w:tcPr>
                <w:p w14:paraId="7163412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检验废气</w:t>
                  </w:r>
                </w:p>
              </w:tc>
              <w:tc>
                <w:tcPr>
                  <w:tcW w:w="559" w:type="pct"/>
                  <w:vAlign w:val="center"/>
                </w:tcPr>
                <w:p w14:paraId="07C7191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049" w:type="dxa"/>
                  <w:vAlign w:val="center"/>
                </w:tcPr>
                <w:p w14:paraId="7C192E9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0.0016</w:t>
                  </w:r>
                </w:p>
              </w:tc>
              <w:tc>
                <w:tcPr>
                  <w:tcW w:w="604" w:type="pct"/>
                  <w:vAlign w:val="center"/>
                </w:tcPr>
                <w:p w14:paraId="6D1D1E0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0.0007</w:t>
                  </w:r>
                </w:p>
              </w:tc>
              <w:tc>
                <w:tcPr>
                  <w:tcW w:w="604" w:type="pct"/>
                  <w:vMerge w:val="continue"/>
                  <w:vAlign w:val="center"/>
                </w:tcPr>
                <w:p w14:paraId="11162EB1">
                  <w:pPr>
                    <w:jc w:val="center"/>
                    <w:rPr>
                      <w:color w:val="000000" w:themeColor="text1"/>
                      <w:szCs w:val="21"/>
                      <w14:textFill>
                        <w14:solidFill>
                          <w14:schemeClr w14:val="tx1"/>
                        </w14:solidFill>
                      </w14:textFill>
                    </w:rPr>
                  </w:pPr>
                </w:p>
              </w:tc>
              <w:tc>
                <w:tcPr>
                  <w:tcW w:w="521" w:type="pct"/>
                  <w:vAlign w:val="center"/>
                </w:tcPr>
                <w:p w14:paraId="1B09F3A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w:t>
                  </w:r>
                </w:p>
              </w:tc>
              <w:tc>
                <w:tcPr>
                  <w:tcW w:w="560" w:type="pct"/>
                  <w:vAlign w:val="center"/>
                </w:tcPr>
                <w:p w14:paraId="67D5F03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0.0001</w:t>
                  </w:r>
                </w:p>
              </w:tc>
              <w:tc>
                <w:tcPr>
                  <w:tcW w:w="511" w:type="pct"/>
                  <w:vMerge w:val="continue"/>
                  <w:vAlign w:val="center"/>
                </w:tcPr>
                <w:p w14:paraId="156E3D70">
                  <w:pPr>
                    <w:jc w:val="center"/>
                    <w:rPr>
                      <w:color w:val="000000" w:themeColor="text1"/>
                      <w:szCs w:val="21"/>
                      <w14:textFill>
                        <w14:solidFill>
                          <w14:schemeClr w14:val="tx1"/>
                        </w14:solidFill>
                      </w14:textFill>
                    </w:rPr>
                  </w:pPr>
                </w:p>
              </w:tc>
            </w:tr>
            <w:tr w14:paraId="1CB1C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90" w:hRule="atLeast"/>
              </w:trPr>
              <w:tc>
                <w:tcPr>
                  <w:tcW w:w="423" w:type="pct"/>
                  <w:vMerge w:val="continue"/>
                  <w:vAlign w:val="center"/>
                </w:tcPr>
                <w:p w14:paraId="0FF5E05B">
                  <w:pPr>
                    <w:jc w:val="center"/>
                    <w:rPr>
                      <w:color w:val="000000" w:themeColor="text1"/>
                      <w:szCs w:val="21"/>
                      <w14:textFill>
                        <w14:solidFill>
                          <w14:schemeClr w14:val="tx1"/>
                        </w14:solidFill>
                      </w14:textFill>
                    </w:rPr>
                  </w:pPr>
                </w:p>
              </w:tc>
              <w:tc>
                <w:tcPr>
                  <w:tcW w:w="641" w:type="pct"/>
                  <w:vMerge w:val="continue"/>
                  <w:vAlign w:val="center"/>
                </w:tcPr>
                <w:p w14:paraId="66ACAB5E">
                  <w:pPr>
                    <w:adjustRightInd w:val="0"/>
                    <w:snapToGrid w:val="0"/>
                    <w:jc w:val="center"/>
                    <w:rPr>
                      <w:color w:val="000000" w:themeColor="text1"/>
                      <w:szCs w:val="21"/>
                      <w14:textFill>
                        <w14:solidFill>
                          <w14:schemeClr w14:val="tx1"/>
                        </w14:solidFill>
                      </w14:textFill>
                    </w:rPr>
                  </w:pPr>
                </w:p>
              </w:tc>
              <w:tc>
                <w:tcPr>
                  <w:tcW w:w="559" w:type="pct"/>
                  <w:vAlign w:val="center"/>
                </w:tcPr>
                <w:p w14:paraId="09372AB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甲醇</w:t>
                  </w:r>
                </w:p>
              </w:tc>
              <w:tc>
                <w:tcPr>
                  <w:tcW w:w="1049" w:type="dxa"/>
                  <w:vAlign w:val="center"/>
                </w:tcPr>
                <w:p w14:paraId="246E61B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0.0008</w:t>
                  </w:r>
                </w:p>
              </w:tc>
              <w:tc>
                <w:tcPr>
                  <w:tcW w:w="604" w:type="pct"/>
                  <w:vAlign w:val="center"/>
                </w:tcPr>
                <w:p w14:paraId="39A8261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w:t>
                  </w:r>
                </w:p>
              </w:tc>
              <w:tc>
                <w:tcPr>
                  <w:tcW w:w="604" w:type="pct"/>
                  <w:vMerge w:val="continue"/>
                  <w:vAlign w:val="center"/>
                </w:tcPr>
                <w:p w14:paraId="02C91992">
                  <w:pPr>
                    <w:jc w:val="center"/>
                    <w:rPr>
                      <w:color w:val="000000" w:themeColor="text1"/>
                      <w:szCs w:val="21"/>
                      <w14:textFill>
                        <w14:solidFill>
                          <w14:schemeClr w14:val="tx1"/>
                        </w14:solidFill>
                      </w14:textFill>
                    </w:rPr>
                  </w:pPr>
                </w:p>
              </w:tc>
              <w:tc>
                <w:tcPr>
                  <w:tcW w:w="521" w:type="pct"/>
                  <w:vAlign w:val="center"/>
                </w:tcPr>
                <w:p w14:paraId="77E69CC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0.0002</w:t>
                  </w:r>
                </w:p>
              </w:tc>
              <w:tc>
                <w:tcPr>
                  <w:tcW w:w="560" w:type="pct"/>
                  <w:vAlign w:val="center"/>
                </w:tcPr>
                <w:p w14:paraId="6519549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0.0001</w:t>
                  </w:r>
                </w:p>
              </w:tc>
              <w:tc>
                <w:tcPr>
                  <w:tcW w:w="511" w:type="pct"/>
                  <w:vMerge w:val="continue"/>
                  <w:vAlign w:val="center"/>
                </w:tcPr>
                <w:p w14:paraId="17CFDF2F">
                  <w:pPr>
                    <w:jc w:val="center"/>
                    <w:rPr>
                      <w:color w:val="000000" w:themeColor="text1"/>
                      <w:szCs w:val="21"/>
                      <w14:textFill>
                        <w14:solidFill>
                          <w14:schemeClr w14:val="tx1"/>
                        </w14:solidFill>
                      </w14:textFill>
                    </w:rPr>
                  </w:pPr>
                </w:p>
              </w:tc>
            </w:tr>
            <w:tr w14:paraId="2074C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90" w:hRule="atLeast"/>
              </w:trPr>
              <w:tc>
                <w:tcPr>
                  <w:tcW w:w="423" w:type="pct"/>
                  <w:vMerge w:val="continue"/>
                  <w:vAlign w:val="center"/>
                </w:tcPr>
                <w:p w14:paraId="6A41310E">
                  <w:pPr>
                    <w:jc w:val="center"/>
                    <w:rPr>
                      <w:color w:val="000000" w:themeColor="text1"/>
                      <w:szCs w:val="21"/>
                      <w14:textFill>
                        <w14:solidFill>
                          <w14:schemeClr w14:val="tx1"/>
                        </w14:solidFill>
                      </w14:textFill>
                    </w:rPr>
                  </w:pPr>
                </w:p>
              </w:tc>
              <w:tc>
                <w:tcPr>
                  <w:tcW w:w="641" w:type="pct"/>
                  <w:vAlign w:val="center"/>
                </w:tcPr>
                <w:p w14:paraId="6203E49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消毒废气</w:t>
                  </w:r>
                </w:p>
              </w:tc>
              <w:tc>
                <w:tcPr>
                  <w:tcW w:w="559" w:type="pct"/>
                  <w:vAlign w:val="center"/>
                </w:tcPr>
                <w:p w14:paraId="4A64598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049" w:type="dxa"/>
                  <w:vAlign w:val="center"/>
                </w:tcPr>
                <w:p w14:paraId="06CB7B7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0.0013</w:t>
                  </w:r>
                </w:p>
              </w:tc>
              <w:tc>
                <w:tcPr>
                  <w:tcW w:w="604" w:type="pct"/>
                  <w:vAlign w:val="center"/>
                </w:tcPr>
                <w:p w14:paraId="474D566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0.0005</w:t>
                  </w:r>
                </w:p>
              </w:tc>
              <w:tc>
                <w:tcPr>
                  <w:tcW w:w="604" w:type="pct"/>
                  <w:vAlign w:val="center"/>
                </w:tcPr>
                <w:p w14:paraId="7CF7BD9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21" w:type="pct"/>
                  <w:vAlign w:val="center"/>
                </w:tcPr>
                <w:p w14:paraId="47327CA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0.0013</w:t>
                  </w:r>
                </w:p>
              </w:tc>
              <w:tc>
                <w:tcPr>
                  <w:tcW w:w="560" w:type="pct"/>
                  <w:vAlign w:val="center"/>
                </w:tcPr>
                <w:p w14:paraId="76E561F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0.0005</w:t>
                  </w:r>
                </w:p>
              </w:tc>
              <w:tc>
                <w:tcPr>
                  <w:tcW w:w="511" w:type="pct"/>
                  <w:vMerge w:val="continue"/>
                  <w:vAlign w:val="center"/>
                </w:tcPr>
                <w:p w14:paraId="58ED3E1D">
                  <w:pPr>
                    <w:jc w:val="center"/>
                    <w:rPr>
                      <w:color w:val="000000" w:themeColor="text1"/>
                      <w:szCs w:val="21"/>
                      <w14:textFill>
                        <w14:solidFill>
                          <w14:schemeClr w14:val="tx1"/>
                        </w14:solidFill>
                      </w14:textFill>
                    </w:rPr>
                  </w:pPr>
                </w:p>
              </w:tc>
            </w:tr>
            <w:tr w14:paraId="10EF40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90" w:hRule="atLeast"/>
              </w:trPr>
              <w:tc>
                <w:tcPr>
                  <w:tcW w:w="423" w:type="pct"/>
                  <w:vMerge w:val="restart"/>
                  <w:vAlign w:val="center"/>
                </w:tcPr>
                <w:p w14:paraId="3C0267D2">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合计</w:t>
                  </w:r>
                </w:p>
              </w:tc>
              <w:tc>
                <w:tcPr>
                  <w:tcW w:w="641" w:type="pct"/>
                  <w:vAlign w:val="center"/>
                </w:tcPr>
                <w:p w14:paraId="4355A933">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p>
              </w:tc>
              <w:tc>
                <w:tcPr>
                  <w:tcW w:w="559" w:type="pct"/>
                  <w:vAlign w:val="center"/>
                </w:tcPr>
                <w:p w14:paraId="4848CF10">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非甲烷总烃</w:t>
                  </w:r>
                </w:p>
              </w:tc>
              <w:tc>
                <w:tcPr>
                  <w:tcW w:w="572" w:type="pct"/>
                  <w:vAlign w:val="center"/>
                </w:tcPr>
                <w:p w14:paraId="2C3C61DE">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0.0209</w:t>
                  </w:r>
                </w:p>
              </w:tc>
              <w:tc>
                <w:tcPr>
                  <w:tcW w:w="604" w:type="pct"/>
                  <w:vAlign w:val="center"/>
                </w:tcPr>
                <w:p w14:paraId="23835F50">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p>
              </w:tc>
              <w:tc>
                <w:tcPr>
                  <w:tcW w:w="604" w:type="pct"/>
                  <w:vAlign w:val="center"/>
                </w:tcPr>
                <w:p w14:paraId="01EC357E">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p>
              </w:tc>
              <w:tc>
                <w:tcPr>
                  <w:tcW w:w="521" w:type="pct"/>
                  <w:vAlign w:val="center"/>
                </w:tcPr>
                <w:p w14:paraId="5DCCC371">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0.0052</w:t>
                  </w:r>
                </w:p>
              </w:tc>
              <w:tc>
                <w:tcPr>
                  <w:tcW w:w="560" w:type="pct"/>
                  <w:vAlign w:val="center"/>
                </w:tcPr>
                <w:p w14:paraId="1372A763">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p>
              </w:tc>
              <w:tc>
                <w:tcPr>
                  <w:tcW w:w="511" w:type="pct"/>
                  <w:vMerge w:val="continue"/>
                  <w:vAlign w:val="center"/>
                </w:tcPr>
                <w:p w14:paraId="308C4992">
                  <w:pPr>
                    <w:jc w:val="center"/>
                    <w:rPr>
                      <w:color w:val="000000" w:themeColor="text1"/>
                      <w:szCs w:val="21"/>
                      <w14:textFill>
                        <w14:solidFill>
                          <w14:schemeClr w14:val="tx1"/>
                        </w14:solidFill>
                      </w14:textFill>
                    </w:rPr>
                  </w:pPr>
                </w:p>
              </w:tc>
            </w:tr>
            <w:tr w14:paraId="6C148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90" w:hRule="atLeast"/>
              </w:trPr>
              <w:tc>
                <w:tcPr>
                  <w:tcW w:w="423" w:type="pct"/>
                  <w:vMerge w:val="continue"/>
                  <w:vAlign w:val="center"/>
                </w:tcPr>
                <w:p w14:paraId="4580CBC3">
                  <w:pPr>
                    <w:jc w:val="center"/>
                    <w:rPr>
                      <w:b/>
                      <w:bCs/>
                      <w:color w:val="000000" w:themeColor="text1"/>
                      <w:szCs w:val="21"/>
                      <w14:textFill>
                        <w14:solidFill>
                          <w14:schemeClr w14:val="tx1"/>
                        </w14:solidFill>
                      </w14:textFill>
                    </w:rPr>
                  </w:pPr>
                </w:p>
              </w:tc>
              <w:tc>
                <w:tcPr>
                  <w:tcW w:w="641" w:type="pct"/>
                  <w:vAlign w:val="center"/>
                </w:tcPr>
                <w:p w14:paraId="7915E2FC">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p>
              </w:tc>
              <w:tc>
                <w:tcPr>
                  <w:tcW w:w="559" w:type="pct"/>
                  <w:vAlign w:val="center"/>
                </w:tcPr>
                <w:p w14:paraId="57B1D402">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甲醇</w:t>
                  </w:r>
                </w:p>
              </w:tc>
              <w:tc>
                <w:tcPr>
                  <w:tcW w:w="572" w:type="pct"/>
                  <w:vAlign w:val="center"/>
                </w:tcPr>
                <w:p w14:paraId="5C1F314F">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0.0008</w:t>
                  </w:r>
                </w:p>
              </w:tc>
              <w:tc>
                <w:tcPr>
                  <w:tcW w:w="604" w:type="pct"/>
                  <w:vAlign w:val="center"/>
                </w:tcPr>
                <w:p w14:paraId="33B382B6">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p>
              </w:tc>
              <w:tc>
                <w:tcPr>
                  <w:tcW w:w="604" w:type="pct"/>
                  <w:vAlign w:val="center"/>
                </w:tcPr>
                <w:p w14:paraId="08AA3FE3">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p>
              </w:tc>
              <w:tc>
                <w:tcPr>
                  <w:tcW w:w="521" w:type="pct"/>
                  <w:vAlign w:val="center"/>
                </w:tcPr>
                <w:p w14:paraId="06618AAF">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0.0002</w:t>
                  </w:r>
                </w:p>
              </w:tc>
              <w:tc>
                <w:tcPr>
                  <w:tcW w:w="560" w:type="pct"/>
                  <w:vAlign w:val="center"/>
                </w:tcPr>
                <w:p w14:paraId="67121D49">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p>
              </w:tc>
              <w:tc>
                <w:tcPr>
                  <w:tcW w:w="511" w:type="pct"/>
                  <w:vMerge w:val="continue"/>
                  <w:vAlign w:val="center"/>
                </w:tcPr>
                <w:p w14:paraId="3CFA5ED3">
                  <w:pPr>
                    <w:jc w:val="center"/>
                    <w:rPr>
                      <w:color w:val="000000" w:themeColor="text1"/>
                      <w:szCs w:val="21"/>
                      <w14:textFill>
                        <w14:solidFill>
                          <w14:schemeClr w14:val="tx1"/>
                        </w14:solidFill>
                      </w14:textFill>
                    </w:rPr>
                  </w:pPr>
                </w:p>
              </w:tc>
            </w:tr>
          </w:tbl>
          <w:p w14:paraId="6BA43561">
            <w:pPr>
              <w:tabs>
                <w:tab w:val="left" w:pos="1684"/>
              </w:tabs>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1.4</w:t>
            </w:r>
            <w:r>
              <w:rPr>
                <w:b/>
                <w:bCs/>
                <w:color w:val="000000" w:themeColor="text1"/>
                <w:sz w:val="24"/>
                <w14:textFill>
                  <w14:solidFill>
                    <w14:schemeClr w14:val="tx1"/>
                  </w14:solidFill>
                </w14:textFill>
              </w:rPr>
              <w:t>工业企业卫生防护距离</w:t>
            </w:r>
          </w:p>
          <w:p w14:paraId="15A0AB93">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根据《大气有害物质无组织排放卫生防护距离推导技术导则》（GB/T39499-2020），预测无组织排放的废气对环境的影响，并提出卫生防护距离。生产车间与居住区之间的卫生防护距离L按下式计算：</w:t>
            </w:r>
          </w:p>
          <w:p w14:paraId="4FE2D814">
            <w:pPr>
              <w:jc w:val="center"/>
              <w:rPr>
                <w:color w:val="000000" w:themeColor="text1"/>
                <w:sz w:val="24"/>
                <w14:textFill>
                  <w14:solidFill>
                    <w14:schemeClr w14:val="tx1"/>
                  </w14:solidFill>
                </w14:textFill>
              </w:rPr>
            </w:pPr>
            <w:r>
              <w:rPr>
                <w:color w:val="000000" w:themeColor="text1"/>
                <w:position w:val="-30"/>
                <w:sz w:val="24"/>
                <w14:textFill>
                  <w14:solidFill>
                    <w14:schemeClr w14:val="tx1"/>
                  </w14:solidFill>
                </w14:textFill>
              </w:rPr>
              <w:object>
                <v:shape id="_x0000_i1025" o:spt="75" type="#_x0000_t75" style="height:30pt;width:154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p>
          <w:p w14:paraId="4C886183">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14:paraId="2711CE29">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object>
                <v:shape id="_x0000_i1026" o:spt="75" type="#_x0000_t75" style="height:18pt;width: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color w:val="000000" w:themeColor="text1"/>
                <w:sz w:val="24"/>
                <w14:textFill>
                  <w14:solidFill>
                    <w14:schemeClr w14:val="tx1"/>
                  </w14:solidFill>
                </w14:textFill>
              </w:rPr>
              <w:t>——大气有害物质的无组织排放量，单位为千克每小时（kg/h）。</w:t>
            </w:r>
          </w:p>
          <w:p w14:paraId="711EC020">
            <w:pPr>
              <w:spacing w:line="480" w:lineRule="exact"/>
              <w:ind w:firstLine="480" w:firstLineChars="200"/>
              <w:rPr>
                <w:color w:val="000000" w:themeColor="text1"/>
                <w:sz w:val="24"/>
                <w14:textFill>
                  <w14:solidFill>
                    <w14:schemeClr w14:val="tx1"/>
                  </w14:solidFill>
                </w14:textFill>
              </w:rPr>
            </w:pPr>
            <w:r>
              <w:rPr>
                <w:color w:val="000000" w:themeColor="text1"/>
                <w:position w:val="-12"/>
                <w:sz w:val="24"/>
                <w14:textFill>
                  <w14:solidFill>
                    <w14:schemeClr w14:val="tx1"/>
                  </w14:solidFill>
                </w14:textFill>
              </w:rPr>
              <w:object>
                <v:shape id="_x0000_i1027" o:spt="75" type="#_x0000_t75" style="height:18pt;width:17.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color w:val="000000" w:themeColor="text1"/>
                <w:sz w:val="24"/>
                <w14:textFill>
                  <w14:solidFill>
                    <w14:schemeClr w14:val="tx1"/>
                  </w14:solidFill>
                </w14:textFill>
              </w:rPr>
              <w:t>——大气有害物质环境空气质量的标准限值，单位为毫克每立方（mg/m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14:paraId="43BD8589">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L———大气有害物质卫生防护距离初值，单位为米（m）；</w:t>
            </w:r>
          </w:p>
          <w:p w14:paraId="58B8A0A0">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r ———大气有害物质无组织排放源所在生产单元的等效半径，单位为米（m）；</w:t>
            </w:r>
          </w:p>
          <w:p w14:paraId="3DF6FB62">
            <w:pPr>
              <w:spacing w:line="480" w:lineRule="exact"/>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A、B、C、D——卫生防护距离初值计算系数，无因次，根据工业企业所在地区近5年平均风速大气污染源构成类别从表4-</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中查取；</w:t>
            </w:r>
          </w:p>
          <w:p w14:paraId="4716AF99">
            <w:pPr>
              <w:snapToGrid w:val="0"/>
              <w:spacing w:before="48" w:beforeLines="20"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14:textFill>
                  <w14:solidFill>
                    <w14:schemeClr w14:val="tx1"/>
                  </w14:solidFill>
                </w14:textFill>
              </w:rPr>
              <w:t>4</w:t>
            </w:r>
            <w:r>
              <w:rPr>
                <w:b/>
                <w:color w:val="000000" w:themeColor="text1"/>
                <w:szCs w:val="21"/>
                <w14:textFill>
                  <w14:solidFill>
                    <w14:schemeClr w14:val="tx1"/>
                  </w14:solidFill>
                </w14:textFill>
              </w:rPr>
              <w:t>卫生防护距离初值计算系数</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29"/>
              <w:gridCol w:w="1459"/>
              <w:gridCol w:w="709"/>
              <w:gridCol w:w="709"/>
              <w:gridCol w:w="713"/>
              <w:gridCol w:w="711"/>
              <w:gridCol w:w="711"/>
              <w:gridCol w:w="713"/>
              <w:gridCol w:w="711"/>
              <w:gridCol w:w="711"/>
              <w:gridCol w:w="708"/>
            </w:tblGrid>
            <w:tr w14:paraId="1E9314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12" w:space="0"/>
                    <w:left w:val="nil"/>
                    <w:bottom w:val="single" w:color="auto" w:sz="2" w:space="0"/>
                    <w:right w:val="single" w:color="auto" w:sz="2" w:space="0"/>
                  </w:tcBorders>
                  <w:vAlign w:val="center"/>
                </w:tcPr>
                <w:p w14:paraId="4C5B67FC">
                  <w:pPr>
                    <w:jc w:val="center"/>
                    <w:rPr>
                      <w:b/>
                      <w:bCs/>
                      <w:color w:val="000000" w:themeColor="text1"/>
                      <w:szCs w:val="21"/>
                      <w14:textFill>
                        <w14:solidFill>
                          <w14:schemeClr w14:val="tx1"/>
                        </w14:solidFill>
                      </w14:textFill>
                    </w:rPr>
                  </w:pPr>
                  <w:r>
                    <w:rPr>
                      <w:b/>
                      <w:bCs/>
                      <w:color w:val="000000" w:themeColor="text1"/>
                      <w14:textFill>
                        <w14:solidFill>
                          <w14:schemeClr w14:val="tx1"/>
                        </w14:solidFill>
                      </w14:textFill>
                    </w:rPr>
                    <w:t>计算系数</w:t>
                  </w:r>
                </w:p>
              </w:tc>
              <w:tc>
                <w:tcPr>
                  <w:tcW w:w="777" w:type="pct"/>
                  <w:vMerge w:val="restart"/>
                  <w:tcBorders>
                    <w:top w:val="single" w:color="auto" w:sz="12" w:space="0"/>
                    <w:left w:val="single" w:color="auto" w:sz="2" w:space="0"/>
                    <w:bottom w:val="single" w:color="auto" w:sz="2" w:space="0"/>
                    <w:right w:val="single" w:color="auto" w:sz="2" w:space="0"/>
                  </w:tcBorders>
                  <w:vAlign w:val="center"/>
                </w:tcPr>
                <w:p w14:paraId="69B0FB7F">
                  <w:pPr>
                    <w:jc w:val="center"/>
                    <w:rPr>
                      <w:b/>
                      <w:bCs/>
                      <w:color w:val="000000" w:themeColor="text1"/>
                      <w:szCs w:val="21"/>
                      <w14:textFill>
                        <w14:solidFill>
                          <w14:schemeClr w14:val="tx1"/>
                        </w14:solidFill>
                      </w14:textFill>
                    </w:rPr>
                  </w:pPr>
                  <w:r>
                    <w:rPr>
                      <w:b/>
                      <w:bCs/>
                      <w:color w:val="000000" w:themeColor="text1"/>
                      <w14:textFill>
                        <w14:solidFill>
                          <w14:schemeClr w14:val="tx1"/>
                        </w14:solidFill>
                      </w14:textFill>
                    </w:rPr>
                    <w:t>5年平均风速，m/s</w:t>
                  </w:r>
                </w:p>
              </w:tc>
              <w:tc>
                <w:tcPr>
                  <w:tcW w:w="3410" w:type="pct"/>
                  <w:gridSpan w:val="9"/>
                  <w:tcBorders>
                    <w:top w:val="single" w:color="auto" w:sz="12" w:space="0"/>
                    <w:left w:val="single" w:color="auto" w:sz="2" w:space="0"/>
                    <w:bottom w:val="single" w:color="auto" w:sz="2" w:space="0"/>
                    <w:right w:val="nil"/>
                  </w:tcBorders>
                  <w:vAlign w:val="center"/>
                </w:tcPr>
                <w:p w14:paraId="45AD25E1">
                  <w:pPr>
                    <w:jc w:val="center"/>
                    <w:rPr>
                      <w:b/>
                      <w:bCs/>
                      <w:color w:val="000000" w:themeColor="text1"/>
                      <w:szCs w:val="21"/>
                      <w14:textFill>
                        <w14:solidFill>
                          <w14:schemeClr w14:val="tx1"/>
                        </w14:solidFill>
                      </w14:textFill>
                    </w:rPr>
                  </w:pPr>
                  <w:r>
                    <w:rPr>
                      <w:b/>
                      <w:bCs/>
                      <w:color w:val="000000" w:themeColor="text1"/>
                      <w14:textFill>
                        <w14:solidFill>
                          <w14:schemeClr w14:val="tx1"/>
                        </w14:solidFill>
                      </w14:textFill>
                    </w:rPr>
                    <w:t>卫生防护距离L（m）</w:t>
                  </w:r>
                </w:p>
              </w:tc>
            </w:tr>
            <w:tr w14:paraId="4E752D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0B82DAA9">
                  <w:pPr>
                    <w:rPr>
                      <w:b/>
                      <w:bCs/>
                      <w:color w:val="000000" w:themeColor="text1"/>
                      <w:szCs w:val="21"/>
                      <w14:textFill>
                        <w14:solidFill>
                          <w14:schemeClr w14:val="tx1"/>
                        </w14:solidFill>
                      </w14:textFill>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360B490E">
                  <w:pPr>
                    <w:rPr>
                      <w:b/>
                      <w:bCs/>
                      <w:color w:val="000000" w:themeColor="text1"/>
                      <w:szCs w:val="21"/>
                      <w14:textFill>
                        <w14:solidFill>
                          <w14:schemeClr w14:val="tx1"/>
                        </w14:solidFill>
                      </w14:textFill>
                    </w:rPr>
                  </w:pP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69FE78BF">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L≤1000</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626B2F58">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1000＜L≤2000</w:t>
                  </w:r>
                </w:p>
              </w:tc>
              <w:tc>
                <w:tcPr>
                  <w:tcW w:w="1136" w:type="pct"/>
                  <w:gridSpan w:val="3"/>
                  <w:tcBorders>
                    <w:top w:val="single" w:color="auto" w:sz="2" w:space="0"/>
                    <w:left w:val="single" w:color="auto" w:sz="2" w:space="0"/>
                    <w:bottom w:val="single" w:color="auto" w:sz="2" w:space="0"/>
                    <w:right w:val="nil"/>
                  </w:tcBorders>
                  <w:vAlign w:val="center"/>
                </w:tcPr>
                <w:p w14:paraId="45043BC1">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L＞2000</w:t>
                  </w:r>
                </w:p>
              </w:tc>
            </w:tr>
            <w:tr w14:paraId="37FEA36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005DD340">
                  <w:pPr>
                    <w:rPr>
                      <w:b/>
                      <w:bCs/>
                      <w:color w:val="000000" w:themeColor="text1"/>
                      <w:szCs w:val="21"/>
                      <w14:textFill>
                        <w14:solidFill>
                          <w14:schemeClr w14:val="tx1"/>
                        </w14:solidFill>
                      </w14:textFill>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2A7DE763">
                  <w:pPr>
                    <w:rPr>
                      <w:b/>
                      <w:bCs/>
                      <w:color w:val="000000" w:themeColor="text1"/>
                      <w:szCs w:val="21"/>
                      <w14:textFill>
                        <w14:solidFill>
                          <w14:schemeClr w14:val="tx1"/>
                        </w14:solidFill>
                      </w14:textFill>
                    </w:rPr>
                  </w:pPr>
                </w:p>
              </w:tc>
              <w:tc>
                <w:tcPr>
                  <w:tcW w:w="3410" w:type="pct"/>
                  <w:gridSpan w:val="9"/>
                  <w:tcBorders>
                    <w:top w:val="single" w:color="auto" w:sz="2" w:space="0"/>
                    <w:left w:val="single" w:color="auto" w:sz="2" w:space="0"/>
                    <w:bottom w:val="single" w:color="auto" w:sz="2" w:space="0"/>
                    <w:right w:val="nil"/>
                  </w:tcBorders>
                  <w:vAlign w:val="center"/>
                </w:tcPr>
                <w:p w14:paraId="3B229017">
                  <w:pPr>
                    <w:jc w:val="center"/>
                    <w:rPr>
                      <w:b/>
                      <w:bCs/>
                      <w:color w:val="000000" w:themeColor="text1"/>
                      <w:szCs w:val="21"/>
                      <w14:textFill>
                        <w14:solidFill>
                          <w14:schemeClr w14:val="tx1"/>
                        </w14:solidFill>
                      </w14:textFill>
                    </w:rPr>
                  </w:pPr>
                  <w:r>
                    <w:rPr>
                      <w:b/>
                      <w:bCs/>
                      <w:color w:val="000000" w:themeColor="text1"/>
                      <w14:textFill>
                        <w14:solidFill>
                          <w14:schemeClr w14:val="tx1"/>
                        </w14:solidFill>
                      </w14:textFill>
                    </w:rPr>
                    <w:t>工业企业大气污染源构成类型</w:t>
                  </w:r>
                </w:p>
              </w:tc>
            </w:tr>
            <w:tr w14:paraId="2367B4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3ECEEF6C">
                  <w:pPr>
                    <w:rPr>
                      <w:b/>
                      <w:bCs/>
                      <w:color w:val="000000" w:themeColor="text1"/>
                      <w:szCs w:val="21"/>
                      <w14:textFill>
                        <w14:solidFill>
                          <w14:schemeClr w14:val="tx1"/>
                        </w14:solidFill>
                      </w14:textFill>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23C3CFA3">
                  <w:pPr>
                    <w:rPr>
                      <w:b/>
                      <w:bCs/>
                      <w:color w:val="000000" w:themeColor="text1"/>
                      <w:szCs w:val="21"/>
                      <w14:textFill>
                        <w14:solidFill>
                          <w14:schemeClr w14:val="tx1"/>
                        </w14:solidFill>
                      </w14:textFill>
                    </w:rPr>
                  </w:pPr>
                </w:p>
              </w:tc>
              <w:tc>
                <w:tcPr>
                  <w:tcW w:w="378" w:type="pct"/>
                  <w:tcBorders>
                    <w:top w:val="single" w:color="auto" w:sz="2" w:space="0"/>
                    <w:left w:val="single" w:color="auto" w:sz="2" w:space="0"/>
                    <w:bottom w:val="single" w:color="auto" w:sz="2" w:space="0"/>
                    <w:right w:val="single" w:color="auto" w:sz="2" w:space="0"/>
                  </w:tcBorders>
                  <w:vAlign w:val="center"/>
                </w:tcPr>
                <w:p w14:paraId="2A016C0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Ⅰ</w:t>
                  </w:r>
                </w:p>
              </w:tc>
              <w:tc>
                <w:tcPr>
                  <w:tcW w:w="378" w:type="pct"/>
                  <w:tcBorders>
                    <w:top w:val="single" w:color="auto" w:sz="2" w:space="0"/>
                    <w:left w:val="single" w:color="auto" w:sz="2" w:space="0"/>
                    <w:bottom w:val="single" w:color="auto" w:sz="2" w:space="0"/>
                    <w:right w:val="single" w:color="auto" w:sz="2" w:space="0"/>
                  </w:tcBorders>
                  <w:vAlign w:val="center"/>
                </w:tcPr>
                <w:p w14:paraId="139AB4F2">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Ⅱ</w:t>
                  </w:r>
                </w:p>
              </w:tc>
              <w:tc>
                <w:tcPr>
                  <w:tcW w:w="380" w:type="pct"/>
                  <w:tcBorders>
                    <w:top w:val="single" w:color="auto" w:sz="2" w:space="0"/>
                    <w:left w:val="single" w:color="auto" w:sz="2" w:space="0"/>
                    <w:bottom w:val="single" w:color="auto" w:sz="2" w:space="0"/>
                    <w:right w:val="single" w:color="auto" w:sz="2" w:space="0"/>
                  </w:tcBorders>
                  <w:vAlign w:val="center"/>
                </w:tcPr>
                <w:p w14:paraId="311C5E50">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Ⅲ</w:t>
                  </w:r>
                </w:p>
              </w:tc>
              <w:tc>
                <w:tcPr>
                  <w:tcW w:w="379" w:type="pct"/>
                  <w:tcBorders>
                    <w:top w:val="single" w:color="auto" w:sz="2" w:space="0"/>
                    <w:left w:val="single" w:color="auto" w:sz="2" w:space="0"/>
                    <w:bottom w:val="single" w:color="auto" w:sz="2" w:space="0"/>
                    <w:right w:val="single" w:color="auto" w:sz="2" w:space="0"/>
                  </w:tcBorders>
                  <w:vAlign w:val="center"/>
                </w:tcPr>
                <w:p w14:paraId="285AF7F5">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Ⅰ</w:t>
                  </w:r>
                </w:p>
              </w:tc>
              <w:tc>
                <w:tcPr>
                  <w:tcW w:w="379" w:type="pct"/>
                  <w:tcBorders>
                    <w:top w:val="single" w:color="auto" w:sz="2" w:space="0"/>
                    <w:left w:val="single" w:color="auto" w:sz="2" w:space="0"/>
                    <w:bottom w:val="single" w:color="auto" w:sz="2" w:space="0"/>
                    <w:right w:val="single" w:color="auto" w:sz="2" w:space="0"/>
                  </w:tcBorders>
                  <w:vAlign w:val="center"/>
                </w:tcPr>
                <w:p w14:paraId="44E74420">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Ⅱ</w:t>
                  </w:r>
                </w:p>
              </w:tc>
              <w:tc>
                <w:tcPr>
                  <w:tcW w:w="379" w:type="pct"/>
                  <w:tcBorders>
                    <w:top w:val="single" w:color="auto" w:sz="2" w:space="0"/>
                    <w:left w:val="single" w:color="auto" w:sz="2" w:space="0"/>
                    <w:bottom w:val="single" w:color="auto" w:sz="2" w:space="0"/>
                    <w:right w:val="single" w:color="auto" w:sz="2" w:space="0"/>
                  </w:tcBorders>
                  <w:vAlign w:val="center"/>
                </w:tcPr>
                <w:p w14:paraId="772D5C75">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Ⅲ</w:t>
                  </w:r>
                </w:p>
              </w:tc>
              <w:tc>
                <w:tcPr>
                  <w:tcW w:w="379" w:type="pct"/>
                  <w:tcBorders>
                    <w:top w:val="single" w:color="auto" w:sz="2" w:space="0"/>
                    <w:left w:val="single" w:color="auto" w:sz="2" w:space="0"/>
                    <w:bottom w:val="single" w:color="auto" w:sz="2" w:space="0"/>
                    <w:right w:val="single" w:color="auto" w:sz="2" w:space="0"/>
                  </w:tcBorders>
                  <w:vAlign w:val="center"/>
                </w:tcPr>
                <w:p w14:paraId="2240F6B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Ⅰ</w:t>
                  </w:r>
                </w:p>
              </w:tc>
              <w:tc>
                <w:tcPr>
                  <w:tcW w:w="379" w:type="pct"/>
                  <w:tcBorders>
                    <w:top w:val="single" w:color="auto" w:sz="2" w:space="0"/>
                    <w:left w:val="single" w:color="auto" w:sz="2" w:space="0"/>
                    <w:bottom w:val="single" w:color="auto" w:sz="2" w:space="0"/>
                    <w:right w:val="single" w:color="auto" w:sz="2" w:space="0"/>
                  </w:tcBorders>
                  <w:vAlign w:val="center"/>
                </w:tcPr>
                <w:p w14:paraId="31463216">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Ⅱ</w:t>
                  </w:r>
                </w:p>
              </w:tc>
              <w:tc>
                <w:tcPr>
                  <w:tcW w:w="378" w:type="pct"/>
                  <w:tcBorders>
                    <w:top w:val="single" w:color="auto" w:sz="2" w:space="0"/>
                    <w:left w:val="single" w:color="auto" w:sz="2" w:space="0"/>
                    <w:bottom w:val="single" w:color="auto" w:sz="2" w:space="0"/>
                    <w:right w:val="nil"/>
                  </w:tcBorders>
                  <w:vAlign w:val="center"/>
                </w:tcPr>
                <w:p w14:paraId="6CFC3AC6">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Ⅲ</w:t>
                  </w:r>
                </w:p>
              </w:tc>
            </w:tr>
            <w:tr w14:paraId="5BF7D6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5C8040E9">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A</w:t>
                  </w:r>
                </w:p>
              </w:tc>
              <w:tc>
                <w:tcPr>
                  <w:tcW w:w="777" w:type="pct"/>
                  <w:tcBorders>
                    <w:top w:val="single" w:color="auto" w:sz="2" w:space="0"/>
                    <w:left w:val="single" w:color="auto" w:sz="2" w:space="0"/>
                    <w:bottom w:val="single" w:color="auto" w:sz="2" w:space="0"/>
                    <w:right w:val="single" w:color="auto" w:sz="2" w:space="0"/>
                  </w:tcBorders>
                  <w:vAlign w:val="center"/>
                </w:tcPr>
                <w:p w14:paraId="3F4709A7">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&lt;2</w:t>
                  </w:r>
                </w:p>
              </w:tc>
              <w:tc>
                <w:tcPr>
                  <w:tcW w:w="378" w:type="pct"/>
                  <w:tcBorders>
                    <w:top w:val="single" w:color="auto" w:sz="2" w:space="0"/>
                    <w:left w:val="single" w:color="auto" w:sz="2" w:space="0"/>
                    <w:bottom w:val="single" w:color="auto" w:sz="2" w:space="0"/>
                    <w:right w:val="single" w:color="auto" w:sz="2" w:space="0"/>
                  </w:tcBorders>
                  <w:vAlign w:val="center"/>
                </w:tcPr>
                <w:p w14:paraId="234A31CC">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400</w:t>
                  </w:r>
                </w:p>
              </w:tc>
              <w:tc>
                <w:tcPr>
                  <w:tcW w:w="378" w:type="pct"/>
                  <w:tcBorders>
                    <w:top w:val="single" w:color="auto" w:sz="2" w:space="0"/>
                    <w:left w:val="single" w:color="auto" w:sz="2" w:space="0"/>
                    <w:bottom w:val="single" w:color="auto" w:sz="2" w:space="0"/>
                    <w:right w:val="single" w:color="auto" w:sz="2" w:space="0"/>
                  </w:tcBorders>
                  <w:vAlign w:val="center"/>
                </w:tcPr>
                <w:p w14:paraId="706528B0">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400</w:t>
                  </w:r>
                </w:p>
              </w:tc>
              <w:tc>
                <w:tcPr>
                  <w:tcW w:w="380" w:type="pct"/>
                  <w:tcBorders>
                    <w:top w:val="single" w:color="auto" w:sz="2" w:space="0"/>
                    <w:left w:val="single" w:color="auto" w:sz="2" w:space="0"/>
                    <w:bottom w:val="single" w:color="auto" w:sz="2" w:space="0"/>
                    <w:right w:val="single" w:color="auto" w:sz="2" w:space="0"/>
                  </w:tcBorders>
                  <w:vAlign w:val="center"/>
                </w:tcPr>
                <w:p w14:paraId="73D6D003">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400</w:t>
                  </w:r>
                </w:p>
              </w:tc>
              <w:tc>
                <w:tcPr>
                  <w:tcW w:w="379" w:type="pct"/>
                  <w:tcBorders>
                    <w:top w:val="single" w:color="auto" w:sz="2" w:space="0"/>
                    <w:left w:val="single" w:color="auto" w:sz="2" w:space="0"/>
                    <w:bottom w:val="single" w:color="auto" w:sz="2" w:space="0"/>
                    <w:right w:val="single" w:color="auto" w:sz="2" w:space="0"/>
                  </w:tcBorders>
                  <w:vAlign w:val="center"/>
                </w:tcPr>
                <w:p w14:paraId="12F6E879">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400</w:t>
                  </w:r>
                </w:p>
              </w:tc>
              <w:tc>
                <w:tcPr>
                  <w:tcW w:w="379" w:type="pct"/>
                  <w:tcBorders>
                    <w:top w:val="single" w:color="auto" w:sz="2" w:space="0"/>
                    <w:left w:val="single" w:color="auto" w:sz="2" w:space="0"/>
                    <w:bottom w:val="single" w:color="auto" w:sz="2" w:space="0"/>
                    <w:right w:val="single" w:color="auto" w:sz="2" w:space="0"/>
                  </w:tcBorders>
                  <w:vAlign w:val="center"/>
                </w:tcPr>
                <w:p w14:paraId="2541144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400</w:t>
                  </w:r>
                </w:p>
              </w:tc>
              <w:tc>
                <w:tcPr>
                  <w:tcW w:w="379" w:type="pct"/>
                  <w:tcBorders>
                    <w:top w:val="single" w:color="auto" w:sz="2" w:space="0"/>
                    <w:left w:val="single" w:color="auto" w:sz="2" w:space="0"/>
                    <w:bottom w:val="single" w:color="auto" w:sz="2" w:space="0"/>
                    <w:right w:val="single" w:color="auto" w:sz="2" w:space="0"/>
                  </w:tcBorders>
                  <w:vAlign w:val="center"/>
                </w:tcPr>
                <w:p w14:paraId="4CB44CC6">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400</w:t>
                  </w:r>
                </w:p>
              </w:tc>
              <w:tc>
                <w:tcPr>
                  <w:tcW w:w="379" w:type="pct"/>
                  <w:tcBorders>
                    <w:top w:val="single" w:color="auto" w:sz="2" w:space="0"/>
                    <w:left w:val="single" w:color="auto" w:sz="2" w:space="0"/>
                    <w:bottom w:val="single" w:color="auto" w:sz="2" w:space="0"/>
                    <w:right w:val="single" w:color="auto" w:sz="2" w:space="0"/>
                  </w:tcBorders>
                  <w:vAlign w:val="center"/>
                </w:tcPr>
                <w:p w14:paraId="3BF2255E">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80</w:t>
                  </w:r>
                </w:p>
              </w:tc>
              <w:tc>
                <w:tcPr>
                  <w:tcW w:w="379" w:type="pct"/>
                  <w:tcBorders>
                    <w:top w:val="single" w:color="auto" w:sz="2" w:space="0"/>
                    <w:left w:val="single" w:color="auto" w:sz="2" w:space="0"/>
                    <w:bottom w:val="single" w:color="auto" w:sz="2" w:space="0"/>
                    <w:right w:val="single" w:color="auto" w:sz="2" w:space="0"/>
                  </w:tcBorders>
                  <w:vAlign w:val="center"/>
                </w:tcPr>
                <w:p w14:paraId="53904E08">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80</w:t>
                  </w:r>
                </w:p>
              </w:tc>
              <w:tc>
                <w:tcPr>
                  <w:tcW w:w="378" w:type="pct"/>
                  <w:tcBorders>
                    <w:top w:val="single" w:color="auto" w:sz="2" w:space="0"/>
                    <w:left w:val="single" w:color="auto" w:sz="2" w:space="0"/>
                    <w:bottom w:val="single" w:color="auto" w:sz="2" w:space="0"/>
                    <w:right w:val="nil"/>
                  </w:tcBorders>
                  <w:vAlign w:val="center"/>
                </w:tcPr>
                <w:p w14:paraId="620E5C4D">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80</w:t>
                  </w:r>
                </w:p>
              </w:tc>
            </w:tr>
            <w:tr w14:paraId="785810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4DE0853E">
                  <w:pPr>
                    <w:rPr>
                      <w:color w:val="000000" w:themeColor="text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vAlign w:val="center"/>
                </w:tcPr>
                <w:p w14:paraId="39646FE5">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2-4</w:t>
                  </w:r>
                </w:p>
              </w:tc>
              <w:tc>
                <w:tcPr>
                  <w:tcW w:w="378" w:type="pct"/>
                  <w:tcBorders>
                    <w:top w:val="single" w:color="auto" w:sz="2" w:space="0"/>
                    <w:left w:val="single" w:color="auto" w:sz="2" w:space="0"/>
                    <w:bottom w:val="single" w:color="auto" w:sz="2" w:space="0"/>
                    <w:right w:val="single" w:color="auto" w:sz="2" w:space="0"/>
                  </w:tcBorders>
                  <w:vAlign w:val="center"/>
                </w:tcPr>
                <w:p w14:paraId="5D256BE5">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700</w:t>
                  </w:r>
                </w:p>
              </w:tc>
              <w:tc>
                <w:tcPr>
                  <w:tcW w:w="378" w:type="pct"/>
                  <w:tcBorders>
                    <w:top w:val="single" w:color="auto" w:sz="2" w:space="0"/>
                    <w:left w:val="single" w:color="auto" w:sz="2" w:space="0"/>
                    <w:bottom w:val="single" w:color="auto" w:sz="2" w:space="0"/>
                    <w:right w:val="single" w:color="auto" w:sz="2" w:space="0"/>
                  </w:tcBorders>
                  <w:shd w:val="clear" w:color="auto" w:fill="B3B3B3"/>
                  <w:vAlign w:val="center"/>
                </w:tcPr>
                <w:p w14:paraId="7FA929DF">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470</w:t>
                  </w:r>
                </w:p>
              </w:tc>
              <w:tc>
                <w:tcPr>
                  <w:tcW w:w="380" w:type="pct"/>
                  <w:tcBorders>
                    <w:top w:val="single" w:color="auto" w:sz="2" w:space="0"/>
                    <w:left w:val="single" w:color="auto" w:sz="2" w:space="0"/>
                    <w:bottom w:val="single" w:color="auto" w:sz="2" w:space="0"/>
                    <w:right w:val="single" w:color="auto" w:sz="2" w:space="0"/>
                  </w:tcBorders>
                  <w:vAlign w:val="center"/>
                </w:tcPr>
                <w:p w14:paraId="17B84F9E">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350</w:t>
                  </w:r>
                </w:p>
              </w:tc>
              <w:tc>
                <w:tcPr>
                  <w:tcW w:w="379" w:type="pct"/>
                  <w:tcBorders>
                    <w:top w:val="single" w:color="auto" w:sz="2" w:space="0"/>
                    <w:left w:val="single" w:color="auto" w:sz="2" w:space="0"/>
                    <w:bottom w:val="single" w:color="auto" w:sz="2" w:space="0"/>
                    <w:right w:val="single" w:color="auto" w:sz="2" w:space="0"/>
                  </w:tcBorders>
                  <w:vAlign w:val="center"/>
                </w:tcPr>
                <w:p w14:paraId="14D320C4">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700</w:t>
                  </w:r>
                </w:p>
              </w:tc>
              <w:tc>
                <w:tcPr>
                  <w:tcW w:w="379" w:type="pct"/>
                  <w:tcBorders>
                    <w:top w:val="single" w:color="auto" w:sz="2" w:space="0"/>
                    <w:left w:val="single" w:color="auto" w:sz="2" w:space="0"/>
                    <w:bottom w:val="single" w:color="auto" w:sz="2" w:space="0"/>
                    <w:right w:val="single" w:color="auto" w:sz="2" w:space="0"/>
                  </w:tcBorders>
                  <w:vAlign w:val="center"/>
                </w:tcPr>
                <w:p w14:paraId="029CB3CF">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470</w:t>
                  </w:r>
                </w:p>
              </w:tc>
              <w:tc>
                <w:tcPr>
                  <w:tcW w:w="379" w:type="pct"/>
                  <w:tcBorders>
                    <w:top w:val="single" w:color="auto" w:sz="2" w:space="0"/>
                    <w:left w:val="single" w:color="auto" w:sz="2" w:space="0"/>
                    <w:bottom w:val="single" w:color="auto" w:sz="2" w:space="0"/>
                    <w:right w:val="single" w:color="auto" w:sz="2" w:space="0"/>
                  </w:tcBorders>
                  <w:vAlign w:val="center"/>
                </w:tcPr>
                <w:p w14:paraId="50AAACF1">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350</w:t>
                  </w:r>
                </w:p>
              </w:tc>
              <w:tc>
                <w:tcPr>
                  <w:tcW w:w="379" w:type="pct"/>
                  <w:tcBorders>
                    <w:top w:val="single" w:color="auto" w:sz="2" w:space="0"/>
                    <w:left w:val="single" w:color="auto" w:sz="2" w:space="0"/>
                    <w:bottom w:val="single" w:color="auto" w:sz="2" w:space="0"/>
                    <w:right w:val="single" w:color="auto" w:sz="2" w:space="0"/>
                  </w:tcBorders>
                  <w:vAlign w:val="center"/>
                </w:tcPr>
                <w:p w14:paraId="3EB981D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380</w:t>
                  </w:r>
                </w:p>
              </w:tc>
              <w:tc>
                <w:tcPr>
                  <w:tcW w:w="379" w:type="pct"/>
                  <w:tcBorders>
                    <w:top w:val="single" w:color="auto" w:sz="2" w:space="0"/>
                    <w:left w:val="single" w:color="auto" w:sz="2" w:space="0"/>
                    <w:bottom w:val="single" w:color="auto" w:sz="2" w:space="0"/>
                    <w:right w:val="single" w:color="auto" w:sz="2" w:space="0"/>
                  </w:tcBorders>
                  <w:vAlign w:val="center"/>
                </w:tcPr>
                <w:p w14:paraId="6DB7730A">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250</w:t>
                  </w:r>
                </w:p>
              </w:tc>
              <w:tc>
                <w:tcPr>
                  <w:tcW w:w="378" w:type="pct"/>
                  <w:tcBorders>
                    <w:top w:val="single" w:color="auto" w:sz="2" w:space="0"/>
                    <w:left w:val="single" w:color="auto" w:sz="2" w:space="0"/>
                    <w:bottom w:val="single" w:color="auto" w:sz="2" w:space="0"/>
                    <w:right w:val="nil"/>
                  </w:tcBorders>
                  <w:vAlign w:val="center"/>
                </w:tcPr>
                <w:p w14:paraId="31C54796">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190</w:t>
                  </w:r>
                </w:p>
              </w:tc>
            </w:tr>
            <w:tr w14:paraId="6E2029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65722BAC">
                  <w:pPr>
                    <w:rPr>
                      <w:color w:val="000000" w:themeColor="text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vAlign w:val="center"/>
                </w:tcPr>
                <w:p w14:paraId="680259B2">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&gt;4</w:t>
                  </w:r>
                </w:p>
              </w:tc>
              <w:tc>
                <w:tcPr>
                  <w:tcW w:w="378" w:type="pct"/>
                  <w:tcBorders>
                    <w:top w:val="single" w:color="auto" w:sz="2" w:space="0"/>
                    <w:left w:val="single" w:color="auto" w:sz="2" w:space="0"/>
                    <w:bottom w:val="single" w:color="auto" w:sz="2" w:space="0"/>
                    <w:right w:val="single" w:color="auto" w:sz="2" w:space="0"/>
                  </w:tcBorders>
                  <w:vAlign w:val="center"/>
                </w:tcPr>
                <w:p w14:paraId="3D37F74D">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530</w:t>
                  </w:r>
                </w:p>
              </w:tc>
              <w:tc>
                <w:tcPr>
                  <w:tcW w:w="378" w:type="pct"/>
                  <w:tcBorders>
                    <w:top w:val="single" w:color="auto" w:sz="2" w:space="0"/>
                    <w:left w:val="single" w:color="auto" w:sz="2" w:space="0"/>
                    <w:bottom w:val="single" w:color="auto" w:sz="2" w:space="0"/>
                    <w:right w:val="single" w:color="auto" w:sz="2" w:space="0"/>
                  </w:tcBorders>
                  <w:vAlign w:val="center"/>
                </w:tcPr>
                <w:p w14:paraId="2717258F">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350</w:t>
                  </w:r>
                </w:p>
              </w:tc>
              <w:tc>
                <w:tcPr>
                  <w:tcW w:w="380" w:type="pct"/>
                  <w:tcBorders>
                    <w:top w:val="single" w:color="auto" w:sz="2" w:space="0"/>
                    <w:left w:val="single" w:color="auto" w:sz="2" w:space="0"/>
                    <w:bottom w:val="single" w:color="auto" w:sz="2" w:space="0"/>
                    <w:right w:val="single" w:color="auto" w:sz="2" w:space="0"/>
                  </w:tcBorders>
                  <w:vAlign w:val="center"/>
                </w:tcPr>
                <w:p w14:paraId="3E089798">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260</w:t>
                  </w:r>
                </w:p>
              </w:tc>
              <w:tc>
                <w:tcPr>
                  <w:tcW w:w="379" w:type="pct"/>
                  <w:tcBorders>
                    <w:top w:val="single" w:color="auto" w:sz="2" w:space="0"/>
                    <w:left w:val="single" w:color="auto" w:sz="2" w:space="0"/>
                    <w:bottom w:val="single" w:color="auto" w:sz="2" w:space="0"/>
                    <w:right w:val="single" w:color="auto" w:sz="2" w:space="0"/>
                  </w:tcBorders>
                  <w:vAlign w:val="center"/>
                </w:tcPr>
                <w:p w14:paraId="6AAC8858">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530</w:t>
                  </w:r>
                </w:p>
              </w:tc>
              <w:tc>
                <w:tcPr>
                  <w:tcW w:w="379" w:type="pct"/>
                  <w:tcBorders>
                    <w:top w:val="single" w:color="auto" w:sz="2" w:space="0"/>
                    <w:left w:val="single" w:color="auto" w:sz="2" w:space="0"/>
                    <w:bottom w:val="single" w:color="auto" w:sz="2" w:space="0"/>
                    <w:right w:val="single" w:color="auto" w:sz="2" w:space="0"/>
                  </w:tcBorders>
                  <w:vAlign w:val="center"/>
                </w:tcPr>
                <w:p w14:paraId="77F787E9">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350</w:t>
                  </w:r>
                </w:p>
              </w:tc>
              <w:tc>
                <w:tcPr>
                  <w:tcW w:w="379" w:type="pct"/>
                  <w:tcBorders>
                    <w:top w:val="single" w:color="auto" w:sz="2" w:space="0"/>
                    <w:left w:val="single" w:color="auto" w:sz="2" w:space="0"/>
                    <w:bottom w:val="single" w:color="auto" w:sz="2" w:space="0"/>
                    <w:right w:val="single" w:color="auto" w:sz="2" w:space="0"/>
                  </w:tcBorders>
                  <w:vAlign w:val="center"/>
                </w:tcPr>
                <w:p w14:paraId="6E25DDB8">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260</w:t>
                  </w:r>
                </w:p>
              </w:tc>
              <w:tc>
                <w:tcPr>
                  <w:tcW w:w="379" w:type="pct"/>
                  <w:tcBorders>
                    <w:top w:val="single" w:color="auto" w:sz="2" w:space="0"/>
                    <w:left w:val="single" w:color="auto" w:sz="2" w:space="0"/>
                    <w:bottom w:val="single" w:color="auto" w:sz="2" w:space="0"/>
                    <w:right w:val="single" w:color="auto" w:sz="2" w:space="0"/>
                  </w:tcBorders>
                  <w:vAlign w:val="center"/>
                </w:tcPr>
                <w:p w14:paraId="3DB7C139">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290</w:t>
                  </w:r>
                </w:p>
              </w:tc>
              <w:tc>
                <w:tcPr>
                  <w:tcW w:w="379" w:type="pct"/>
                  <w:tcBorders>
                    <w:top w:val="single" w:color="auto" w:sz="2" w:space="0"/>
                    <w:left w:val="single" w:color="auto" w:sz="2" w:space="0"/>
                    <w:bottom w:val="single" w:color="auto" w:sz="2" w:space="0"/>
                    <w:right w:val="single" w:color="auto" w:sz="2" w:space="0"/>
                  </w:tcBorders>
                  <w:vAlign w:val="center"/>
                </w:tcPr>
                <w:p w14:paraId="4D7C7868">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190</w:t>
                  </w:r>
                </w:p>
              </w:tc>
              <w:tc>
                <w:tcPr>
                  <w:tcW w:w="378" w:type="pct"/>
                  <w:tcBorders>
                    <w:top w:val="single" w:color="auto" w:sz="2" w:space="0"/>
                    <w:left w:val="single" w:color="auto" w:sz="2" w:space="0"/>
                    <w:bottom w:val="single" w:color="auto" w:sz="2" w:space="0"/>
                    <w:right w:val="nil"/>
                  </w:tcBorders>
                  <w:vAlign w:val="center"/>
                </w:tcPr>
                <w:p w14:paraId="3B23F94F">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140</w:t>
                  </w:r>
                </w:p>
              </w:tc>
            </w:tr>
            <w:tr w14:paraId="254E88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62D6EA98">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B</w:t>
                  </w:r>
                </w:p>
              </w:tc>
              <w:tc>
                <w:tcPr>
                  <w:tcW w:w="777" w:type="pct"/>
                  <w:tcBorders>
                    <w:top w:val="single" w:color="auto" w:sz="2" w:space="0"/>
                    <w:left w:val="single" w:color="auto" w:sz="2" w:space="0"/>
                    <w:bottom w:val="single" w:color="auto" w:sz="2" w:space="0"/>
                    <w:right w:val="single" w:color="auto" w:sz="2" w:space="0"/>
                  </w:tcBorders>
                  <w:vAlign w:val="center"/>
                </w:tcPr>
                <w:p w14:paraId="69F2C320">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213490C6">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78A2AFDA">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0.015</w:t>
                  </w:r>
                </w:p>
              </w:tc>
              <w:tc>
                <w:tcPr>
                  <w:tcW w:w="1136" w:type="pct"/>
                  <w:gridSpan w:val="3"/>
                  <w:tcBorders>
                    <w:top w:val="single" w:color="auto" w:sz="2" w:space="0"/>
                    <w:left w:val="single" w:color="auto" w:sz="2" w:space="0"/>
                    <w:bottom w:val="single" w:color="auto" w:sz="2" w:space="0"/>
                    <w:right w:val="nil"/>
                  </w:tcBorders>
                  <w:vAlign w:val="center"/>
                </w:tcPr>
                <w:p w14:paraId="144139AE">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0.015</w:t>
                  </w:r>
                </w:p>
              </w:tc>
            </w:tr>
            <w:tr w14:paraId="35B037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50E5C9D9">
                  <w:pPr>
                    <w:rPr>
                      <w:color w:val="000000" w:themeColor="text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vAlign w:val="center"/>
                </w:tcPr>
                <w:p w14:paraId="1A7D66D2">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57DE49B9">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0.021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05BF2A55">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0.036</w:t>
                  </w:r>
                </w:p>
              </w:tc>
              <w:tc>
                <w:tcPr>
                  <w:tcW w:w="1136" w:type="pct"/>
                  <w:gridSpan w:val="3"/>
                  <w:tcBorders>
                    <w:top w:val="single" w:color="auto" w:sz="2" w:space="0"/>
                    <w:left w:val="single" w:color="auto" w:sz="2" w:space="0"/>
                    <w:bottom w:val="single" w:color="auto" w:sz="2" w:space="0"/>
                    <w:right w:val="nil"/>
                  </w:tcBorders>
                  <w:vAlign w:val="center"/>
                </w:tcPr>
                <w:p w14:paraId="11C7B67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0.036</w:t>
                  </w:r>
                </w:p>
              </w:tc>
            </w:tr>
            <w:tr w14:paraId="503A0A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4452854F">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C</w:t>
                  </w:r>
                </w:p>
              </w:tc>
              <w:tc>
                <w:tcPr>
                  <w:tcW w:w="777" w:type="pct"/>
                  <w:tcBorders>
                    <w:top w:val="single" w:color="auto" w:sz="2" w:space="0"/>
                    <w:left w:val="single" w:color="auto" w:sz="2" w:space="0"/>
                    <w:bottom w:val="single" w:color="auto" w:sz="2" w:space="0"/>
                    <w:right w:val="single" w:color="auto" w:sz="2" w:space="0"/>
                  </w:tcBorders>
                  <w:vAlign w:val="center"/>
                </w:tcPr>
                <w:p w14:paraId="2CD10A88">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6A8DCD49">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5D09471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1.79</w:t>
                  </w:r>
                </w:p>
              </w:tc>
              <w:tc>
                <w:tcPr>
                  <w:tcW w:w="1136" w:type="pct"/>
                  <w:gridSpan w:val="3"/>
                  <w:tcBorders>
                    <w:top w:val="single" w:color="auto" w:sz="2" w:space="0"/>
                    <w:left w:val="single" w:color="auto" w:sz="2" w:space="0"/>
                    <w:bottom w:val="single" w:color="auto" w:sz="2" w:space="0"/>
                    <w:right w:val="nil"/>
                  </w:tcBorders>
                  <w:vAlign w:val="center"/>
                </w:tcPr>
                <w:p w14:paraId="47F9ABA1">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1.79</w:t>
                  </w:r>
                </w:p>
              </w:tc>
            </w:tr>
            <w:tr w14:paraId="12D4A3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5DB71689">
                  <w:pPr>
                    <w:rPr>
                      <w:color w:val="000000" w:themeColor="text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vAlign w:val="center"/>
                </w:tcPr>
                <w:p w14:paraId="53E86142">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14E7F280">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214EE3F4">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1.77</w:t>
                  </w:r>
                </w:p>
              </w:tc>
              <w:tc>
                <w:tcPr>
                  <w:tcW w:w="1136" w:type="pct"/>
                  <w:gridSpan w:val="3"/>
                  <w:tcBorders>
                    <w:top w:val="single" w:color="auto" w:sz="2" w:space="0"/>
                    <w:left w:val="single" w:color="auto" w:sz="2" w:space="0"/>
                    <w:bottom w:val="single" w:color="auto" w:sz="2" w:space="0"/>
                    <w:right w:val="nil"/>
                  </w:tcBorders>
                  <w:vAlign w:val="center"/>
                </w:tcPr>
                <w:p w14:paraId="6A8BDE1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1.77</w:t>
                  </w:r>
                </w:p>
              </w:tc>
            </w:tr>
            <w:tr w14:paraId="3F2E38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0284C85F">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D</w:t>
                  </w:r>
                </w:p>
              </w:tc>
              <w:tc>
                <w:tcPr>
                  <w:tcW w:w="777" w:type="pct"/>
                  <w:tcBorders>
                    <w:top w:val="single" w:color="auto" w:sz="2" w:space="0"/>
                    <w:left w:val="single" w:color="auto" w:sz="2" w:space="0"/>
                    <w:bottom w:val="single" w:color="auto" w:sz="2" w:space="0"/>
                    <w:right w:val="single" w:color="auto" w:sz="2" w:space="0"/>
                  </w:tcBorders>
                  <w:vAlign w:val="center"/>
                </w:tcPr>
                <w:p w14:paraId="3B07A1E1">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2EDA0584">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0.78</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7D125C16">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0.78</w:t>
                  </w:r>
                </w:p>
              </w:tc>
              <w:tc>
                <w:tcPr>
                  <w:tcW w:w="1136" w:type="pct"/>
                  <w:gridSpan w:val="3"/>
                  <w:tcBorders>
                    <w:top w:val="single" w:color="auto" w:sz="2" w:space="0"/>
                    <w:left w:val="single" w:color="auto" w:sz="2" w:space="0"/>
                    <w:bottom w:val="single" w:color="auto" w:sz="2" w:space="0"/>
                    <w:right w:val="nil"/>
                  </w:tcBorders>
                  <w:vAlign w:val="center"/>
                </w:tcPr>
                <w:p w14:paraId="4463AE9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0.57</w:t>
                  </w:r>
                </w:p>
              </w:tc>
            </w:tr>
            <w:tr w14:paraId="4D8051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6B3903FF">
                  <w:pPr>
                    <w:rPr>
                      <w:color w:val="000000" w:themeColor="text1"/>
                      <w:szCs w:val="21"/>
                      <w14:textFill>
                        <w14:solidFill>
                          <w14:schemeClr w14:val="tx1"/>
                        </w14:solidFill>
                      </w14:textFill>
                    </w:rPr>
                  </w:pPr>
                </w:p>
              </w:tc>
              <w:tc>
                <w:tcPr>
                  <w:tcW w:w="777" w:type="pct"/>
                  <w:tcBorders>
                    <w:top w:val="single" w:color="auto" w:sz="2" w:space="0"/>
                    <w:left w:val="single" w:color="auto" w:sz="2" w:space="0"/>
                    <w:bottom w:val="single" w:color="auto" w:sz="2" w:space="0"/>
                    <w:right w:val="single" w:color="auto" w:sz="2" w:space="0"/>
                  </w:tcBorders>
                  <w:vAlign w:val="center"/>
                </w:tcPr>
                <w:p w14:paraId="055B3484">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16FA6E91">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0.84</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20707683">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0.84</w:t>
                  </w:r>
                </w:p>
              </w:tc>
              <w:tc>
                <w:tcPr>
                  <w:tcW w:w="1136" w:type="pct"/>
                  <w:gridSpan w:val="3"/>
                  <w:tcBorders>
                    <w:top w:val="single" w:color="auto" w:sz="2" w:space="0"/>
                    <w:left w:val="single" w:color="auto" w:sz="2" w:space="0"/>
                    <w:bottom w:val="single" w:color="auto" w:sz="2" w:space="0"/>
                    <w:right w:val="nil"/>
                  </w:tcBorders>
                  <w:vAlign w:val="center"/>
                </w:tcPr>
                <w:p w14:paraId="157F3E28">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0.76</w:t>
                  </w:r>
                </w:p>
              </w:tc>
            </w:tr>
            <w:tr w14:paraId="0F4B65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5000" w:type="pct"/>
                  <w:gridSpan w:val="11"/>
                  <w:tcBorders>
                    <w:top w:val="single" w:color="auto" w:sz="2" w:space="0"/>
                    <w:left w:val="nil"/>
                    <w:bottom w:val="single" w:color="auto" w:sz="12" w:space="0"/>
                    <w:right w:val="single" w:color="auto" w:sz="2" w:space="0"/>
                  </w:tcBorders>
                  <w:vAlign w:val="center"/>
                </w:tcPr>
                <w:p w14:paraId="4ECB6A0A">
                  <w:pPr>
                    <w:jc w:val="left"/>
                    <w:rPr>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注：</w:t>
                  </w:r>
                  <w:r>
                    <w:rPr>
                      <w:color w:val="000000" w:themeColor="text1"/>
                      <w:sz w:val="18"/>
                      <w:szCs w:val="18"/>
                      <w14:textFill>
                        <w14:solidFill>
                          <w14:schemeClr w14:val="tx1"/>
                        </w14:solidFill>
                      </w14:textFill>
                    </w:rPr>
                    <w:t>Ⅰ类：与无组织排放源共存的排放同种有害气体的排气筒的排放量，大于或等于标准规定的允许排放量的1/3者。</w:t>
                  </w:r>
                </w:p>
                <w:p w14:paraId="6CAFE0F0">
                  <w:pPr>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Ⅱ类：与无组织排放源共存的排放同种有害气体的排气筒的排放量，小于规准规定的允许排放量的1/3，或虽无排放同种大气污染物之排气筒共存，但无组织排放的有害物质的容许浓度指标是按急性反应指标确定者。</w:t>
                  </w:r>
                </w:p>
                <w:p w14:paraId="32555930">
                  <w:pPr>
                    <w:jc w:val="left"/>
                    <w:rPr>
                      <w:b/>
                      <w:bCs/>
                      <w:color w:val="000000" w:themeColor="text1"/>
                      <w14:textFill>
                        <w14:solidFill>
                          <w14:schemeClr w14:val="tx1"/>
                        </w14:solidFill>
                      </w14:textFill>
                    </w:rPr>
                  </w:pPr>
                  <w:r>
                    <w:rPr>
                      <w:color w:val="000000" w:themeColor="text1"/>
                      <w:sz w:val="18"/>
                      <w:szCs w:val="18"/>
                      <w14:textFill>
                        <w14:solidFill>
                          <w14:schemeClr w14:val="tx1"/>
                        </w14:solidFill>
                      </w14:textFill>
                    </w:rPr>
                    <w:t>Ⅲ类：无排放同种有害物质的排气筒与无组织排放源共存，但无组织排放的有害物质的容许浓度是按慢性反应指标确定者。</w:t>
                  </w:r>
                </w:p>
              </w:tc>
            </w:tr>
          </w:tbl>
          <w:p w14:paraId="5A93CBA2">
            <w:pPr>
              <w:adjustRightInd w:val="0"/>
              <w:snapToGrid w:val="0"/>
              <w:spacing w:line="50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大气有害物质无组织排放卫生防护距离推导技术导则》（GB/T39499-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w:t>
            </w:r>
          </w:p>
          <w:p w14:paraId="72F7FF4F">
            <w:pPr>
              <w:adjustRightInd w:val="0"/>
              <w:snapToGrid w:val="0"/>
              <w:spacing w:line="50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经计算，本项目卫生防护距离计算结果见</w:t>
            </w:r>
            <w:r>
              <w:rPr>
                <w:rFonts w:hint="eastAsia"/>
                <w:color w:val="000000" w:themeColor="text1"/>
                <w:sz w:val="24"/>
                <w14:textFill>
                  <w14:solidFill>
                    <w14:schemeClr w14:val="tx1"/>
                  </w14:solidFill>
                </w14:textFill>
              </w:rPr>
              <w:t>下表</w:t>
            </w:r>
            <w:r>
              <w:rPr>
                <w:color w:val="000000" w:themeColor="text1"/>
                <w:sz w:val="24"/>
                <w14:textFill>
                  <w14:solidFill>
                    <w14:schemeClr w14:val="tx1"/>
                  </w14:solidFill>
                </w14:textFill>
              </w:rPr>
              <w:t>。</w:t>
            </w:r>
          </w:p>
          <w:p w14:paraId="2F0A6466">
            <w:pPr>
              <w:pStyle w:val="60"/>
              <w:spacing w:before="0" w:beforeLines="0" w:line="360" w:lineRule="exact"/>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14:textFill>
                  <w14:solidFill>
                    <w14:schemeClr w14:val="tx1"/>
                  </w14:solidFill>
                </w14:textFill>
              </w:rPr>
              <w:t>5</w:t>
            </w:r>
            <w:r>
              <w:rPr>
                <w:b/>
                <w:color w:val="000000" w:themeColor="text1"/>
                <w:sz w:val="21"/>
                <w:szCs w:val="21"/>
                <w14:textFill>
                  <w14:solidFill>
                    <w14:schemeClr w14:val="tx1"/>
                  </w14:solidFill>
                </w14:textFill>
              </w:rPr>
              <w:t xml:space="preserve"> 卫生防护距离计算结果表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1327"/>
              <w:gridCol w:w="1157"/>
              <w:gridCol w:w="1172"/>
              <w:gridCol w:w="1310"/>
              <w:gridCol w:w="1615"/>
              <w:gridCol w:w="1069"/>
              <w:gridCol w:w="936"/>
              <w:gridCol w:w="794"/>
            </w:tblGrid>
            <w:tr w14:paraId="20EC99C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707" w:type="pct"/>
                  <w:vMerge w:val="restart"/>
                  <w:vAlign w:val="center"/>
                </w:tcPr>
                <w:p w14:paraId="3CBA69B5">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面源</w:t>
                  </w:r>
                </w:p>
                <w:p w14:paraId="567617A0">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名称</w:t>
                  </w:r>
                </w:p>
              </w:tc>
              <w:tc>
                <w:tcPr>
                  <w:tcW w:w="616" w:type="pct"/>
                  <w:vMerge w:val="restart"/>
                  <w:vAlign w:val="center"/>
                </w:tcPr>
                <w:p w14:paraId="0B752AEC">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污染物</w:t>
                  </w:r>
                </w:p>
              </w:tc>
              <w:tc>
                <w:tcPr>
                  <w:tcW w:w="624" w:type="pct"/>
                  <w:vMerge w:val="restart"/>
                  <w:vAlign w:val="center"/>
                </w:tcPr>
                <w:p w14:paraId="28FC5263">
                  <w:pPr>
                    <w:jc w:val="center"/>
                    <w:rPr>
                      <w:b/>
                      <w:color w:val="000000" w:themeColor="text1"/>
                      <w14:textFill>
                        <w14:solidFill>
                          <w14:schemeClr w14:val="tx1"/>
                        </w14:solidFill>
                      </w14:textFill>
                    </w:rPr>
                  </w:pPr>
                  <w:r>
                    <w:rPr>
                      <w:b/>
                      <w:color w:val="000000" w:themeColor="text1"/>
                      <w14:textFill>
                        <w14:solidFill>
                          <w14:schemeClr w14:val="tx1"/>
                        </w14:solidFill>
                      </w14:textFill>
                    </w:rPr>
                    <w:t>Qc</w:t>
                  </w:r>
                </w:p>
                <w:p w14:paraId="72F171B5">
                  <w:pPr>
                    <w:jc w:val="center"/>
                    <w:rPr>
                      <w:b/>
                      <w:bCs/>
                      <w:color w:val="000000" w:themeColor="text1"/>
                      <w14:textFill>
                        <w14:solidFill>
                          <w14:schemeClr w14:val="tx1"/>
                        </w14:solidFill>
                      </w14:textFill>
                    </w:rPr>
                  </w:pPr>
                  <w:r>
                    <w:rPr>
                      <w:b/>
                      <w:color w:val="000000" w:themeColor="text1"/>
                      <w14:textFill>
                        <w14:solidFill>
                          <w14:schemeClr w14:val="tx1"/>
                        </w14:solidFill>
                      </w14:textFill>
                    </w:rPr>
                    <w:t>（kg/h）</w:t>
                  </w:r>
                </w:p>
              </w:tc>
              <w:tc>
                <w:tcPr>
                  <w:tcW w:w="698" w:type="pct"/>
                  <w:vMerge w:val="restart"/>
                  <w:vAlign w:val="center"/>
                </w:tcPr>
                <w:p w14:paraId="33A4337A">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面源面积（m</w:t>
                  </w:r>
                  <w:r>
                    <w:rPr>
                      <w:b/>
                      <w:bCs/>
                      <w:color w:val="000000" w:themeColor="text1"/>
                      <w:vertAlign w:val="superscript"/>
                      <w14:textFill>
                        <w14:solidFill>
                          <w14:schemeClr w14:val="tx1"/>
                        </w14:solidFill>
                      </w14:textFill>
                    </w:rPr>
                    <w:t>2</w:t>
                  </w:r>
                  <w:r>
                    <w:rPr>
                      <w:b/>
                      <w:bCs/>
                      <w:color w:val="000000" w:themeColor="text1"/>
                      <w14:textFill>
                        <w14:solidFill>
                          <w14:schemeClr w14:val="tx1"/>
                        </w14:solidFill>
                      </w14:textFill>
                    </w:rPr>
                    <w:t>）</w:t>
                  </w:r>
                </w:p>
              </w:tc>
              <w:tc>
                <w:tcPr>
                  <w:tcW w:w="861" w:type="pct"/>
                  <w:vAlign w:val="center"/>
                </w:tcPr>
                <w:p w14:paraId="3D579993">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计算参数</w:t>
                  </w:r>
                </w:p>
              </w:tc>
              <w:tc>
                <w:tcPr>
                  <w:tcW w:w="1492" w:type="pct"/>
                  <w:gridSpan w:val="3"/>
                  <w:vAlign w:val="center"/>
                </w:tcPr>
                <w:p w14:paraId="64AB7677">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卫生防护距离（m）</w:t>
                  </w:r>
                </w:p>
              </w:tc>
            </w:tr>
            <w:tr w14:paraId="64A36F0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707" w:type="pct"/>
                  <w:vMerge w:val="continue"/>
                  <w:tcBorders>
                    <w:bottom w:val="single" w:color="auto" w:sz="4" w:space="0"/>
                  </w:tcBorders>
                  <w:vAlign w:val="center"/>
                </w:tcPr>
                <w:p w14:paraId="2FD5673A">
                  <w:pPr>
                    <w:jc w:val="center"/>
                    <w:rPr>
                      <w:b/>
                      <w:bCs/>
                      <w:color w:val="000000" w:themeColor="text1"/>
                      <w14:textFill>
                        <w14:solidFill>
                          <w14:schemeClr w14:val="tx1"/>
                        </w14:solidFill>
                      </w14:textFill>
                    </w:rPr>
                  </w:pPr>
                </w:p>
              </w:tc>
              <w:tc>
                <w:tcPr>
                  <w:tcW w:w="616" w:type="pct"/>
                  <w:vMerge w:val="continue"/>
                  <w:vAlign w:val="center"/>
                </w:tcPr>
                <w:p w14:paraId="28E5EB6C">
                  <w:pPr>
                    <w:jc w:val="center"/>
                    <w:rPr>
                      <w:b/>
                      <w:bCs/>
                      <w:color w:val="000000" w:themeColor="text1"/>
                      <w14:textFill>
                        <w14:solidFill>
                          <w14:schemeClr w14:val="tx1"/>
                        </w14:solidFill>
                      </w14:textFill>
                    </w:rPr>
                  </w:pPr>
                </w:p>
              </w:tc>
              <w:tc>
                <w:tcPr>
                  <w:tcW w:w="624" w:type="pct"/>
                  <w:vMerge w:val="continue"/>
                  <w:vAlign w:val="center"/>
                </w:tcPr>
                <w:p w14:paraId="17854F6D">
                  <w:pPr>
                    <w:jc w:val="center"/>
                    <w:rPr>
                      <w:b/>
                      <w:bCs/>
                      <w:color w:val="000000" w:themeColor="text1"/>
                      <w14:textFill>
                        <w14:solidFill>
                          <w14:schemeClr w14:val="tx1"/>
                        </w14:solidFill>
                      </w14:textFill>
                    </w:rPr>
                  </w:pPr>
                </w:p>
              </w:tc>
              <w:tc>
                <w:tcPr>
                  <w:tcW w:w="698" w:type="pct"/>
                  <w:vMerge w:val="continue"/>
                  <w:vAlign w:val="center"/>
                </w:tcPr>
                <w:p w14:paraId="7044BD1F">
                  <w:pPr>
                    <w:jc w:val="center"/>
                    <w:rPr>
                      <w:b/>
                      <w:bCs/>
                      <w:color w:val="000000" w:themeColor="text1"/>
                      <w14:textFill>
                        <w14:solidFill>
                          <w14:schemeClr w14:val="tx1"/>
                        </w14:solidFill>
                      </w14:textFill>
                    </w:rPr>
                  </w:pPr>
                </w:p>
              </w:tc>
              <w:tc>
                <w:tcPr>
                  <w:tcW w:w="861" w:type="pct"/>
                  <w:vAlign w:val="center"/>
                </w:tcPr>
                <w:p w14:paraId="181834C4">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Cm（mg/m</w:t>
                  </w:r>
                  <w:r>
                    <w:rPr>
                      <w:b/>
                      <w:bCs/>
                      <w:color w:val="000000" w:themeColor="text1"/>
                      <w:vertAlign w:val="superscript"/>
                      <w14:textFill>
                        <w14:solidFill>
                          <w14:schemeClr w14:val="tx1"/>
                        </w14:solidFill>
                      </w14:textFill>
                    </w:rPr>
                    <w:t>3</w:t>
                  </w:r>
                  <w:r>
                    <w:rPr>
                      <w:b/>
                      <w:bCs/>
                      <w:color w:val="000000" w:themeColor="text1"/>
                      <w14:textFill>
                        <w14:solidFill>
                          <w14:schemeClr w14:val="tx1"/>
                        </w14:solidFill>
                      </w14:textFill>
                    </w:rPr>
                    <w:t>）</w:t>
                  </w:r>
                </w:p>
              </w:tc>
              <w:tc>
                <w:tcPr>
                  <w:tcW w:w="570" w:type="pct"/>
                  <w:vAlign w:val="center"/>
                </w:tcPr>
                <w:p w14:paraId="73AD0942">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L计</w:t>
                  </w:r>
                </w:p>
              </w:tc>
              <w:tc>
                <w:tcPr>
                  <w:tcW w:w="499" w:type="pct"/>
                  <w:vAlign w:val="center"/>
                </w:tcPr>
                <w:p w14:paraId="504922CF">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L卫</w:t>
                  </w:r>
                </w:p>
              </w:tc>
              <w:tc>
                <w:tcPr>
                  <w:tcW w:w="423" w:type="pct"/>
                  <w:vAlign w:val="center"/>
                </w:tcPr>
                <w:p w14:paraId="20C94687">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L总</w:t>
                  </w:r>
                </w:p>
              </w:tc>
            </w:tr>
            <w:tr w14:paraId="30365E1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707" w:type="pct"/>
                  <w:vMerge w:val="restart"/>
                  <w:tcBorders>
                    <w:top w:val="single" w:color="auto" w:sz="4" w:space="0"/>
                  </w:tcBorders>
                  <w:vAlign w:val="center"/>
                </w:tcPr>
                <w:p w14:paraId="6CE72C0B">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生产车间</w:t>
                  </w:r>
                </w:p>
              </w:tc>
              <w:tc>
                <w:tcPr>
                  <w:tcW w:w="616" w:type="pct"/>
                  <w:vAlign w:val="center"/>
                </w:tcPr>
                <w:p w14:paraId="7B918D4A">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624" w:type="pct"/>
                  <w:vAlign w:val="center"/>
                </w:tcPr>
                <w:p w14:paraId="19E6544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0.0021</w:t>
                  </w:r>
                </w:p>
              </w:tc>
              <w:tc>
                <w:tcPr>
                  <w:tcW w:w="698" w:type="pct"/>
                  <w:vMerge w:val="restart"/>
                  <w:vAlign w:val="center"/>
                </w:tcPr>
                <w:p w14:paraId="343C267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16*10</w:t>
                  </w:r>
                </w:p>
              </w:tc>
              <w:tc>
                <w:tcPr>
                  <w:tcW w:w="861" w:type="pct"/>
                  <w:vAlign w:val="center"/>
                </w:tcPr>
                <w:p w14:paraId="029DB5E6">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570" w:type="pct"/>
                  <w:vAlign w:val="center"/>
                </w:tcPr>
                <w:p w14:paraId="7757F146">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095</w:t>
                  </w:r>
                </w:p>
              </w:tc>
              <w:tc>
                <w:tcPr>
                  <w:tcW w:w="499" w:type="pct"/>
                  <w:vAlign w:val="center"/>
                </w:tcPr>
                <w:p w14:paraId="03CFF788">
                  <w:pPr>
                    <w:jc w:val="center"/>
                    <w:rPr>
                      <w:color w:val="000000" w:themeColor="text1"/>
                      <w14:textFill>
                        <w14:solidFill>
                          <w14:schemeClr w14:val="tx1"/>
                        </w14:solidFill>
                      </w14:textFill>
                    </w:rPr>
                  </w:pPr>
                  <w:r>
                    <w:rPr>
                      <w:color w:val="000000" w:themeColor="text1"/>
                      <w14:textFill>
                        <w14:solidFill>
                          <w14:schemeClr w14:val="tx1"/>
                        </w14:solidFill>
                      </w14:textFill>
                    </w:rPr>
                    <w:t>50</w:t>
                  </w:r>
                </w:p>
              </w:tc>
              <w:tc>
                <w:tcPr>
                  <w:tcW w:w="423" w:type="pct"/>
                  <w:vMerge w:val="restart"/>
                  <w:vAlign w:val="center"/>
                </w:tcPr>
                <w:p w14:paraId="5C57D29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r>
            <w:tr w14:paraId="166398C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707" w:type="pct"/>
                  <w:vMerge w:val="continue"/>
                  <w:vAlign w:val="center"/>
                </w:tcPr>
                <w:p w14:paraId="30C58362">
                  <w:pPr>
                    <w:jc w:val="center"/>
                    <w:rPr>
                      <w:color w:val="000000" w:themeColor="text1"/>
                      <w:szCs w:val="21"/>
                      <w14:textFill>
                        <w14:solidFill>
                          <w14:schemeClr w14:val="tx1"/>
                        </w14:solidFill>
                      </w14:textFill>
                    </w:rPr>
                  </w:pPr>
                </w:p>
              </w:tc>
              <w:tc>
                <w:tcPr>
                  <w:tcW w:w="616" w:type="pct"/>
                  <w:vAlign w:val="center"/>
                </w:tcPr>
                <w:p w14:paraId="244E225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甲醇</w:t>
                  </w:r>
                </w:p>
              </w:tc>
              <w:tc>
                <w:tcPr>
                  <w:tcW w:w="624" w:type="pct"/>
                  <w:vAlign w:val="center"/>
                </w:tcPr>
                <w:p w14:paraId="64873D7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0.0001</w:t>
                  </w:r>
                </w:p>
              </w:tc>
              <w:tc>
                <w:tcPr>
                  <w:tcW w:w="698" w:type="pct"/>
                  <w:vMerge w:val="continue"/>
                  <w:vAlign w:val="center"/>
                </w:tcPr>
                <w:p w14:paraId="334EC9DD">
                  <w:pPr>
                    <w:jc w:val="center"/>
                    <w:rPr>
                      <w:color w:val="000000" w:themeColor="text1"/>
                      <w:szCs w:val="21"/>
                      <w14:textFill>
                        <w14:solidFill>
                          <w14:schemeClr w14:val="tx1"/>
                        </w14:solidFill>
                      </w14:textFill>
                    </w:rPr>
                  </w:pPr>
                </w:p>
              </w:tc>
              <w:tc>
                <w:tcPr>
                  <w:tcW w:w="861" w:type="pct"/>
                  <w:vAlign w:val="center"/>
                </w:tcPr>
                <w:p w14:paraId="70A2FAE0">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570" w:type="pct"/>
                  <w:vAlign w:val="center"/>
                </w:tcPr>
                <w:p w14:paraId="377F4A2D">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w:t>
                  </w:r>
                  <w:r>
                    <w:rPr>
                      <w:rFonts w:hint="eastAsia"/>
                      <w:color w:val="000000" w:themeColor="text1"/>
                      <w:szCs w:val="21"/>
                      <w14:textFill>
                        <w14:solidFill>
                          <w14:schemeClr w14:val="tx1"/>
                        </w14:solidFill>
                      </w14:textFill>
                    </w:rPr>
                    <w:t>2</w:t>
                  </w:r>
                </w:p>
              </w:tc>
              <w:tc>
                <w:tcPr>
                  <w:tcW w:w="499" w:type="pct"/>
                  <w:vAlign w:val="center"/>
                </w:tcPr>
                <w:p w14:paraId="294D824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23" w:type="pct"/>
                  <w:vMerge w:val="continue"/>
                  <w:vAlign w:val="center"/>
                </w:tcPr>
                <w:p w14:paraId="1D8BC725">
                  <w:pPr>
                    <w:jc w:val="center"/>
                    <w:rPr>
                      <w:color w:val="000000" w:themeColor="text1"/>
                      <w14:textFill>
                        <w14:solidFill>
                          <w14:schemeClr w14:val="tx1"/>
                        </w14:solidFill>
                      </w14:textFill>
                    </w:rPr>
                  </w:pPr>
                </w:p>
              </w:tc>
            </w:tr>
          </w:tbl>
          <w:p w14:paraId="05E7F471">
            <w:pPr>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根据《大气有害物质无组织排放卫生防护距离推导技术导则》（GB/T 39499-2020）确定本项目卫生防护距离是以生产</w:t>
            </w:r>
            <w:r>
              <w:rPr>
                <w:rFonts w:hint="eastAsia"/>
                <w:color w:val="000000" w:themeColor="text1"/>
                <w:sz w:val="24"/>
                <w14:textFill>
                  <w14:solidFill>
                    <w14:schemeClr w14:val="tx1"/>
                  </w14:solidFill>
                </w14:textFill>
              </w:rPr>
              <w:t>车间</w:t>
            </w:r>
            <w:r>
              <w:rPr>
                <w:color w:val="000000" w:themeColor="text1"/>
                <w:sz w:val="24"/>
                <w14:textFill>
                  <w14:solidFill>
                    <w14:schemeClr w14:val="tx1"/>
                  </w14:solidFill>
                </w14:textFill>
              </w:rPr>
              <w:t>为边界外扩</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0米范围（具体范围见图2），经实地勘察，项目卫生防护距离内目前无居住、医院、学校等环境敏感点，将来也不得建设环境敏感点，以避免环境纠纷。</w:t>
            </w:r>
          </w:p>
          <w:p w14:paraId="2E993BBD">
            <w:pPr>
              <w:tabs>
                <w:tab w:val="left" w:pos="1684"/>
              </w:tabs>
              <w:spacing w:line="480" w:lineRule="exact"/>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1.5</w:t>
            </w:r>
            <w:r>
              <w:rPr>
                <w:b/>
                <w:bCs/>
                <w:color w:val="000000" w:themeColor="text1"/>
                <w:sz w:val="24"/>
                <w14:textFill>
                  <w14:solidFill>
                    <w14:schemeClr w14:val="tx1"/>
                  </w14:solidFill>
                </w14:textFill>
              </w:rPr>
              <w:t>废气监测计划</w:t>
            </w:r>
            <w:r>
              <w:rPr>
                <w:color w:val="000000" w:themeColor="text1"/>
                <w:sz w:val="24"/>
                <w14:textFill>
                  <w14:solidFill>
                    <w14:schemeClr w14:val="tx1"/>
                  </w14:solidFill>
                </w14:textFill>
              </w:rPr>
              <w:t xml:space="preserve"> </w:t>
            </w:r>
          </w:p>
          <w:p w14:paraId="47958D56">
            <w:pPr>
              <w:spacing w:line="480" w:lineRule="exact"/>
              <w:ind w:firstLine="480" w:firstLineChars="200"/>
              <w:rPr>
                <w:color w:val="000000" w:themeColor="text1"/>
                <w:spacing w:val="-6"/>
                <w:sz w:val="24"/>
                <w14:textFill>
                  <w14:solidFill>
                    <w14:schemeClr w14:val="tx1"/>
                  </w14:solidFill>
                </w14:textFill>
              </w:rPr>
            </w:pPr>
            <w:r>
              <w:rPr>
                <w:color w:val="000000" w:themeColor="text1"/>
                <w:sz w:val="24"/>
                <w14:textFill>
                  <w14:solidFill>
                    <w14:schemeClr w14:val="tx1"/>
                  </w14:solidFill>
                </w14:textFill>
              </w:rPr>
              <w:t>监测频次：</w:t>
            </w:r>
            <w:r>
              <w:rPr>
                <w:color w:val="000000" w:themeColor="text1"/>
                <w:spacing w:val="-6"/>
                <w:sz w:val="24"/>
                <w14:textFill>
                  <w14:solidFill>
                    <w14:schemeClr w14:val="tx1"/>
                  </w14:solidFill>
                </w14:textFill>
              </w:rPr>
              <w:t>按《排污单位自行监测技术指南 总则》（HJ819-2017）要求，本项目运营期污染源监测计划如下。</w:t>
            </w:r>
          </w:p>
          <w:p w14:paraId="4F5C079D">
            <w:pPr>
              <w:pStyle w:val="60"/>
              <w:spacing w:before="0" w:beforeLines="0" w:line="360" w:lineRule="exact"/>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14:textFill>
                  <w14:solidFill>
                    <w14:schemeClr w14:val="tx1"/>
                  </w14:solidFill>
                </w14:textFill>
              </w:rPr>
              <w:t>6</w:t>
            </w:r>
            <w:r>
              <w:rPr>
                <w:b/>
                <w:color w:val="000000" w:themeColor="text1"/>
                <w:sz w:val="21"/>
                <w:szCs w:val="21"/>
                <w14:textFill>
                  <w14:solidFill>
                    <w14:schemeClr w14:val="tx1"/>
                  </w14:solidFill>
                </w14:textFill>
              </w:rPr>
              <w:t xml:space="preserve"> 废气监测计划表</w:t>
            </w:r>
          </w:p>
          <w:tbl>
            <w:tblPr>
              <w:tblStyle w:val="25"/>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21"/>
              <w:gridCol w:w="467"/>
              <w:gridCol w:w="1447"/>
              <w:gridCol w:w="1261"/>
              <w:gridCol w:w="949"/>
              <w:gridCol w:w="2248"/>
              <w:gridCol w:w="762"/>
              <w:gridCol w:w="1927"/>
            </w:tblGrid>
            <w:tr w14:paraId="1EB1D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71" w:type="pct"/>
                  <w:tcBorders>
                    <w:tl2br w:val="nil"/>
                    <w:tr2bl w:val="nil"/>
                  </w:tcBorders>
                  <w:vAlign w:val="center"/>
                </w:tcPr>
                <w:p w14:paraId="189CF70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时段</w:t>
                  </w:r>
                </w:p>
              </w:tc>
              <w:tc>
                <w:tcPr>
                  <w:tcW w:w="249" w:type="pct"/>
                  <w:tcBorders>
                    <w:tl2br w:val="nil"/>
                    <w:tr2bl w:val="nil"/>
                  </w:tcBorders>
                  <w:vAlign w:val="center"/>
                </w:tcPr>
                <w:p w14:paraId="58BE0EC7">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770" w:type="pct"/>
                  <w:tcBorders>
                    <w:tl2br w:val="nil"/>
                    <w:tr2bl w:val="nil"/>
                  </w:tcBorders>
                  <w:vAlign w:val="center"/>
                </w:tcPr>
                <w:p w14:paraId="0E49C176">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监测位置</w:t>
                  </w:r>
                </w:p>
              </w:tc>
              <w:tc>
                <w:tcPr>
                  <w:tcW w:w="671" w:type="pct"/>
                  <w:tcBorders>
                    <w:tl2br w:val="nil"/>
                    <w:tr2bl w:val="nil"/>
                  </w:tcBorders>
                  <w:vAlign w:val="center"/>
                </w:tcPr>
                <w:p w14:paraId="3E8F853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监测项目</w:t>
                  </w:r>
                </w:p>
              </w:tc>
              <w:tc>
                <w:tcPr>
                  <w:tcW w:w="506" w:type="pct"/>
                  <w:tcBorders>
                    <w:tl2br w:val="nil"/>
                    <w:tr2bl w:val="nil"/>
                  </w:tcBorders>
                  <w:vAlign w:val="center"/>
                </w:tcPr>
                <w:p w14:paraId="22F55A8E">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监测频率</w:t>
                  </w:r>
                </w:p>
              </w:tc>
              <w:tc>
                <w:tcPr>
                  <w:tcW w:w="1197" w:type="pct"/>
                  <w:tcBorders>
                    <w:tl2br w:val="nil"/>
                    <w:tr2bl w:val="nil"/>
                  </w:tcBorders>
                  <w:vAlign w:val="center"/>
                </w:tcPr>
                <w:p w14:paraId="399FC471">
                  <w:pPr>
                    <w:spacing w:line="2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执行标准</w:t>
                  </w:r>
                </w:p>
              </w:tc>
              <w:tc>
                <w:tcPr>
                  <w:tcW w:w="406" w:type="pct"/>
                  <w:tcBorders>
                    <w:tl2br w:val="nil"/>
                    <w:tr2bl w:val="nil"/>
                  </w:tcBorders>
                  <w:vAlign w:val="center"/>
                </w:tcPr>
                <w:p w14:paraId="413FE823">
                  <w:pPr>
                    <w:spacing w:line="2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监测方法</w:t>
                  </w:r>
                </w:p>
              </w:tc>
              <w:tc>
                <w:tcPr>
                  <w:tcW w:w="1026" w:type="pct"/>
                  <w:tcBorders>
                    <w:tl2br w:val="nil"/>
                    <w:tr2bl w:val="nil"/>
                  </w:tcBorders>
                  <w:vAlign w:val="center"/>
                </w:tcPr>
                <w:p w14:paraId="4BB94C53">
                  <w:pPr>
                    <w:spacing w:line="24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依据</w:t>
                  </w:r>
                </w:p>
              </w:tc>
            </w:tr>
            <w:tr w14:paraId="63C71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171" w:type="pct"/>
                  <w:vMerge w:val="restart"/>
                  <w:tcBorders>
                    <w:tl2br w:val="nil"/>
                    <w:tr2bl w:val="nil"/>
                  </w:tcBorders>
                  <w:vAlign w:val="center"/>
                </w:tcPr>
                <w:p w14:paraId="285883E4">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营运期</w:t>
                  </w:r>
                </w:p>
              </w:tc>
              <w:tc>
                <w:tcPr>
                  <w:tcW w:w="249" w:type="pct"/>
                  <w:vMerge w:val="restart"/>
                  <w:tcBorders>
                    <w:tl2br w:val="nil"/>
                    <w:tr2bl w:val="nil"/>
                  </w:tcBorders>
                  <w:vAlign w:val="center"/>
                </w:tcPr>
                <w:p w14:paraId="66C877A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770" w:type="pct"/>
                  <w:vMerge w:val="restart"/>
                  <w:tcBorders>
                    <w:tl2br w:val="nil"/>
                    <w:tr2bl w:val="nil"/>
                  </w:tcBorders>
                  <w:vAlign w:val="center"/>
                </w:tcPr>
                <w:p w14:paraId="33A21F00">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厂界外1m范围内上风向1个点，下风向3个点</w:t>
                  </w:r>
                </w:p>
              </w:tc>
              <w:tc>
                <w:tcPr>
                  <w:tcW w:w="671" w:type="pct"/>
                  <w:tcBorders>
                    <w:tl2br w:val="nil"/>
                    <w:tr2bl w:val="nil"/>
                  </w:tcBorders>
                  <w:vAlign w:val="center"/>
                </w:tcPr>
                <w:p w14:paraId="6D8C0FB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非甲烷总烃、甲醇、颗粒物</w:t>
                  </w:r>
                </w:p>
              </w:tc>
              <w:tc>
                <w:tcPr>
                  <w:tcW w:w="506" w:type="pct"/>
                  <w:tcBorders>
                    <w:tl2br w:val="nil"/>
                    <w:tr2bl w:val="nil"/>
                  </w:tcBorders>
                  <w:vAlign w:val="center"/>
                </w:tcPr>
                <w:p w14:paraId="31442C69">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1次/年</w:t>
                  </w:r>
                </w:p>
              </w:tc>
              <w:tc>
                <w:tcPr>
                  <w:tcW w:w="1197" w:type="pct"/>
                  <w:tcBorders>
                    <w:tl2br w:val="nil"/>
                    <w:tr2bl w:val="nil"/>
                  </w:tcBorders>
                  <w:vAlign w:val="center"/>
                </w:tcPr>
                <w:p w14:paraId="1F6889E5">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《大气污染物综合排放标准》（DB32/4041-2021）</w:t>
                  </w:r>
                </w:p>
              </w:tc>
              <w:tc>
                <w:tcPr>
                  <w:tcW w:w="406" w:type="pct"/>
                  <w:vMerge w:val="restart"/>
                  <w:tcBorders>
                    <w:tl2br w:val="nil"/>
                    <w:tr2bl w:val="nil"/>
                  </w:tcBorders>
                  <w:vAlign w:val="center"/>
                </w:tcPr>
                <w:p w14:paraId="087ED031">
                  <w:pPr>
                    <w:spacing w:line="240" w:lineRule="exact"/>
                    <w:jc w:val="center"/>
                    <w:rPr>
                      <w:b/>
                      <w:color w:val="000000" w:themeColor="text1"/>
                      <w:szCs w:val="21"/>
                      <w14:textFill>
                        <w14:solidFill>
                          <w14:schemeClr w14:val="tx1"/>
                        </w14:solidFill>
                      </w14:textFill>
                    </w:rPr>
                  </w:pPr>
                  <w:r>
                    <w:rPr>
                      <w:bCs/>
                      <w:color w:val="000000" w:themeColor="text1"/>
                      <w:szCs w:val="21"/>
                      <w14:textFill>
                        <w14:solidFill>
                          <w14:schemeClr w14:val="tx1"/>
                        </w14:solidFill>
                      </w14:textFill>
                    </w:rPr>
                    <w:t>采用国家规定最新监测方法与标准</w:t>
                  </w:r>
                </w:p>
              </w:tc>
              <w:tc>
                <w:tcPr>
                  <w:tcW w:w="1026" w:type="pct"/>
                  <w:vMerge w:val="restart"/>
                  <w:tcBorders>
                    <w:tl2br w:val="nil"/>
                    <w:tr2bl w:val="nil"/>
                  </w:tcBorders>
                  <w:vAlign w:val="center"/>
                </w:tcPr>
                <w:p w14:paraId="04058B8C">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《排污单位自行监测技术指南 总则》（HJ819-2017）</w:t>
                  </w:r>
                </w:p>
              </w:tc>
            </w:tr>
            <w:tr w14:paraId="205D5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171" w:type="pct"/>
                  <w:vMerge w:val="continue"/>
                  <w:tcBorders>
                    <w:tl2br w:val="nil"/>
                    <w:tr2bl w:val="nil"/>
                  </w:tcBorders>
                  <w:vAlign w:val="center"/>
                </w:tcPr>
                <w:p w14:paraId="69150594">
                  <w:pPr>
                    <w:jc w:val="center"/>
                    <w:rPr>
                      <w:bCs/>
                      <w:color w:val="000000" w:themeColor="text1"/>
                      <w:szCs w:val="21"/>
                      <w14:textFill>
                        <w14:solidFill>
                          <w14:schemeClr w14:val="tx1"/>
                        </w14:solidFill>
                      </w14:textFill>
                    </w:rPr>
                  </w:pPr>
                </w:p>
              </w:tc>
              <w:tc>
                <w:tcPr>
                  <w:tcW w:w="249" w:type="pct"/>
                  <w:vMerge w:val="continue"/>
                  <w:tcBorders>
                    <w:tl2br w:val="nil"/>
                    <w:tr2bl w:val="nil"/>
                  </w:tcBorders>
                  <w:vAlign w:val="center"/>
                </w:tcPr>
                <w:p w14:paraId="6683F167">
                  <w:pPr>
                    <w:jc w:val="center"/>
                    <w:rPr>
                      <w:color w:val="000000" w:themeColor="text1"/>
                      <w:szCs w:val="21"/>
                      <w14:textFill>
                        <w14:solidFill>
                          <w14:schemeClr w14:val="tx1"/>
                        </w14:solidFill>
                      </w14:textFill>
                    </w:rPr>
                  </w:pPr>
                </w:p>
              </w:tc>
              <w:tc>
                <w:tcPr>
                  <w:tcW w:w="770" w:type="pct"/>
                  <w:vMerge w:val="continue"/>
                  <w:tcBorders>
                    <w:tl2br w:val="nil"/>
                    <w:tr2bl w:val="nil"/>
                  </w:tcBorders>
                  <w:vAlign w:val="center"/>
                </w:tcPr>
                <w:p w14:paraId="6ED0F92C">
                  <w:pPr>
                    <w:jc w:val="center"/>
                    <w:rPr>
                      <w:color w:val="000000" w:themeColor="text1"/>
                      <w:szCs w:val="21"/>
                      <w14:textFill>
                        <w14:solidFill>
                          <w14:schemeClr w14:val="tx1"/>
                        </w14:solidFill>
                      </w14:textFill>
                    </w:rPr>
                  </w:pPr>
                </w:p>
              </w:tc>
              <w:tc>
                <w:tcPr>
                  <w:tcW w:w="671" w:type="pct"/>
                  <w:tcBorders>
                    <w:tl2br w:val="nil"/>
                    <w:tr2bl w:val="nil"/>
                  </w:tcBorders>
                  <w:vAlign w:val="center"/>
                </w:tcPr>
                <w:p w14:paraId="61F3F761">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氨、</w:t>
                  </w:r>
                  <w:r>
                    <w:rPr>
                      <w:rFonts w:hint="eastAsia"/>
                      <w:color w:val="FF0000"/>
                      <w:szCs w:val="21"/>
                      <w:vertAlign w:val="baseline"/>
                      <w:lang w:val="en-US" w:eastAsia="zh-CN"/>
                    </w:rPr>
                    <w:t>硫化氢</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臭气浓度</w:t>
                  </w:r>
                </w:p>
              </w:tc>
              <w:tc>
                <w:tcPr>
                  <w:tcW w:w="506" w:type="pct"/>
                  <w:tcBorders>
                    <w:tl2br w:val="nil"/>
                    <w:tr2bl w:val="nil"/>
                  </w:tcBorders>
                  <w:vAlign w:val="center"/>
                </w:tcPr>
                <w:p w14:paraId="676641BE">
                  <w:pPr>
                    <w:spacing w:line="240" w:lineRule="exact"/>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1次/年</w:t>
                  </w:r>
                </w:p>
              </w:tc>
              <w:tc>
                <w:tcPr>
                  <w:tcW w:w="1197" w:type="pct"/>
                  <w:tcBorders>
                    <w:tl2br w:val="nil"/>
                    <w:tr2bl w:val="nil"/>
                  </w:tcBorders>
                  <w:vAlign w:val="center"/>
                </w:tcPr>
                <w:p w14:paraId="58F4F961">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《恶臭污染物排放标准》（GB14554-93）</w:t>
                  </w:r>
                </w:p>
              </w:tc>
              <w:tc>
                <w:tcPr>
                  <w:tcW w:w="406" w:type="pct"/>
                  <w:vMerge w:val="continue"/>
                  <w:tcBorders>
                    <w:tl2br w:val="nil"/>
                    <w:tr2bl w:val="nil"/>
                  </w:tcBorders>
                  <w:vAlign w:val="center"/>
                </w:tcPr>
                <w:p w14:paraId="490FD288">
                  <w:pPr>
                    <w:spacing w:line="240" w:lineRule="exact"/>
                    <w:jc w:val="center"/>
                    <w:rPr>
                      <w:bCs/>
                      <w:color w:val="000000" w:themeColor="text1"/>
                      <w:szCs w:val="21"/>
                      <w14:textFill>
                        <w14:solidFill>
                          <w14:schemeClr w14:val="tx1"/>
                        </w14:solidFill>
                      </w14:textFill>
                    </w:rPr>
                  </w:pPr>
                </w:p>
              </w:tc>
              <w:tc>
                <w:tcPr>
                  <w:tcW w:w="1026" w:type="pct"/>
                  <w:vMerge w:val="continue"/>
                  <w:tcBorders>
                    <w:tl2br w:val="nil"/>
                    <w:tr2bl w:val="nil"/>
                  </w:tcBorders>
                  <w:vAlign w:val="center"/>
                </w:tcPr>
                <w:p w14:paraId="7F0C9281">
                  <w:pPr>
                    <w:spacing w:line="240" w:lineRule="exact"/>
                    <w:jc w:val="center"/>
                    <w:rPr>
                      <w:bCs/>
                      <w:color w:val="000000" w:themeColor="text1"/>
                      <w:szCs w:val="21"/>
                      <w14:textFill>
                        <w14:solidFill>
                          <w14:schemeClr w14:val="tx1"/>
                        </w14:solidFill>
                      </w14:textFill>
                    </w:rPr>
                  </w:pPr>
                </w:p>
              </w:tc>
            </w:tr>
            <w:tr w14:paraId="34862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171" w:type="pct"/>
                  <w:vMerge w:val="continue"/>
                  <w:tcBorders>
                    <w:tl2br w:val="nil"/>
                    <w:tr2bl w:val="nil"/>
                  </w:tcBorders>
                  <w:vAlign w:val="center"/>
                </w:tcPr>
                <w:p w14:paraId="38B8E510">
                  <w:pPr>
                    <w:jc w:val="center"/>
                    <w:rPr>
                      <w:bCs/>
                      <w:color w:val="000000" w:themeColor="text1"/>
                      <w:szCs w:val="21"/>
                      <w14:textFill>
                        <w14:solidFill>
                          <w14:schemeClr w14:val="tx1"/>
                        </w14:solidFill>
                      </w14:textFill>
                    </w:rPr>
                  </w:pPr>
                </w:p>
              </w:tc>
              <w:tc>
                <w:tcPr>
                  <w:tcW w:w="249" w:type="pct"/>
                  <w:vMerge w:val="continue"/>
                  <w:tcBorders>
                    <w:tl2br w:val="nil"/>
                    <w:tr2bl w:val="nil"/>
                  </w:tcBorders>
                  <w:vAlign w:val="center"/>
                </w:tcPr>
                <w:p w14:paraId="28386198">
                  <w:pPr>
                    <w:jc w:val="center"/>
                    <w:rPr>
                      <w:color w:val="000000" w:themeColor="text1"/>
                      <w:szCs w:val="21"/>
                      <w14:textFill>
                        <w14:solidFill>
                          <w14:schemeClr w14:val="tx1"/>
                        </w14:solidFill>
                      </w14:textFill>
                    </w:rPr>
                  </w:pPr>
                </w:p>
              </w:tc>
              <w:tc>
                <w:tcPr>
                  <w:tcW w:w="770" w:type="pct"/>
                  <w:tcBorders>
                    <w:tl2br w:val="nil"/>
                    <w:tr2bl w:val="nil"/>
                  </w:tcBorders>
                  <w:vAlign w:val="center"/>
                </w:tcPr>
                <w:p w14:paraId="1604C25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厂房外</w:t>
                  </w:r>
                </w:p>
              </w:tc>
              <w:tc>
                <w:tcPr>
                  <w:tcW w:w="671" w:type="pct"/>
                  <w:tcBorders>
                    <w:tl2br w:val="nil"/>
                    <w:tr2bl w:val="nil"/>
                  </w:tcBorders>
                  <w:vAlign w:val="center"/>
                </w:tcPr>
                <w:p w14:paraId="4FA026F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506" w:type="pct"/>
                  <w:tcBorders>
                    <w:tl2br w:val="nil"/>
                    <w:tr2bl w:val="nil"/>
                  </w:tcBorders>
                  <w:vAlign w:val="center"/>
                </w:tcPr>
                <w:p w14:paraId="4E03EE1B">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1次/年</w:t>
                  </w:r>
                </w:p>
              </w:tc>
              <w:tc>
                <w:tcPr>
                  <w:tcW w:w="1197" w:type="pct"/>
                  <w:tcBorders>
                    <w:tl2br w:val="nil"/>
                    <w:tr2bl w:val="nil"/>
                  </w:tcBorders>
                  <w:vAlign w:val="center"/>
                </w:tcPr>
                <w:p w14:paraId="07D25EE0">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《大气污染物综合排放标准》（DB32/4041-2021）</w:t>
                  </w:r>
                </w:p>
              </w:tc>
              <w:tc>
                <w:tcPr>
                  <w:tcW w:w="406" w:type="pct"/>
                  <w:vMerge w:val="continue"/>
                  <w:tcBorders>
                    <w:tl2br w:val="nil"/>
                    <w:tr2bl w:val="nil"/>
                  </w:tcBorders>
                  <w:vAlign w:val="center"/>
                </w:tcPr>
                <w:p w14:paraId="2C8E5B6B">
                  <w:pPr>
                    <w:spacing w:line="240" w:lineRule="exact"/>
                    <w:jc w:val="center"/>
                    <w:rPr>
                      <w:bCs/>
                      <w:color w:val="000000" w:themeColor="text1"/>
                      <w:szCs w:val="21"/>
                      <w14:textFill>
                        <w14:solidFill>
                          <w14:schemeClr w14:val="tx1"/>
                        </w14:solidFill>
                      </w14:textFill>
                    </w:rPr>
                  </w:pPr>
                </w:p>
              </w:tc>
              <w:tc>
                <w:tcPr>
                  <w:tcW w:w="1026" w:type="pct"/>
                  <w:vMerge w:val="continue"/>
                  <w:tcBorders>
                    <w:tl2br w:val="nil"/>
                    <w:tr2bl w:val="nil"/>
                  </w:tcBorders>
                  <w:vAlign w:val="center"/>
                </w:tcPr>
                <w:p w14:paraId="6C55D982">
                  <w:pPr>
                    <w:spacing w:line="240" w:lineRule="exact"/>
                    <w:jc w:val="center"/>
                    <w:rPr>
                      <w:bCs/>
                      <w:color w:val="000000" w:themeColor="text1"/>
                      <w:szCs w:val="21"/>
                      <w14:textFill>
                        <w14:solidFill>
                          <w14:schemeClr w14:val="tx1"/>
                        </w14:solidFill>
                      </w14:textFill>
                    </w:rPr>
                  </w:pPr>
                </w:p>
              </w:tc>
            </w:tr>
          </w:tbl>
          <w:p w14:paraId="1AB5182A">
            <w:pPr>
              <w:tabs>
                <w:tab w:val="left" w:pos="1684"/>
              </w:tabs>
              <w:spacing w:line="480" w:lineRule="exact"/>
              <w:rPr>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rFonts w:hint="eastAsia"/>
                <w:b/>
                <w:bCs/>
                <w:color w:val="000000" w:themeColor="text1"/>
                <w:sz w:val="24"/>
                <w14:textFill>
                  <w14:solidFill>
                    <w14:schemeClr w14:val="tx1"/>
                  </w14:solidFill>
                </w14:textFill>
              </w:rPr>
              <w:t>6</w:t>
            </w:r>
            <w:r>
              <w:rPr>
                <w:b/>
                <w:bCs/>
                <w:color w:val="000000" w:themeColor="text1"/>
                <w:sz w:val="24"/>
                <w14:textFill>
                  <w14:solidFill>
                    <w14:schemeClr w14:val="tx1"/>
                  </w14:solidFill>
                </w14:textFill>
              </w:rPr>
              <w:t>异味影响分析</w:t>
            </w:r>
          </w:p>
          <w:p w14:paraId="306CD289">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（1）异味的产生分析</w:t>
            </w:r>
          </w:p>
          <w:p w14:paraId="59D58BFD">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建设项目生产过程中会产生异味</w:t>
            </w:r>
            <w:r>
              <w:rPr>
                <w:rFonts w:hint="eastAsia"/>
                <w:color w:val="000000" w:themeColor="text1"/>
                <w:sz w:val="24"/>
                <w14:textFill>
                  <w14:solidFill>
                    <w14:schemeClr w14:val="tx1"/>
                  </w14:solidFill>
                </w14:textFill>
              </w:rPr>
              <w:t>，主要在发酵工段以及实验室药剂使用过程中产生</w:t>
            </w:r>
            <w:r>
              <w:rPr>
                <w:color w:val="000000" w:themeColor="text1"/>
                <w:sz w:val="24"/>
                <w14:textFill>
                  <w14:solidFill>
                    <w14:schemeClr w14:val="tx1"/>
                  </w14:solidFill>
                </w14:textFill>
              </w:rPr>
              <w:t>。本项目液态原辅料存储于密闭的容器、包装袋中，</w:t>
            </w:r>
            <w:r>
              <w:rPr>
                <w:rFonts w:hint="eastAsia"/>
                <w:color w:val="000000" w:themeColor="text1"/>
                <w:sz w:val="24"/>
                <w14:textFill>
                  <w14:solidFill>
                    <w14:schemeClr w14:val="tx1"/>
                  </w14:solidFill>
                </w14:textFill>
              </w:rPr>
              <w:t>发酵罐密闭运行</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实验操作在通风橱中进行，</w:t>
            </w:r>
            <w:r>
              <w:rPr>
                <w:color w:val="000000" w:themeColor="text1"/>
                <w:sz w:val="24"/>
                <w14:textFill>
                  <w14:solidFill>
                    <w14:schemeClr w14:val="tx1"/>
                  </w14:solidFill>
                </w14:textFill>
              </w:rPr>
              <w:t>异味产生量较少。</w:t>
            </w:r>
          </w:p>
          <w:p w14:paraId="706847EB">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本项目通过以下措施降低异味的产生：</w:t>
            </w:r>
          </w:p>
          <w:p w14:paraId="6B9BE87F">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①加强生产管理，增加员工意识，规范操作，采取预防为主、清洁生产的方针，采用先进生产工艺，选用先进的生产设备和清洁原料。</w:t>
            </w:r>
          </w:p>
          <w:p w14:paraId="57334027">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②定期对废气处理设施进行维护、保养和清理，保证其处理效率。</w:t>
            </w:r>
          </w:p>
          <w:p w14:paraId="64310749">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③加强车间通排风，以降低无组织排放废气的影响。</w:t>
            </w:r>
          </w:p>
          <w:p w14:paraId="47F163AB">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异味的危害分析</w:t>
            </w:r>
          </w:p>
          <w:p w14:paraId="12898365">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异味危害主要包括以下六个方面：</w:t>
            </w:r>
          </w:p>
          <w:p w14:paraId="40827F3A">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w:t>
            </w:r>
            <w:r>
              <w:rPr>
                <w:color w:val="000000" w:themeColor="text1"/>
                <w:sz w:val="24"/>
                <w14:textFill>
                  <w14:solidFill>
                    <w14:schemeClr w14:val="tx1"/>
                  </w14:solidFill>
                </w14:textFill>
              </w:rPr>
              <w:t>危害呼吸系统：人们突然闻到恶臭，就会产生反射性的抑制吸气，使呼吸次数减少，深度变浅，甚至会暂时停止吸气，妨碍正常呼吸功能。</w:t>
            </w:r>
          </w:p>
          <w:p w14:paraId="69579D20">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w:t>
            </w:r>
            <w:r>
              <w:rPr>
                <w:color w:val="000000" w:themeColor="text1"/>
                <w:sz w:val="24"/>
                <w14:textFill>
                  <w14:solidFill>
                    <w14:schemeClr w14:val="tx1"/>
                  </w14:solidFill>
                </w14:textFill>
              </w:rPr>
              <w:t>危害循环系统：随着呼吸的变化，会出现脉搏和血压的变化。如氨等刺激性臭气会使血压出现先下降后上升，脉搏先减慢后加快的现象。</w:t>
            </w:r>
          </w:p>
          <w:p w14:paraId="6133B249">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w:t>
            </w:r>
            <w:r>
              <w:rPr>
                <w:color w:val="000000" w:themeColor="text1"/>
                <w:sz w:val="24"/>
                <w14:textFill>
                  <w14:solidFill>
                    <w14:schemeClr w14:val="tx1"/>
                  </w14:solidFill>
                </w14:textFill>
              </w:rPr>
              <w:t>危害消化系统：经常接触恶臭，会使人厌食、恶心，甚至呕吐，进而发展为消化功能减退。</w:t>
            </w:r>
          </w:p>
          <w:p w14:paraId="174B764F">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w:t>
            </w:r>
            <w:r>
              <w:rPr>
                <w:color w:val="000000" w:themeColor="text1"/>
                <w:sz w:val="24"/>
                <w14:textFill>
                  <w14:solidFill>
                    <w14:schemeClr w14:val="tx1"/>
                  </w14:solidFill>
                </w14:textFill>
              </w:rPr>
              <w:t>危害内分泌系统：经常受恶臭刺激，会使内分泌系统的分泌功能紊乱，影响机体的代谢活动。</w:t>
            </w:r>
          </w:p>
          <w:p w14:paraId="45067BBB">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w:t>
            </w:r>
            <w:r>
              <w:rPr>
                <w:color w:val="000000" w:themeColor="text1"/>
                <w:sz w:val="24"/>
                <w14:textFill>
                  <w14:solidFill>
                    <w14:schemeClr w14:val="tx1"/>
                  </w14:solidFill>
                </w14:textFill>
              </w:rPr>
              <w:t>危害神经系统：长期受到一种或几种低浓度恶臭物质的刺激，会引起嗅觉脱失、嗅觉疲劳等障碍。“久闻而不知其臭”，使嗅觉丧失了第一道防御功能，但脑神经仍不断受到刺激和损伤，最后导致大脑皮层兴奋和抑制的调节功能失调。</w:t>
            </w:r>
          </w:p>
          <w:p w14:paraId="24C59644">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⑥</w:t>
            </w:r>
            <w:r>
              <w:rPr>
                <w:color w:val="000000" w:themeColor="text1"/>
                <w:sz w:val="24"/>
                <w14:textFill>
                  <w14:solidFill>
                    <w14:schemeClr w14:val="tx1"/>
                  </w14:solidFill>
                </w14:textFill>
              </w:rPr>
              <w:t>对精神的影响：恶臭使人精神烦躁不安，思想不集中，工作效率减低，判断力和记忆力下降，影响大脑的思考活动。</w:t>
            </w:r>
          </w:p>
          <w:p w14:paraId="4B2286AB">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本项目运营期产生的废气对周边大气环境和人群健康及嗅觉舒适度影响不大。</w:t>
            </w:r>
          </w:p>
          <w:p w14:paraId="06953168">
            <w:pPr>
              <w:tabs>
                <w:tab w:val="left" w:pos="1684"/>
              </w:tabs>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1.7废气达标排放分析</w:t>
            </w:r>
          </w:p>
          <w:p w14:paraId="249509BF">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厂界无组织废气（甲醇、非甲烷总烃</w:t>
            </w:r>
            <w:r>
              <w:rPr>
                <w:rFonts w:hint="eastAsia"/>
                <w:color w:val="000000" w:themeColor="text1"/>
                <w:sz w:val="24"/>
                <w14:textFill>
                  <w14:solidFill>
                    <w14:schemeClr w14:val="tx1"/>
                  </w14:solidFill>
                </w14:textFill>
              </w:rPr>
              <w:t>、颗粒物</w:t>
            </w:r>
            <w:r>
              <w:rPr>
                <w:color w:val="000000" w:themeColor="text1"/>
                <w:sz w:val="24"/>
                <w14:textFill>
                  <w14:solidFill>
                    <w14:schemeClr w14:val="tx1"/>
                  </w14:solidFill>
                </w14:textFill>
              </w:rPr>
              <w:t>）排放满足江苏省地标《大气污染物综合排放标准》（DB32/4041-2021）中表3标准</w:t>
            </w:r>
            <w:r>
              <w:rPr>
                <w:rFonts w:hint="eastAsia"/>
                <w:color w:val="000000" w:themeColor="text1"/>
                <w:sz w:val="24"/>
                <w14:textFill>
                  <w14:solidFill>
                    <w14:schemeClr w14:val="tx1"/>
                  </w14:solidFill>
                </w14:textFill>
              </w:rPr>
              <w:t>；厂界无组织废气（氨、硫化氢</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臭气浓度</w:t>
            </w:r>
            <w:r>
              <w:rPr>
                <w:rFonts w:hint="eastAsia"/>
                <w:color w:val="000000" w:themeColor="text1"/>
                <w:sz w:val="24"/>
                <w14:textFill>
                  <w14:solidFill>
                    <w14:schemeClr w14:val="tx1"/>
                  </w14:solidFill>
                </w14:textFill>
              </w:rPr>
              <w:t>）排放满足《恶臭污染物排放标准》（GB14554-93）表1二级标准</w:t>
            </w:r>
            <w:r>
              <w:rPr>
                <w:color w:val="000000" w:themeColor="text1"/>
                <w:sz w:val="24"/>
                <w14:textFill>
                  <w14:solidFill>
                    <w14:schemeClr w14:val="tx1"/>
                  </w14:solidFill>
                </w14:textFill>
              </w:rPr>
              <w:t>；厂区内VOCs无组织排放标准满足</w:t>
            </w:r>
            <w:r>
              <w:rPr>
                <w:rFonts w:hint="eastAsia"/>
                <w:color w:val="000000" w:themeColor="text1"/>
                <w:sz w:val="24"/>
                <w:lang w:eastAsia="zh-CN"/>
                <w14:textFill>
                  <w14:solidFill>
                    <w14:schemeClr w14:val="tx1"/>
                  </w14:solidFill>
                </w14:textFill>
              </w:rPr>
              <w:t>《大气污染物综合排放标准》（DB32/4042-2021）表2</w:t>
            </w:r>
            <w:r>
              <w:rPr>
                <w:color w:val="000000" w:themeColor="text1"/>
                <w:sz w:val="24"/>
                <w14:textFill>
                  <w14:solidFill>
                    <w14:schemeClr w14:val="tx1"/>
                  </w14:solidFill>
                </w14:textFill>
              </w:rPr>
              <w:t>厂区内VOCs无组织排放限值。</w:t>
            </w:r>
          </w:p>
          <w:p w14:paraId="04A3A940">
            <w:pPr>
              <w:tabs>
                <w:tab w:val="left" w:pos="1684"/>
              </w:tabs>
              <w:spacing w:line="48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rFonts w:hint="eastAsia"/>
                <w:b/>
                <w:bCs/>
                <w:color w:val="000000" w:themeColor="text1"/>
                <w:sz w:val="24"/>
                <w14:textFill>
                  <w14:solidFill>
                    <w14:schemeClr w14:val="tx1"/>
                  </w14:solidFill>
                </w14:textFill>
              </w:rPr>
              <w:t>8</w:t>
            </w:r>
            <w:r>
              <w:rPr>
                <w:b/>
                <w:bCs/>
                <w:color w:val="000000" w:themeColor="text1"/>
                <w:sz w:val="24"/>
                <w14:textFill>
                  <w14:solidFill>
                    <w14:schemeClr w14:val="tx1"/>
                  </w14:solidFill>
                </w14:textFill>
              </w:rPr>
              <w:t>大气环境影响分析结论</w:t>
            </w:r>
          </w:p>
          <w:p w14:paraId="15A0ACF5">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环境空气质量非达标区，企业卫生防护距离范围内不涉及居民、学校等环境敏感保护目标。本项目产生的各类大气污染物经采取有效的污染防治措施治理后排放，各类大气污染物排放强度较低，对大气环境影响较小，周边大气环境可基本维持现状，但仍要加强污染控制管理，减少非正常排放情况的发生。</w:t>
            </w:r>
          </w:p>
        </w:tc>
      </w:tr>
    </w:tbl>
    <w:p w14:paraId="405389F5">
      <w:pPr>
        <w:tabs>
          <w:tab w:val="left" w:pos="810"/>
        </w:tabs>
        <w:adjustRightInd w:val="0"/>
        <w:snapToGrid w:val="0"/>
        <w:spacing w:line="360" w:lineRule="auto"/>
        <w:rPr>
          <w:b/>
          <w:color w:val="000000" w:themeColor="text1"/>
          <w:kern w:val="0"/>
          <w:sz w:val="28"/>
          <w:szCs w:val="28"/>
          <w14:textFill>
            <w14:solidFill>
              <w14:schemeClr w14:val="tx1"/>
            </w14:solidFill>
          </w14:textFill>
        </w:rPr>
        <w:sectPr>
          <w:pgSz w:w="11907" w:h="16840"/>
          <w:pgMar w:top="1440" w:right="1080" w:bottom="1440" w:left="1080" w:header="851" w:footer="851" w:gutter="0"/>
          <w:cols w:space="720" w:num="1"/>
          <w:docGrid w:linePitch="312" w:charSpace="0"/>
        </w:sectPr>
      </w:pP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507"/>
      </w:tblGrid>
      <w:tr w14:paraId="0281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1" w:hRule="atLeast"/>
          <w:jc w:val="center"/>
        </w:trPr>
        <w:tc>
          <w:tcPr>
            <w:tcW w:w="429" w:type="dxa"/>
            <w:vAlign w:val="center"/>
          </w:tcPr>
          <w:p w14:paraId="5FE062BB">
            <w:pPr>
              <w:pStyle w:val="9"/>
              <w:numPr>
                <w:ilvl w:val="0"/>
                <w:numId w:val="0"/>
              </w:numPr>
              <w:jc w:val="center"/>
              <w:rPr>
                <w:color w:val="000000" w:themeColor="text1"/>
                <w:sz w:val="24"/>
                <w14:textFill>
                  <w14:solidFill>
                    <w14:schemeClr w14:val="tx1"/>
                  </w14:solidFill>
                </w14:textFill>
              </w:rPr>
            </w:pPr>
          </w:p>
          <w:p w14:paraId="3E387AE6">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17CF90AA">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10ED8BB3">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0414FF83">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349B01E2">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39A404E8">
            <w:pPr>
              <w:pStyle w:val="9"/>
              <w:numPr>
                <w:ilvl w:val="0"/>
                <w:numId w:val="0"/>
              </w:numPr>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tc>
        <w:tc>
          <w:tcPr>
            <w:tcW w:w="9534" w:type="dxa"/>
          </w:tcPr>
          <w:p w14:paraId="645D0EE5">
            <w:pPr>
              <w:spacing w:line="480" w:lineRule="exact"/>
              <w:rPr>
                <w:b/>
                <w:bCs/>
                <w:color w:val="000000" w:themeColor="text1"/>
                <w:spacing w:val="-4"/>
                <w:sz w:val="24"/>
                <w14:textFill>
                  <w14:solidFill>
                    <w14:schemeClr w14:val="tx1"/>
                  </w14:solidFill>
                </w14:textFill>
              </w:rPr>
            </w:pPr>
            <w:r>
              <w:rPr>
                <w:b/>
                <w:bCs/>
                <w:color w:val="000000" w:themeColor="text1"/>
                <w:spacing w:val="-4"/>
                <w:sz w:val="24"/>
                <w14:textFill>
                  <w14:solidFill>
                    <w14:schemeClr w14:val="tx1"/>
                  </w14:solidFill>
                </w14:textFill>
              </w:rPr>
              <w:t>2、废水</w:t>
            </w:r>
          </w:p>
          <w:p w14:paraId="6111667E">
            <w:pPr>
              <w:spacing w:line="480" w:lineRule="exact"/>
              <w:rPr>
                <w:color w:val="000000" w:themeColor="text1"/>
                <w:sz w:val="24"/>
                <w14:textFill>
                  <w14:solidFill>
                    <w14:schemeClr w14:val="tx1"/>
                  </w14:solidFill>
                </w14:textFill>
              </w:rPr>
            </w:pPr>
            <w:r>
              <w:rPr>
                <w:b/>
                <w:bCs/>
                <w:color w:val="000000" w:themeColor="text1"/>
                <w:sz w:val="24"/>
                <w14:textFill>
                  <w14:solidFill>
                    <w14:schemeClr w14:val="tx1"/>
                  </w14:solidFill>
                </w14:textFill>
              </w:rPr>
              <w:t>2.1废水</w:t>
            </w:r>
            <w:r>
              <w:rPr>
                <w:rFonts w:hint="eastAsia"/>
                <w:b/>
                <w:bCs/>
                <w:color w:val="000000" w:themeColor="text1"/>
                <w:sz w:val="24"/>
                <w14:textFill>
                  <w14:solidFill>
                    <w14:schemeClr w14:val="tx1"/>
                  </w14:solidFill>
                </w14:textFill>
              </w:rPr>
              <w:t>产生情况</w:t>
            </w:r>
          </w:p>
          <w:p w14:paraId="7395E0EA">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本项目产生的废水</w:t>
            </w:r>
            <w:r>
              <w:rPr>
                <w:rFonts w:hint="eastAsia"/>
                <w:color w:val="000000" w:themeColor="text1"/>
                <w:sz w:val="24"/>
                <w14:textFill>
                  <w14:solidFill>
                    <w14:schemeClr w14:val="tx1"/>
                  </w14:solidFill>
                </w14:textFill>
              </w:rPr>
              <w:t>主要为</w:t>
            </w:r>
            <w:r>
              <w:rPr>
                <w:color w:val="000000" w:themeColor="text1"/>
                <w:sz w:val="24"/>
                <w14:textFill>
                  <w14:solidFill>
                    <w14:schemeClr w14:val="tx1"/>
                  </w14:solidFill>
                </w14:textFill>
              </w:rPr>
              <w:t>生活污水</w:t>
            </w:r>
            <w:r>
              <w:rPr>
                <w:rFonts w:hint="eastAsia"/>
                <w:color w:val="000000" w:themeColor="text1"/>
                <w:sz w:val="24"/>
                <w14:textFill>
                  <w14:solidFill>
                    <w14:schemeClr w14:val="tx1"/>
                  </w14:solidFill>
                </w14:textFill>
              </w:rPr>
              <w:t>、隔套灭菌冷凝水</w:t>
            </w:r>
            <w:r>
              <w:rPr>
                <w:color w:val="000000" w:themeColor="text1"/>
                <w:sz w:val="24"/>
                <w14:textFill>
                  <w14:solidFill>
                    <w14:schemeClr w14:val="tx1"/>
                  </w14:solidFill>
                </w14:textFill>
              </w:rPr>
              <w:t>。</w:t>
            </w:r>
          </w:p>
          <w:p w14:paraId="57E2557C">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（1）生活污水</w:t>
            </w:r>
          </w:p>
          <w:p w14:paraId="20F66637">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本项目劳动定员10人，年工作300天，不设食堂、宿舍和浴室。人均生活用水定额按</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0L/（人·天）计，则生活用水量为</w:t>
            </w: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0t/a，排污系数为0.8，则生活污水排放量为</w:t>
            </w:r>
            <w:r>
              <w:rPr>
                <w:rFonts w:hint="eastAsia"/>
                <w:color w:val="000000" w:themeColor="text1"/>
                <w:sz w:val="24"/>
                <w14:textFill>
                  <w14:solidFill>
                    <w14:schemeClr w14:val="tx1"/>
                  </w14:solidFill>
                </w14:textFill>
              </w:rPr>
              <w:t>12</w:t>
            </w:r>
            <w:r>
              <w:rPr>
                <w:color w:val="000000" w:themeColor="text1"/>
                <w:sz w:val="24"/>
                <w14:textFill>
                  <w14:solidFill>
                    <w14:schemeClr w14:val="tx1"/>
                  </w14:solidFill>
                </w14:textFill>
              </w:rPr>
              <w:t>0t/a</w:t>
            </w:r>
            <w:r>
              <w:rPr>
                <w:rFonts w:hint="eastAsia"/>
                <w:color w:val="000000" w:themeColor="text1"/>
                <w:sz w:val="24"/>
                <w14:textFill>
                  <w14:solidFill>
                    <w14:schemeClr w14:val="tx1"/>
                  </w14:solidFill>
                </w14:textFill>
              </w:rPr>
              <w:t>，主要污染物为：pH、COD、SS、氨氮、TP、TN。</w:t>
            </w:r>
            <w:r>
              <w:rPr>
                <w:color w:val="000000" w:themeColor="text1"/>
                <w:sz w:val="24"/>
                <w14:textFill>
                  <w14:solidFill>
                    <w14:schemeClr w14:val="tx1"/>
                  </w14:solidFill>
                </w14:textFill>
              </w:rPr>
              <w:t>本项目生活污水依托园区污水管网接管至常州市金坛第二污水处理厂集中处理，尾水排入尧塘河。</w:t>
            </w:r>
          </w:p>
          <w:p w14:paraId="27BC2299">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（2）隔套灭菌冷凝水</w:t>
            </w:r>
          </w:p>
          <w:p w14:paraId="77882085">
            <w:pPr>
              <w:spacing w:line="480" w:lineRule="exact"/>
              <w:ind w:firstLine="480" w:firstLineChars="200"/>
              <w:rPr>
                <w:b/>
                <w:bCs/>
                <w:color w:val="000000" w:themeColor="text1"/>
                <w:szCs w:val="21"/>
                <w14:textFill>
                  <w14:solidFill>
                    <w14:schemeClr w14:val="tx1"/>
                  </w14:solidFill>
                </w14:textFill>
              </w:rPr>
            </w:pPr>
            <w:r>
              <w:rPr>
                <w:rFonts w:hint="eastAsia"/>
                <w:color w:val="000000" w:themeColor="text1"/>
                <w:sz w:val="24"/>
                <w14:textFill>
                  <w14:solidFill>
                    <w14:schemeClr w14:val="tx1"/>
                  </w14:solidFill>
                </w14:textFill>
              </w:rPr>
              <w:t>本项目使用隔套蒸汽对发酵罐整体进行灭菌，产生0.25t/a的隔套灭菌冷凝水，不沾染物料，水质较干净，可直接回用于企业地面清洗。</w:t>
            </w:r>
          </w:p>
          <w:p w14:paraId="3C547F75">
            <w:pPr>
              <w:spacing w:line="360" w:lineRule="exact"/>
              <w:ind w:firstLine="422" w:firstLineChars="2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7</w:t>
            </w:r>
            <w:r>
              <w:rPr>
                <w:b/>
                <w:bCs/>
                <w:color w:val="000000" w:themeColor="text1"/>
                <w:szCs w:val="21"/>
                <w14:textFill>
                  <w14:solidFill>
                    <w14:schemeClr w14:val="tx1"/>
                  </w14:solidFill>
                </w14:textFill>
              </w:rPr>
              <w:t xml:space="preserve"> 本项目废水产生情况表</w:t>
            </w:r>
          </w:p>
          <w:tbl>
            <w:tblPr>
              <w:tblStyle w:val="25"/>
              <w:tblW w:w="4996"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233"/>
              <w:gridCol w:w="1633"/>
              <w:gridCol w:w="1913"/>
              <w:gridCol w:w="1837"/>
              <w:gridCol w:w="1668"/>
            </w:tblGrid>
            <w:tr w14:paraId="26C213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2" w:type="pct"/>
                  <w:vAlign w:val="center"/>
                </w:tcPr>
                <w:p w14:paraId="10AA902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废水类型</w:t>
                  </w:r>
                </w:p>
              </w:tc>
              <w:tc>
                <w:tcPr>
                  <w:tcW w:w="879" w:type="pct"/>
                  <w:vAlign w:val="center"/>
                </w:tcPr>
                <w:p w14:paraId="7A68400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废水量t/a</w:t>
                  </w:r>
                </w:p>
              </w:tc>
              <w:tc>
                <w:tcPr>
                  <w:tcW w:w="1030" w:type="pct"/>
                  <w:vAlign w:val="center"/>
                </w:tcPr>
                <w:p w14:paraId="0C6CC73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污染物因子</w:t>
                  </w:r>
                </w:p>
              </w:tc>
              <w:tc>
                <w:tcPr>
                  <w:tcW w:w="989" w:type="pct"/>
                  <w:vAlign w:val="center"/>
                </w:tcPr>
                <w:p w14:paraId="4423B39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产生浓度(mg/L)</w:t>
                  </w:r>
                </w:p>
              </w:tc>
              <w:tc>
                <w:tcPr>
                  <w:tcW w:w="898" w:type="pct"/>
                  <w:vAlign w:val="center"/>
                </w:tcPr>
                <w:p w14:paraId="28AD988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产生量(t/a)</w:t>
                  </w:r>
                </w:p>
              </w:tc>
            </w:tr>
            <w:tr w14:paraId="072B14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202" w:type="pct"/>
                  <w:vMerge w:val="restart"/>
                  <w:vAlign w:val="center"/>
                </w:tcPr>
                <w:p w14:paraId="7E81F44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879" w:type="pct"/>
                  <w:vMerge w:val="restart"/>
                  <w:vAlign w:val="center"/>
                </w:tcPr>
                <w:p w14:paraId="5A8561E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c>
                <w:tcPr>
                  <w:tcW w:w="1030" w:type="pct"/>
                  <w:vAlign w:val="center"/>
                </w:tcPr>
                <w:p w14:paraId="4A0A66A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pH</w:t>
                  </w:r>
                </w:p>
              </w:tc>
              <w:tc>
                <w:tcPr>
                  <w:tcW w:w="989" w:type="pct"/>
                  <w:vAlign w:val="center"/>
                </w:tcPr>
                <w:p w14:paraId="0C10552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6~9（无量纲）</w:t>
                  </w:r>
                </w:p>
              </w:tc>
              <w:tc>
                <w:tcPr>
                  <w:tcW w:w="898" w:type="pct"/>
                  <w:vAlign w:val="center"/>
                </w:tcPr>
                <w:p w14:paraId="699EABA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284EF8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02" w:type="pct"/>
                  <w:vMerge w:val="continue"/>
                  <w:vAlign w:val="center"/>
                </w:tcPr>
                <w:p w14:paraId="1AC82514">
                  <w:pPr>
                    <w:jc w:val="center"/>
                    <w:rPr>
                      <w:color w:val="000000" w:themeColor="text1"/>
                      <w:szCs w:val="21"/>
                      <w14:textFill>
                        <w14:solidFill>
                          <w14:schemeClr w14:val="tx1"/>
                        </w14:solidFill>
                      </w14:textFill>
                    </w:rPr>
                  </w:pPr>
                </w:p>
              </w:tc>
              <w:tc>
                <w:tcPr>
                  <w:tcW w:w="879" w:type="pct"/>
                  <w:vMerge w:val="continue"/>
                  <w:vAlign w:val="center"/>
                </w:tcPr>
                <w:p w14:paraId="0B433880">
                  <w:pPr>
                    <w:jc w:val="center"/>
                    <w:rPr>
                      <w:color w:val="000000" w:themeColor="text1"/>
                      <w:szCs w:val="21"/>
                      <w14:textFill>
                        <w14:solidFill>
                          <w14:schemeClr w14:val="tx1"/>
                        </w14:solidFill>
                      </w14:textFill>
                    </w:rPr>
                  </w:pPr>
                </w:p>
              </w:tc>
              <w:tc>
                <w:tcPr>
                  <w:tcW w:w="1030" w:type="pct"/>
                  <w:vAlign w:val="center"/>
                </w:tcPr>
                <w:p w14:paraId="2CDB3DE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989" w:type="pct"/>
                  <w:vAlign w:val="center"/>
                </w:tcPr>
                <w:p w14:paraId="71E176C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898" w:type="pct"/>
                  <w:vAlign w:val="center"/>
                </w:tcPr>
                <w:p w14:paraId="7196267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0.048</w:t>
                  </w:r>
                </w:p>
              </w:tc>
            </w:tr>
            <w:tr w14:paraId="6EFA5F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2" w:type="pct"/>
                  <w:vMerge w:val="continue"/>
                  <w:vAlign w:val="center"/>
                </w:tcPr>
                <w:p w14:paraId="7890D8EE">
                  <w:pPr>
                    <w:jc w:val="center"/>
                    <w:rPr>
                      <w:color w:val="000000" w:themeColor="text1"/>
                      <w:szCs w:val="21"/>
                      <w14:textFill>
                        <w14:solidFill>
                          <w14:schemeClr w14:val="tx1"/>
                        </w14:solidFill>
                      </w14:textFill>
                    </w:rPr>
                  </w:pPr>
                </w:p>
              </w:tc>
              <w:tc>
                <w:tcPr>
                  <w:tcW w:w="879" w:type="pct"/>
                  <w:vMerge w:val="continue"/>
                  <w:vAlign w:val="center"/>
                </w:tcPr>
                <w:p w14:paraId="67DF1A58">
                  <w:pPr>
                    <w:jc w:val="center"/>
                    <w:rPr>
                      <w:color w:val="000000" w:themeColor="text1"/>
                      <w:szCs w:val="21"/>
                      <w14:textFill>
                        <w14:solidFill>
                          <w14:schemeClr w14:val="tx1"/>
                        </w14:solidFill>
                      </w14:textFill>
                    </w:rPr>
                  </w:pPr>
                </w:p>
              </w:tc>
              <w:tc>
                <w:tcPr>
                  <w:tcW w:w="1030" w:type="pct"/>
                  <w:vAlign w:val="center"/>
                </w:tcPr>
                <w:p w14:paraId="750293C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989" w:type="pct"/>
                  <w:vAlign w:val="center"/>
                </w:tcPr>
                <w:p w14:paraId="7EEC5C7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898" w:type="pct"/>
                  <w:vAlign w:val="center"/>
                </w:tcPr>
                <w:p w14:paraId="4CA4F29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w:t>
                  </w:r>
                </w:p>
              </w:tc>
            </w:tr>
            <w:tr w14:paraId="7F3211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2" w:type="pct"/>
                  <w:vMerge w:val="continue"/>
                  <w:vAlign w:val="center"/>
                </w:tcPr>
                <w:p w14:paraId="1628956D">
                  <w:pPr>
                    <w:jc w:val="center"/>
                    <w:rPr>
                      <w:color w:val="000000" w:themeColor="text1"/>
                      <w:szCs w:val="21"/>
                      <w14:textFill>
                        <w14:solidFill>
                          <w14:schemeClr w14:val="tx1"/>
                        </w14:solidFill>
                      </w14:textFill>
                    </w:rPr>
                  </w:pPr>
                </w:p>
              </w:tc>
              <w:tc>
                <w:tcPr>
                  <w:tcW w:w="879" w:type="pct"/>
                  <w:vMerge w:val="continue"/>
                  <w:vAlign w:val="center"/>
                </w:tcPr>
                <w:p w14:paraId="2DF94426">
                  <w:pPr>
                    <w:jc w:val="center"/>
                    <w:rPr>
                      <w:color w:val="000000" w:themeColor="text1"/>
                      <w:szCs w:val="21"/>
                      <w14:textFill>
                        <w14:solidFill>
                          <w14:schemeClr w14:val="tx1"/>
                        </w14:solidFill>
                      </w14:textFill>
                    </w:rPr>
                  </w:pPr>
                </w:p>
              </w:tc>
              <w:tc>
                <w:tcPr>
                  <w:tcW w:w="1030" w:type="pct"/>
                  <w:vAlign w:val="center"/>
                </w:tcPr>
                <w:p w14:paraId="4EB83F9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989" w:type="pct"/>
                  <w:vAlign w:val="center"/>
                </w:tcPr>
                <w:p w14:paraId="0D6B8EB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w:t>
                  </w:r>
                </w:p>
              </w:tc>
              <w:tc>
                <w:tcPr>
                  <w:tcW w:w="898" w:type="pct"/>
                  <w:vAlign w:val="center"/>
                </w:tcPr>
                <w:p w14:paraId="724FEC8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w:t>
                  </w:r>
                </w:p>
              </w:tc>
            </w:tr>
            <w:tr w14:paraId="406E81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2" w:type="pct"/>
                  <w:vMerge w:val="continue"/>
                  <w:vAlign w:val="center"/>
                </w:tcPr>
                <w:p w14:paraId="3EDAD01C">
                  <w:pPr>
                    <w:jc w:val="center"/>
                    <w:rPr>
                      <w:color w:val="000000" w:themeColor="text1"/>
                      <w:szCs w:val="21"/>
                      <w14:textFill>
                        <w14:solidFill>
                          <w14:schemeClr w14:val="tx1"/>
                        </w14:solidFill>
                      </w14:textFill>
                    </w:rPr>
                  </w:pPr>
                </w:p>
              </w:tc>
              <w:tc>
                <w:tcPr>
                  <w:tcW w:w="879" w:type="pct"/>
                  <w:vMerge w:val="continue"/>
                  <w:vAlign w:val="center"/>
                </w:tcPr>
                <w:p w14:paraId="6B6EA9CC">
                  <w:pPr>
                    <w:jc w:val="center"/>
                    <w:rPr>
                      <w:color w:val="000000" w:themeColor="text1"/>
                      <w:szCs w:val="21"/>
                      <w14:textFill>
                        <w14:solidFill>
                          <w14:schemeClr w14:val="tx1"/>
                        </w14:solidFill>
                      </w14:textFill>
                    </w:rPr>
                  </w:pPr>
                </w:p>
              </w:tc>
              <w:tc>
                <w:tcPr>
                  <w:tcW w:w="1030" w:type="pct"/>
                  <w:vAlign w:val="center"/>
                </w:tcPr>
                <w:p w14:paraId="0F74D8F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989" w:type="pct"/>
                  <w:vAlign w:val="center"/>
                </w:tcPr>
                <w:p w14:paraId="10B45E4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898" w:type="pct"/>
                  <w:vAlign w:val="center"/>
                </w:tcPr>
                <w:p w14:paraId="729104B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0.00036</w:t>
                  </w:r>
                </w:p>
              </w:tc>
            </w:tr>
            <w:tr w14:paraId="462E92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02" w:type="pct"/>
                  <w:vMerge w:val="continue"/>
                  <w:vAlign w:val="center"/>
                </w:tcPr>
                <w:p w14:paraId="6A774F0C">
                  <w:pPr>
                    <w:jc w:val="center"/>
                    <w:rPr>
                      <w:color w:val="000000" w:themeColor="text1"/>
                      <w:szCs w:val="21"/>
                      <w14:textFill>
                        <w14:solidFill>
                          <w14:schemeClr w14:val="tx1"/>
                        </w14:solidFill>
                      </w14:textFill>
                    </w:rPr>
                  </w:pPr>
                </w:p>
              </w:tc>
              <w:tc>
                <w:tcPr>
                  <w:tcW w:w="879" w:type="pct"/>
                  <w:vMerge w:val="continue"/>
                  <w:vAlign w:val="center"/>
                </w:tcPr>
                <w:p w14:paraId="7E205F90">
                  <w:pPr>
                    <w:jc w:val="center"/>
                    <w:rPr>
                      <w:color w:val="000000" w:themeColor="text1"/>
                      <w:szCs w:val="21"/>
                      <w14:textFill>
                        <w14:solidFill>
                          <w14:schemeClr w14:val="tx1"/>
                        </w14:solidFill>
                      </w14:textFill>
                    </w:rPr>
                  </w:pPr>
                </w:p>
              </w:tc>
              <w:tc>
                <w:tcPr>
                  <w:tcW w:w="1030" w:type="pct"/>
                  <w:vAlign w:val="center"/>
                </w:tcPr>
                <w:p w14:paraId="3AFF203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TN</w:t>
                  </w:r>
                </w:p>
              </w:tc>
              <w:tc>
                <w:tcPr>
                  <w:tcW w:w="989" w:type="pct"/>
                  <w:vAlign w:val="center"/>
                </w:tcPr>
                <w:p w14:paraId="688365B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898" w:type="pct"/>
                  <w:vAlign w:val="center"/>
                </w:tcPr>
                <w:p w14:paraId="13E152B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0.0048</w:t>
                  </w:r>
                </w:p>
              </w:tc>
            </w:tr>
          </w:tbl>
          <w:p w14:paraId="03BA8479">
            <w:pPr>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2.2污染防治措施</w:t>
            </w:r>
          </w:p>
          <w:p w14:paraId="2578D2BA">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（1）治理措施</w:t>
            </w:r>
          </w:p>
          <w:p w14:paraId="2738E8F6">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园区已</w:t>
            </w:r>
            <w:r>
              <w:rPr>
                <w:color w:val="000000" w:themeColor="text1"/>
                <w:sz w:val="24"/>
                <w14:textFill>
                  <w14:solidFill>
                    <w14:schemeClr w14:val="tx1"/>
                  </w14:solidFill>
                </w14:textFill>
              </w:rPr>
              <w:t>实现雨污分流，本项目生活污水依托园区污水管网接管至常州市金坛第二污水处理厂集中处理，尾水排入尧塘河</w:t>
            </w:r>
            <w:r>
              <w:rPr>
                <w:rFonts w:hint="eastAsia"/>
                <w:color w:val="000000" w:themeColor="text1"/>
                <w:sz w:val="24"/>
                <w14:textFill>
                  <w14:solidFill>
                    <w14:schemeClr w14:val="tx1"/>
                  </w14:solidFill>
                </w14:textFill>
              </w:rPr>
              <w:t>；隔套灭菌冷凝水回用于企业地面清洗。</w:t>
            </w:r>
          </w:p>
          <w:p w14:paraId="4D4DF278">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（2）污水接管可行性分析</w:t>
            </w:r>
          </w:p>
          <w:p w14:paraId="425BBBE9">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w:t>
            </w:r>
            <w:r>
              <w:rPr>
                <w:color w:val="000000" w:themeColor="text1"/>
                <w:sz w:val="24"/>
                <w14:textFill>
                  <w14:solidFill>
                    <w14:schemeClr w14:val="tx1"/>
                  </w14:solidFill>
                </w14:textFill>
              </w:rPr>
              <w:t>管网建设情况</w:t>
            </w:r>
          </w:p>
          <w:p w14:paraId="5444BD13">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常州金坛区第二污水处理有限公司的服务范围为金坛东环二路以东市区范围区域，包括金坛经济开发区控制性详细规划中的主要建设区域（东至省道203，南至站前路，西至金湖路和丹金溧漕河，北至开发区行政界线）和河东居住区部分范围，总面积约为70.9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。根据区域规划，本项目在常州金坛区第二污水处理有限公司接收范围之内。</w:t>
            </w:r>
          </w:p>
          <w:p w14:paraId="6C165D2A">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w:t>
            </w:r>
            <w:r>
              <w:rPr>
                <w:color w:val="000000" w:themeColor="text1"/>
                <w:sz w:val="24"/>
                <w14:textFill>
                  <w14:solidFill>
                    <w14:schemeClr w14:val="tx1"/>
                  </w14:solidFill>
                </w14:textFill>
              </w:rPr>
              <w:t>污水处理厂简介</w:t>
            </w:r>
          </w:p>
          <w:p w14:paraId="3100F73D">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常州金坛区第二污水处理有限公司位于江苏省金坛经济开发区内，华城东路与新常金公路交汇处以北100m。2013年年平均处理水量约为3.1万m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处理负荷为77.5%），接管工业废水约1.57万t/d，接管生活污水约1.53万t/d，二污厂现状工业废水与生活污水之比约为1:1。2014年4月8日《金坛市第二污水处理有限公司扩建工程项目环境影响报告书》通过原金坛市环境保护局审批，规划扩建工程规模为2.0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/d，远期规划规模达16万m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/d，该项目已于2017年1月3日通过原常州市金坛区环境保护局验收，并正式投入运营。</w:t>
            </w:r>
          </w:p>
          <w:p w14:paraId="0D19B70E">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w:t>
            </w:r>
            <w:r>
              <w:rPr>
                <w:color w:val="000000" w:themeColor="text1"/>
                <w:sz w:val="24"/>
                <w14:textFill>
                  <w14:solidFill>
                    <w14:schemeClr w14:val="tx1"/>
                  </w14:solidFill>
                </w14:textFill>
              </w:rPr>
              <w:t>接管水量可行性</w:t>
            </w:r>
          </w:p>
          <w:p w14:paraId="2E904A09">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常州金坛区第二污水处理有限公司目前实际处理量约5.8万吨/日，还有余量0.2万吨/日。本项目废水排放总量约为120t/a（0.4t/d），占常州金坛区第二污水处理有限公司日处理余量的比例极小，常州金坛区第二污水处理有限公司完全有能力接纳本项目污水。</w:t>
            </w:r>
          </w:p>
          <w:p w14:paraId="70750CB7">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w:t>
            </w:r>
            <w:r>
              <w:rPr>
                <w:color w:val="000000" w:themeColor="text1"/>
                <w:sz w:val="24"/>
                <w14:textFill>
                  <w14:solidFill>
                    <w14:schemeClr w14:val="tx1"/>
                  </w14:solidFill>
                </w14:textFill>
              </w:rPr>
              <w:t>接管水质可行性</w:t>
            </w:r>
          </w:p>
          <w:p w14:paraId="5575B354">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本项目建成后接管废水为生活污水，废水排放浓度低、水量小、水质简单，不会对污水处理厂运行产生冲击负荷，不影响污水处理厂出水水质。</w:t>
            </w:r>
          </w:p>
          <w:p w14:paraId="1F6D7842">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综上所述，本项目污水管网均已铺设完毕，从接管时间、服务范围、处理工艺以及水量水质来看，本项目运营后污水接入金坛第二污水处理有限公司处理是可行的。</w:t>
            </w:r>
          </w:p>
          <w:p w14:paraId="45AB2E2E">
            <w:pPr>
              <w:spacing w:line="48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污水</w:t>
            </w:r>
            <w:r>
              <w:rPr>
                <w:rFonts w:hint="eastAsia"/>
                <w:b/>
                <w:bCs/>
                <w:color w:val="000000" w:themeColor="text1"/>
                <w:sz w:val="24"/>
                <w14:textFill>
                  <w14:solidFill>
                    <w14:schemeClr w14:val="tx1"/>
                  </w14:solidFill>
                </w14:textFill>
              </w:rPr>
              <w:t>排放情况</w:t>
            </w:r>
          </w:p>
          <w:p w14:paraId="53176903">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本项目废水产排情况见下表。</w:t>
            </w:r>
          </w:p>
          <w:p w14:paraId="44246AD0">
            <w:pPr>
              <w:spacing w:line="360" w:lineRule="exact"/>
              <w:ind w:firstLine="422" w:firstLineChars="2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8</w:t>
            </w:r>
            <w:r>
              <w:rPr>
                <w:b/>
                <w:bCs/>
                <w:color w:val="000000" w:themeColor="text1"/>
                <w:szCs w:val="21"/>
                <w14:textFill>
                  <w14:solidFill>
                    <w14:schemeClr w14:val="tx1"/>
                  </w14:solidFill>
                </w14:textFill>
              </w:rPr>
              <w:t xml:space="preserve"> 本项目废水</w:t>
            </w:r>
            <w:r>
              <w:rPr>
                <w:rFonts w:hint="eastAsia"/>
                <w:b/>
                <w:bCs/>
                <w:color w:val="000000" w:themeColor="text1"/>
                <w:szCs w:val="21"/>
                <w14:textFill>
                  <w14:solidFill>
                    <w14:schemeClr w14:val="tx1"/>
                  </w14:solidFill>
                </w14:textFill>
              </w:rPr>
              <w:t>产排</w:t>
            </w:r>
            <w:r>
              <w:rPr>
                <w:b/>
                <w:bCs/>
                <w:color w:val="000000" w:themeColor="text1"/>
                <w:szCs w:val="21"/>
                <w14:textFill>
                  <w14:solidFill>
                    <w14:schemeClr w14:val="tx1"/>
                  </w14:solidFill>
                </w14:textFill>
              </w:rPr>
              <w:t>情况表</w:t>
            </w:r>
          </w:p>
          <w:tbl>
            <w:tblPr>
              <w:tblStyle w:val="113"/>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859"/>
              <w:gridCol w:w="944"/>
              <w:gridCol w:w="862"/>
              <w:gridCol w:w="1548"/>
              <w:gridCol w:w="825"/>
              <w:gridCol w:w="593"/>
              <w:gridCol w:w="814"/>
              <w:gridCol w:w="1448"/>
              <w:gridCol w:w="803"/>
              <w:gridCol w:w="591"/>
            </w:tblGrid>
            <w:tr w14:paraId="0A2F83A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pct"/>
                  <w:vMerge w:val="restart"/>
                  <w:tcBorders>
                    <w:tl2br w:val="nil"/>
                    <w:tr2bl w:val="nil"/>
                  </w:tcBorders>
                  <w:vAlign w:val="center"/>
                </w:tcPr>
                <w:p w14:paraId="4422756B">
                  <w:pPr>
                    <w:widowControl/>
                    <w:kinsoku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废水源</w:t>
                  </w:r>
                </w:p>
              </w:tc>
              <w:tc>
                <w:tcPr>
                  <w:tcW w:w="508" w:type="pct"/>
                  <w:vMerge w:val="restart"/>
                  <w:tcBorders>
                    <w:tl2br w:val="nil"/>
                    <w:tr2bl w:val="nil"/>
                  </w:tcBorders>
                  <w:vAlign w:val="center"/>
                </w:tcPr>
                <w:p w14:paraId="78FF6B20">
                  <w:pPr>
                    <w:widowControl/>
                    <w:kinsoku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废水量（m</w:t>
                  </w:r>
                  <w:r>
                    <w:rPr>
                      <w:rFonts w:hint="eastAsia"/>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/a）</w:t>
                  </w:r>
                </w:p>
              </w:tc>
              <w:tc>
                <w:tcPr>
                  <w:tcW w:w="1741" w:type="pct"/>
                  <w:gridSpan w:val="3"/>
                  <w:tcBorders>
                    <w:tl2br w:val="nil"/>
                    <w:tr2bl w:val="nil"/>
                  </w:tcBorders>
                  <w:vAlign w:val="center"/>
                </w:tcPr>
                <w:p w14:paraId="79BDA1FC">
                  <w:pPr>
                    <w:widowControl/>
                    <w:kinsoku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产生情况</w:t>
                  </w:r>
                </w:p>
              </w:tc>
              <w:tc>
                <w:tcPr>
                  <w:tcW w:w="1968" w:type="pct"/>
                  <w:gridSpan w:val="4"/>
                  <w:tcBorders>
                    <w:tl2br w:val="nil"/>
                    <w:tr2bl w:val="nil"/>
                  </w:tcBorders>
                  <w:vAlign w:val="center"/>
                </w:tcPr>
                <w:p w14:paraId="7AFC2805">
                  <w:pPr>
                    <w:widowControl/>
                    <w:kinsoku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预处理后情况</w:t>
                  </w:r>
                </w:p>
              </w:tc>
              <w:tc>
                <w:tcPr>
                  <w:tcW w:w="318" w:type="pct"/>
                  <w:vMerge w:val="restart"/>
                  <w:tcBorders>
                    <w:tl2br w:val="nil"/>
                    <w:tr2bl w:val="nil"/>
                  </w:tcBorders>
                  <w:vAlign w:val="center"/>
                </w:tcPr>
                <w:p w14:paraId="3698422D">
                  <w:pPr>
                    <w:widowControl/>
                    <w:kinsoku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排放去向</w:t>
                  </w:r>
                </w:p>
              </w:tc>
            </w:tr>
            <w:tr w14:paraId="300467C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pct"/>
                  <w:vMerge w:val="continue"/>
                  <w:tcBorders>
                    <w:tl2br w:val="nil"/>
                    <w:tr2bl w:val="nil"/>
                  </w:tcBorders>
                  <w:vAlign w:val="center"/>
                </w:tcPr>
                <w:p w14:paraId="5BDA6632">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508" w:type="pct"/>
                  <w:vMerge w:val="continue"/>
                  <w:tcBorders>
                    <w:tl2br w:val="nil"/>
                    <w:tr2bl w:val="nil"/>
                  </w:tcBorders>
                  <w:vAlign w:val="center"/>
                </w:tcPr>
                <w:p w14:paraId="648F85C5">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464" w:type="pct"/>
                  <w:tcBorders>
                    <w:tl2br w:val="nil"/>
                    <w:tr2bl w:val="nil"/>
                  </w:tcBorders>
                  <w:vAlign w:val="center"/>
                </w:tcPr>
                <w:p w14:paraId="710BCF33">
                  <w:pPr>
                    <w:widowControl/>
                    <w:kinsoku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污染物名称</w:t>
                  </w:r>
                </w:p>
              </w:tc>
              <w:tc>
                <w:tcPr>
                  <w:tcW w:w="833" w:type="pct"/>
                  <w:tcBorders>
                    <w:tl2br w:val="nil"/>
                    <w:tr2bl w:val="nil"/>
                  </w:tcBorders>
                  <w:vAlign w:val="center"/>
                </w:tcPr>
                <w:p w14:paraId="6D18C24C">
                  <w:pPr>
                    <w:widowControl/>
                    <w:kinsoku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产生浓度mg/L</w:t>
                  </w:r>
                </w:p>
              </w:tc>
              <w:tc>
                <w:tcPr>
                  <w:tcW w:w="443" w:type="pct"/>
                  <w:tcBorders>
                    <w:tl2br w:val="nil"/>
                    <w:tr2bl w:val="nil"/>
                  </w:tcBorders>
                  <w:vAlign w:val="center"/>
                </w:tcPr>
                <w:p w14:paraId="69E2D7AA">
                  <w:pPr>
                    <w:widowControl/>
                    <w:kinsoku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产生量t/a</w:t>
                  </w:r>
                </w:p>
              </w:tc>
              <w:tc>
                <w:tcPr>
                  <w:tcW w:w="319" w:type="pct"/>
                  <w:tcBorders>
                    <w:tl2br w:val="nil"/>
                    <w:tr2bl w:val="nil"/>
                  </w:tcBorders>
                  <w:vAlign w:val="center"/>
                </w:tcPr>
                <w:p w14:paraId="3E7890EA">
                  <w:pPr>
                    <w:widowControl/>
                    <w:kinsoku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处理措施</w:t>
                  </w:r>
                </w:p>
              </w:tc>
              <w:tc>
                <w:tcPr>
                  <w:tcW w:w="438" w:type="pct"/>
                  <w:tcBorders>
                    <w:tl2br w:val="nil"/>
                    <w:tr2bl w:val="nil"/>
                  </w:tcBorders>
                  <w:vAlign w:val="center"/>
                </w:tcPr>
                <w:p w14:paraId="325C3A06">
                  <w:pPr>
                    <w:widowControl/>
                    <w:kinsoku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污染物名称</w:t>
                  </w:r>
                </w:p>
              </w:tc>
              <w:tc>
                <w:tcPr>
                  <w:tcW w:w="779" w:type="pct"/>
                  <w:tcBorders>
                    <w:tl2br w:val="nil"/>
                    <w:tr2bl w:val="nil"/>
                  </w:tcBorders>
                  <w:vAlign w:val="center"/>
                </w:tcPr>
                <w:p w14:paraId="172AC9EE">
                  <w:pPr>
                    <w:widowControl/>
                    <w:kinsoku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接管浓度mg/L</w:t>
                  </w:r>
                </w:p>
              </w:tc>
              <w:tc>
                <w:tcPr>
                  <w:tcW w:w="431" w:type="pct"/>
                  <w:tcBorders>
                    <w:tl2br w:val="nil"/>
                    <w:tr2bl w:val="nil"/>
                  </w:tcBorders>
                  <w:vAlign w:val="center"/>
                </w:tcPr>
                <w:p w14:paraId="5F916974">
                  <w:pPr>
                    <w:widowControl/>
                    <w:kinsoku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接管量t/a</w:t>
                  </w:r>
                </w:p>
              </w:tc>
              <w:tc>
                <w:tcPr>
                  <w:tcW w:w="318" w:type="pct"/>
                  <w:vMerge w:val="continue"/>
                  <w:tcBorders>
                    <w:tl2br w:val="nil"/>
                    <w:tr2bl w:val="nil"/>
                  </w:tcBorders>
                  <w:vAlign w:val="center"/>
                </w:tcPr>
                <w:p w14:paraId="6887779B">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r>
            <w:tr w14:paraId="12C1762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pct"/>
                  <w:vMerge w:val="restart"/>
                  <w:tcBorders>
                    <w:tl2br w:val="nil"/>
                    <w:tr2bl w:val="nil"/>
                  </w:tcBorders>
                  <w:vAlign w:val="center"/>
                </w:tcPr>
                <w:p w14:paraId="340EEBEE">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508" w:type="pct"/>
                  <w:vMerge w:val="restart"/>
                  <w:tcBorders>
                    <w:tl2br w:val="nil"/>
                    <w:tr2bl w:val="nil"/>
                  </w:tcBorders>
                  <w:vAlign w:val="center"/>
                </w:tcPr>
                <w:p w14:paraId="3B7DD5BD">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c>
                <w:tcPr>
                  <w:tcW w:w="464" w:type="pct"/>
                  <w:tcBorders>
                    <w:tl2br w:val="nil"/>
                    <w:tr2bl w:val="nil"/>
                  </w:tcBorders>
                  <w:vAlign w:val="center"/>
                </w:tcPr>
                <w:p w14:paraId="657D8A0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pH</w:t>
                  </w:r>
                </w:p>
              </w:tc>
              <w:tc>
                <w:tcPr>
                  <w:tcW w:w="833" w:type="pct"/>
                  <w:tcBorders>
                    <w:tl2br w:val="nil"/>
                    <w:tr2bl w:val="nil"/>
                  </w:tcBorders>
                  <w:vAlign w:val="center"/>
                </w:tcPr>
                <w:p w14:paraId="1C25FF2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6~9（无量纲）</w:t>
                  </w:r>
                </w:p>
              </w:tc>
              <w:tc>
                <w:tcPr>
                  <w:tcW w:w="443" w:type="pct"/>
                  <w:tcBorders>
                    <w:tl2br w:val="nil"/>
                    <w:tr2bl w:val="nil"/>
                  </w:tcBorders>
                  <w:vAlign w:val="center"/>
                </w:tcPr>
                <w:p w14:paraId="78B91F6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19" w:type="pct"/>
                  <w:vMerge w:val="restart"/>
                  <w:tcBorders>
                    <w:tl2br w:val="nil"/>
                    <w:tr2bl w:val="nil"/>
                  </w:tcBorders>
                  <w:vAlign w:val="center"/>
                </w:tcPr>
                <w:p w14:paraId="70F695C5">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38" w:type="pct"/>
                  <w:tcBorders>
                    <w:tl2br w:val="nil"/>
                    <w:tr2bl w:val="nil"/>
                  </w:tcBorders>
                  <w:vAlign w:val="center"/>
                </w:tcPr>
                <w:p w14:paraId="3EDCA16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pH</w:t>
                  </w:r>
                </w:p>
              </w:tc>
              <w:tc>
                <w:tcPr>
                  <w:tcW w:w="779" w:type="pct"/>
                  <w:tcBorders>
                    <w:tl2br w:val="nil"/>
                    <w:tr2bl w:val="nil"/>
                  </w:tcBorders>
                  <w:vAlign w:val="center"/>
                </w:tcPr>
                <w:p w14:paraId="3127AEA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6~9（无量纲）</w:t>
                  </w:r>
                </w:p>
              </w:tc>
              <w:tc>
                <w:tcPr>
                  <w:tcW w:w="431" w:type="pct"/>
                  <w:tcBorders>
                    <w:tl2br w:val="nil"/>
                    <w:tr2bl w:val="nil"/>
                  </w:tcBorders>
                  <w:vAlign w:val="center"/>
                </w:tcPr>
                <w:p w14:paraId="5A63064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18" w:type="pct"/>
                  <w:vMerge w:val="restart"/>
                  <w:tcBorders>
                    <w:tl2br w:val="nil"/>
                    <w:tr2bl w:val="nil"/>
                  </w:tcBorders>
                  <w:vAlign w:val="center"/>
                </w:tcPr>
                <w:p w14:paraId="23F540BE">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接管至金坛第二污水处理厂</w:t>
                  </w:r>
                </w:p>
              </w:tc>
            </w:tr>
            <w:tr w14:paraId="70A1A2B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pct"/>
                  <w:vMerge w:val="continue"/>
                  <w:tcBorders>
                    <w:tl2br w:val="nil"/>
                    <w:tr2bl w:val="nil"/>
                  </w:tcBorders>
                  <w:vAlign w:val="center"/>
                </w:tcPr>
                <w:p w14:paraId="22DF0B7E">
                  <w:pPr>
                    <w:pStyle w:val="114"/>
                    <w:widowControl/>
                    <w:kinsoku w:val="0"/>
                    <w:autoSpaceDE w:val="0"/>
                    <w:autoSpaceDN w:val="0"/>
                    <w:adjustRightInd w:val="0"/>
                    <w:snapToGrid w:val="0"/>
                    <w:jc w:val="center"/>
                    <w:textAlignment w:val="baseline"/>
                    <w:rPr>
                      <w:rFonts w:ascii="Times New Roman" w:hAnsi="Times New Roman" w:cs="Times New Roman"/>
                      <w:color w:val="000000" w:themeColor="text1"/>
                      <w:sz w:val="21"/>
                      <w:szCs w:val="21"/>
                      <w:lang w:eastAsia="zh-CN"/>
                      <w14:textFill>
                        <w14:solidFill>
                          <w14:schemeClr w14:val="tx1"/>
                        </w14:solidFill>
                      </w14:textFill>
                    </w:rPr>
                  </w:pPr>
                </w:p>
              </w:tc>
              <w:tc>
                <w:tcPr>
                  <w:tcW w:w="508" w:type="pct"/>
                  <w:vMerge w:val="continue"/>
                  <w:tcBorders>
                    <w:tl2br w:val="nil"/>
                    <w:tr2bl w:val="nil"/>
                  </w:tcBorders>
                  <w:vAlign w:val="center"/>
                </w:tcPr>
                <w:p w14:paraId="61C89945">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464" w:type="pct"/>
                  <w:tcBorders>
                    <w:tl2br w:val="nil"/>
                    <w:tr2bl w:val="nil"/>
                  </w:tcBorders>
                  <w:vAlign w:val="center"/>
                </w:tcPr>
                <w:p w14:paraId="67ACC44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833" w:type="pct"/>
                  <w:tcBorders>
                    <w:tl2br w:val="nil"/>
                    <w:tr2bl w:val="nil"/>
                  </w:tcBorders>
                  <w:vAlign w:val="center"/>
                </w:tcPr>
                <w:p w14:paraId="69F1E9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443" w:type="pct"/>
                  <w:tcBorders>
                    <w:tl2br w:val="nil"/>
                    <w:tr2bl w:val="nil"/>
                  </w:tcBorders>
                  <w:vAlign w:val="center"/>
                </w:tcPr>
                <w:p w14:paraId="00A31E7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0.048</w:t>
                  </w:r>
                </w:p>
              </w:tc>
              <w:tc>
                <w:tcPr>
                  <w:tcW w:w="319" w:type="pct"/>
                  <w:vMerge w:val="continue"/>
                  <w:tcBorders>
                    <w:tl2br w:val="nil"/>
                    <w:tr2bl w:val="nil"/>
                  </w:tcBorders>
                  <w:vAlign w:val="center"/>
                </w:tcPr>
                <w:p w14:paraId="0CD374AD">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438" w:type="pct"/>
                  <w:tcBorders>
                    <w:tl2br w:val="nil"/>
                    <w:tr2bl w:val="nil"/>
                  </w:tcBorders>
                  <w:vAlign w:val="center"/>
                </w:tcPr>
                <w:p w14:paraId="272FB6F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779" w:type="pct"/>
                  <w:tcBorders>
                    <w:tl2br w:val="nil"/>
                    <w:tr2bl w:val="nil"/>
                  </w:tcBorders>
                  <w:vAlign w:val="center"/>
                </w:tcPr>
                <w:p w14:paraId="6C8BD85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431" w:type="pct"/>
                  <w:tcBorders>
                    <w:tl2br w:val="nil"/>
                    <w:tr2bl w:val="nil"/>
                  </w:tcBorders>
                  <w:vAlign w:val="center"/>
                </w:tcPr>
                <w:p w14:paraId="4BF794A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0.048</w:t>
                  </w:r>
                </w:p>
              </w:tc>
              <w:tc>
                <w:tcPr>
                  <w:tcW w:w="318" w:type="pct"/>
                  <w:vMerge w:val="continue"/>
                  <w:tcBorders>
                    <w:tl2br w:val="nil"/>
                    <w:tr2bl w:val="nil"/>
                  </w:tcBorders>
                  <w:vAlign w:val="center"/>
                </w:tcPr>
                <w:p w14:paraId="740EA375">
                  <w:pPr>
                    <w:pStyle w:val="114"/>
                    <w:widowControl/>
                    <w:kinsoku w:val="0"/>
                    <w:autoSpaceDE w:val="0"/>
                    <w:autoSpaceDN w:val="0"/>
                    <w:adjustRightInd w:val="0"/>
                    <w:snapToGrid w:val="0"/>
                    <w:jc w:val="center"/>
                    <w:textAlignment w:val="baseline"/>
                    <w:rPr>
                      <w:rFonts w:ascii="Times New Roman" w:hAnsi="Times New Roman" w:cs="Times New Roman"/>
                      <w:color w:val="000000" w:themeColor="text1"/>
                      <w:sz w:val="21"/>
                      <w:szCs w:val="21"/>
                      <w14:textFill>
                        <w14:solidFill>
                          <w14:schemeClr w14:val="tx1"/>
                        </w14:solidFill>
                      </w14:textFill>
                    </w:rPr>
                  </w:pPr>
                </w:p>
              </w:tc>
            </w:tr>
            <w:tr w14:paraId="56DDC6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pct"/>
                  <w:vMerge w:val="continue"/>
                  <w:tcBorders>
                    <w:tl2br w:val="nil"/>
                    <w:tr2bl w:val="nil"/>
                  </w:tcBorders>
                  <w:vAlign w:val="center"/>
                </w:tcPr>
                <w:p w14:paraId="03EBE67B">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508" w:type="pct"/>
                  <w:vMerge w:val="continue"/>
                  <w:tcBorders>
                    <w:tl2br w:val="nil"/>
                    <w:tr2bl w:val="nil"/>
                  </w:tcBorders>
                  <w:vAlign w:val="center"/>
                </w:tcPr>
                <w:p w14:paraId="0BF59F61">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464" w:type="pct"/>
                  <w:tcBorders>
                    <w:tl2br w:val="nil"/>
                    <w:tr2bl w:val="nil"/>
                  </w:tcBorders>
                  <w:vAlign w:val="center"/>
                </w:tcPr>
                <w:p w14:paraId="68F0038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833" w:type="pct"/>
                  <w:tcBorders>
                    <w:tl2br w:val="nil"/>
                    <w:tr2bl w:val="nil"/>
                  </w:tcBorders>
                  <w:vAlign w:val="center"/>
                </w:tcPr>
                <w:p w14:paraId="5AC47A8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443" w:type="pct"/>
                  <w:tcBorders>
                    <w:tl2br w:val="nil"/>
                    <w:tr2bl w:val="nil"/>
                  </w:tcBorders>
                  <w:vAlign w:val="center"/>
                </w:tcPr>
                <w:p w14:paraId="3E9E86F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w:t>
                  </w:r>
                </w:p>
              </w:tc>
              <w:tc>
                <w:tcPr>
                  <w:tcW w:w="319" w:type="pct"/>
                  <w:vMerge w:val="continue"/>
                  <w:tcBorders>
                    <w:tl2br w:val="nil"/>
                    <w:tr2bl w:val="nil"/>
                  </w:tcBorders>
                  <w:vAlign w:val="center"/>
                </w:tcPr>
                <w:p w14:paraId="62AD2C83">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438" w:type="pct"/>
                  <w:tcBorders>
                    <w:tl2br w:val="nil"/>
                    <w:tr2bl w:val="nil"/>
                  </w:tcBorders>
                  <w:vAlign w:val="center"/>
                </w:tcPr>
                <w:p w14:paraId="28919BE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779" w:type="pct"/>
                  <w:tcBorders>
                    <w:tl2br w:val="nil"/>
                    <w:tr2bl w:val="nil"/>
                  </w:tcBorders>
                  <w:vAlign w:val="center"/>
                </w:tcPr>
                <w:p w14:paraId="751769A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431" w:type="pct"/>
                  <w:tcBorders>
                    <w:tl2br w:val="nil"/>
                    <w:tr2bl w:val="nil"/>
                  </w:tcBorders>
                  <w:vAlign w:val="center"/>
                </w:tcPr>
                <w:p w14:paraId="1E3CF8F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w:t>
                  </w:r>
                </w:p>
              </w:tc>
              <w:tc>
                <w:tcPr>
                  <w:tcW w:w="318" w:type="pct"/>
                  <w:vMerge w:val="continue"/>
                  <w:tcBorders>
                    <w:tl2br w:val="nil"/>
                    <w:tr2bl w:val="nil"/>
                  </w:tcBorders>
                  <w:vAlign w:val="center"/>
                </w:tcPr>
                <w:p w14:paraId="2429137F">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r>
            <w:tr w14:paraId="14B1CCB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pct"/>
                  <w:vMerge w:val="continue"/>
                  <w:tcBorders>
                    <w:tl2br w:val="nil"/>
                    <w:tr2bl w:val="nil"/>
                  </w:tcBorders>
                  <w:vAlign w:val="center"/>
                </w:tcPr>
                <w:p w14:paraId="15099548">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508" w:type="pct"/>
                  <w:vMerge w:val="continue"/>
                  <w:tcBorders>
                    <w:tl2br w:val="nil"/>
                    <w:tr2bl w:val="nil"/>
                  </w:tcBorders>
                  <w:vAlign w:val="center"/>
                </w:tcPr>
                <w:p w14:paraId="2BB09D36">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464" w:type="pct"/>
                  <w:tcBorders>
                    <w:tl2br w:val="nil"/>
                    <w:tr2bl w:val="nil"/>
                  </w:tcBorders>
                  <w:vAlign w:val="center"/>
                </w:tcPr>
                <w:p w14:paraId="318BE0F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833" w:type="pct"/>
                  <w:tcBorders>
                    <w:tl2br w:val="nil"/>
                    <w:tr2bl w:val="nil"/>
                  </w:tcBorders>
                  <w:vAlign w:val="center"/>
                </w:tcPr>
                <w:p w14:paraId="5E42D82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w:t>
                  </w:r>
                </w:p>
              </w:tc>
              <w:tc>
                <w:tcPr>
                  <w:tcW w:w="443" w:type="pct"/>
                  <w:tcBorders>
                    <w:tl2br w:val="nil"/>
                    <w:tr2bl w:val="nil"/>
                  </w:tcBorders>
                  <w:vAlign w:val="center"/>
                </w:tcPr>
                <w:p w14:paraId="456AF0E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w:t>
                  </w:r>
                </w:p>
              </w:tc>
              <w:tc>
                <w:tcPr>
                  <w:tcW w:w="319" w:type="pct"/>
                  <w:vMerge w:val="continue"/>
                  <w:tcBorders>
                    <w:tl2br w:val="nil"/>
                    <w:tr2bl w:val="nil"/>
                  </w:tcBorders>
                  <w:vAlign w:val="center"/>
                </w:tcPr>
                <w:p w14:paraId="32A902F2">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438" w:type="pct"/>
                  <w:tcBorders>
                    <w:tl2br w:val="nil"/>
                    <w:tr2bl w:val="nil"/>
                  </w:tcBorders>
                  <w:vAlign w:val="center"/>
                </w:tcPr>
                <w:p w14:paraId="18E2D1C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779" w:type="pct"/>
                  <w:tcBorders>
                    <w:tl2br w:val="nil"/>
                    <w:tr2bl w:val="nil"/>
                  </w:tcBorders>
                  <w:vAlign w:val="center"/>
                </w:tcPr>
                <w:p w14:paraId="5095E32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w:t>
                  </w:r>
                </w:p>
              </w:tc>
              <w:tc>
                <w:tcPr>
                  <w:tcW w:w="431" w:type="pct"/>
                  <w:tcBorders>
                    <w:tl2br w:val="nil"/>
                    <w:tr2bl w:val="nil"/>
                  </w:tcBorders>
                  <w:vAlign w:val="center"/>
                </w:tcPr>
                <w:p w14:paraId="2137592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w:t>
                  </w:r>
                </w:p>
              </w:tc>
              <w:tc>
                <w:tcPr>
                  <w:tcW w:w="318" w:type="pct"/>
                  <w:vMerge w:val="continue"/>
                  <w:tcBorders>
                    <w:tl2br w:val="nil"/>
                    <w:tr2bl w:val="nil"/>
                  </w:tcBorders>
                  <w:vAlign w:val="center"/>
                </w:tcPr>
                <w:p w14:paraId="63642A26">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r>
            <w:tr w14:paraId="72EDAB7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pct"/>
                  <w:vMerge w:val="continue"/>
                  <w:tcBorders>
                    <w:tl2br w:val="nil"/>
                    <w:tr2bl w:val="nil"/>
                  </w:tcBorders>
                  <w:vAlign w:val="center"/>
                </w:tcPr>
                <w:p w14:paraId="0408862B">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508" w:type="pct"/>
                  <w:vMerge w:val="continue"/>
                  <w:tcBorders>
                    <w:tl2br w:val="nil"/>
                    <w:tr2bl w:val="nil"/>
                  </w:tcBorders>
                  <w:vAlign w:val="center"/>
                </w:tcPr>
                <w:p w14:paraId="560FDDBC">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464" w:type="pct"/>
                  <w:tcBorders>
                    <w:tl2br w:val="nil"/>
                    <w:tr2bl w:val="nil"/>
                  </w:tcBorders>
                  <w:vAlign w:val="center"/>
                </w:tcPr>
                <w:p w14:paraId="39BA656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833" w:type="pct"/>
                  <w:tcBorders>
                    <w:tl2br w:val="nil"/>
                    <w:tr2bl w:val="nil"/>
                  </w:tcBorders>
                  <w:vAlign w:val="center"/>
                </w:tcPr>
                <w:p w14:paraId="3ED07CF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443" w:type="pct"/>
                  <w:tcBorders>
                    <w:tl2br w:val="nil"/>
                    <w:tr2bl w:val="nil"/>
                  </w:tcBorders>
                  <w:vAlign w:val="center"/>
                </w:tcPr>
                <w:p w14:paraId="5F575FE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0.00036</w:t>
                  </w:r>
                </w:p>
              </w:tc>
              <w:tc>
                <w:tcPr>
                  <w:tcW w:w="319" w:type="pct"/>
                  <w:vMerge w:val="continue"/>
                  <w:tcBorders>
                    <w:tl2br w:val="nil"/>
                    <w:tr2bl w:val="nil"/>
                  </w:tcBorders>
                  <w:vAlign w:val="center"/>
                </w:tcPr>
                <w:p w14:paraId="36062B82">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438" w:type="pct"/>
                  <w:tcBorders>
                    <w:tl2br w:val="nil"/>
                    <w:tr2bl w:val="nil"/>
                  </w:tcBorders>
                  <w:vAlign w:val="center"/>
                </w:tcPr>
                <w:p w14:paraId="25BFDBD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779" w:type="pct"/>
                  <w:tcBorders>
                    <w:tl2br w:val="nil"/>
                    <w:tr2bl w:val="nil"/>
                  </w:tcBorders>
                  <w:vAlign w:val="center"/>
                </w:tcPr>
                <w:p w14:paraId="4C628B9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431" w:type="pct"/>
                  <w:tcBorders>
                    <w:tl2br w:val="nil"/>
                    <w:tr2bl w:val="nil"/>
                  </w:tcBorders>
                  <w:vAlign w:val="center"/>
                </w:tcPr>
                <w:p w14:paraId="7B93208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0.00036</w:t>
                  </w:r>
                </w:p>
              </w:tc>
              <w:tc>
                <w:tcPr>
                  <w:tcW w:w="318" w:type="pct"/>
                  <w:vMerge w:val="continue"/>
                  <w:tcBorders>
                    <w:tl2br w:val="nil"/>
                    <w:tr2bl w:val="nil"/>
                  </w:tcBorders>
                  <w:vAlign w:val="center"/>
                </w:tcPr>
                <w:p w14:paraId="56541670">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r>
            <w:tr w14:paraId="4990538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2" w:type="pct"/>
                  <w:vMerge w:val="continue"/>
                  <w:tcBorders>
                    <w:tl2br w:val="nil"/>
                    <w:tr2bl w:val="nil"/>
                  </w:tcBorders>
                  <w:vAlign w:val="center"/>
                </w:tcPr>
                <w:p w14:paraId="22D7D9D6">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508" w:type="pct"/>
                  <w:vMerge w:val="continue"/>
                  <w:tcBorders>
                    <w:tl2br w:val="nil"/>
                    <w:tr2bl w:val="nil"/>
                  </w:tcBorders>
                  <w:vAlign w:val="center"/>
                </w:tcPr>
                <w:p w14:paraId="4DCCA5E8">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464" w:type="pct"/>
                  <w:tcBorders>
                    <w:tl2br w:val="nil"/>
                    <w:tr2bl w:val="nil"/>
                  </w:tcBorders>
                  <w:vAlign w:val="center"/>
                </w:tcPr>
                <w:p w14:paraId="3F0593D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TN</w:t>
                  </w:r>
                </w:p>
              </w:tc>
              <w:tc>
                <w:tcPr>
                  <w:tcW w:w="833" w:type="pct"/>
                  <w:tcBorders>
                    <w:tl2br w:val="nil"/>
                    <w:tr2bl w:val="nil"/>
                  </w:tcBorders>
                  <w:vAlign w:val="center"/>
                </w:tcPr>
                <w:p w14:paraId="540581C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443" w:type="pct"/>
                  <w:tcBorders>
                    <w:tl2br w:val="nil"/>
                    <w:tr2bl w:val="nil"/>
                  </w:tcBorders>
                  <w:vAlign w:val="center"/>
                </w:tcPr>
                <w:p w14:paraId="7250DE5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0.0048</w:t>
                  </w:r>
                </w:p>
              </w:tc>
              <w:tc>
                <w:tcPr>
                  <w:tcW w:w="319" w:type="pct"/>
                  <w:vMerge w:val="continue"/>
                  <w:tcBorders>
                    <w:tl2br w:val="nil"/>
                    <w:tr2bl w:val="nil"/>
                  </w:tcBorders>
                  <w:vAlign w:val="center"/>
                </w:tcPr>
                <w:p w14:paraId="236DFBFB">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438" w:type="pct"/>
                  <w:tcBorders>
                    <w:tl2br w:val="nil"/>
                    <w:tr2bl w:val="nil"/>
                  </w:tcBorders>
                  <w:vAlign w:val="center"/>
                </w:tcPr>
                <w:p w14:paraId="4D68A05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TN</w:t>
                  </w:r>
                </w:p>
              </w:tc>
              <w:tc>
                <w:tcPr>
                  <w:tcW w:w="779" w:type="pct"/>
                  <w:tcBorders>
                    <w:tl2br w:val="nil"/>
                    <w:tr2bl w:val="nil"/>
                  </w:tcBorders>
                  <w:vAlign w:val="center"/>
                </w:tcPr>
                <w:p w14:paraId="41DB8F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431" w:type="pct"/>
                  <w:tcBorders>
                    <w:tl2br w:val="nil"/>
                    <w:tr2bl w:val="nil"/>
                  </w:tcBorders>
                  <w:vAlign w:val="center"/>
                </w:tcPr>
                <w:p w14:paraId="1F23E5E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0.0048</w:t>
                  </w:r>
                </w:p>
              </w:tc>
              <w:tc>
                <w:tcPr>
                  <w:tcW w:w="318" w:type="pct"/>
                  <w:vMerge w:val="continue"/>
                  <w:tcBorders>
                    <w:tl2br w:val="nil"/>
                    <w:tr2bl w:val="nil"/>
                  </w:tcBorders>
                  <w:vAlign w:val="center"/>
                </w:tcPr>
                <w:p w14:paraId="3F375A4F">
                  <w:pPr>
                    <w:widowControl/>
                    <w:kinsoku w:val="0"/>
                    <w:autoSpaceDE w:val="0"/>
                    <w:autoSpaceDN w:val="0"/>
                    <w:adjustRightInd w:val="0"/>
                    <w:snapToGrid w:val="0"/>
                    <w:jc w:val="center"/>
                    <w:textAlignment w:val="baseline"/>
                    <w:rPr>
                      <w:color w:val="000000" w:themeColor="text1"/>
                      <w:szCs w:val="21"/>
                      <w14:textFill>
                        <w14:solidFill>
                          <w14:schemeClr w14:val="tx1"/>
                        </w14:solidFill>
                      </w14:textFill>
                    </w:rPr>
                  </w:pPr>
                </w:p>
              </w:tc>
            </w:tr>
          </w:tbl>
          <w:p w14:paraId="40E233AC">
            <w:pPr>
              <w:spacing w:line="48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废水排放口基本情况</w:t>
            </w:r>
          </w:p>
          <w:p w14:paraId="40E51318">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（1）本项目废水排放口情况</w:t>
            </w:r>
            <w:r>
              <w:rPr>
                <w:color w:val="000000" w:themeColor="text1"/>
                <w:sz w:val="24"/>
                <w14:textFill>
                  <w14:solidFill>
                    <w14:schemeClr w14:val="tx1"/>
                  </w14:solidFill>
                </w14:textFill>
              </w:rPr>
              <w:t>见</w:t>
            </w:r>
            <w:r>
              <w:rPr>
                <w:rFonts w:hint="eastAsia"/>
                <w:color w:val="000000" w:themeColor="text1"/>
                <w:sz w:val="24"/>
                <w14:textFill>
                  <w14:solidFill>
                    <w14:schemeClr w14:val="tx1"/>
                  </w14:solidFill>
                </w14:textFill>
              </w:rPr>
              <w:t>下表。</w:t>
            </w:r>
          </w:p>
          <w:p w14:paraId="2F1A4FBE">
            <w:pPr>
              <w:spacing w:line="360" w:lineRule="exact"/>
              <w:ind w:firstLine="422" w:firstLineChars="2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 4-</w:t>
            </w:r>
            <w:r>
              <w:rPr>
                <w:rFonts w:hint="eastAsia"/>
                <w:b/>
                <w:bCs/>
                <w:color w:val="000000" w:themeColor="text1"/>
                <w:szCs w:val="21"/>
                <w14:textFill>
                  <w14:solidFill>
                    <w14:schemeClr w14:val="tx1"/>
                  </w14:solidFill>
                </w14:textFill>
              </w:rPr>
              <w:t>9</w:t>
            </w:r>
            <w:r>
              <w:rPr>
                <w:b/>
                <w:bCs/>
                <w:color w:val="000000" w:themeColor="text1"/>
                <w:szCs w:val="21"/>
                <w14:textFill>
                  <w14:solidFill>
                    <w14:schemeClr w14:val="tx1"/>
                  </w14:solidFill>
                </w14:textFill>
              </w:rPr>
              <w:t xml:space="preserve">  本项目废水排放口情况一览表</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6"/>
              <w:gridCol w:w="952"/>
              <w:gridCol w:w="1054"/>
              <w:gridCol w:w="954"/>
              <w:gridCol w:w="803"/>
              <w:gridCol w:w="1288"/>
              <w:gridCol w:w="849"/>
              <w:gridCol w:w="545"/>
              <w:gridCol w:w="757"/>
              <w:gridCol w:w="1158"/>
              <w:gridCol w:w="466"/>
            </w:tblGrid>
            <w:tr w14:paraId="6FFE2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255" w:type="pct"/>
                  <w:vMerge w:val="restart"/>
                  <w:tcBorders>
                    <w:tl2br w:val="nil"/>
                    <w:tr2bl w:val="nil"/>
                  </w:tcBorders>
                  <w:vAlign w:val="center"/>
                </w:tcPr>
                <w:p w14:paraId="1F720591">
                  <w:pPr>
                    <w:pStyle w:val="23"/>
                    <w:spacing w:before="0" w:after="0" w:line="300" w:lineRule="exact"/>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522" w:type="pct"/>
                  <w:vMerge w:val="restart"/>
                  <w:tcBorders>
                    <w:tl2br w:val="nil"/>
                    <w:tr2bl w:val="nil"/>
                  </w:tcBorders>
                  <w:vAlign w:val="center"/>
                </w:tcPr>
                <w:p w14:paraId="744C4179">
                  <w:pPr>
                    <w:pStyle w:val="23"/>
                    <w:spacing w:before="0" w:after="0" w:line="300" w:lineRule="exact"/>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w:t>
                  </w:r>
                </w:p>
                <w:p w14:paraId="2C78A8D5">
                  <w:pPr>
                    <w:pStyle w:val="23"/>
                    <w:spacing w:before="0" w:after="0" w:line="300" w:lineRule="exact"/>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编号</w:t>
                  </w:r>
                </w:p>
              </w:tc>
              <w:tc>
                <w:tcPr>
                  <w:tcW w:w="995" w:type="pct"/>
                  <w:gridSpan w:val="2"/>
                  <w:tcBorders>
                    <w:tl2br w:val="nil"/>
                    <w:tr2bl w:val="nil"/>
                  </w:tcBorders>
                  <w:vAlign w:val="center"/>
                </w:tcPr>
                <w:p w14:paraId="2BF1C02F">
                  <w:pPr>
                    <w:pStyle w:val="23"/>
                    <w:spacing w:before="0" w:after="0" w:line="300" w:lineRule="exact"/>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地理坐标</w:t>
                  </w:r>
                </w:p>
              </w:tc>
              <w:tc>
                <w:tcPr>
                  <w:tcW w:w="442" w:type="pct"/>
                  <w:vMerge w:val="restart"/>
                  <w:tcBorders>
                    <w:tl2br w:val="nil"/>
                    <w:tr2bl w:val="nil"/>
                  </w:tcBorders>
                  <w:vAlign w:val="center"/>
                </w:tcPr>
                <w:p w14:paraId="74668584">
                  <w:pPr>
                    <w:pStyle w:val="23"/>
                    <w:spacing w:before="0" w:after="0" w:line="300" w:lineRule="exact"/>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w:t>
                  </w:r>
                </w:p>
                <w:p w14:paraId="1C1D0CDF">
                  <w:pPr>
                    <w:pStyle w:val="23"/>
                    <w:spacing w:before="0" w:after="0" w:line="300" w:lineRule="exact"/>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去向</w:t>
                  </w:r>
                </w:p>
              </w:tc>
              <w:tc>
                <w:tcPr>
                  <w:tcW w:w="703" w:type="pct"/>
                  <w:vMerge w:val="restart"/>
                  <w:tcBorders>
                    <w:tl2br w:val="nil"/>
                    <w:tr2bl w:val="nil"/>
                  </w:tcBorders>
                  <w:vAlign w:val="center"/>
                </w:tcPr>
                <w:p w14:paraId="21837A7D">
                  <w:pPr>
                    <w:pStyle w:val="23"/>
                    <w:spacing w:before="0" w:after="0" w:line="300" w:lineRule="exact"/>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w:t>
                  </w:r>
                </w:p>
                <w:p w14:paraId="4BFEDF15">
                  <w:pPr>
                    <w:pStyle w:val="23"/>
                    <w:spacing w:before="0" w:after="0" w:line="300" w:lineRule="exact"/>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规律</w:t>
                  </w:r>
                </w:p>
              </w:tc>
              <w:tc>
                <w:tcPr>
                  <w:tcW w:w="467" w:type="pct"/>
                  <w:vMerge w:val="restart"/>
                  <w:tcBorders>
                    <w:tl2br w:val="nil"/>
                    <w:tr2bl w:val="nil"/>
                  </w:tcBorders>
                  <w:vAlign w:val="center"/>
                </w:tcPr>
                <w:p w14:paraId="0BC10206">
                  <w:pPr>
                    <w:pStyle w:val="23"/>
                    <w:spacing w:before="0" w:after="0" w:line="300" w:lineRule="exact"/>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间歇排放时段</w:t>
                  </w:r>
                </w:p>
              </w:tc>
              <w:tc>
                <w:tcPr>
                  <w:tcW w:w="1353" w:type="pct"/>
                  <w:gridSpan w:val="3"/>
                  <w:tcBorders>
                    <w:tl2br w:val="nil"/>
                    <w:tr2bl w:val="nil"/>
                  </w:tcBorders>
                  <w:vAlign w:val="center"/>
                </w:tcPr>
                <w:p w14:paraId="0677480C">
                  <w:pPr>
                    <w:pStyle w:val="23"/>
                    <w:spacing w:before="0" w:after="0" w:line="300" w:lineRule="exact"/>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受纳污水处理厂信息</w:t>
                  </w:r>
                </w:p>
              </w:tc>
              <w:tc>
                <w:tcPr>
                  <w:tcW w:w="260" w:type="pct"/>
                  <w:vMerge w:val="restart"/>
                  <w:tcBorders>
                    <w:tl2br w:val="nil"/>
                    <w:tr2bl w:val="nil"/>
                  </w:tcBorders>
                  <w:vAlign w:val="center"/>
                </w:tcPr>
                <w:p w14:paraId="291399C0">
                  <w:pPr>
                    <w:pStyle w:val="23"/>
                    <w:spacing w:before="0" w:after="0" w:line="300" w:lineRule="exact"/>
                    <w:ind w:right="0" w:firstLine="0" w:firstLineChars="0"/>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类型</w:t>
                  </w:r>
                </w:p>
              </w:tc>
            </w:tr>
            <w:tr w14:paraId="76D66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55" w:type="pct"/>
                  <w:vMerge w:val="continue"/>
                  <w:tcBorders>
                    <w:tl2br w:val="nil"/>
                    <w:tr2bl w:val="nil"/>
                  </w:tcBorders>
                  <w:vAlign w:val="center"/>
                </w:tcPr>
                <w:p w14:paraId="04208E75">
                  <w:pPr>
                    <w:pStyle w:val="23"/>
                    <w:spacing w:before="0" w:after="0" w:line="300" w:lineRule="exact"/>
                    <w:ind w:right="0" w:firstLine="0" w:firstLineChars="0"/>
                    <w:jc w:val="center"/>
                    <w:rPr>
                      <w:b/>
                      <w:bCs/>
                      <w:color w:val="000000" w:themeColor="text1"/>
                      <w:szCs w:val="21"/>
                      <w14:textFill>
                        <w14:solidFill>
                          <w14:schemeClr w14:val="tx1"/>
                        </w14:solidFill>
                      </w14:textFill>
                    </w:rPr>
                  </w:pPr>
                </w:p>
              </w:tc>
              <w:tc>
                <w:tcPr>
                  <w:tcW w:w="522" w:type="pct"/>
                  <w:vMerge w:val="continue"/>
                  <w:tcBorders>
                    <w:tl2br w:val="nil"/>
                    <w:tr2bl w:val="nil"/>
                  </w:tcBorders>
                  <w:vAlign w:val="center"/>
                </w:tcPr>
                <w:p w14:paraId="7005CCBB">
                  <w:pPr>
                    <w:pStyle w:val="23"/>
                    <w:spacing w:before="0" w:after="0" w:line="300" w:lineRule="exact"/>
                    <w:ind w:right="0" w:firstLine="0" w:firstLineChars="0"/>
                    <w:jc w:val="center"/>
                    <w:rPr>
                      <w:b/>
                      <w:bCs/>
                      <w:color w:val="000000" w:themeColor="text1"/>
                      <w:szCs w:val="21"/>
                      <w14:textFill>
                        <w14:solidFill>
                          <w14:schemeClr w14:val="tx1"/>
                        </w14:solidFill>
                      </w14:textFill>
                    </w:rPr>
                  </w:pPr>
                </w:p>
              </w:tc>
              <w:tc>
                <w:tcPr>
                  <w:tcW w:w="472" w:type="pct"/>
                  <w:tcBorders>
                    <w:tl2br w:val="nil"/>
                    <w:tr2bl w:val="nil"/>
                  </w:tcBorders>
                  <w:vAlign w:val="center"/>
                </w:tcPr>
                <w:p w14:paraId="298C24E9">
                  <w:pPr>
                    <w:pStyle w:val="23"/>
                    <w:spacing w:before="0" w:after="0" w:line="300" w:lineRule="exact"/>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经度</w:t>
                  </w:r>
                </w:p>
              </w:tc>
              <w:tc>
                <w:tcPr>
                  <w:tcW w:w="522" w:type="pct"/>
                  <w:tcBorders>
                    <w:tl2br w:val="nil"/>
                    <w:tr2bl w:val="nil"/>
                  </w:tcBorders>
                  <w:vAlign w:val="center"/>
                </w:tcPr>
                <w:p w14:paraId="0070C59B">
                  <w:pPr>
                    <w:pStyle w:val="23"/>
                    <w:spacing w:before="0" w:after="0" w:line="300" w:lineRule="exact"/>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纬度</w:t>
                  </w:r>
                </w:p>
              </w:tc>
              <w:tc>
                <w:tcPr>
                  <w:tcW w:w="442" w:type="pct"/>
                  <w:vMerge w:val="continue"/>
                  <w:tcBorders>
                    <w:tl2br w:val="nil"/>
                    <w:tr2bl w:val="nil"/>
                  </w:tcBorders>
                  <w:vAlign w:val="center"/>
                </w:tcPr>
                <w:p w14:paraId="01597F50">
                  <w:pPr>
                    <w:pStyle w:val="23"/>
                    <w:spacing w:before="0" w:after="0" w:line="300" w:lineRule="exact"/>
                    <w:ind w:right="0" w:firstLine="0" w:firstLineChars="0"/>
                    <w:jc w:val="center"/>
                    <w:rPr>
                      <w:b/>
                      <w:bCs/>
                      <w:color w:val="000000" w:themeColor="text1"/>
                      <w:szCs w:val="21"/>
                      <w14:textFill>
                        <w14:solidFill>
                          <w14:schemeClr w14:val="tx1"/>
                        </w14:solidFill>
                      </w14:textFill>
                    </w:rPr>
                  </w:pPr>
                </w:p>
              </w:tc>
              <w:tc>
                <w:tcPr>
                  <w:tcW w:w="703" w:type="pct"/>
                  <w:vMerge w:val="continue"/>
                  <w:tcBorders>
                    <w:tl2br w:val="nil"/>
                    <w:tr2bl w:val="nil"/>
                  </w:tcBorders>
                  <w:vAlign w:val="center"/>
                </w:tcPr>
                <w:p w14:paraId="6175D5C9">
                  <w:pPr>
                    <w:pStyle w:val="23"/>
                    <w:spacing w:before="0" w:after="0" w:line="300" w:lineRule="exact"/>
                    <w:ind w:right="0" w:firstLine="0" w:firstLineChars="0"/>
                    <w:jc w:val="center"/>
                    <w:rPr>
                      <w:b/>
                      <w:bCs/>
                      <w:color w:val="000000" w:themeColor="text1"/>
                      <w:szCs w:val="21"/>
                      <w14:textFill>
                        <w14:solidFill>
                          <w14:schemeClr w14:val="tx1"/>
                        </w14:solidFill>
                      </w14:textFill>
                    </w:rPr>
                  </w:pPr>
                </w:p>
              </w:tc>
              <w:tc>
                <w:tcPr>
                  <w:tcW w:w="467" w:type="pct"/>
                  <w:vMerge w:val="continue"/>
                  <w:tcBorders>
                    <w:tl2br w:val="nil"/>
                    <w:tr2bl w:val="nil"/>
                  </w:tcBorders>
                  <w:vAlign w:val="center"/>
                </w:tcPr>
                <w:p w14:paraId="00976E6E">
                  <w:pPr>
                    <w:pStyle w:val="23"/>
                    <w:spacing w:before="0" w:after="0" w:line="300" w:lineRule="exact"/>
                    <w:ind w:right="0" w:firstLine="0" w:firstLineChars="0"/>
                    <w:jc w:val="center"/>
                    <w:rPr>
                      <w:b/>
                      <w:bCs/>
                      <w:color w:val="000000" w:themeColor="text1"/>
                      <w:szCs w:val="21"/>
                      <w14:textFill>
                        <w14:solidFill>
                          <w14:schemeClr w14:val="tx1"/>
                        </w14:solidFill>
                      </w14:textFill>
                    </w:rPr>
                  </w:pPr>
                </w:p>
              </w:tc>
              <w:tc>
                <w:tcPr>
                  <w:tcW w:w="303" w:type="pct"/>
                  <w:tcBorders>
                    <w:tl2br w:val="nil"/>
                    <w:tr2bl w:val="nil"/>
                  </w:tcBorders>
                  <w:vAlign w:val="center"/>
                </w:tcPr>
                <w:p w14:paraId="4C741421">
                  <w:pPr>
                    <w:pStyle w:val="23"/>
                    <w:spacing w:before="0" w:after="0" w:line="300" w:lineRule="exact"/>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417" w:type="pct"/>
                  <w:tcBorders>
                    <w:tl2br w:val="nil"/>
                    <w:tr2bl w:val="nil"/>
                  </w:tcBorders>
                  <w:vAlign w:val="center"/>
                </w:tcPr>
                <w:p w14:paraId="1C35093D">
                  <w:pPr>
                    <w:pStyle w:val="23"/>
                    <w:spacing w:before="0" w:after="0" w:line="300" w:lineRule="exact"/>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p w14:paraId="39B02088">
                  <w:pPr>
                    <w:pStyle w:val="23"/>
                    <w:spacing w:before="0" w:after="0" w:line="300" w:lineRule="exact"/>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种类</w:t>
                  </w:r>
                </w:p>
              </w:tc>
              <w:tc>
                <w:tcPr>
                  <w:tcW w:w="632" w:type="pct"/>
                  <w:tcBorders>
                    <w:tl2br w:val="nil"/>
                    <w:tr2bl w:val="nil"/>
                  </w:tcBorders>
                  <w:vAlign w:val="center"/>
                </w:tcPr>
                <w:p w14:paraId="34DCE42A">
                  <w:pPr>
                    <w:pStyle w:val="23"/>
                    <w:spacing w:before="0" w:after="0" w:line="300" w:lineRule="exact"/>
                    <w:ind w:right="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排放限值</w:t>
                  </w:r>
                  <w:r>
                    <w:rPr>
                      <w:b/>
                      <w:bCs/>
                      <w:color w:val="000000" w:themeColor="text1"/>
                      <w:szCs w:val="21"/>
                      <w14:textFill>
                        <w14:solidFill>
                          <w14:schemeClr w14:val="tx1"/>
                        </w14:solidFill>
                      </w14:textFill>
                    </w:rPr>
                    <w:t>（mg/L）</w:t>
                  </w:r>
                </w:p>
              </w:tc>
              <w:tc>
                <w:tcPr>
                  <w:tcW w:w="260" w:type="pct"/>
                  <w:vMerge w:val="continue"/>
                  <w:tcBorders>
                    <w:tl2br w:val="nil"/>
                    <w:tr2bl w:val="nil"/>
                  </w:tcBorders>
                  <w:vAlign w:val="center"/>
                </w:tcPr>
                <w:p w14:paraId="1929E22C">
                  <w:pPr>
                    <w:pStyle w:val="23"/>
                    <w:spacing w:before="0" w:after="0" w:line="300" w:lineRule="exact"/>
                    <w:ind w:right="0" w:firstLine="0" w:firstLineChars="0"/>
                    <w:jc w:val="center"/>
                    <w:rPr>
                      <w:color w:val="000000" w:themeColor="text1"/>
                      <w:szCs w:val="21"/>
                      <w14:textFill>
                        <w14:solidFill>
                          <w14:schemeClr w14:val="tx1"/>
                        </w14:solidFill>
                      </w14:textFill>
                    </w:rPr>
                  </w:pPr>
                </w:p>
              </w:tc>
            </w:tr>
            <w:tr w14:paraId="0F409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55" w:type="pct"/>
                  <w:vMerge w:val="restart"/>
                  <w:tcBorders>
                    <w:tl2br w:val="nil"/>
                    <w:tr2bl w:val="nil"/>
                  </w:tcBorders>
                  <w:vAlign w:val="center"/>
                </w:tcPr>
                <w:p w14:paraId="1B2D03F6">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522" w:type="pct"/>
                  <w:vMerge w:val="restart"/>
                  <w:tcBorders>
                    <w:tl2br w:val="nil"/>
                    <w:tr2bl w:val="nil"/>
                  </w:tcBorders>
                  <w:vAlign w:val="center"/>
                </w:tcPr>
                <w:p w14:paraId="28FDC31E">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DW001</w:t>
                  </w:r>
                </w:p>
              </w:tc>
              <w:tc>
                <w:tcPr>
                  <w:tcW w:w="472" w:type="pct"/>
                  <w:vMerge w:val="restart"/>
                  <w:tcBorders>
                    <w:tl2br w:val="nil"/>
                    <w:tr2bl w:val="nil"/>
                  </w:tcBorders>
                  <w:vAlign w:val="center"/>
                </w:tcPr>
                <w:p w14:paraId="2A332C11">
                  <w:pPr>
                    <w:pStyle w:val="23"/>
                    <w:spacing w:before="0" w:after="0" w:line="300" w:lineRule="exact"/>
                    <w:ind w:righ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119.571548</w:t>
                  </w:r>
                </w:p>
              </w:tc>
              <w:tc>
                <w:tcPr>
                  <w:tcW w:w="522" w:type="pct"/>
                  <w:vMerge w:val="restart"/>
                  <w:tcBorders>
                    <w:tl2br w:val="nil"/>
                    <w:tr2bl w:val="nil"/>
                  </w:tcBorders>
                  <w:vAlign w:val="center"/>
                </w:tcPr>
                <w:p w14:paraId="082E5DAC">
                  <w:pPr>
                    <w:pStyle w:val="23"/>
                    <w:spacing w:before="0" w:after="0" w:line="300" w:lineRule="exact"/>
                    <w:ind w:righ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31.762024</w:t>
                  </w:r>
                </w:p>
              </w:tc>
              <w:tc>
                <w:tcPr>
                  <w:tcW w:w="442" w:type="pct"/>
                  <w:vMerge w:val="restart"/>
                  <w:tcBorders>
                    <w:tl2br w:val="nil"/>
                    <w:tr2bl w:val="nil"/>
                  </w:tcBorders>
                  <w:vAlign w:val="center"/>
                </w:tcPr>
                <w:p w14:paraId="75CC4C9F">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进入城市污水处理厂</w:t>
                  </w:r>
                </w:p>
              </w:tc>
              <w:tc>
                <w:tcPr>
                  <w:tcW w:w="703" w:type="pct"/>
                  <w:vMerge w:val="restart"/>
                  <w:tcBorders>
                    <w:tl2br w:val="nil"/>
                    <w:tr2bl w:val="nil"/>
                  </w:tcBorders>
                  <w:vAlign w:val="center"/>
                </w:tcPr>
                <w:p w14:paraId="39A4785B">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间断排放，排放期间流量不稳定且无规律，但不属于冲击型排放</w:t>
                  </w:r>
                </w:p>
              </w:tc>
              <w:tc>
                <w:tcPr>
                  <w:tcW w:w="467" w:type="pct"/>
                  <w:vMerge w:val="restart"/>
                  <w:tcBorders>
                    <w:tl2br w:val="nil"/>
                    <w:tr2bl w:val="nil"/>
                  </w:tcBorders>
                  <w:vAlign w:val="center"/>
                </w:tcPr>
                <w:p w14:paraId="75AA19FD">
                  <w:pPr>
                    <w:pStyle w:val="23"/>
                    <w:spacing w:before="0" w:after="0" w:line="300" w:lineRule="exact"/>
                    <w:ind w:right="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仅白天</w:t>
                  </w:r>
                </w:p>
              </w:tc>
              <w:tc>
                <w:tcPr>
                  <w:tcW w:w="303" w:type="pct"/>
                  <w:vMerge w:val="restart"/>
                  <w:tcBorders>
                    <w:tl2br w:val="nil"/>
                    <w:tr2bl w:val="nil"/>
                  </w:tcBorders>
                  <w:vAlign w:val="center"/>
                </w:tcPr>
                <w:p w14:paraId="19B4046F">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金坛第二污水处理有限公司</w:t>
                  </w:r>
                </w:p>
              </w:tc>
              <w:tc>
                <w:tcPr>
                  <w:tcW w:w="417" w:type="pct"/>
                  <w:tcBorders>
                    <w:tl2br w:val="nil"/>
                    <w:tr2bl w:val="nil"/>
                  </w:tcBorders>
                  <w:vAlign w:val="center"/>
                </w:tcPr>
                <w:p w14:paraId="2A1AE42D">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632" w:type="pct"/>
                  <w:tcBorders>
                    <w:tl2br w:val="nil"/>
                    <w:tr2bl w:val="nil"/>
                  </w:tcBorders>
                  <w:vAlign w:val="center"/>
                </w:tcPr>
                <w:p w14:paraId="64B0619F">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260" w:type="pct"/>
                  <w:vMerge w:val="restart"/>
                  <w:tcBorders>
                    <w:tl2br w:val="nil"/>
                    <w:tr2bl w:val="nil"/>
                  </w:tcBorders>
                  <w:vAlign w:val="center"/>
                </w:tcPr>
                <w:p w14:paraId="5D9DF158">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一般排放口</w:t>
                  </w:r>
                </w:p>
              </w:tc>
            </w:tr>
            <w:tr w14:paraId="328C7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55" w:type="pct"/>
                  <w:vMerge w:val="continue"/>
                  <w:tcBorders>
                    <w:tl2br w:val="nil"/>
                    <w:tr2bl w:val="nil"/>
                  </w:tcBorders>
                  <w:vAlign w:val="center"/>
                </w:tcPr>
                <w:p w14:paraId="3CACABF3">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522" w:type="pct"/>
                  <w:vMerge w:val="continue"/>
                  <w:tcBorders>
                    <w:tl2br w:val="nil"/>
                    <w:tr2bl w:val="nil"/>
                  </w:tcBorders>
                  <w:vAlign w:val="center"/>
                </w:tcPr>
                <w:p w14:paraId="474D52DB">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72" w:type="pct"/>
                  <w:vMerge w:val="continue"/>
                  <w:tcBorders>
                    <w:tl2br w:val="nil"/>
                    <w:tr2bl w:val="nil"/>
                  </w:tcBorders>
                  <w:vAlign w:val="center"/>
                </w:tcPr>
                <w:p w14:paraId="7C7083A1">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522" w:type="pct"/>
                  <w:vMerge w:val="continue"/>
                  <w:tcBorders>
                    <w:tl2br w:val="nil"/>
                    <w:tr2bl w:val="nil"/>
                  </w:tcBorders>
                  <w:vAlign w:val="center"/>
                </w:tcPr>
                <w:p w14:paraId="0376C329">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42" w:type="pct"/>
                  <w:vMerge w:val="continue"/>
                  <w:tcBorders>
                    <w:tl2br w:val="nil"/>
                    <w:tr2bl w:val="nil"/>
                  </w:tcBorders>
                  <w:vAlign w:val="center"/>
                </w:tcPr>
                <w:p w14:paraId="7E299F2F">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703" w:type="pct"/>
                  <w:vMerge w:val="continue"/>
                  <w:tcBorders>
                    <w:tl2br w:val="nil"/>
                    <w:tr2bl w:val="nil"/>
                  </w:tcBorders>
                  <w:vAlign w:val="center"/>
                </w:tcPr>
                <w:p w14:paraId="1DCCBD1F">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67" w:type="pct"/>
                  <w:vMerge w:val="continue"/>
                  <w:tcBorders>
                    <w:tl2br w:val="nil"/>
                    <w:tr2bl w:val="nil"/>
                  </w:tcBorders>
                  <w:vAlign w:val="center"/>
                </w:tcPr>
                <w:p w14:paraId="5280093B">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303" w:type="pct"/>
                  <w:vMerge w:val="continue"/>
                  <w:tcBorders>
                    <w:tl2br w:val="nil"/>
                    <w:tr2bl w:val="nil"/>
                  </w:tcBorders>
                  <w:vAlign w:val="center"/>
                </w:tcPr>
                <w:p w14:paraId="14EEF467">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17" w:type="pct"/>
                  <w:tcBorders>
                    <w:tl2br w:val="nil"/>
                    <w:tr2bl w:val="nil"/>
                  </w:tcBorders>
                  <w:vAlign w:val="center"/>
                </w:tcPr>
                <w:p w14:paraId="2E22D056">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632" w:type="pct"/>
                  <w:tcBorders>
                    <w:tl2br w:val="nil"/>
                    <w:tr2bl w:val="nil"/>
                  </w:tcBorders>
                  <w:vAlign w:val="center"/>
                </w:tcPr>
                <w:p w14:paraId="089F4092">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260" w:type="pct"/>
                  <w:vMerge w:val="continue"/>
                  <w:tcBorders>
                    <w:tl2br w:val="nil"/>
                    <w:tr2bl w:val="nil"/>
                  </w:tcBorders>
                  <w:vAlign w:val="center"/>
                </w:tcPr>
                <w:p w14:paraId="607CE5E6">
                  <w:pPr>
                    <w:snapToGrid w:val="0"/>
                    <w:jc w:val="center"/>
                    <w:rPr>
                      <w:rFonts w:eastAsia="仿宋"/>
                      <w:bCs/>
                      <w:color w:val="000000" w:themeColor="text1"/>
                      <w:szCs w:val="21"/>
                      <w14:textFill>
                        <w14:solidFill>
                          <w14:schemeClr w14:val="tx1"/>
                        </w14:solidFill>
                      </w14:textFill>
                    </w:rPr>
                  </w:pPr>
                </w:p>
              </w:tc>
            </w:tr>
            <w:tr w14:paraId="51C8E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55" w:type="pct"/>
                  <w:vMerge w:val="continue"/>
                  <w:tcBorders>
                    <w:tl2br w:val="nil"/>
                    <w:tr2bl w:val="nil"/>
                  </w:tcBorders>
                  <w:vAlign w:val="center"/>
                </w:tcPr>
                <w:p w14:paraId="5308D326">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522" w:type="pct"/>
                  <w:vMerge w:val="continue"/>
                  <w:tcBorders>
                    <w:tl2br w:val="nil"/>
                    <w:tr2bl w:val="nil"/>
                  </w:tcBorders>
                  <w:vAlign w:val="center"/>
                </w:tcPr>
                <w:p w14:paraId="14993139">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72" w:type="pct"/>
                  <w:vMerge w:val="continue"/>
                  <w:tcBorders>
                    <w:tl2br w:val="nil"/>
                    <w:tr2bl w:val="nil"/>
                  </w:tcBorders>
                  <w:vAlign w:val="center"/>
                </w:tcPr>
                <w:p w14:paraId="54021812">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522" w:type="pct"/>
                  <w:vMerge w:val="continue"/>
                  <w:tcBorders>
                    <w:tl2br w:val="nil"/>
                    <w:tr2bl w:val="nil"/>
                  </w:tcBorders>
                  <w:vAlign w:val="center"/>
                </w:tcPr>
                <w:p w14:paraId="6F624580">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42" w:type="pct"/>
                  <w:vMerge w:val="continue"/>
                  <w:tcBorders>
                    <w:tl2br w:val="nil"/>
                    <w:tr2bl w:val="nil"/>
                  </w:tcBorders>
                  <w:vAlign w:val="center"/>
                </w:tcPr>
                <w:p w14:paraId="28112CF9">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703" w:type="pct"/>
                  <w:vMerge w:val="continue"/>
                  <w:tcBorders>
                    <w:tl2br w:val="nil"/>
                    <w:tr2bl w:val="nil"/>
                  </w:tcBorders>
                  <w:vAlign w:val="center"/>
                </w:tcPr>
                <w:p w14:paraId="35F70E78">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67" w:type="pct"/>
                  <w:vMerge w:val="continue"/>
                  <w:tcBorders>
                    <w:tl2br w:val="nil"/>
                    <w:tr2bl w:val="nil"/>
                  </w:tcBorders>
                  <w:vAlign w:val="center"/>
                </w:tcPr>
                <w:p w14:paraId="61F2EC68">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303" w:type="pct"/>
                  <w:vMerge w:val="continue"/>
                  <w:tcBorders>
                    <w:tl2br w:val="nil"/>
                    <w:tr2bl w:val="nil"/>
                  </w:tcBorders>
                  <w:vAlign w:val="center"/>
                </w:tcPr>
                <w:p w14:paraId="3F643151">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17" w:type="pct"/>
                  <w:tcBorders>
                    <w:tl2br w:val="nil"/>
                    <w:tr2bl w:val="nil"/>
                  </w:tcBorders>
                  <w:vAlign w:val="center"/>
                </w:tcPr>
                <w:p w14:paraId="01C4BA9C">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632" w:type="pct"/>
                  <w:tcBorders>
                    <w:tl2br w:val="nil"/>
                    <w:tr2bl w:val="nil"/>
                  </w:tcBorders>
                  <w:vAlign w:val="center"/>
                </w:tcPr>
                <w:p w14:paraId="73379F67">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260" w:type="pct"/>
                  <w:vMerge w:val="continue"/>
                  <w:tcBorders>
                    <w:tl2br w:val="nil"/>
                    <w:tr2bl w:val="nil"/>
                  </w:tcBorders>
                  <w:vAlign w:val="center"/>
                </w:tcPr>
                <w:p w14:paraId="37EB1D1E">
                  <w:pPr>
                    <w:snapToGrid w:val="0"/>
                    <w:jc w:val="center"/>
                    <w:rPr>
                      <w:rFonts w:eastAsia="仿宋"/>
                      <w:bCs/>
                      <w:color w:val="000000" w:themeColor="text1"/>
                      <w:szCs w:val="21"/>
                      <w14:textFill>
                        <w14:solidFill>
                          <w14:schemeClr w14:val="tx1"/>
                        </w14:solidFill>
                      </w14:textFill>
                    </w:rPr>
                  </w:pPr>
                </w:p>
              </w:tc>
            </w:tr>
            <w:tr w14:paraId="36FA8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55" w:type="pct"/>
                  <w:vMerge w:val="continue"/>
                  <w:tcBorders>
                    <w:tl2br w:val="nil"/>
                    <w:tr2bl w:val="nil"/>
                  </w:tcBorders>
                  <w:vAlign w:val="center"/>
                </w:tcPr>
                <w:p w14:paraId="24045043">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522" w:type="pct"/>
                  <w:vMerge w:val="continue"/>
                  <w:tcBorders>
                    <w:tl2br w:val="nil"/>
                    <w:tr2bl w:val="nil"/>
                  </w:tcBorders>
                  <w:vAlign w:val="center"/>
                </w:tcPr>
                <w:p w14:paraId="5487ECD6">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72" w:type="pct"/>
                  <w:vMerge w:val="continue"/>
                  <w:tcBorders>
                    <w:tl2br w:val="nil"/>
                    <w:tr2bl w:val="nil"/>
                  </w:tcBorders>
                  <w:vAlign w:val="center"/>
                </w:tcPr>
                <w:p w14:paraId="7D95A70E">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522" w:type="pct"/>
                  <w:vMerge w:val="continue"/>
                  <w:tcBorders>
                    <w:tl2br w:val="nil"/>
                    <w:tr2bl w:val="nil"/>
                  </w:tcBorders>
                  <w:vAlign w:val="center"/>
                </w:tcPr>
                <w:p w14:paraId="7136B1B4">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42" w:type="pct"/>
                  <w:vMerge w:val="continue"/>
                  <w:tcBorders>
                    <w:tl2br w:val="nil"/>
                    <w:tr2bl w:val="nil"/>
                  </w:tcBorders>
                  <w:vAlign w:val="center"/>
                </w:tcPr>
                <w:p w14:paraId="5A4C3CB3">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703" w:type="pct"/>
                  <w:vMerge w:val="continue"/>
                  <w:tcBorders>
                    <w:tl2br w:val="nil"/>
                    <w:tr2bl w:val="nil"/>
                  </w:tcBorders>
                  <w:vAlign w:val="center"/>
                </w:tcPr>
                <w:p w14:paraId="39C1980A">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67" w:type="pct"/>
                  <w:vMerge w:val="continue"/>
                  <w:tcBorders>
                    <w:tl2br w:val="nil"/>
                    <w:tr2bl w:val="nil"/>
                  </w:tcBorders>
                  <w:vAlign w:val="center"/>
                </w:tcPr>
                <w:p w14:paraId="52F27885">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303" w:type="pct"/>
                  <w:vMerge w:val="continue"/>
                  <w:tcBorders>
                    <w:tl2br w:val="nil"/>
                    <w:tr2bl w:val="nil"/>
                  </w:tcBorders>
                  <w:vAlign w:val="center"/>
                </w:tcPr>
                <w:p w14:paraId="3B066BB2">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17" w:type="pct"/>
                  <w:tcBorders>
                    <w:tl2br w:val="nil"/>
                    <w:tr2bl w:val="nil"/>
                  </w:tcBorders>
                  <w:vAlign w:val="center"/>
                </w:tcPr>
                <w:p w14:paraId="005E5C4B">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632" w:type="pct"/>
                  <w:tcBorders>
                    <w:tl2br w:val="nil"/>
                    <w:tr2bl w:val="nil"/>
                  </w:tcBorders>
                  <w:vAlign w:val="center"/>
                </w:tcPr>
                <w:p w14:paraId="3F074771">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260" w:type="pct"/>
                  <w:vMerge w:val="continue"/>
                  <w:tcBorders>
                    <w:tl2br w:val="nil"/>
                    <w:tr2bl w:val="nil"/>
                  </w:tcBorders>
                  <w:vAlign w:val="center"/>
                </w:tcPr>
                <w:p w14:paraId="154C9B9D">
                  <w:pPr>
                    <w:snapToGrid w:val="0"/>
                    <w:jc w:val="center"/>
                    <w:rPr>
                      <w:rFonts w:eastAsia="仿宋"/>
                      <w:bCs/>
                      <w:color w:val="000000" w:themeColor="text1"/>
                      <w:szCs w:val="21"/>
                      <w14:textFill>
                        <w14:solidFill>
                          <w14:schemeClr w14:val="tx1"/>
                        </w14:solidFill>
                      </w14:textFill>
                    </w:rPr>
                  </w:pPr>
                </w:p>
              </w:tc>
            </w:tr>
            <w:tr w14:paraId="25F6A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55" w:type="pct"/>
                  <w:vMerge w:val="continue"/>
                  <w:tcBorders>
                    <w:tl2br w:val="nil"/>
                    <w:tr2bl w:val="nil"/>
                  </w:tcBorders>
                  <w:vAlign w:val="center"/>
                </w:tcPr>
                <w:p w14:paraId="43BC80CC">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522" w:type="pct"/>
                  <w:vMerge w:val="continue"/>
                  <w:tcBorders>
                    <w:tl2br w:val="nil"/>
                    <w:tr2bl w:val="nil"/>
                  </w:tcBorders>
                  <w:vAlign w:val="center"/>
                </w:tcPr>
                <w:p w14:paraId="31A5EEF2">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72" w:type="pct"/>
                  <w:vMerge w:val="continue"/>
                  <w:tcBorders>
                    <w:tl2br w:val="nil"/>
                    <w:tr2bl w:val="nil"/>
                  </w:tcBorders>
                  <w:vAlign w:val="center"/>
                </w:tcPr>
                <w:p w14:paraId="45CC95C7">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522" w:type="pct"/>
                  <w:vMerge w:val="continue"/>
                  <w:tcBorders>
                    <w:tl2br w:val="nil"/>
                    <w:tr2bl w:val="nil"/>
                  </w:tcBorders>
                  <w:vAlign w:val="center"/>
                </w:tcPr>
                <w:p w14:paraId="549AC14B">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42" w:type="pct"/>
                  <w:vMerge w:val="continue"/>
                  <w:tcBorders>
                    <w:tl2br w:val="nil"/>
                    <w:tr2bl w:val="nil"/>
                  </w:tcBorders>
                  <w:vAlign w:val="center"/>
                </w:tcPr>
                <w:p w14:paraId="4FF63775">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703" w:type="pct"/>
                  <w:vMerge w:val="continue"/>
                  <w:tcBorders>
                    <w:tl2br w:val="nil"/>
                    <w:tr2bl w:val="nil"/>
                  </w:tcBorders>
                  <w:vAlign w:val="center"/>
                </w:tcPr>
                <w:p w14:paraId="33BA5BD8">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67" w:type="pct"/>
                  <w:vMerge w:val="continue"/>
                  <w:tcBorders>
                    <w:tl2br w:val="nil"/>
                    <w:tr2bl w:val="nil"/>
                  </w:tcBorders>
                  <w:vAlign w:val="center"/>
                </w:tcPr>
                <w:p w14:paraId="0F624D3B">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303" w:type="pct"/>
                  <w:vMerge w:val="continue"/>
                  <w:tcBorders>
                    <w:tl2br w:val="nil"/>
                    <w:tr2bl w:val="nil"/>
                  </w:tcBorders>
                  <w:vAlign w:val="center"/>
                </w:tcPr>
                <w:p w14:paraId="49398927">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17" w:type="pct"/>
                  <w:tcBorders>
                    <w:tl2br w:val="nil"/>
                    <w:tr2bl w:val="nil"/>
                  </w:tcBorders>
                  <w:vAlign w:val="center"/>
                </w:tcPr>
                <w:p w14:paraId="3F4F8A44">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632" w:type="pct"/>
                  <w:tcBorders>
                    <w:tl2br w:val="nil"/>
                    <w:tr2bl w:val="nil"/>
                  </w:tcBorders>
                  <w:vAlign w:val="center"/>
                </w:tcPr>
                <w:p w14:paraId="69781829">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260" w:type="pct"/>
                  <w:vMerge w:val="continue"/>
                  <w:tcBorders>
                    <w:tl2br w:val="nil"/>
                    <w:tr2bl w:val="nil"/>
                  </w:tcBorders>
                  <w:vAlign w:val="center"/>
                </w:tcPr>
                <w:p w14:paraId="3F43C558">
                  <w:pPr>
                    <w:snapToGrid w:val="0"/>
                    <w:jc w:val="center"/>
                    <w:rPr>
                      <w:rFonts w:eastAsia="仿宋"/>
                      <w:bCs/>
                      <w:color w:val="000000" w:themeColor="text1"/>
                      <w:szCs w:val="21"/>
                      <w14:textFill>
                        <w14:solidFill>
                          <w14:schemeClr w14:val="tx1"/>
                        </w14:solidFill>
                      </w14:textFill>
                    </w:rPr>
                  </w:pPr>
                </w:p>
              </w:tc>
            </w:tr>
            <w:tr w14:paraId="3851A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5" w:type="pct"/>
                  <w:vMerge w:val="continue"/>
                  <w:tcBorders>
                    <w:tl2br w:val="nil"/>
                    <w:tr2bl w:val="nil"/>
                  </w:tcBorders>
                  <w:vAlign w:val="center"/>
                </w:tcPr>
                <w:p w14:paraId="01CE7B2B">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522" w:type="pct"/>
                  <w:vMerge w:val="continue"/>
                  <w:tcBorders>
                    <w:tl2br w:val="nil"/>
                    <w:tr2bl w:val="nil"/>
                  </w:tcBorders>
                  <w:vAlign w:val="center"/>
                </w:tcPr>
                <w:p w14:paraId="6957C4CF">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72" w:type="pct"/>
                  <w:vMerge w:val="continue"/>
                  <w:tcBorders>
                    <w:tl2br w:val="nil"/>
                    <w:tr2bl w:val="nil"/>
                  </w:tcBorders>
                  <w:vAlign w:val="center"/>
                </w:tcPr>
                <w:p w14:paraId="67262F23">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522" w:type="pct"/>
                  <w:vMerge w:val="continue"/>
                  <w:tcBorders>
                    <w:tl2br w:val="nil"/>
                    <w:tr2bl w:val="nil"/>
                  </w:tcBorders>
                  <w:vAlign w:val="center"/>
                </w:tcPr>
                <w:p w14:paraId="3EEB3ED0">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42" w:type="pct"/>
                  <w:vMerge w:val="continue"/>
                  <w:tcBorders>
                    <w:tl2br w:val="nil"/>
                    <w:tr2bl w:val="nil"/>
                  </w:tcBorders>
                  <w:vAlign w:val="center"/>
                </w:tcPr>
                <w:p w14:paraId="61D57705">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703" w:type="pct"/>
                  <w:vMerge w:val="continue"/>
                  <w:tcBorders>
                    <w:tl2br w:val="nil"/>
                    <w:tr2bl w:val="nil"/>
                  </w:tcBorders>
                  <w:vAlign w:val="center"/>
                </w:tcPr>
                <w:p w14:paraId="5543E344">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67" w:type="pct"/>
                  <w:vMerge w:val="continue"/>
                  <w:tcBorders>
                    <w:tl2br w:val="nil"/>
                    <w:tr2bl w:val="nil"/>
                  </w:tcBorders>
                  <w:vAlign w:val="center"/>
                </w:tcPr>
                <w:p w14:paraId="2872897C">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303" w:type="pct"/>
                  <w:vMerge w:val="continue"/>
                  <w:tcBorders>
                    <w:tl2br w:val="nil"/>
                    <w:tr2bl w:val="nil"/>
                  </w:tcBorders>
                  <w:vAlign w:val="center"/>
                </w:tcPr>
                <w:p w14:paraId="4D113575">
                  <w:pPr>
                    <w:pStyle w:val="23"/>
                    <w:spacing w:before="0" w:after="0" w:line="300" w:lineRule="exact"/>
                    <w:ind w:right="0" w:firstLine="0" w:firstLineChars="0"/>
                    <w:jc w:val="center"/>
                    <w:rPr>
                      <w:color w:val="000000" w:themeColor="text1"/>
                      <w:szCs w:val="21"/>
                      <w14:textFill>
                        <w14:solidFill>
                          <w14:schemeClr w14:val="tx1"/>
                        </w14:solidFill>
                      </w14:textFill>
                    </w:rPr>
                  </w:pPr>
                </w:p>
              </w:tc>
              <w:tc>
                <w:tcPr>
                  <w:tcW w:w="417" w:type="pct"/>
                  <w:tcBorders>
                    <w:tl2br w:val="nil"/>
                    <w:tr2bl w:val="nil"/>
                  </w:tcBorders>
                  <w:vAlign w:val="center"/>
                </w:tcPr>
                <w:p w14:paraId="283CBA6C">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TN</w:t>
                  </w:r>
                </w:p>
              </w:tc>
              <w:tc>
                <w:tcPr>
                  <w:tcW w:w="632" w:type="pct"/>
                  <w:tcBorders>
                    <w:tl2br w:val="nil"/>
                    <w:tr2bl w:val="nil"/>
                  </w:tcBorders>
                  <w:vAlign w:val="center"/>
                </w:tcPr>
                <w:p w14:paraId="3CC890CF">
                  <w:pPr>
                    <w:pStyle w:val="23"/>
                    <w:spacing w:before="0" w:after="0" w:line="300" w:lineRule="exact"/>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260" w:type="pct"/>
                  <w:vMerge w:val="continue"/>
                  <w:tcBorders>
                    <w:tl2br w:val="nil"/>
                    <w:tr2bl w:val="nil"/>
                  </w:tcBorders>
                  <w:vAlign w:val="center"/>
                </w:tcPr>
                <w:p w14:paraId="75682B4A">
                  <w:pPr>
                    <w:snapToGrid w:val="0"/>
                    <w:jc w:val="center"/>
                    <w:rPr>
                      <w:rFonts w:eastAsia="仿宋"/>
                      <w:bCs/>
                      <w:color w:val="000000" w:themeColor="text1"/>
                      <w:szCs w:val="21"/>
                      <w14:textFill>
                        <w14:solidFill>
                          <w14:schemeClr w14:val="tx1"/>
                        </w14:solidFill>
                      </w14:textFill>
                    </w:rPr>
                  </w:pPr>
                </w:p>
              </w:tc>
            </w:tr>
          </w:tbl>
          <w:p w14:paraId="30112F32">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废水污染物排放执行标准见</w:t>
            </w:r>
            <w:r>
              <w:rPr>
                <w:rFonts w:hint="eastAsia"/>
                <w:color w:val="000000" w:themeColor="text1"/>
                <w:sz w:val="24"/>
                <w14:textFill>
                  <w14:solidFill>
                    <w14:schemeClr w14:val="tx1"/>
                  </w14:solidFill>
                </w14:textFill>
              </w:rPr>
              <w:t>下表</w:t>
            </w:r>
            <w:r>
              <w:rPr>
                <w:color w:val="000000" w:themeColor="text1"/>
                <w:sz w:val="24"/>
                <w14:textFill>
                  <w14:solidFill>
                    <w14:schemeClr w14:val="tx1"/>
                  </w14:solidFill>
                </w14:textFill>
              </w:rPr>
              <w:t>。</w:t>
            </w:r>
          </w:p>
          <w:p w14:paraId="1E4C4CA9">
            <w:pPr>
              <w:pStyle w:val="8"/>
              <w:spacing w:before="0" w:after="0" w:line="360" w:lineRule="exact"/>
              <w:ind w:right="0" w:firstLine="422" w:firstLineChars="20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表4-1</w:t>
            </w:r>
            <w:r>
              <w:rPr>
                <w:rFonts w:hint="eastAsia"/>
                <w:b/>
                <w:bCs/>
                <w:color w:val="000000" w:themeColor="text1"/>
                <w:sz w:val="21"/>
                <w:szCs w:val="21"/>
                <w14:textFill>
                  <w14:solidFill>
                    <w14:schemeClr w14:val="tx1"/>
                  </w14:solidFill>
                </w14:textFill>
              </w:rPr>
              <w:t>0</w:t>
            </w:r>
            <w:r>
              <w:rPr>
                <w:b/>
                <w:bCs/>
                <w:color w:val="000000" w:themeColor="text1"/>
                <w:sz w:val="21"/>
                <w:szCs w:val="21"/>
                <w14:textFill>
                  <w14:solidFill>
                    <w14:schemeClr w14:val="tx1"/>
                  </w14:solidFill>
                </w14:textFill>
              </w:rPr>
              <w:t xml:space="preserve"> 废水污染物排放执行标准表</w:t>
            </w:r>
          </w:p>
          <w:tbl>
            <w:tblPr>
              <w:tblStyle w:val="25"/>
              <w:tblW w:w="4998" w:type="pct"/>
              <w:tblInd w:w="0" w:type="dxa"/>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67"/>
              <w:gridCol w:w="1347"/>
              <w:gridCol w:w="1722"/>
              <w:gridCol w:w="3101"/>
              <w:gridCol w:w="2350"/>
            </w:tblGrid>
            <w:tr w14:paraId="583A01E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vMerge w:val="restart"/>
                  <w:tcBorders>
                    <w:top w:val="single" w:color="auto" w:sz="12" w:space="0"/>
                  </w:tcBorders>
                  <w:vAlign w:val="center"/>
                </w:tcPr>
                <w:p w14:paraId="7025AB69">
                  <w:pPr>
                    <w:pStyle w:val="23"/>
                    <w:spacing w:before="0" w:after="0"/>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725" w:type="pct"/>
                  <w:vMerge w:val="restart"/>
                  <w:tcBorders>
                    <w:top w:val="single" w:color="auto" w:sz="12" w:space="0"/>
                  </w:tcBorders>
                  <w:vAlign w:val="center"/>
                </w:tcPr>
                <w:p w14:paraId="702DC7F0">
                  <w:pPr>
                    <w:pStyle w:val="23"/>
                    <w:spacing w:before="0" w:after="0"/>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w:t>
                  </w:r>
                </w:p>
                <w:p w14:paraId="275C3880">
                  <w:pPr>
                    <w:pStyle w:val="23"/>
                    <w:spacing w:before="0" w:after="0"/>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编号</w:t>
                  </w:r>
                </w:p>
              </w:tc>
              <w:tc>
                <w:tcPr>
                  <w:tcW w:w="927" w:type="pct"/>
                  <w:vMerge w:val="restart"/>
                  <w:tcBorders>
                    <w:top w:val="single" w:color="auto" w:sz="12" w:space="0"/>
                  </w:tcBorders>
                  <w:vAlign w:val="center"/>
                </w:tcPr>
                <w:p w14:paraId="17F05926">
                  <w:pPr>
                    <w:pStyle w:val="23"/>
                    <w:spacing w:before="0" w:after="0"/>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污染物种类</w:t>
                  </w:r>
                </w:p>
              </w:tc>
              <w:tc>
                <w:tcPr>
                  <w:tcW w:w="2934" w:type="pct"/>
                  <w:gridSpan w:val="2"/>
                  <w:tcBorders>
                    <w:top w:val="single" w:color="auto" w:sz="12" w:space="0"/>
                  </w:tcBorders>
                  <w:vAlign w:val="center"/>
                </w:tcPr>
                <w:p w14:paraId="7A98C7B0">
                  <w:pPr>
                    <w:pStyle w:val="23"/>
                    <w:spacing w:before="0" w:after="0"/>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国家或地方污染物排放标准及其他按</w:t>
                  </w:r>
                </w:p>
                <w:p w14:paraId="5231B6AE">
                  <w:pPr>
                    <w:pStyle w:val="23"/>
                    <w:spacing w:before="0" w:after="0"/>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规定商定的排放协议</w:t>
                  </w:r>
                </w:p>
              </w:tc>
            </w:tr>
            <w:tr w14:paraId="645619AB">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vMerge w:val="continue"/>
                  <w:vAlign w:val="center"/>
                </w:tcPr>
                <w:p w14:paraId="4468132C">
                  <w:pPr>
                    <w:pStyle w:val="23"/>
                    <w:spacing w:before="0" w:after="0"/>
                    <w:ind w:right="0" w:firstLine="0" w:firstLineChars="0"/>
                    <w:jc w:val="center"/>
                    <w:rPr>
                      <w:b/>
                      <w:bCs/>
                      <w:color w:val="000000" w:themeColor="text1"/>
                      <w:szCs w:val="21"/>
                      <w14:textFill>
                        <w14:solidFill>
                          <w14:schemeClr w14:val="tx1"/>
                        </w14:solidFill>
                      </w14:textFill>
                    </w:rPr>
                  </w:pPr>
                </w:p>
              </w:tc>
              <w:tc>
                <w:tcPr>
                  <w:tcW w:w="725" w:type="pct"/>
                  <w:vMerge w:val="continue"/>
                  <w:vAlign w:val="center"/>
                </w:tcPr>
                <w:p w14:paraId="67B45C6B">
                  <w:pPr>
                    <w:pStyle w:val="23"/>
                    <w:spacing w:before="0" w:after="0"/>
                    <w:ind w:right="0" w:firstLine="0" w:firstLineChars="0"/>
                    <w:jc w:val="center"/>
                    <w:rPr>
                      <w:b/>
                      <w:bCs/>
                      <w:color w:val="000000" w:themeColor="text1"/>
                      <w:szCs w:val="21"/>
                      <w14:textFill>
                        <w14:solidFill>
                          <w14:schemeClr w14:val="tx1"/>
                        </w14:solidFill>
                      </w14:textFill>
                    </w:rPr>
                  </w:pPr>
                </w:p>
              </w:tc>
              <w:tc>
                <w:tcPr>
                  <w:tcW w:w="927" w:type="pct"/>
                  <w:vMerge w:val="continue"/>
                  <w:vAlign w:val="center"/>
                </w:tcPr>
                <w:p w14:paraId="0D4A621F">
                  <w:pPr>
                    <w:pStyle w:val="23"/>
                    <w:spacing w:before="0" w:after="0"/>
                    <w:ind w:right="0" w:firstLine="0" w:firstLineChars="0"/>
                    <w:jc w:val="center"/>
                    <w:rPr>
                      <w:b/>
                      <w:bCs/>
                      <w:color w:val="000000" w:themeColor="text1"/>
                      <w:szCs w:val="21"/>
                      <w14:textFill>
                        <w14:solidFill>
                          <w14:schemeClr w14:val="tx1"/>
                        </w14:solidFill>
                      </w14:textFill>
                    </w:rPr>
                  </w:pPr>
                </w:p>
              </w:tc>
              <w:tc>
                <w:tcPr>
                  <w:tcW w:w="1669" w:type="pct"/>
                  <w:vAlign w:val="center"/>
                </w:tcPr>
                <w:p w14:paraId="79A2EC4A">
                  <w:pPr>
                    <w:pStyle w:val="23"/>
                    <w:spacing w:before="0" w:after="0"/>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1264" w:type="pct"/>
                  <w:vAlign w:val="center"/>
                </w:tcPr>
                <w:p w14:paraId="7A4FD973">
                  <w:pPr>
                    <w:pStyle w:val="23"/>
                    <w:spacing w:before="0" w:after="0"/>
                    <w:ind w:right="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浓度限值/mg/L）</w:t>
                  </w:r>
                </w:p>
              </w:tc>
            </w:tr>
            <w:tr w14:paraId="4A3AF595">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vAlign w:val="center"/>
                </w:tcPr>
                <w:p w14:paraId="5623AFED">
                  <w:pPr>
                    <w:pStyle w:val="23"/>
                    <w:spacing w:before="0" w:after="0"/>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25" w:type="pct"/>
                  <w:vMerge w:val="restart"/>
                  <w:vAlign w:val="center"/>
                </w:tcPr>
                <w:p w14:paraId="32210C23">
                  <w:pPr>
                    <w:pStyle w:val="23"/>
                    <w:spacing w:before="0" w:after="0"/>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DW001</w:t>
                  </w:r>
                </w:p>
              </w:tc>
              <w:tc>
                <w:tcPr>
                  <w:tcW w:w="927" w:type="pct"/>
                  <w:vAlign w:val="center"/>
                </w:tcPr>
                <w:p w14:paraId="38DB69EA">
                  <w:pPr>
                    <w:pStyle w:val="23"/>
                    <w:spacing w:before="0" w:after="0"/>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1669" w:type="pct"/>
                  <w:vMerge w:val="restart"/>
                  <w:vAlign w:val="center"/>
                </w:tcPr>
                <w:p w14:paraId="547B0F9F">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常州金坛区第二污水处理有限公司污水接管标准</w:t>
                  </w:r>
                </w:p>
              </w:tc>
              <w:tc>
                <w:tcPr>
                  <w:tcW w:w="1264" w:type="pct"/>
                  <w:vAlign w:val="center"/>
                </w:tcPr>
                <w:p w14:paraId="101329E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6.0~9.0</w:t>
                  </w:r>
                </w:p>
              </w:tc>
            </w:tr>
            <w:tr w14:paraId="652EE23E">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vAlign w:val="center"/>
                </w:tcPr>
                <w:p w14:paraId="52EC223B">
                  <w:pPr>
                    <w:pStyle w:val="23"/>
                    <w:spacing w:before="0" w:after="0"/>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725" w:type="pct"/>
                  <w:vMerge w:val="continue"/>
                  <w:vAlign w:val="center"/>
                </w:tcPr>
                <w:p w14:paraId="47EA07C0">
                  <w:pPr>
                    <w:pStyle w:val="23"/>
                    <w:spacing w:before="0" w:after="0"/>
                    <w:ind w:right="0" w:firstLine="0" w:firstLineChars="0"/>
                    <w:jc w:val="center"/>
                    <w:rPr>
                      <w:color w:val="000000" w:themeColor="text1"/>
                      <w:szCs w:val="21"/>
                      <w14:textFill>
                        <w14:solidFill>
                          <w14:schemeClr w14:val="tx1"/>
                        </w14:solidFill>
                      </w14:textFill>
                    </w:rPr>
                  </w:pPr>
                </w:p>
              </w:tc>
              <w:tc>
                <w:tcPr>
                  <w:tcW w:w="927" w:type="pct"/>
                  <w:vAlign w:val="center"/>
                </w:tcPr>
                <w:p w14:paraId="7838342D">
                  <w:pPr>
                    <w:pStyle w:val="23"/>
                    <w:spacing w:before="0" w:after="0"/>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1669" w:type="pct"/>
                  <w:vMerge w:val="continue"/>
                  <w:vAlign w:val="center"/>
                </w:tcPr>
                <w:p w14:paraId="1F36A3FA">
                  <w:pPr>
                    <w:pStyle w:val="23"/>
                    <w:spacing w:before="0" w:after="0"/>
                    <w:ind w:right="0" w:firstLine="0" w:firstLineChars="0"/>
                    <w:jc w:val="center"/>
                    <w:rPr>
                      <w:color w:val="000000" w:themeColor="text1"/>
                      <w:szCs w:val="21"/>
                      <w14:textFill>
                        <w14:solidFill>
                          <w14:schemeClr w14:val="tx1"/>
                        </w14:solidFill>
                      </w14:textFill>
                    </w:rPr>
                  </w:pPr>
                </w:p>
              </w:tc>
              <w:tc>
                <w:tcPr>
                  <w:tcW w:w="1264" w:type="pct"/>
                  <w:vAlign w:val="center"/>
                </w:tcPr>
                <w:p w14:paraId="0E3D6A9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r>
            <w:tr w14:paraId="11DDC900">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vAlign w:val="center"/>
                </w:tcPr>
                <w:p w14:paraId="52AA57FD">
                  <w:pPr>
                    <w:pStyle w:val="23"/>
                    <w:spacing w:before="0" w:after="0"/>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725" w:type="pct"/>
                  <w:vMerge w:val="continue"/>
                  <w:vAlign w:val="center"/>
                </w:tcPr>
                <w:p w14:paraId="6BFE5B3A">
                  <w:pPr>
                    <w:pStyle w:val="23"/>
                    <w:spacing w:before="0" w:after="0"/>
                    <w:ind w:right="0" w:firstLine="0" w:firstLineChars="0"/>
                    <w:jc w:val="center"/>
                    <w:rPr>
                      <w:color w:val="000000" w:themeColor="text1"/>
                      <w:szCs w:val="21"/>
                      <w14:textFill>
                        <w14:solidFill>
                          <w14:schemeClr w14:val="tx1"/>
                        </w14:solidFill>
                      </w14:textFill>
                    </w:rPr>
                  </w:pPr>
                </w:p>
              </w:tc>
              <w:tc>
                <w:tcPr>
                  <w:tcW w:w="927" w:type="pct"/>
                  <w:vAlign w:val="center"/>
                </w:tcPr>
                <w:p w14:paraId="17FEA381">
                  <w:pPr>
                    <w:pStyle w:val="23"/>
                    <w:spacing w:before="0" w:after="0"/>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669" w:type="pct"/>
                  <w:vMerge w:val="continue"/>
                  <w:vAlign w:val="center"/>
                </w:tcPr>
                <w:p w14:paraId="1ED340D7">
                  <w:pPr>
                    <w:pStyle w:val="23"/>
                    <w:spacing w:before="0" w:after="0"/>
                    <w:ind w:right="0" w:firstLine="0" w:firstLineChars="0"/>
                    <w:jc w:val="center"/>
                    <w:rPr>
                      <w:color w:val="000000" w:themeColor="text1"/>
                      <w:szCs w:val="21"/>
                      <w14:textFill>
                        <w14:solidFill>
                          <w14:schemeClr w14:val="tx1"/>
                        </w14:solidFill>
                      </w14:textFill>
                    </w:rPr>
                  </w:pPr>
                </w:p>
              </w:tc>
              <w:tc>
                <w:tcPr>
                  <w:tcW w:w="1264" w:type="pct"/>
                  <w:vAlign w:val="center"/>
                </w:tcPr>
                <w:p w14:paraId="296B3BB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w:t>
                  </w:r>
                </w:p>
              </w:tc>
            </w:tr>
            <w:tr w14:paraId="03D7F61A">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vAlign w:val="center"/>
                </w:tcPr>
                <w:p w14:paraId="0474B45C">
                  <w:pPr>
                    <w:pStyle w:val="23"/>
                    <w:spacing w:before="0" w:after="0"/>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725" w:type="pct"/>
                  <w:vMerge w:val="continue"/>
                  <w:vAlign w:val="center"/>
                </w:tcPr>
                <w:p w14:paraId="0C37D91C">
                  <w:pPr>
                    <w:pStyle w:val="23"/>
                    <w:spacing w:before="0" w:after="0"/>
                    <w:ind w:right="0" w:firstLine="0" w:firstLineChars="0"/>
                    <w:jc w:val="center"/>
                    <w:rPr>
                      <w:color w:val="000000" w:themeColor="text1"/>
                      <w:szCs w:val="21"/>
                      <w14:textFill>
                        <w14:solidFill>
                          <w14:schemeClr w14:val="tx1"/>
                        </w14:solidFill>
                      </w14:textFill>
                    </w:rPr>
                  </w:pPr>
                </w:p>
              </w:tc>
              <w:tc>
                <w:tcPr>
                  <w:tcW w:w="927" w:type="pct"/>
                  <w:vAlign w:val="center"/>
                </w:tcPr>
                <w:p w14:paraId="5590B6AD">
                  <w:pPr>
                    <w:pStyle w:val="23"/>
                    <w:spacing w:before="0" w:after="0"/>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669" w:type="pct"/>
                  <w:vMerge w:val="continue"/>
                  <w:vAlign w:val="center"/>
                </w:tcPr>
                <w:p w14:paraId="2BBCEAD5">
                  <w:pPr>
                    <w:pStyle w:val="23"/>
                    <w:spacing w:before="0" w:after="0"/>
                    <w:ind w:right="0" w:firstLine="0" w:firstLineChars="0"/>
                    <w:jc w:val="center"/>
                    <w:rPr>
                      <w:color w:val="000000" w:themeColor="text1"/>
                      <w:szCs w:val="21"/>
                      <w14:textFill>
                        <w14:solidFill>
                          <w14:schemeClr w14:val="tx1"/>
                        </w14:solidFill>
                      </w14:textFill>
                    </w:rPr>
                  </w:pPr>
                </w:p>
              </w:tc>
              <w:tc>
                <w:tcPr>
                  <w:tcW w:w="1264" w:type="pct"/>
                  <w:vAlign w:val="center"/>
                </w:tcPr>
                <w:p w14:paraId="0989BB0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r>
            <w:tr w14:paraId="6FBCB28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vAlign w:val="center"/>
                </w:tcPr>
                <w:p w14:paraId="0F08E3AB">
                  <w:pPr>
                    <w:pStyle w:val="23"/>
                    <w:spacing w:before="0" w:after="0"/>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725" w:type="pct"/>
                  <w:vMerge w:val="continue"/>
                  <w:vAlign w:val="center"/>
                </w:tcPr>
                <w:p w14:paraId="6312CEA4">
                  <w:pPr>
                    <w:pStyle w:val="23"/>
                    <w:spacing w:before="0" w:after="0"/>
                    <w:ind w:right="0" w:firstLine="0" w:firstLineChars="0"/>
                    <w:jc w:val="center"/>
                    <w:rPr>
                      <w:color w:val="000000" w:themeColor="text1"/>
                      <w:szCs w:val="21"/>
                      <w14:textFill>
                        <w14:solidFill>
                          <w14:schemeClr w14:val="tx1"/>
                        </w14:solidFill>
                      </w14:textFill>
                    </w:rPr>
                  </w:pPr>
                </w:p>
              </w:tc>
              <w:tc>
                <w:tcPr>
                  <w:tcW w:w="927" w:type="pct"/>
                  <w:vAlign w:val="center"/>
                </w:tcPr>
                <w:p w14:paraId="638E5A45">
                  <w:pPr>
                    <w:pStyle w:val="23"/>
                    <w:spacing w:before="0" w:after="0"/>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1669" w:type="pct"/>
                  <w:vMerge w:val="continue"/>
                  <w:vAlign w:val="center"/>
                </w:tcPr>
                <w:p w14:paraId="6729EA19">
                  <w:pPr>
                    <w:jc w:val="center"/>
                    <w:rPr>
                      <w:color w:val="000000" w:themeColor="text1"/>
                      <w:szCs w:val="21"/>
                      <w14:textFill>
                        <w14:solidFill>
                          <w14:schemeClr w14:val="tx1"/>
                        </w14:solidFill>
                      </w14:textFill>
                    </w:rPr>
                  </w:pPr>
                </w:p>
              </w:tc>
              <w:tc>
                <w:tcPr>
                  <w:tcW w:w="1264" w:type="pct"/>
                  <w:vAlign w:val="center"/>
                </w:tcPr>
                <w:p w14:paraId="4E06A38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r>
            <w:tr w14:paraId="445464EC">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vAlign w:val="center"/>
                </w:tcPr>
                <w:p w14:paraId="3519FD99">
                  <w:pPr>
                    <w:pStyle w:val="23"/>
                    <w:spacing w:before="0" w:after="0"/>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725" w:type="pct"/>
                  <w:vMerge w:val="continue"/>
                  <w:vAlign w:val="center"/>
                </w:tcPr>
                <w:p w14:paraId="4122A987">
                  <w:pPr>
                    <w:pStyle w:val="23"/>
                    <w:spacing w:before="0" w:after="0"/>
                    <w:ind w:right="0" w:firstLine="0" w:firstLineChars="0"/>
                    <w:jc w:val="center"/>
                    <w:rPr>
                      <w:color w:val="000000" w:themeColor="text1"/>
                      <w:szCs w:val="21"/>
                      <w14:textFill>
                        <w14:solidFill>
                          <w14:schemeClr w14:val="tx1"/>
                        </w14:solidFill>
                      </w14:textFill>
                    </w:rPr>
                  </w:pPr>
                </w:p>
              </w:tc>
              <w:tc>
                <w:tcPr>
                  <w:tcW w:w="927" w:type="pct"/>
                  <w:vAlign w:val="center"/>
                </w:tcPr>
                <w:p w14:paraId="69CE7CCD">
                  <w:pPr>
                    <w:pStyle w:val="23"/>
                    <w:spacing w:before="0" w:after="0"/>
                    <w:ind w:right="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TN</w:t>
                  </w:r>
                </w:p>
              </w:tc>
              <w:tc>
                <w:tcPr>
                  <w:tcW w:w="1669" w:type="pct"/>
                  <w:vMerge w:val="continue"/>
                  <w:vAlign w:val="center"/>
                </w:tcPr>
                <w:p w14:paraId="3196BFBB">
                  <w:pPr>
                    <w:jc w:val="center"/>
                    <w:rPr>
                      <w:color w:val="000000" w:themeColor="text1"/>
                      <w:szCs w:val="21"/>
                      <w14:textFill>
                        <w14:solidFill>
                          <w14:schemeClr w14:val="tx1"/>
                        </w14:solidFill>
                      </w14:textFill>
                    </w:rPr>
                  </w:pPr>
                </w:p>
              </w:tc>
              <w:tc>
                <w:tcPr>
                  <w:tcW w:w="1264" w:type="pct"/>
                  <w:vAlign w:val="center"/>
                </w:tcPr>
                <w:p w14:paraId="7F463B0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tbl>
          <w:p w14:paraId="74B08DAB">
            <w:pPr>
              <w:tabs>
                <w:tab w:val="left" w:pos="1684"/>
              </w:tabs>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2.6</w:t>
            </w:r>
            <w:r>
              <w:rPr>
                <w:b/>
                <w:bCs/>
                <w:color w:val="000000" w:themeColor="text1"/>
                <w:sz w:val="24"/>
                <w14:textFill>
                  <w14:solidFill>
                    <w14:schemeClr w14:val="tx1"/>
                  </w14:solidFill>
                </w14:textFill>
              </w:rPr>
              <w:t>废水监测计划</w:t>
            </w:r>
          </w:p>
          <w:p w14:paraId="3437D474">
            <w:pPr>
              <w:spacing w:line="480" w:lineRule="exact"/>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参照《排污单位自行监测技术指南 总则》（HJ 819-2017）中相关要求，本项目生活污水单独接管进入金坛第二污水处理有限公司，属于间接排放，可不进行自行监测。</w:t>
            </w:r>
          </w:p>
          <w:p w14:paraId="5CDE3F61">
            <w:pPr>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2.7排污口规范化设置</w:t>
            </w:r>
          </w:p>
          <w:p w14:paraId="553252E4">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项目所租园区内已实施“雨污分流”，园区已设置规范化雨水排放口、污水接管口，具备采样、监测条件。</w:t>
            </w:r>
          </w:p>
          <w:p w14:paraId="06A2C8D4">
            <w:pPr>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2.8环境影响分析小结</w:t>
            </w:r>
          </w:p>
          <w:p w14:paraId="2DFF11E2">
            <w:pPr>
              <w:spacing w:line="480" w:lineRule="exact"/>
              <w:ind w:firstLine="480" w:firstLineChars="20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本项目生活污水可达标接入市政污水管网进金坛第二污水处理有限公司集中处理，尾水排入尧塘河；雨水经管网收集后排入丹金溧漕河。故本项目废水排放对地表水环境影响很小，是可以接受的。</w:t>
            </w:r>
          </w:p>
          <w:p w14:paraId="2D5DCCAA">
            <w:pPr>
              <w:pStyle w:val="8"/>
              <w:spacing w:before="0" w:after="0" w:line="360" w:lineRule="exact"/>
              <w:ind w:right="0" w:firstLine="480" w:firstLineChars="200"/>
              <w:rPr>
                <w:color w:val="000000" w:themeColor="text1"/>
                <w:sz w:val="24"/>
                <w:szCs w:val="24"/>
                <w14:textFill>
                  <w14:solidFill>
                    <w14:schemeClr w14:val="tx1"/>
                  </w14:solidFill>
                </w14:textFill>
              </w:rPr>
            </w:pPr>
          </w:p>
        </w:tc>
      </w:tr>
    </w:tbl>
    <w:p w14:paraId="3A443686">
      <w:pPr>
        <w:pStyle w:val="48"/>
        <w:rPr>
          <w:color w:val="000000" w:themeColor="text1"/>
          <w14:textFill>
            <w14:solidFill>
              <w14:schemeClr w14:val="tx1"/>
            </w14:solidFill>
          </w14:textFill>
        </w:rPr>
        <w:sectPr>
          <w:pgSz w:w="11907" w:h="16840"/>
          <w:pgMar w:top="1440" w:right="1080" w:bottom="1440" w:left="1080" w:header="851" w:footer="851" w:gutter="0"/>
          <w:cols w:space="720" w:num="1"/>
          <w:docGrid w:linePitch="312" w:charSpace="0"/>
        </w:sectPr>
      </w:pP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507"/>
      </w:tblGrid>
      <w:tr w14:paraId="12BC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Align w:val="center"/>
          </w:tcPr>
          <w:p w14:paraId="65EC7A9C">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3C28B1E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003DAEBB">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5964FE2B">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1277A758">
            <w:pPr>
              <w:adjustRightInd w:val="0"/>
              <w:snapToGrid w:val="0"/>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保护措施</w:t>
            </w:r>
          </w:p>
        </w:tc>
        <w:tc>
          <w:tcPr>
            <w:tcW w:w="9549" w:type="dxa"/>
          </w:tcPr>
          <w:p w14:paraId="135B962A">
            <w:pPr>
              <w:spacing w:line="480" w:lineRule="exact"/>
              <w:rPr>
                <w:b/>
                <w:bCs/>
                <w:color w:val="000000" w:themeColor="text1"/>
                <w:spacing w:val="-4"/>
                <w:sz w:val="24"/>
                <w14:textFill>
                  <w14:solidFill>
                    <w14:schemeClr w14:val="tx1"/>
                  </w14:solidFill>
                </w14:textFill>
              </w:rPr>
            </w:pPr>
            <w:r>
              <w:rPr>
                <w:b/>
                <w:bCs/>
                <w:color w:val="000000" w:themeColor="text1"/>
                <w:spacing w:val="-4"/>
                <w:sz w:val="24"/>
                <w14:textFill>
                  <w14:solidFill>
                    <w14:schemeClr w14:val="tx1"/>
                  </w14:solidFill>
                </w14:textFill>
              </w:rPr>
              <w:t>3、噪声</w:t>
            </w:r>
          </w:p>
          <w:p w14:paraId="3B9C8FC4">
            <w:pPr>
              <w:tabs>
                <w:tab w:val="left" w:pos="1684"/>
              </w:tabs>
              <w:spacing w:line="48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3.1噪声源强分析</w:t>
            </w:r>
          </w:p>
          <w:p w14:paraId="00442920">
            <w:pPr>
              <w:spacing w:line="480" w:lineRule="exact"/>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本项目主要噪声设备为鼓风干燥箱、超声波清洗机、台式离心机</w:t>
            </w:r>
            <w:r>
              <w:rPr>
                <w:rFonts w:hint="eastAsia"/>
                <w:bCs/>
                <w:color w:val="000000" w:themeColor="text1"/>
                <w:sz w:val="24"/>
                <w14:textFill>
                  <w14:solidFill>
                    <w14:schemeClr w14:val="tx1"/>
                  </w14:solidFill>
                </w14:textFill>
              </w:rPr>
              <w:t>、水环真空泵、蠕动泵等</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本项目噪声源强调查清单见表4-1</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p>
          <w:p w14:paraId="51EA58B6">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表4-1</w:t>
            </w:r>
            <w:r>
              <w:rPr>
                <w:rFonts w:hint="eastAsia"/>
                <w:b/>
                <w:color w:val="000000" w:themeColor="text1"/>
                <w:szCs w:val="21"/>
                <w14:textFill>
                  <w14:solidFill>
                    <w14:schemeClr w14:val="tx1"/>
                  </w14:solidFill>
                </w14:textFill>
              </w:rPr>
              <w:t>1</w:t>
            </w:r>
            <w:r>
              <w:rPr>
                <w:b/>
                <w:color w:val="000000" w:themeColor="text1"/>
                <w:szCs w:val="21"/>
                <w14:textFill>
                  <w14:solidFill>
                    <w14:schemeClr w14:val="tx1"/>
                  </w14:solidFill>
                </w14:textFill>
              </w:rPr>
              <w:t xml:space="preserve"> 本项目噪声源强调查清单（室内声源）</w:t>
            </w:r>
          </w:p>
          <w:tbl>
            <w:tblPr>
              <w:tblStyle w:val="25"/>
              <w:tblW w:w="4996"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27"/>
              <w:gridCol w:w="681"/>
              <w:gridCol w:w="886"/>
              <w:gridCol w:w="887"/>
              <w:gridCol w:w="636"/>
              <w:gridCol w:w="368"/>
              <w:gridCol w:w="377"/>
              <w:gridCol w:w="359"/>
              <w:gridCol w:w="472"/>
              <w:gridCol w:w="467"/>
              <w:gridCol w:w="924"/>
              <w:gridCol w:w="478"/>
              <w:gridCol w:w="866"/>
              <w:gridCol w:w="796"/>
              <w:gridCol w:w="660"/>
            </w:tblGrid>
            <w:tr w14:paraId="53879A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restart"/>
                  <w:vAlign w:val="center"/>
                </w:tcPr>
                <w:p w14:paraId="265A1EC7">
                  <w:pPr>
                    <w:pStyle w:val="9"/>
                    <w:numPr>
                      <w:ilvl w:val="0"/>
                      <w:numId w:val="0"/>
                    </w:numPr>
                    <w:spacing w:line="29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建筑物名称</w:t>
                  </w:r>
                </w:p>
              </w:tc>
              <w:tc>
                <w:tcPr>
                  <w:tcW w:w="367" w:type="pct"/>
                  <w:vMerge w:val="restart"/>
                  <w:tcBorders>
                    <w:right w:val="single" w:color="auto" w:sz="4" w:space="0"/>
                  </w:tcBorders>
                  <w:vAlign w:val="center"/>
                </w:tcPr>
                <w:p w14:paraId="6A5B864B">
                  <w:pPr>
                    <w:pStyle w:val="9"/>
                    <w:numPr>
                      <w:ilvl w:val="0"/>
                      <w:numId w:val="0"/>
                    </w:numPr>
                    <w:spacing w:line="29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声源名称</w:t>
                  </w:r>
                </w:p>
              </w:tc>
              <w:tc>
                <w:tcPr>
                  <w:tcW w:w="477" w:type="pct"/>
                  <w:vMerge w:val="restart"/>
                  <w:vAlign w:val="center"/>
                </w:tcPr>
                <w:p w14:paraId="771F8784">
                  <w:pPr>
                    <w:pStyle w:val="9"/>
                    <w:numPr>
                      <w:ilvl w:val="0"/>
                      <w:numId w:val="0"/>
                    </w:numPr>
                    <w:spacing w:line="290" w:lineRule="exact"/>
                    <w:jc w:val="center"/>
                    <w:rPr>
                      <w:rFonts w:hint="default" w:eastAsia="宋体"/>
                      <w:b/>
                      <w:bCs/>
                      <w:color w:val="FF0000"/>
                      <w:szCs w:val="21"/>
                      <w:lang w:val="en-US" w:eastAsia="zh-CN"/>
                    </w:rPr>
                  </w:pPr>
                  <w:r>
                    <w:rPr>
                      <w:rFonts w:hint="eastAsia"/>
                      <w:b/>
                      <w:bCs/>
                      <w:color w:val="FF0000"/>
                      <w:szCs w:val="21"/>
                      <w:lang w:val="en-US" w:eastAsia="zh-CN"/>
                    </w:rPr>
                    <w:t>设备数量</w:t>
                  </w:r>
                </w:p>
              </w:tc>
              <w:tc>
                <w:tcPr>
                  <w:tcW w:w="477" w:type="pct"/>
                  <w:vMerge w:val="restart"/>
                  <w:vAlign w:val="center"/>
                </w:tcPr>
                <w:p w14:paraId="543BC875">
                  <w:pPr>
                    <w:pStyle w:val="9"/>
                    <w:numPr>
                      <w:ilvl w:val="0"/>
                      <w:numId w:val="0"/>
                    </w:numPr>
                    <w:spacing w:line="29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声压</w:t>
                  </w:r>
                  <w:r>
                    <w:rPr>
                      <w:b/>
                      <w:bCs/>
                      <w:color w:val="000000" w:themeColor="text1"/>
                      <w:szCs w:val="21"/>
                      <w14:textFill>
                        <w14:solidFill>
                          <w14:schemeClr w14:val="tx1"/>
                        </w14:solidFill>
                      </w14:textFill>
                    </w:rPr>
                    <w:t>级/dB（A）</w:t>
                  </w:r>
                </w:p>
              </w:tc>
              <w:tc>
                <w:tcPr>
                  <w:tcW w:w="342" w:type="pct"/>
                  <w:vMerge w:val="restart"/>
                  <w:vAlign w:val="center"/>
                </w:tcPr>
                <w:p w14:paraId="148608D9">
                  <w:pPr>
                    <w:pStyle w:val="9"/>
                    <w:numPr>
                      <w:ilvl w:val="0"/>
                      <w:numId w:val="0"/>
                    </w:numPr>
                    <w:spacing w:line="29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声源控制措施</w:t>
                  </w:r>
                </w:p>
              </w:tc>
              <w:tc>
                <w:tcPr>
                  <w:tcW w:w="594" w:type="pct"/>
                  <w:gridSpan w:val="3"/>
                  <w:vAlign w:val="center"/>
                </w:tcPr>
                <w:p w14:paraId="750E2639">
                  <w:pPr>
                    <w:pStyle w:val="9"/>
                    <w:numPr>
                      <w:ilvl w:val="0"/>
                      <w:numId w:val="0"/>
                    </w:numPr>
                    <w:spacing w:line="290" w:lineRule="exact"/>
                    <w:jc w:val="center"/>
                    <w:rPr>
                      <w:b/>
                      <w:bCs/>
                      <w:color w:val="000000" w:themeColor="text1"/>
                      <w:szCs w:val="21"/>
                      <w14:textFill>
                        <w14:solidFill>
                          <w14:schemeClr w14:val="tx1"/>
                        </w14:solidFill>
                      </w14:textFill>
                    </w:rPr>
                  </w:pPr>
                  <w:r>
                    <w:rPr>
                      <w:b/>
                      <w:bCs/>
                      <w:color w:val="000000" w:themeColor="text1"/>
                      <w:spacing w:val="-11"/>
                      <w:szCs w:val="21"/>
                      <w14:textFill>
                        <w14:solidFill>
                          <w14:schemeClr w14:val="tx1"/>
                        </w14:solidFill>
                      </w14:textFill>
                    </w:rPr>
                    <w:t>空间相对位置/m</w:t>
                  </w:r>
                </w:p>
              </w:tc>
              <w:tc>
                <w:tcPr>
                  <w:tcW w:w="505" w:type="pct"/>
                  <w:gridSpan w:val="2"/>
                  <w:vMerge w:val="restart"/>
                  <w:vAlign w:val="center"/>
                </w:tcPr>
                <w:p w14:paraId="3ADD5E28">
                  <w:pPr>
                    <w:pStyle w:val="9"/>
                    <w:numPr>
                      <w:ilvl w:val="0"/>
                      <w:numId w:val="0"/>
                    </w:numPr>
                    <w:spacing w:line="29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距室内边界距离/m</w:t>
                  </w:r>
                </w:p>
              </w:tc>
              <w:tc>
                <w:tcPr>
                  <w:tcW w:w="497" w:type="pct"/>
                  <w:vMerge w:val="restart"/>
                  <w:vAlign w:val="center"/>
                </w:tcPr>
                <w:p w14:paraId="5971EB56">
                  <w:pPr>
                    <w:pStyle w:val="9"/>
                    <w:numPr>
                      <w:ilvl w:val="0"/>
                      <w:numId w:val="0"/>
                    </w:numPr>
                    <w:spacing w:line="29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室内边界声级/dB（A）</w:t>
                  </w:r>
                </w:p>
              </w:tc>
              <w:tc>
                <w:tcPr>
                  <w:tcW w:w="257" w:type="pct"/>
                  <w:vMerge w:val="restart"/>
                  <w:vAlign w:val="center"/>
                </w:tcPr>
                <w:p w14:paraId="025E3509">
                  <w:pPr>
                    <w:pStyle w:val="9"/>
                    <w:numPr>
                      <w:ilvl w:val="0"/>
                      <w:numId w:val="0"/>
                    </w:numPr>
                    <w:spacing w:line="29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运行时段</w:t>
                  </w:r>
                </w:p>
              </w:tc>
              <w:tc>
                <w:tcPr>
                  <w:tcW w:w="466" w:type="pct"/>
                  <w:vMerge w:val="restart"/>
                  <w:vAlign w:val="center"/>
                </w:tcPr>
                <w:p w14:paraId="7325583C">
                  <w:pPr>
                    <w:pStyle w:val="9"/>
                    <w:numPr>
                      <w:ilvl w:val="0"/>
                      <w:numId w:val="0"/>
                    </w:numPr>
                    <w:spacing w:line="290" w:lineRule="exact"/>
                    <w:jc w:val="center"/>
                    <w:rPr>
                      <w:b/>
                      <w:bCs/>
                      <w:color w:val="000000" w:themeColor="text1"/>
                      <w:szCs w:val="21"/>
                      <w14:textFill>
                        <w14:solidFill>
                          <w14:schemeClr w14:val="tx1"/>
                        </w14:solidFill>
                      </w14:textFill>
                    </w:rPr>
                  </w:pPr>
                  <w:r>
                    <w:rPr>
                      <w:b/>
                      <w:bCs/>
                      <w:color w:val="000000" w:themeColor="text1"/>
                      <w:spacing w:val="-11"/>
                      <w:szCs w:val="21"/>
                      <w14:textFill>
                        <w14:solidFill>
                          <w14:schemeClr w14:val="tx1"/>
                        </w14:solidFill>
                      </w14:textFill>
                    </w:rPr>
                    <w:t>建筑物插入损失/dB（A）</w:t>
                  </w:r>
                </w:p>
              </w:tc>
              <w:tc>
                <w:tcPr>
                  <w:tcW w:w="783" w:type="pct"/>
                  <w:gridSpan w:val="2"/>
                  <w:vAlign w:val="center"/>
                </w:tcPr>
                <w:p w14:paraId="7AB6D7F4">
                  <w:pPr>
                    <w:pStyle w:val="9"/>
                    <w:numPr>
                      <w:ilvl w:val="0"/>
                      <w:numId w:val="0"/>
                    </w:numPr>
                    <w:spacing w:line="29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建筑物外噪声</w:t>
                  </w:r>
                </w:p>
              </w:tc>
            </w:tr>
            <w:tr w14:paraId="6EE0DF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1" w:hRule="atLeast"/>
              </w:trPr>
              <w:tc>
                <w:tcPr>
                  <w:tcW w:w="229" w:type="pct"/>
                  <w:vMerge w:val="continue"/>
                  <w:vAlign w:val="center"/>
                </w:tcPr>
                <w:p w14:paraId="14432CF7">
                  <w:pPr>
                    <w:widowControl/>
                    <w:spacing w:line="290" w:lineRule="exact"/>
                    <w:jc w:val="center"/>
                    <w:rPr>
                      <w:b/>
                      <w:bCs/>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7020AE7C">
                  <w:pPr>
                    <w:widowControl/>
                    <w:spacing w:line="290" w:lineRule="exact"/>
                    <w:jc w:val="center"/>
                    <w:rPr>
                      <w:b/>
                      <w:bCs/>
                      <w:color w:val="000000" w:themeColor="text1"/>
                      <w:szCs w:val="21"/>
                      <w14:textFill>
                        <w14:solidFill>
                          <w14:schemeClr w14:val="tx1"/>
                        </w14:solidFill>
                      </w14:textFill>
                    </w:rPr>
                  </w:pPr>
                </w:p>
              </w:tc>
              <w:tc>
                <w:tcPr>
                  <w:tcW w:w="477" w:type="pct"/>
                  <w:vMerge w:val="continue"/>
                  <w:vAlign w:val="center"/>
                </w:tcPr>
                <w:p w14:paraId="16902725">
                  <w:pPr>
                    <w:widowControl/>
                    <w:spacing w:line="290" w:lineRule="exact"/>
                    <w:jc w:val="center"/>
                    <w:rPr>
                      <w:b/>
                      <w:bCs/>
                      <w:color w:val="FF0000"/>
                      <w:szCs w:val="21"/>
                    </w:rPr>
                  </w:pPr>
                </w:p>
              </w:tc>
              <w:tc>
                <w:tcPr>
                  <w:tcW w:w="477" w:type="pct"/>
                  <w:vMerge w:val="continue"/>
                  <w:vAlign w:val="center"/>
                </w:tcPr>
                <w:p w14:paraId="7798EC16">
                  <w:pPr>
                    <w:pStyle w:val="9"/>
                    <w:numPr>
                      <w:ilvl w:val="0"/>
                      <w:numId w:val="0"/>
                    </w:numPr>
                    <w:spacing w:line="290" w:lineRule="exact"/>
                    <w:jc w:val="center"/>
                    <w:rPr>
                      <w:b/>
                      <w:bCs/>
                      <w:color w:val="000000" w:themeColor="text1"/>
                      <w:szCs w:val="21"/>
                      <w14:textFill>
                        <w14:solidFill>
                          <w14:schemeClr w14:val="tx1"/>
                        </w14:solidFill>
                      </w14:textFill>
                    </w:rPr>
                  </w:pPr>
                </w:p>
              </w:tc>
              <w:tc>
                <w:tcPr>
                  <w:tcW w:w="342" w:type="pct"/>
                  <w:vMerge w:val="continue"/>
                  <w:vAlign w:val="center"/>
                </w:tcPr>
                <w:p w14:paraId="1E065374">
                  <w:pPr>
                    <w:widowControl/>
                    <w:spacing w:line="290" w:lineRule="exact"/>
                    <w:jc w:val="center"/>
                    <w:rPr>
                      <w:b/>
                      <w:bCs/>
                      <w:color w:val="000000" w:themeColor="text1"/>
                      <w:szCs w:val="21"/>
                      <w14:textFill>
                        <w14:solidFill>
                          <w14:schemeClr w14:val="tx1"/>
                        </w14:solidFill>
                      </w14:textFill>
                    </w:rPr>
                  </w:pPr>
                </w:p>
              </w:tc>
              <w:tc>
                <w:tcPr>
                  <w:tcW w:w="198" w:type="pct"/>
                  <w:vAlign w:val="center"/>
                </w:tcPr>
                <w:p w14:paraId="73BC46BB">
                  <w:pPr>
                    <w:pStyle w:val="9"/>
                    <w:numPr>
                      <w:ilvl w:val="0"/>
                      <w:numId w:val="0"/>
                    </w:numPr>
                    <w:spacing w:line="29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X</w:t>
                  </w:r>
                </w:p>
              </w:tc>
              <w:tc>
                <w:tcPr>
                  <w:tcW w:w="203" w:type="pct"/>
                  <w:vAlign w:val="center"/>
                </w:tcPr>
                <w:p w14:paraId="18F2599D">
                  <w:pPr>
                    <w:pStyle w:val="9"/>
                    <w:numPr>
                      <w:ilvl w:val="0"/>
                      <w:numId w:val="0"/>
                    </w:numPr>
                    <w:spacing w:line="29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Y</w:t>
                  </w:r>
                </w:p>
              </w:tc>
              <w:tc>
                <w:tcPr>
                  <w:tcW w:w="193" w:type="pct"/>
                  <w:vAlign w:val="center"/>
                </w:tcPr>
                <w:p w14:paraId="2464A23F">
                  <w:pPr>
                    <w:pStyle w:val="9"/>
                    <w:numPr>
                      <w:ilvl w:val="0"/>
                      <w:numId w:val="0"/>
                    </w:numPr>
                    <w:spacing w:line="29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Z</w:t>
                  </w:r>
                </w:p>
              </w:tc>
              <w:tc>
                <w:tcPr>
                  <w:tcW w:w="505" w:type="pct"/>
                  <w:gridSpan w:val="2"/>
                  <w:vMerge w:val="continue"/>
                  <w:vAlign w:val="center"/>
                </w:tcPr>
                <w:p w14:paraId="43B105EE">
                  <w:pPr>
                    <w:widowControl/>
                    <w:spacing w:line="290" w:lineRule="exact"/>
                    <w:jc w:val="center"/>
                    <w:rPr>
                      <w:b/>
                      <w:bCs/>
                      <w:color w:val="000000" w:themeColor="text1"/>
                      <w:szCs w:val="21"/>
                      <w14:textFill>
                        <w14:solidFill>
                          <w14:schemeClr w14:val="tx1"/>
                        </w14:solidFill>
                      </w14:textFill>
                    </w:rPr>
                  </w:pPr>
                </w:p>
              </w:tc>
              <w:tc>
                <w:tcPr>
                  <w:tcW w:w="497" w:type="pct"/>
                  <w:vMerge w:val="continue"/>
                  <w:vAlign w:val="center"/>
                </w:tcPr>
                <w:p w14:paraId="793D5A64">
                  <w:pPr>
                    <w:widowControl/>
                    <w:spacing w:line="290" w:lineRule="exact"/>
                    <w:jc w:val="center"/>
                    <w:rPr>
                      <w:b/>
                      <w:bCs/>
                      <w:color w:val="000000" w:themeColor="text1"/>
                      <w:szCs w:val="21"/>
                      <w14:textFill>
                        <w14:solidFill>
                          <w14:schemeClr w14:val="tx1"/>
                        </w14:solidFill>
                      </w14:textFill>
                    </w:rPr>
                  </w:pPr>
                </w:p>
              </w:tc>
              <w:tc>
                <w:tcPr>
                  <w:tcW w:w="257" w:type="pct"/>
                  <w:vMerge w:val="continue"/>
                  <w:vAlign w:val="center"/>
                </w:tcPr>
                <w:p w14:paraId="41C1B3DA">
                  <w:pPr>
                    <w:widowControl/>
                    <w:spacing w:line="290" w:lineRule="exact"/>
                    <w:jc w:val="center"/>
                    <w:rPr>
                      <w:b/>
                      <w:bCs/>
                      <w:color w:val="000000" w:themeColor="text1"/>
                      <w:szCs w:val="21"/>
                      <w14:textFill>
                        <w14:solidFill>
                          <w14:schemeClr w14:val="tx1"/>
                        </w14:solidFill>
                      </w14:textFill>
                    </w:rPr>
                  </w:pPr>
                </w:p>
              </w:tc>
              <w:tc>
                <w:tcPr>
                  <w:tcW w:w="466" w:type="pct"/>
                  <w:vMerge w:val="continue"/>
                  <w:vAlign w:val="center"/>
                </w:tcPr>
                <w:p w14:paraId="3F1D800C">
                  <w:pPr>
                    <w:widowControl/>
                    <w:spacing w:line="290" w:lineRule="exact"/>
                    <w:jc w:val="center"/>
                    <w:rPr>
                      <w:b/>
                      <w:bCs/>
                      <w:color w:val="000000" w:themeColor="text1"/>
                      <w:szCs w:val="21"/>
                      <w14:textFill>
                        <w14:solidFill>
                          <w14:schemeClr w14:val="tx1"/>
                        </w14:solidFill>
                      </w14:textFill>
                    </w:rPr>
                  </w:pPr>
                </w:p>
              </w:tc>
              <w:tc>
                <w:tcPr>
                  <w:tcW w:w="428" w:type="pct"/>
                  <w:vAlign w:val="center"/>
                </w:tcPr>
                <w:p w14:paraId="69C61BA2">
                  <w:pPr>
                    <w:pStyle w:val="9"/>
                    <w:numPr>
                      <w:ilvl w:val="0"/>
                      <w:numId w:val="0"/>
                    </w:numPr>
                    <w:spacing w:line="29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声压级/dB（A）</w:t>
                  </w:r>
                </w:p>
              </w:tc>
              <w:tc>
                <w:tcPr>
                  <w:tcW w:w="355" w:type="pct"/>
                  <w:vAlign w:val="center"/>
                </w:tcPr>
                <w:p w14:paraId="701EF66E">
                  <w:pPr>
                    <w:pStyle w:val="9"/>
                    <w:numPr>
                      <w:ilvl w:val="0"/>
                      <w:numId w:val="0"/>
                    </w:numPr>
                    <w:spacing w:line="29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建筑物外距离</w:t>
                  </w:r>
                </w:p>
              </w:tc>
            </w:tr>
            <w:tr w14:paraId="5F4CD4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restart"/>
                  <w:vAlign w:val="center"/>
                </w:tcPr>
                <w:p w14:paraId="43E4A602">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生产车间</w:t>
                  </w:r>
                </w:p>
              </w:tc>
              <w:tc>
                <w:tcPr>
                  <w:tcW w:w="367" w:type="pct"/>
                  <w:vMerge w:val="restart"/>
                  <w:tcBorders>
                    <w:right w:val="single" w:color="auto" w:sz="4" w:space="0"/>
                  </w:tcBorders>
                  <w:vAlign w:val="center"/>
                </w:tcPr>
                <w:p w14:paraId="35C16462">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鼓风干燥箱</w:t>
                  </w:r>
                </w:p>
              </w:tc>
              <w:tc>
                <w:tcPr>
                  <w:tcW w:w="477" w:type="pct"/>
                  <w:vMerge w:val="restart"/>
                  <w:vAlign w:val="center"/>
                </w:tcPr>
                <w:p w14:paraId="027B2B45">
                  <w:pPr>
                    <w:pStyle w:val="9"/>
                    <w:numPr>
                      <w:ilvl w:val="0"/>
                      <w:numId w:val="0"/>
                    </w:numPr>
                    <w:spacing w:line="290" w:lineRule="exact"/>
                    <w:jc w:val="center"/>
                    <w:rPr>
                      <w:rFonts w:hint="eastAsia" w:eastAsia="宋体"/>
                      <w:color w:val="FF0000"/>
                      <w:szCs w:val="21"/>
                      <w:lang w:val="en-US" w:eastAsia="zh-CN"/>
                    </w:rPr>
                  </w:pPr>
                  <w:r>
                    <w:rPr>
                      <w:rFonts w:hint="eastAsia"/>
                      <w:color w:val="FF0000"/>
                      <w:szCs w:val="21"/>
                      <w:lang w:val="en-US" w:eastAsia="zh-CN"/>
                    </w:rPr>
                    <w:t>1</w:t>
                  </w:r>
                </w:p>
              </w:tc>
              <w:tc>
                <w:tcPr>
                  <w:tcW w:w="477" w:type="pct"/>
                  <w:vMerge w:val="restart"/>
                  <w:vAlign w:val="center"/>
                </w:tcPr>
                <w:p w14:paraId="5734CC48">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342" w:type="pct"/>
                  <w:vMerge w:val="restart"/>
                  <w:vAlign w:val="center"/>
                </w:tcPr>
                <w:p w14:paraId="1F8DC757">
                  <w:pPr>
                    <w:pStyle w:val="9"/>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合理布局、</w:t>
                  </w:r>
                  <w:r>
                    <w:rPr>
                      <w:color w:val="000000" w:themeColor="text1"/>
                      <w:szCs w:val="21"/>
                      <w14:textFill>
                        <w14:solidFill>
                          <w14:schemeClr w14:val="tx1"/>
                        </w14:solidFill>
                      </w14:textFill>
                    </w:rPr>
                    <w:t>隔声</w:t>
                  </w:r>
                </w:p>
                <w:p w14:paraId="1D251EA3">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减震</w:t>
                  </w:r>
                </w:p>
              </w:tc>
              <w:tc>
                <w:tcPr>
                  <w:tcW w:w="198" w:type="pct"/>
                  <w:vMerge w:val="restart"/>
                  <w:vAlign w:val="center"/>
                </w:tcPr>
                <w:p w14:paraId="34151860">
                  <w:pPr>
                    <w:pStyle w:val="9"/>
                    <w:numPr>
                      <w:ilvl w:val="0"/>
                      <w:numId w:val="0"/>
                    </w:numPr>
                    <w:spacing w:line="290" w:lineRule="exact"/>
                    <w:jc w:val="center"/>
                    <w:rPr>
                      <w:color w:val="000000" w:themeColor="text1"/>
                      <w:spacing w:val="-11"/>
                      <w:szCs w:val="21"/>
                      <w14:textFill>
                        <w14:solidFill>
                          <w14:schemeClr w14:val="tx1"/>
                        </w14:solidFill>
                      </w14:textFill>
                    </w:rPr>
                  </w:pPr>
                  <w:r>
                    <w:rPr>
                      <w:color w:val="000000" w:themeColor="text1"/>
                      <w:spacing w:val="-11"/>
                      <w:szCs w:val="21"/>
                      <w14:textFill>
                        <w14:solidFill>
                          <w14:schemeClr w14:val="tx1"/>
                        </w14:solidFill>
                      </w14:textFill>
                    </w:rPr>
                    <w:t>3</w:t>
                  </w:r>
                </w:p>
              </w:tc>
              <w:tc>
                <w:tcPr>
                  <w:tcW w:w="203" w:type="pct"/>
                  <w:vMerge w:val="restart"/>
                  <w:vAlign w:val="center"/>
                </w:tcPr>
                <w:p w14:paraId="2854E774">
                  <w:pPr>
                    <w:pStyle w:val="9"/>
                    <w:numPr>
                      <w:ilvl w:val="0"/>
                      <w:numId w:val="0"/>
                    </w:numPr>
                    <w:spacing w:line="290" w:lineRule="exact"/>
                    <w:jc w:val="center"/>
                    <w:rPr>
                      <w:color w:val="000000" w:themeColor="text1"/>
                      <w:spacing w:val="-11"/>
                      <w:szCs w:val="21"/>
                      <w14:textFill>
                        <w14:solidFill>
                          <w14:schemeClr w14:val="tx1"/>
                        </w14:solidFill>
                      </w14:textFill>
                    </w:rPr>
                  </w:pPr>
                  <w:r>
                    <w:rPr>
                      <w:color w:val="000000" w:themeColor="text1"/>
                      <w:spacing w:val="-11"/>
                      <w:szCs w:val="21"/>
                      <w14:textFill>
                        <w14:solidFill>
                          <w14:schemeClr w14:val="tx1"/>
                        </w14:solidFill>
                      </w14:textFill>
                    </w:rPr>
                    <w:t>2</w:t>
                  </w:r>
                </w:p>
              </w:tc>
              <w:tc>
                <w:tcPr>
                  <w:tcW w:w="193" w:type="pct"/>
                  <w:vMerge w:val="restart"/>
                  <w:vAlign w:val="center"/>
                </w:tcPr>
                <w:p w14:paraId="5C40190B">
                  <w:pPr>
                    <w:pStyle w:val="9"/>
                    <w:numPr>
                      <w:ilvl w:val="0"/>
                      <w:numId w:val="0"/>
                    </w:numPr>
                    <w:spacing w:line="290" w:lineRule="exact"/>
                    <w:jc w:val="center"/>
                    <w:rPr>
                      <w:color w:val="000000" w:themeColor="text1"/>
                      <w:spacing w:val="-11"/>
                      <w:szCs w:val="21"/>
                      <w14:textFill>
                        <w14:solidFill>
                          <w14:schemeClr w14:val="tx1"/>
                        </w14:solidFill>
                      </w14:textFill>
                    </w:rPr>
                  </w:pPr>
                  <w:r>
                    <w:rPr>
                      <w:rFonts w:hint="eastAsia"/>
                      <w:color w:val="000000" w:themeColor="text1"/>
                      <w:spacing w:val="-11"/>
                      <w:szCs w:val="21"/>
                      <w14:textFill>
                        <w14:solidFill>
                          <w14:schemeClr w14:val="tx1"/>
                        </w14:solidFill>
                      </w14:textFill>
                    </w:rPr>
                    <w:t>7</w:t>
                  </w:r>
                </w:p>
              </w:tc>
              <w:tc>
                <w:tcPr>
                  <w:tcW w:w="254" w:type="pct"/>
                  <w:vAlign w:val="center"/>
                </w:tcPr>
                <w:p w14:paraId="220D94EA">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w:t>
                  </w:r>
                </w:p>
              </w:tc>
              <w:tc>
                <w:tcPr>
                  <w:tcW w:w="251" w:type="pct"/>
                  <w:vAlign w:val="center"/>
                </w:tcPr>
                <w:p w14:paraId="7E168748">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497" w:type="pct"/>
                  <w:vAlign w:val="center"/>
                </w:tcPr>
                <w:p w14:paraId="4150D0CA">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66.3</w:t>
                  </w:r>
                </w:p>
              </w:tc>
              <w:tc>
                <w:tcPr>
                  <w:tcW w:w="257" w:type="pct"/>
                  <w:vMerge w:val="restart"/>
                  <w:vAlign w:val="center"/>
                </w:tcPr>
                <w:p w14:paraId="5466A422">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w:t>
                  </w:r>
                </w:p>
              </w:tc>
              <w:tc>
                <w:tcPr>
                  <w:tcW w:w="466" w:type="pct"/>
                  <w:vMerge w:val="restart"/>
                  <w:vAlign w:val="center"/>
                </w:tcPr>
                <w:p w14:paraId="00B38286">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428" w:type="pct"/>
                  <w:vAlign w:val="center"/>
                </w:tcPr>
                <w:p w14:paraId="01A2FDD0">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46.3</w:t>
                  </w:r>
                </w:p>
              </w:tc>
              <w:tc>
                <w:tcPr>
                  <w:tcW w:w="355" w:type="pct"/>
                  <w:vMerge w:val="restart"/>
                  <w:vAlign w:val="center"/>
                </w:tcPr>
                <w:p w14:paraId="64EFD1B4">
                  <w:pPr>
                    <w:pStyle w:val="9"/>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1m</w:t>
                  </w:r>
                </w:p>
              </w:tc>
            </w:tr>
            <w:tr w14:paraId="32E87C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21727FCE">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409DD3CF">
                  <w:pPr>
                    <w:pStyle w:val="9"/>
                    <w:numPr>
                      <w:ilvl w:val="0"/>
                      <w:numId w:val="0"/>
                    </w:num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7D48E04A">
                  <w:pPr>
                    <w:pStyle w:val="9"/>
                    <w:numPr>
                      <w:ilvl w:val="0"/>
                      <w:numId w:val="0"/>
                    </w:numPr>
                    <w:spacing w:line="290" w:lineRule="exact"/>
                    <w:jc w:val="center"/>
                    <w:rPr>
                      <w:color w:val="FF0000"/>
                      <w:szCs w:val="21"/>
                    </w:rPr>
                  </w:pPr>
                </w:p>
              </w:tc>
              <w:tc>
                <w:tcPr>
                  <w:tcW w:w="477" w:type="pct"/>
                  <w:vMerge w:val="continue"/>
                  <w:vAlign w:val="center"/>
                </w:tcPr>
                <w:p w14:paraId="52C9AA79">
                  <w:pPr>
                    <w:pStyle w:val="9"/>
                    <w:numPr>
                      <w:ilvl w:val="0"/>
                      <w:numId w:val="0"/>
                    </w:num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29265230">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3E2BC8B1">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30BF0332">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2AEA6749">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7D89385A">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w:t>
                  </w:r>
                </w:p>
              </w:tc>
              <w:tc>
                <w:tcPr>
                  <w:tcW w:w="251" w:type="pct"/>
                  <w:vAlign w:val="center"/>
                </w:tcPr>
                <w:p w14:paraId="1443D6EC">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497" w:type="pct"/>
                  <w:vAlign w:val="center"/>
                </w:tcPr>
                <w:p w14:paraId="0998E9E3">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74.3</w:t>
                  </w:r>
                </w:p>
              </w:tc>
              <w:tc>
                <w:tcPr>
                  <w:tcW w:w="257" w:type="pct"/>
                  <w:vMerge w:val="continue"/>
                  <w:vAlign w:val="center"/>
                </w:tcPr>
                <w:p w14:paraId="4A516E40">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30FF5D59">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4FACFFD7">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54.3</w:t>
                  </w:r>
                </w:p>
              </w:tc>
              <w:tc>
                <w:tcPr>
                  <w:tcW w:w="355" w:type="pct"/>
                  <w:vMerge w:val="continue"/>
                  <w:vAlign w:val="center"/>
                </w:tcPr>
                <w:p w14:paraId="3ADFB326">
                  <w:pPr>
                    <w:pStyle w:val="9"/>
                    <w:numPr>
                      <w:ilvl w:val="0"/>
                      <w:numId w:val="0"/>
                    </w:numPr>
                    <w:spacing w:line="290" w:lineRule="exact"/>
                    <w:jc w:val="center"/>
                    <w:rPr>
                      <w:color w:val="000000" w:themeColor="text1"/>
                      <w:szCs w:val="21"/>
                      <w14:textFill>
                        <w14:solidFill>
                          <w14:schemeClr w14:val="tx1"/>
                        </w14:solidFill>
                      </w14:textFill>
                    </w:rPr>
                  </w:pPr>
                </w:p>
              </w:tc>
            </w:tr>
            <w:tr w14:paraId="64F205B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1C045B82">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6E374F75">
                  <w:pPr>
                    <w:pStyle w:val="9"/>
                    <w:numPr>
                      <w:ilvl w:val="0"/>
                      <w:numId w:val="0"/>
                    </w:num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7A80FFD1">
                  <w:pPr>
                    <w:pStyle w:val="9"/>
                    <w:numPr>
                      <w:ilvl w:val="0"/>
                      <w:numId w:val="0"/>
                    </w:numPr>
                    <w:spacing w:line="290" w:lineRule="exact"/>
                    <w:jc w:val="center"/>
                    <w:rPr>
                      <w:color w:val="FF0000"/>
                      <w:szCs w:val="21"/>
                    </w:rPr>
                  </w:pPr>
                </w:p>
              </w:tc>
              <w:tc>
                <w:tcPr>
                  <w:tcW w:w="477" w:type="pct"/>
                  <w:vMerge w:val="continue"/>
                  <w:vAlign w:val="center"/>
                </w:tcPr>
                <w:p w14:paraId="0CF1B6E0">
                  <w:pPr>
                    <w:pStyle w:val="9"/>
                    <w:numPr>
                      <w:ilvl w:val="0"/>
                      <w:numId w:val="0"/>
                    </w:num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4C3DEB5D">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7E7B300A">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56EEE6FE">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262085C0">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48B7EAAB">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w:t>
                  </w:r>
                </w:p>
              </w:tc>
              <w:tc>
                <w:tcPr>
                  <w:tcW w:w="251" w:type="pct"/>
                  <w:vAlign w:val="center"/>
                </w:tcPr>
                <w:p w14:paraId="52B28CBE">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497" w:type="pct"/>
                  <w:vAlign w:val="center"/>
                </w:tcPr>
                <w:p w14:paraId="26CE4112">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71.2</w:t>
                  </w:r>
                </w:p>
              </w:tc>
              <w:tc>
                <w:tcPr>
                  <w:tcW w:w="257" w:type="pct"/>
                  <w:vMerge w:val="continue"/>
                  <w:vAlign w:val="center"/>
                </w:tcPr>
                <w:p w14:paraId="51A32688">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7B0A04D2">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4A67EF30">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51.2</w:t>
                  </w:r>
                </w:p>
              </w:tc>
              <w:tc>
                <w:tcPr>
                  <w:tcW w:w="355" w:type="pct"/>
                  <w:vMerge w:val="continue"/>
                  <w:vAlign w:val="center"/>
                </w:tcPr>
                <w:p w14:paraId="104FEADE">
                  <w:pPr>
                    <w:pStyle w:val="9"/>
                    <w:numPr>
                      <w:ilvl w:val="0"/>
                      <w:numId w:val="0"/>
                    </w:numPr>
                    <w:spacing w:line="290" w:lineRule="exact"/>
                    <w:jc w:val="center"/>
                    <w:rPr>
                      <w:color w:val="000000" w:themeColor="text1"/>
                      <w:szCs w:val="21"/>
                      <w14:textFill>
                        <w14:solidFill>
                          <w14:schemeClr w14:val="tx1"/>
                        </w14:solidFill>
                      </w14:textFill>
                    </w:rPr>
                  </w:pPr>
                </w:p>
              </w:tc>
            </w:tr>
            <w:tr w14:paraId="6FA946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33D2FB41">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3FFDAD0D">
                  <w:pPr>
                    <w:pStyle w:val="9"/>
                    <w:numPr>
                      <w:ilvl w:val="0"/>
                      <w:numId w:val="0"/>
                    </w:num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44D95E26">
                  <w:pPr>
                    <w:pStyle w:val="9"/>
                    <w:numPr>
                      <w:ilvl w:val="0"/>
                      <w:numId w:val="0"/>
                    </w:numPr>
                    <w:spacing w:line="290" w:lineRule="exact"/>
                    <w:jc w:val="center"/>
                    <w:rPr>
                      <w:color w:val="FF0000"/>
                      <w:szCs w:val="21"/>
                    </w:rPr>
                  </w:pPr>
                </w:p>
              </w:tc>
              <w:tc>
                <w:tcPr>
                  <w:tcW w:w="477" w:type="pct"/>
                  <w:vMerge w:val="continue"/>
                  <w:vAlign w:val="center"/>
                </w:tcPr>
                <w:p w14:paraId="1FB7B747">
                  <w:pPr>
                    <w:pStyle w:val="9"/>
                    <w:numPr>
                      <w:ilvl w:val="0"/>
                      <w:numId w:val="0"/>
                    </w:num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3CE6C905">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7CBA8720">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1ADEE451">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73E9BD7B">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69171184">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w:t>
                  </w:r>
                </w:p>
              </w:tc>
              <w:tc>
                <w:tcPr>
                  <w:tcW w:w="251" w:type="pct"/>
                  <w:vAlign w:val="center"/>
                </w:tcPr>
                <w:p w14:paraId="3507DC48">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497" w:type="pct"/>
                  <w:vAlign w:val="center"/>
                </w:tcPr>
                <w:p w14:paraId="099A7C25">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67.3</w:t>
                  </w:r>
                </w:p>
              </w:tc>
              <w:tc>
                <w:tcPr>
                  <w:tcW w:w="257" w:type="pct"/>
                  <w:vMerge w:val="continue"/>
                  <w:vAlign w:val="center"/>
                </w:tcPr>
                <w:p w14:paraId="06993D95">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3FDC4210">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7FDF3DD8">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47.3</w:t>
                  </w:r>
                </w:p>
              </w:tc>
              <w:tc>
                <w:tcPr>
                  <w:tcW w:w="355" w:type="pct"/>
                  <w:vMerge w:val="continue"/>
                  <w:vAlign w:val="center"/>
                </w:tcPr>
                <w:p w14:paraId="32548619">
                  <w:pPr>
                    <w:pStyle w:val="9"/>
                    <w:numPr>
                      <w:ilvl w:val="0"/>
                      <w:numId w:val="0"/>
                    </w:numPr>
                    <w:spacing w:line="290" w:lineRule="exact"/>
                    <w:jc w:val="center"/>
                    <w:rPr>
                      <w:color w:val="000000" w:themeColor="text1"/>
                      <w:szCs w:val="21"/>
                      <w14:textFill>
                        <w14:solidFill>
                          <w14:schemeClr w14:val="tx1"/>
                        </w14:solidFill>
                      </w14:textFill>
                    </w:rPr>
                  </w:pPr>
                </w:p>
              </w:tc>
            </w:tr>
            <w:tr w14:paraId="31F55C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29" w:type="pct"/>
                  <w:vMerge w:val="continue"/>
                  <w:vAlign w:val="center"/>
                </w:tcPr>
                <w:p w14:paraId="4BF01EF5">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restart"/>
                  <w:tcBorders>
                    <w:right w:val="single" w:color="auto" w:sz="4" w:space="0"/>
                  </w:tcBorders>
                  <w:vAlign w:val="center"/>
                </w:tcPr>
                <w:p w14:paraId="55E081A2">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超声波清洗机</w:t>
                  </w:r>
                </w:p>
              </w:tc>
              <w:tc>
                <w:tcPr>
                  <w:tcW w:w="477" w:type="pct"/>
                  <w:vMerge w:val="restart"/>
                  <w:vAlign w:val="center"/>
                </w:tcPr>
                <w:p w14:paraId="22860890">
                  <w:pPr>
                    <w:pStyle w:val="9"/>
                    <w:numPr>
                      <w:ilvl w:val="0"/>
                      <w:numId w:val="0"/>
                    </w:numPr>
                    <w:spacing w:line="290" w:lineRule="exact"/>
                    <w:jc w:val="center"/>
                    <w:rPr>
                      <w:rFonts w:hint="eastAsia" w:eastAsia="宋体"/>
                      <w:color w:val="FF0000"/>
                      <w:szCs w:val="21"/>
                      <w:lang w:val="en-US" w:eastAsia="zh-CN"/>
                    </w:rPr>
                  </w:pPr>
                  <w:r>
                    <w:rPr>
                      <w:rFonts w:hint="eastAsia"/>
                      <w:color w:val="FF0000"/>
                      <w:szCs w:val="21"/>
                      <w:lang w:val="en-US" w:eastAsia="zh-CN"/>
                    </w:rPr>
                    <w:t>1</w:t>
                  </w:r>
                </w:p>
              </w:tc>
              <w:tc>
                <w:tcPr>
                  <w:tcW w:w="477" w:type="pct"/>
                  <w:vMerge w:val="restart"/>
                  <w:vAlign w:val="center"/>
                </w:tcPr>
                <w:p w14:paraId="20D9FB85">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342" w:type="pct"/>
                  <w:vMerge w:val="continue"/>
                  <w:vAlign w:val="center"/>
                </w:tcPr>
                <w:p w14:paraId="6592E4B9">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restart"/>
                  <w:vAlign w:val="center"/>
                </w:tcPr>
                <w:p w14:paraId="4F5D6B04">
                  <w:pPr>
                    <w:pStyle w:val="9"/>
                    <w:numPr>
                      <w:ilvl w:val="0"/>
                      <w:numId w:val="0"/>
                    </w:numPr>
                    <w:spacing w:line="290" w:lineRule="exact"/>
                    <w:jc w:val="center"/>
                    <w:rPr>
                      <w:color w:val="000000" w:themeColor="text1"/>
                      <w:spacing w:val="-11"/>
                      <w:szCs w:val="21"/>
                      <w14:textFill>
                        <w14:solidFill>
                          <w14:schemeClr w14:val="tx1"/>
                        </w14:solidFill>
                      </w14:textFill>
                    </w:rPr>
                  </w:pPr>
                  <w:r>
                    <w:rPr>
                      <w:color w:val="000000" w:themeColor="text1"/>
                      <w:spacing w:val="-11"/>
                      <w:szCs w:val="21"/>
                      <w14:textFill>
                        <w14:solidFill>
                          <w14:schemeClr w14:val="tx1"/>
                        </w14:solidFill>
                      </w14:textFill>
                    </w:rPr>
                    <w:t>4</w:t>
                  </w:r>
                </w:p>
              </w:tc>
              <w:tc>
                <w:tcPr>
                  <w:tcW w:w="203" w:type="pct"/>
                  <w:vMerge w:val="restart"/>
                  <w:vAlign w:val="center"/>
                </w:tcPr>
                <w:p w14:paraId="4DDF622D">
                  <w:pPr>
                    <w:pStyle w:val="9"/>
                    <w:numPr>
                      <w:ilvl w:val="0"/>
                      <w:numId w:val="0"/>
                    </w:numPr>
                    <w:spacing w:line="290" w:lineRule="exact"/>
                    <w:jc w:val="center"/>
                    <w:rPr>
                      <w:color w:val="000000" w:themeColor="text1"/>
                      <w:spacing w:val="-11"/>
                      <w:szCs w:val="21"/>
                      <w14:textFill>
                        <w14:solidFill>
                          <w14:schemeClr w14:val="tx1"/>
                        </w14:solidFill>
                      </w14:textFill>
                    </w:rPr>
                  </w:pPr>
                  <w:r>
                    <w:rPr>
                      <w:color w:val="000000" w:themeColor="text1"/>
                      <w:spacing w:val="-11"/>
                      <w:szCs w:val="21"/>
                      <w14:textFill>
                        <w14:solidFill>
                          <w14:schemeClr w14:val="tx1"/>
                        </w14:solidFill>
                      </w14:textFill>
                    </w:rPr>
                    <w:t>4</w:t>
                  </w:r>
                </w:p>
              </w:tc>
              <w:tc>
                <w:tcPr>
                  <w:tcW w:w="193" w:type="pct"/>
                  <w:vMerge w:val="restart"/>
                  <w:vAlign w:val="center"/>
                </w:tcPr>
                <w:p w14:paraId="0DC63D81">
                  <w:pPr>
                    <w:pStyle w:val="9"/>
                    <w:numPr>
                      <w:ilvl w:val="0"/>
                      <w:numId w:val="0"/>
                    </w:numPr>
                    <w:spacing w:line="290" w:lineRule="exact"/>
                    <w:jc w:val="center"/>
                    <w:rPr>
                      <w:color w:val="000000" w:themeColor="text1"/>
                      <w:spacing w:val="-11"/>
                      <w:szCs w:val="21"/>
                      <w14:textFill>
                        <w14:solidFill>
                          <w14:schemeClr w14:val="tx1"/>
                        </w14:solidFill>
                      </w14:textFill>
                    </w:rPr>
                  </w:pPr>
                  <w:r>
                    <w:rPr>
                      <w:rFonts w:hint="eastAsia"/>
                      <w:color w:val="000000" w:themeColor="text1"/>
                      <w:spacing w:val="-11"/>
                      <w:szCs w:val="21"/>
                      <w14:textFill>
                        <w14:solidFill>
                          <w14:schemeClr w14:val="tx1"/>
                        </w14:solidFill>
                      </w14:textFill>
                    </w:rPr>
                    <w:t>7</w:t>
                  </w:r>
                </w:p>
              </w:tc>
              <w:tc>
                <w:tcPr>
                  <w:tcW w:w="254" w:type="pct"/>
                  <w:vAlign w:val="center"/>
                </w:tcPr>
                <w:p w14:paraId="09323996">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w:t>
                  </w:r>
                </w:p>
              </w:tc>
              <w:tc>
                <w:tcPr>
                  <w:tcW w:w="251" w:type="pct"/>
                  <w:vAlign w:val="center"/>
                </w:tcPr>
                <w:p w14:paraId="66D7DA0D">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497" w:type="pct"/>
                  <w:vAlign w:val="center"/>
                </w:tcPr>
                <w:p w14:paraId="01D50529">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66.7</w:t>
                  </w:r>
                </w:p>
              </w:tc>
              <w:tc>
                <w:tcPr>
                  <w:tcW w:w="257" w:type="pct"/>
                  <w:vMerge w:val="continue"/>
                  <w:vAlign w:val="center"/>
                </w:tcPr>
                <w:p w14:paraId="6433A09A">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2BA52252">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79225D42">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46.7</w:t>
                  </w:r>
                </w:p>
              </w:tc>
              <w:tc>
                <w:tcPr>
                  <w:tcW w:w="355" w:type="pct"/>
                  <w:vMerge w:val="restart"/>
                  <w:vAlign w:val="center"/>
                </w:tcPr>
                <w:p w14:paraId="36609308">
                  <w:pPr>
                    <w:pStyle w:val="9"/>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1m</w:t>
                  </w:r>
                </w:p>
              </w:tc>
            </w:tr>
            <w:tr w14:paraId="4D82C7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2CF0DFE4">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2FCA0A84">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22CF83F0">
                  <w:pPr>
                    <w:spacing w:line="290" w:lineRule="exact"/>
                    <w:jc w:val="center"/>
                    <w:rPr>
                      <w:color w:val="FF0000"/>
                      <w:szCs w:val="21"/>
                    </w:rPr>
                  </w:pPr>
                </w:p>
              </w:tc>
              <w:tc>
                <w:tcPr>
                  <w:tcW w:w="477" w:type="pct"/>
                  <w:vMerge w:val="continue"/>
                  <w:vAlign w:val="center"/>
                </w:tcPr>
                <w:p w14:paraId="6E69AC45">
                  <w:p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712688FA">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6E61E1B8">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3C1D3645">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47B7DA98">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7349D7C7">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w:t>
                  </w:r>
                </w:p>
              </w:tc>
              <w:tc>
                <w:tcPr>
                  <w:tcW w:w="251" w:type="pct"/>
                  <w:vAlign w:val="center"/>
                </w:tcPr>
                <w:p w14:paraId="72E7CFF9">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497" w:type="pct"/>
                  <w:vAlign w:val="center"/>
                </w:tcPr>
                <w:p w14:paraId="422265D7">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74.5</w:t>
                  </w:r>
                </w:p>
              </w:tc>
              <w:tc>
                <w:tcPr>
                  <w:tcW w:w="257" w:type="pct"/>
                  <w:vMerge w:val="continue"/>
                  <w:vAlign w:val="center"/>
                </w:tcPr>
                <w:p w14:paraId="3CA9AF9D">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54C2F0F3">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55A28F17">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54.5</w:t>
                  </w:r>
                </w:p>
              </w:tc>
              <w:tc>
                <w:tcPr>
                  <w:tcW w:w="355" w:type="pct"/>
                  <w:vMerge w:val="continue"/>
                  <w:vAlign w:val="center"/>
                </w:tcPr>
                <w:p w14:paraId="58584603">
                  <w:pPr>
                    <w:pStyle w:val="9"/>
                    <w:numPr>
                      <w:ilvl w:val="0"/>
                      <w:numId w:val="0"/>
                    </w:numPr>
                    <w:spacing w:line="290" w:lineRule="exact"/>
                    <w:jc w:val="center"/>
                    <w:rPr>
                      <w:color w:val="000000" w:themeColor="text1"/>
                      <w:szCs w:val="21"/>
                      <w14:textFill>
                        <w14:solidFill>
                          <w14:schemeClr w14:val="tx1"/>
                        </w14:solidFill>
                      </w14:textFill>
                    </w:rPr>
                  </w:pPr>
                </w:p>
              </w:tc>
            </w:tr>
            <w:tr w14:paraId="67F939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2D1BB92F">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1B9C0A08">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7AB9A50B">
                  <w:pPr>
                    <w:spacing w:line="290" w:lineRule="exact"/>
                    <w:jc w:val="center"/>
                    <w:rPr>
                      <w:color w:val="FF0000"/>
                      <w:szCs w:val="21"/>
                    </w:rPr>
                  </w:pPr>
                </w:p>
              </w:tc>
              <w:tc>
                <w:tcPr>
                  <w:tcW w:w="477" w:type="pct"/>
                  <w:vMerge w:val="continue"/>
                  <w:vAlign w:val="center"/>
                </w:tcPr>
                <w:p w14:paraId="421DFAE1">
                  <w:p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57CCF6C7">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6D24222E">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1E404283">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2244628D">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34856F39">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w:t>
                  </w:r>
                </w:p>
              </w:tc>
              <w:tc>
                <w:tcPr>
                  <w:tcW w:w="251" w:type="pct"/>
                  <w:vAlign w:val="center"/>
                </w:tcPr>
                <w:p w14:paraId="7E08B9CA">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497" w:type="pct"/>
                  <w:vAlign w:val="center"/>
                </w:tcPr>
                <w:p w14:paraId="2FCC83A7">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71.5</w:t>
                  </w:r>
                </w:p>
              </w:tc>
              <w:tc>
                <w:tcPr>
                  <w:tcW w:w="257" w:type="pct"/>
                  <w:vMerge w:val="continue"/>
                  <w:vAlign w:val="center"/>
                </w:tcPr>
                <w:p w14:paraId="53E36E84">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5713976B">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25A4B911">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51.5</w:t>
                  </w:r>
                </w:p>
              </w:tc>
              <w:tc>
                <w:tcPr>
                  <w:tcW w:w="355" w:type="pct"/>
                  <w:vMerge w:val="continue"/>
                  <w:vAlign w:val="center"/>
                </w:tcPr>
                <w:p w14:paraId="3B5C88CF">
                  <w:pPr>
                    <w:pStyle w:val="9"/>
                    <w:numPr>
                      <w:ilvl w:val="0"/>
                      <w:numId w:val="0"/>
                    </w:numPr>
                    <w:spacing w:line="290" w:lineRule="exact"/>
                    <w:jc w:val="center"/>
                    <w:rPr>
                      <w:color w:val="000000" w:themeColor="text1"/>
                      <w:szCs w:val="21"/>
                      <w14:textFill>
                        <w14:solidFill>
                          <w14:schemeClr w14:val="tx1"/>
                        </w14:solidFill>
                      </w14:textFill>
                    </w:rPr>
                  </w:pPr>
                </w:p>
              </w:tc>
            </w:tr>
            <w:tr w14:paraId="1E26DA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5F21B395">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2AF34168">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3BF32D27">
                  <w:pPr>
                    <w:spacing w:line="290" w:lineRule="exact"/>
                    <w:jc w:val="center"/>
                    <w:rPr>
                      <w:color w:val="FF0000"/>
                      <w:szCs w:val="21"/>
                    </w:rPr>
                  </w:pPr>
                </w:p>
              </w:tc>
              <w:tc>
                <w:tcPr>
                  <w:tcW w:w="477" w:type="pct"/>
                  <w:vMerge w:val="continue"/>
                  <w:vAlign w:val="center"/>
                </w:tcPr>
                <w:p w14:paraId="15AEC9B5">
                  <w:p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7B94E570">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1A33061B">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327DFC92">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264F40D0">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497621E3">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w:t>
                  </w:r>
                </w:p>
              </w:tc>
              <w:tc>
                <w:tcPr>
                  <w:tcW w:w="251" w:type="pct"/>
                  <w:vAlign w:val="center"/>
                </w:tcPr>
                <w:p w14:paraId="53FECF64">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497" w:type="pct"/>
                  <w:vAlign w:val="center"/>
                </w:tcPr>
                <w:p w14:paraId="71670591">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69.5</w:t>
                  </w:r>
                </w:p>
              </w:tc>
              <w:tc>
                <w:tcPr>
                  <w:tcW w:w="257" w:type="pct"/>
                  <w:vMerge w:val="continue"/>
                  <w:vAlign w:val="center"/>
                </w:tcPr>
                <w:p w14:paraId="184D8E81">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7260A408">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0081B774">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49.5</w:t>
                  </w:r>
                </w:p>
              </w:tc>
              <w:tc>
                <w:tcPr>
                  <w:tcW w:w="355" w:type="pct"/>
                  <w:vMerge w:val="continue"/>
                  <w:vAlign w:val="center"/>
                </w:tcPr>
                <w:p w14:paraId="0B678A07">
                  <w:pPr>
                    <w:pStyle w:val="9"/>
                    <w:numPr>
                      <w:ilvl w:val="0"/>
                      <w:numId w:val="0"/>
                    </w:numPr>
                    <w:spacing w:line="290" w:lineRule="exact"/>
                    <w:jc w:val="center"/>
                    <w:rPr>
                      <w:color w:val="000000" w:themeColor="text1"/>
                      <w:szCs w:val="21"/>
                      <w14:textFill>
                        <w14:solidFill>
                          <w14:schemeClr w14:val="tx1"/>
                        </w14:solidFill>
                      </w14:textFill>
                    </w:rPr>
                  </w:pPr>
                </w:p>
              </w:tc>
            </w:tr>
            <w:tr w14:paraId="0963FA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5397640D">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restart"/>
                  <w:tcBorders>
                    <w:right w:val="single" w:color="auto" w:sz="4" w:space="0"/>
                  </w:tcBorders>
                  <w:vAlign w:val="center"/>
                </w:tcPr>
                <w:p w14:paraId="71E628FD">
                  <w:p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水环真空泵</w:t>
                  </w:r>
                </w:p>
              </w:tc>
              <w:tc>
                <w:tcPr>
                  <w:tcW w:w="477" w:type="pct"/>
                  <w:vMerge w:val="restart"/>
                  <w:vAlign w:val="center"/>
                </w:tcPr>
                <w:p w14:paraId="0972909F">
                  <w:pPr>
                    <w:spacing w:line="290" w:lineRule="exact"/>
                    <w:jc w:val="center"/>
                    <w:rPr>
                      <w:rFonts w:hint="eastAsia" w:eastAsia="宋体"/>
                      <w:color w:val="FF0000"/>
                      <w:szCs w:val="21"/>
                      <w:lang w:val="en-US" w:eastAsia="zh-CN"/>
                    </w:rPr>
                  </w:pPr>
                  <w:r>
                    <w:rPr>
                      <w:rFonts w:hint="eastAsia"/>
                      <w:color w:val="FF0000"/>
                      <w:szCs w:val="21"/>
                      <w:lang w:val="en-US" w:eastAsia="zh-CN"/>
                    </w:rPr>
                    <w:t>1</w:t>
                  </w:r>
                </w:p>
              </w:tc>
              <w:tc>
                <w:tcPr>
                  <w:tcW w:w="477" w:type="pct"/>
                  <w:vMerge w:val="restart"/>
                  <w:vAlign w:val="center"/>
                </w:tcPr>
                <w:p w14:paraId="25BF6766">
                  <w:p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342" w:type="pct"/>
                  <w:vMerge w:val="continue"/>
                  <w:vAlign w:val="center"/>
                </w:tcPr>
                <w:p w14:paraId="3AEE86B4">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restart"/>
                  <w:vAlign w:val="center"/>
                </w:tcPr>
                <w:p w14:paraId="6BB26847">
                  <w:pPr>
                    <w:pStyle w:val="9"/>
                    <w:numPr>
                      <w:ilvl w:val="0"/>
                      <w:numId w:val="0"/>
                    </w:numPr>
                    <w:spacing w:line="290" w:lineRule="exact"/>
                    <w:jc w:val="center"/>
                    <w:rPr>
                      <w:color w:val="000000" w:themeColor="text1"/>
                      <w:spacing w:val="-11"/>
                      <w:szCs w:val="21"/>
                      <w14:textFill>
                        <w14:solidFill>
                          <w14:schemeClr w14:val="tx1"/>
                        </w14:solidFill>
                      </w14:textFill>
                    </w:rPr>
                  </w:pPr>
                  <w:r>
                    <w:rPr>
                      <w:color w:val="000000" w:themeColor="text1"/>
                      <w:spacing w:val="-11"/>
                      <w:szCs w:val="21"/>
                      <w14:textFill>
                        <w14:solidFill>
                          <w14:schemeClr w14:val="tx1"/>
                        </w14:solidFill>
                      </w14:textFill>
                    </w:rPr>
                    <w:t>6</w:t>
                  </w:r>
                </w:p>
              </w:tc>
              <w:tc>
                <w:tcPr>
                  <w:tcW w:w="203" w:type="pct"/>
                  <w:vMerge w:val="restart"/>
                  <w:vAlign w:val="center"/>
                </w:tcPr>
                <w:p w14:paraId="3657512C">
                  <w:pPr>
                    <w:pStyle w:val="9"/>
                    <w:numPr>
                      <w:ilvl w:val="0"/>
                      <w:numId w:val="0"/>
                    </w:numPr>
                    <w:spacing w:line="290" w:lineRule="exact"/>
                    <w:jc w:val="center"/>
                    <w:rPr>
                      <w:color w:val="000000" w:themeColor="text1"/>
                      <w:spacing w:val="-11"/>
                      <w:szCs w:val="21"/>
                      <w14:textFill>
                        <w14:solidFill>
                          <w14:schemeClr w14:val="tx1"/>
                        </w14:solidFill>
                      </w14:textFill>
                    </w:rPr>
                  </w:pPr>
                  <w:r>
                    <w:rPr>
                      <w:color w:val="000000" w:themeColor="text1"/>
                      <w:spacing w:val="-11"/>
                      <w:szCs w:val="21"/>
                      <w14:textFill>
                        <w14:solidFill>
                          <w14:schemeClr w14:val="tx1"/>
                        </w14:solidFill>
                      </w14:textFill>
                    </w:rPr>
                    <w:t>5</w:t>
                  </w:r>
                </w:p>
              </w:tc>
              <w:tc>
                <w:tcPr>
                  <w:tcW w:w="193" w:type="pct"/>
                  <w:vMerge w:val="restart"/>
                  <w:vAlign w:val="center"/>
                </w:tcPr>
                <w:p w14:paraId="4ED1D5AE">
                  <w:pPr>
                    <w:pStyle w:val="9"/>
                    <w:numPr>
                      <w:ilvl w:val="0"/>
                      <w:numId w:val="0"/>
                    </w:numPr>
                    <w:spacing w:line="290" w:lineRule="exact"/>
                    <w:jc w:val="center"/>
                    <w:rPr>
                      <w:color w:val="000000" w:themeColor="text1"/>
                      <w:spacing w:val="-11"/>
                      <w:szCs w:val="21"/>
                      <w14:textFill>
                        <w14:solidFill>
                          <w14:schemeClr w14:val="tx1"/>
                        </w14:solidFill>
                      </w14:textFill>
                    </w:rPr>
                  </w:pPr>
                  <w:r>
                    <w:rPr>
                      <w:rFonts w:hint="eastAsia"/>
                      <w:color w:val="000000" w:themeColor="text1"/>
                      <w:spacing w:val="-11"/>
                      <w:szCs w:val="21"/>
                      <w14:textFill>
                        <w14:solidFill>
                          <w14:schemeClr w14:val="tx1"/>
                        </w14:solidFill>
                      </w14:textFill>
                    </w:rPr>
                    <w:t>7</w:t>
                  </w:r>
                </w:p>
              </w:tc>
              <w:tc>
                <w:tcPr>
                  <w:tcW w:w="254" w:type="pct"/>
                  <w:vAlign w:val="center"/>
                </w:tcPr>
                <w:p w14:paraId="62FF661A">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w:t>
                  </w:r>
                </w:p>
              </w:tc>
              <w:tc>
                <w:tcPr>
                  <w:tcW w:w="251" w:type="pct"/>
                  <w:vAlign w:val="center"/>
                </w:tcPr>
                <w:p w14:paraId="7AFCD0E1">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497" w:type="pct"/>
                  <w:vAlign w:val="center"/>
                </w:tcPr>
                <w:p w14:paraId="4FE634FC">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66.7</w:t>
                  </w:r>
                </w:p>
              </w:tc>
              <w:tc>
                <w:tcPr>
                  <w:tcW w:w="257" w:type="pct"/>
                  <w:vMerge w:val="continue"/>
                  <w:vAlign w:val="center"/>
                </w:tcPr>
                <w:p w14:paraId="4D8B7B17">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7AFE0F7F">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7FA57BC9">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46.7</w:t>
                  </w:r>
                </w:p>
              </w:tc>
              <w:tc>
                <w:tcPr>
                  <w:tcW w:w="355" w:type="pct"/>
                  <w:vMerge w:val="restart"/>
                  <w:vAlign w:val="center"/>
                </w:tcPr>
                <w:p w14:paraId="0A8AC994">
                  <w:pPr>
                    <w:pStyle w:val="9"/>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1m</w:t>
                  </w:r>
                </w:p>
              </w:tc>
            </w:tr>
            <w:tr w14:paraId="12567BC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5B8CC747">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42C5C808">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7F4C2C7A">
                  <w:pPr>
                    <w:spacing w:line="290" w:lineRule="exact"/>
                    <w:jc w:val="center"/>
                    <w:rPr>
                      <w:color w:val="FF0000"/>
                      <w:szCs w:val="21"/>
                    </w:rPr>
                  </w:pPr>
                </w:p>
              </w:tc>
              <w:tc>
                <w:tcPr>
                  <w:tcW w:w="477" w:type="pct"/>
                  <w:vMerge w:val="continue"/>
                  <w:vAlign w:val="center"/>
                </w:tcPr>
                <w:p w14:paraId="6D543DFE">
                  <w:p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30E95EF2">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03EC3525">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17BF8E02">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2AB793BB">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5FAB3ED4">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w:t>
                  </w:r>
                </w:p>
              </w:tc>
              <w:tc>
                <w:tcPr>
                  <w:tcW w:w="251" w:type="pct"/>
                  <w:vAlign w:val="center"/>
                </w:tcPr>
                <w:p w14:paraId="4796394F">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497" w:type="pct"/>
                  <w:vAlign w:val="center"/>
                </w:tcPr>
                <w:p w14:paraId="692173EC">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71.5</w:t>
                  </w:r>
                </w:p>
              </w:tc>
              <w:tc>
                <w:tcPr>
                  <w:tcW w:w="257" w:type="pct"/>
                  <w:vMerge w:val="continue"/>
                  <w:vAlign w:val="center"/>
                </w:tcPr>
                <w:p w14:paraId="436917F9">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31C9933C">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1D222E3B">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51.5</w:t>
                  </w:r>
                </w:p>
              </w:tc>
              <w:tc>
                <w:tcPr>
                  <w:tcW w:w="355" w:type="pct"/>
                  <w:vMerge w:val="continue"/>
                  <w:vAlign w:val="center"/>
                </w:tcPr>
                <w:p w14:paraId="43544136">
                  <w:pPr>
                    <w:pStyle w:val="9"/>
                    <w:numPr>
                      <w:ilvl w:val="0"/>
                      <w:numId w:val="0"/>
                    </w:numPr>
                    <w:spacing w:line="290" w:lineRule="exact"/>
                    <w:jc w:val="center"/>
                    <w:rPr>
                      <w:color w:val="000000" w:themeColor="text1"/>
                      <w:szCs w:val="21"/>
                      <w14:textFill>
                        <w14:solidFill>
                          <w14:schemeClr w14:val="tx1"/>
                        </w14:solidFill>
                      </w14:textFill>
                    </w:rPr>
                  </w:pPr>
                </w:p>
              </w:tc>
            </w:tr>
            <w:tr w14:paraId="4FB752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1AD83061">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72C4C8F6">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3F6DB587">
                  <w:pPr>
                    <w:spacing w:line="290" w:lineRule="exact"/>
                    <w:jc w:val="center"/>
                    <w:rPr>
                      <w:color w:val="FF0000"/>
                      <w:szCs w:val="21"/>
                    </w:rPr>
                  </w:pPr>
                </w:p>
              </w:tc>
              <w:tc>
                <w:tcPr>
                  <w:tcW w:w="477" w:type="pct"/>
                  <w:vMerge w:val="continue"/>
                  <w:vAlign w:val="center"/>
                </w:tcPr>
                <w:p w14:paraId="4A4D0209">
                  <w:p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7AFE3469">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052D8F7F">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3FE69C2E">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0D026E86">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3156CE0B">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w:t>
                  </w:r>
                </w:p>
              </w:tc>
              <w:tc>
                <w:tcPr>
                  <w:tcW w:w="251" w:type="pct"/>
                  <w:vAlign w:val="center"/>
                </w:tcPr>
                <w:p w14:paraId="6A2B3AC9">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497" w:type="pct"/>
                  <w:vAlign w:val="center"/>
                </w:tcPr>
                <w:p w14:paraId="177B131A">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71.5</w:t>
                  </w:r>
                </w:p>
              </w:tc>
              <w:tc>
                <w:tcPr>
                  <w:tcW w:w="257" w:type="pct"/>
                  <w:vMerge w:val="continue"/>
                  <w:vAlign w:val="center"/>
                </w:tcPr>
                <w:p w14:paraId="67989D5E">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64D9FF94">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1A2EC834">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51.5</w:t>
                  </w:r>
                </w:p>
              </w:tc>
              <w:tc>
                <w:tcPr>
                  <w:tcW w:w="355" w:type="pct"/>
                  <w:vMerge w:val="continue"/>
                  <w:vAlign w:val="center"/>
                </w:tcPr>
                <w:p w14:paraId="0FC33AE6">
                  <w:pPr>
                    <w:pStyle w:val="9"/>
                    <w:numPr>
                      <w:ilvl w:val="0"/>
                      <w:numId w:val="0"/>
                    </w:numPr>
                    <w:spacing w:line="290" w:lineRule="exact"/>
                    <w:jc w:val="center"/>
                    <w:rPr>
                      <w:color w:val="000000" w:themeColor="text1"/>
                      <w:szCs w:val="21"/>
                      <w14:textFill>
                        <w14:solidFill>
                          <w14:schemeClr w14:val="tx1"/>
                        </w14:solidFill>
                      </w14:textFill>
                    </w:rPr>
                  </w:pPr>
                </w:p>
              </w:tc>
            </w:tr>
            <w:tr w14:paraId="4ECDCF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46E068B8">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2A1E42FF">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4BC2C9F4">
                  <w:pPr>
                    <w:spacing w:line="290" w:lineRule="exact"/>
                    <w:jc w:val="center"/>
                    <w:rPr>
                      <w:color w:val="FF0000"/>
                      <w:szCs w:val="21"/>
                    </w:rPr>
                  </w:pPr>
                </w:p>
              </w:tc>
              <w:tc>
                <w:tcPr>
                  <w:tcW w:w="477" w:type="pct"/>
                  <w:vMerge w:val="continue"/>
                  <w:vAlign w:val="center"/>
                </w:tcPr>
                <w:p w14:paraId="4FB67A28">
                  <w:p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348B1E65">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5819D1BF">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71906A0B">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4C412A25">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7AFABAE9">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w:t>
                  </w:r>
                </w:p>
              </w:tc>
              <w:tc>
                <w:tcPr>
                  <w:tcW w:w="251" w:type="pct"/>
                  <w:vAlign w:val="center"/>
                </w:tcPr>
                <w:p w14:paraId="7FE164F1">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497" w:type="pct"/>
                  <w:vAlign w:val="center"/>
                </w:tcPr>
                <w:p w14:paraId="04EA6BC3">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69.8</w:t>
                  </w:r>
                </w:p>
              </w:tc>
              <w:tc>
                <w:tcPr>
                  <w:tcW w:w="257" w:type="pct"/>
                  <w:vMerge w:val="continue"/>
                  <w:vAlign w:val="center"/>
                </w:tcPr>
                <w:p w14:paraId="3034D535">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75E42306">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4C20960A">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49.8</w:t>
                  </w:r>
                </w:p>
              </w:tc>
              <w:tc>
                <w:tcPr>
                  <w:tcW w:w="355" w:type="pct"/>
                  <w:vMerge w:val="continue"/>
                  <w:vAlign w:val="center"/>
                </w:tcPr>
                <w:p w14:paraId="1928D706">
                  <w:pPr>
                    <w:pStyle w:val="9"/>
                    <w:numPr>
                      <w:ilvl w:val="0"/>
                      <w:numId w:val="0"/>
                    </w:numPr>
                    <w:spacing w:line="290" w:lineRule="exact"/>
                    <w:jc w:val="center"/>
                    <w:rPr>
                      <w:color w:val="000000" w:themeColor="text1"/>
                      <w:szCs w:val="21"/>
                      <w14:textFill>
                        <w14:solidFill>
                          <w14:schemeClr w14:val="tx1"/>
                        </w14:solidFill>
                      </w14:textFill>
                    </w:rPr>
                  </w:pPr>
                </w:p>
              </w:tc>
            </w:tr>
            <w:tr w14:paraId="3206C4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489A9489">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restart"/>
                  <w:tcBorders>
                    <w:right w:val="single" w:color="auto" w:sz="4" w:space="0"/>
                  </w:tcBorders>
                  <w:vAlign w:val="center"/>
                </w:tcPr>
                <w:p w14:paraId="6D4117BF">
                  <w:pPr>
                    <w:spacing w:line="29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空气压缩机</w:t>
                  </w:r>
                </w:p>
              </w:tc>
              <w:tc>
                <w:tcPr>
                  <w:tcW w:w="477" w:type="pct"/>
                  <w:vMerge w:val="restart"/>
                  <w:vAlign w:val="center"/>
                </w:tcPr>
                <w:p w14:paraId="78C4D530">
                  <w:pPr>
                    <w:spacing w:line="290" w:lineRule="exact"/>
                    <w:jc w:val="center"/>
                    <w:rPr>
                      <w:rFonts w:hint="eastAsia" w:eastAsia="宋体"/>
                      <w:color w:val="FF0000"/>
                      <w:szCs w:val="21"/>
                      <w:lang w:val="en-US" w:eastAsia="zh-CN"/>
                    </w:rPr>
                  </w:pPr>
                  <w:r>
                    <w:rPr>
                      <w:rFonts w:hint="eastAsia"/>
                      <w:color w:val="FF0000"/>
                      <w:szCs w:val="21"/>
                      <w:lang w:val="en-US" w:eastAsia="zh-CN"/>
                    </w:rPr>
                    <w:t>1</w:t>
                  </w:r>
                </w:p>
              </w:tc>
              <w:tc>
                <w:tcPr>
                  <w:tcW w:w="477" w:type="pct"/>
                  <w:vMerge w:val="restart"/>
                  <w:vAlign w:val="center"/>
                </w:tcPr>
                <w:p w14:paraId="7538DB44">
                  <w:pPr>
                    <w:spacing w:line="29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85</w:t>
                  </w:r>
                </w:p>
              </w:tc>
              <w:tc>
                <w:tcPr>
                  <w:tcW w:w="342" w:type="pct"/>
                  <w:vMerge w:val="continue"/>
                  <w:vAlign w:val="center"/>
                </w:tcPr>
                <w:p w14:paraId="2140BAAA">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restart"/>
                  <w:vAlign w:val="center"/>
                </w:tcPr>
                <w:p w14:paraId="4B45C215">
                  <w:pPr>
                    <w:pStyle w:val="9"/>
                    <w:numPr>
                      <w:ilvl w:val="0"/>
                      <w:numId w:val="0"/>
                    </w:numPr>
                    <w:spacing w:line="290" w:lineRule="exact"/>
                    <w:jc w:val="center"/>
                    <w:rPr>
                      <w:color w:val="000000" w:themeColor="text1"/>
                      <w:spacing w:val="-11"/>
                      <w:szCs w:val="21"/>
                      <w14:textFill>
                        <w14:solidFill>
                          <w14:schemeClr w14:val="tx1"/>
                        </w14:solidFill>
                      </w14:textFill>
                    </w:rPr>
                  </w:pPr>
                  <w:r>
                    <w:rPr>
                      <w:color w:val="000000" w:themeColor="text1"/>
                      <w:spacing w:val="-11"/>
                      <w:szCs w:val="21"/>
                      <w14:textFill>
                        <w14:solidFill>
                          <w14:schemeClr w14:val="tx1"/>
                        </w14:solidFill>
                      </w14:textFill>
                    </w:rPr>
                    <w:t>9</w:t>
                  </w:r>
                </w:p>
              </w:tc>
              <w:tc>
                <w:tcPr>
                  <w:tcW w:w="203" w:type="pct"/>
                  <w:vMerge w:val="restart"/>
                  <w:vAlign w:val="center"/>
                </w:tcPr>
                <w:p w14:paraId="4E336D8E">
                  <w:pPr>
                    <w:pStyle w:val="9"/>
                    <w:numPr>
                      <w:ilvl w:val="0"/>
                      <w:numId w:val="0"/>
                    </w:numPr>
                    <w:spacing w:line="290" w:lineRule="exact"/>
                    <w:jc w:val="center"/>
                    <w:rPr>
                      <w:color w:val="000000" w:themeColor="text1"/>
                      <w:spacing w:val="-11"/>
                      <w:szCs w:val="21"/>
                      <w14:textFill>
                        <w14:solidFill>
                          <w14:schemeClr w14:val="tx1"/>
                        </w14:solidFill>
                      </w14:textFill>
                    </w:rPr>
                  </w:pPr>
                  <w:r>
                    <w:rPr>
                      <w:color w:val="000000" w:themeColor="text1"/>
                      <w:spacing w:val="-11"/>
                      <w:szCs w:val="21"/>
                      <w14:textFill>
                        <w14:solidFill>
                          <w14:schemeClr w14:val="tx1"/>
                        </w14:solidFill>
                      </w14:textFill>
                    </w:rPr>
                    <w:t>5</w:t>
                  </w:r>
                </w:p>
              </w:tc>
              <w:tc>
                <w:tcPr>
                  <w:tcW w:w="193" w:type="pct"/>
                  <w:vMerge w:val="restart"/>
                  <w:vAlign w:val="center"/>
                </w:tcPr>
                <w:p w14:paraId="25FEB6D5">
                  <w:pPr>
                    <w:pStyle w:val="9"/>
                    <w:numPr>
                      <w:ilvl w:val="0"/>
                      <w:numId w:val="0"/>
                    </w:numPr>
                    <w:spacing w:line="290" w:lineRule="exact"/>
                    <w:jc w:val="center"/>
                    <w:rPr>
                      <w:color w:val="000000" w:themeColor="text1"/>
                      <w:spacing w:val="-11"/>
                      <w:szCs w:val="21"/>
                      <w14:textFill>
                        <w14:solidFill>
                          <w14:schemeClr w14:val="tx1"/>
                        </w14:solidFill>
                      </w14:textFill>
                    </w:rPr>
                  </w:pPr>
                  <w:r>
                    <w:rPr>
                      <w:rFonts w:hint="eastAsia"/>
                      <w:color w:val="000000" w:themeColor="text1"/>
                      <w:spacing w:val="-11"/>
                      <w:szCs w:val="21"/>
                      <w14:textFill>
                        <w14:solidFill>
                          <w14:schemeClr w14:val="tx1"/>
                        </w14:solidFill>
                      </w14:textFill>
                    </w:rPr>
                    <w:t>7</w:t>
                  </w:r>
                </w:p>
              </w:tc>
              <w:tc>
                <w:tcPr>
                  <w:tcW w:w="254" w:type="pct"/>
                  <w:vAlign w:val="center"/>
                </w:tcPr>
                <w:p w14:paraId="37B8BF7A">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w:t>
                  </w:r>
                </w:p>
              </w:tc>
              <w:tc>
                <w:tcPr>
                  <w:tcW w:w="251" w:type="pct"/>
                  <w:vAlign w:val="center"/>
                </w:tcPr>
                <w:p w14:paraId="45968AB4">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497" w:type="pct"/>
                  <w:vAlign w:val="center"/>
                </w:tcPr>
                <w:p w14:paraId="3B53FDFF">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67.5</w:t>
                  </w:r>
                </w:p>
              </w:tc>
              <w:tc>
                <w:tcPr>
                  <w:tcW w:w="257" w:type="pct"/>
                  <w:vMerge w:val="continue"/>
                  <w:vAlign w:val="center"/>
                </w:tcPr>
                <w:p w14:paraId="2043FAFA">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6B000C67">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7BE8C579">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47.5</w:t>
                  </w:r>
                </w:p>
              </w:tc>
              <w:tc>
                <w:tcPr>
                  <w:tcW w:w="355" w:type="pct"/>
                  <w:vMerge w:val="restart"/>
                  <w:vAlign w:val="center"/>
                </w:tcPr>
                <w:p w14:paraId="2BECAF1D">
                  <w:pPr>
                    <w:pStyle w:val="9"/>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1m</w:t>
                  </w:r>
                </w:p>
              </w:tc>
            </w:tr>
            <w:tr w14:paraId="2B819A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48B206D7">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70BD4257">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7A215DD0">
                  <w:pPr>
                    <w:spacing w:line="290" w:lineRule="exact"/>
                    <w:jc w:val="center"/>
                    <w:rPr>
                      <w:color w:val="FF0000"/>
                      <w:szCs w:val="21"/>
                    </w:rPr>
                  </w:pPr>
                </w:p>
              </w:tc>
              <w:tc>
                <w:tcPr>
                  <w:tcW w:w="477" w:type="pct"/>
                  <w:vMerge w:val="continue"/>
                  <w:vAlign w:val="center"/>
                </w:tcPr>
                <w:p w14:paraId="5ED05CA9">
                  <w:p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4AFCA888">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59DA518E">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2777A0DC">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3362DD75">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72D69A8E">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w:t>
                  </w:r>
                </w:p>
              </w:tc>
              <w:tc>
                <w:tcPr>
                  <w:tcW w:w="251" w:type="pct"/>
                  <w:vAlign w:val="center"/>
                </w:tcPr>
                <w:p w14:paraId="2DF43D9C">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497" w:type="pct"/>
                  <w:vAlign w:val="center"/>
                </w:tcPr>
                <w:p w14:paraId="0DEC659D">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74.9</w:t>
                  </w:r>
                </w:p>
              </w:tc>
              <w:tc>
                <w:tcPr>
                  <w:tcW w:w="257" w:type="pct"/>
                  <w:vMerge w:val="continue"/>
                  <w:vAlign w:val="center"/>
                </w:tcPr>
                <w:p w14:paraId="4102E6A4">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2756FAAB">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4EDB4AD6">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54.9</w:t>
                  </w:r>
                </w:p>
              </w:tc>
              <w:tc>
                <w:tcPr>
                  <w:tcW w:w="355" w:type="pct"/>
                  <w:vMerge w:val="continue"/>
                  <w:vAlign w:val="center"/>
                </w:tcPr>
                <w:p w14:paraId="4DD2CFFA">
                  <w:pPr>
                    <w:pStyle w:val="9"/>
                    <w:numPr>
                      <w:ilvl w:val="0"/>
                      <w:numId w:val="0"/>
                    </w:numPr>
                    <w:spacing w:line="290" w:lineRule="exact"/>
                    <w:jc w:val="center"/>
                    <w:rPr>
                      <w:color w:val="000000" w:themeColor="text1"/>
                      <w:szCs w:val="21"/>
                      <w14:textFill>
                        <w14:solidFill>
                          <w14:schemeClr w14:val="tx1"/>
                        </w14:solidFill>
                      </w14:textFill>
                    </w:rPr>
                  </w:pPr>
                </w:p>
              </w:tc>
            </w:tr>
            <w:tr w14:paraId="4B5DD5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2617345E">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6340ADFF">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51B8BA1D">
                  <w:pPr>
                    <w:spacing w:line="290" w:lineRule="exact"/>
                    <w:jc w:val="center"/>
                    <w:rPr>
                      <w:color w:val="FF0000"/>
                      <w:szCs w:val="21"/>
                    </w:rPr>
                  </w:pPr>
                </w:p>
              </w:tc>
              <w:tc>
                <w:tcPr>
                  <w:tcW w:w="477" w:type="pct"/>
                  <w:vMerge w:val="continue"/>
                  <w:vAlign w:val="center"/>
                </w:tcPr>
                <w:p w14:paraId="0CADB1F9">
                  <w:p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558C10F3">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797330BC">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5321A32B">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4C7D80A9">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05BDBDA6">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w:t>
                  </w:r>
                </w:p>
              </w:tc>
              <w:tc>
                <w:tcPr>
                  <w:tcW w:w="251" w:type="pct"/>
                  <w:vAlign w:val="center"/>
                </w:tcPr>
                <w:p w14:paraId="5B212C25">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497" w:type="pct"/>
                  <w:vAlign w:val="center"/>
                </w:tcPr>
                <w:p w14:paraId="22A7730A">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71.6</w:t>
                  </w:r>
                </w:p>
              </w:tc>
              <w:tc>
                <w:tcPr>
                  <w:tcW w:w="257" w:type="pct"/>
                  <w:vMerge w:val="continue"/>
                  <w:vAlign w:val="center"/>
                </w:tcPr>
                <w:p w14:paraId="0CF51A2E">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31FA1E7E">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6370A20F">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51.6</w:t>
                  </w:r>
                </w:p>
              </w:tc>
              <w:tc>
                <w:tcPr>
                  <w:tcW w:w="355" w:type="pct"/>
                  <w:vMerge w:val="continue"/>
                  <w:vAlign w:val="center"/>
                </w:tcPr>
                <w:p w14:paraId="730614EE">
                  <w:pPr>
                    <w:pStyle w:val="9"/>
                    <w:numPr>
                      <w:ilvl w:val="0"/>
                      <w:numId w:val="0"/>
                    </w:numPr>
                    <w:spacing w:line="290" w:lineRule="exact"/>
                    <w:jc w:val="center"/>
                    <w:rPr>
                      <w:color w:val="000000" w:themeColor="text1"/>
                      <w:szCs w:val="21"/>
                      <w14:textFill>
                        <w14:solidFill>
                          <w14:schemeClr w14:val="tx1"/>
                        </w14:solidFill>
                      </w14:textFill>
                    </w:rPr>
                  </w:pPr>
                </w:p>
              </w:tc>
            </w:tr>
            <w:tr w14:paraId="4E443A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69D3ECF5">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023656F6">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156388DF">
                  <w:pPr>
                    <w:spacing w:line="290" w:lineRule="exact"/>
                    <w:jc w:val="center"/>
                    <w:rPr>
                      <w:color w:val="FF0000"/>
                      <w:szCs w:val="21"/>
                    </w:rPr>
                  </w:pPr>
                </w:p>
              </w:tc>
              <w:tc>
                <w:tcPr>
                  <w:tcW w:w="477" w:type="pct"/>
                  <w:vMerge w:val="continue"/>
                  <w:vAlign w:val="center"/>
                </w:tcPr>
                <w:p w14:paraId="16F073D8">
                  <w:p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5D7C31B5">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008BDE46">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10DADE07">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378467AB">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6D89E824">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w:t>
                  </w:r>
                </w:p>
              </w:tc>
              <w:tc>
                <w:tcPr>
                  <w:tcW w:w="251" w:type="pct"/>
                  <w:vAlign w:val="center"/>
                </w:tcPr>
                <w:p w14:paraId="5E9BAD81">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497" w:type="pct"/>
                  <w:vAlign w:val="center"/>
                </w:tcPr>
                <w:p w14:paraId="155C1498">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70.6</w:t>
                  </w:r>
                </w:p>
              </w:tc>
              <w:tc>
                <w:tcPr>
                  <w:tcW w:w="257" w:type="pct"/>
                  <w:vMerge w:val="continue"/>
                  <w:vAlign w:val="center"/>
                </w:tcPr>
                <w:p w14:paraId="088EBFD2">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6761A265">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279FE4FE">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50.6</w:t>
                  </w:r>
                </w:p>
              </w:tc>
              <w:tc>
                <w:tcPr>
                  <w:tcW w:w="355" w:type="pct"/>
                  <w:vMerge w:val="continue"/>
                  <w:vAlign w:val="center"/>
                </w:tcPr>
                <w:p w14:paraId="3C20B81E">
                  <w:pPr>
                    <w:pStyle w:val="9"/>
                    <w:numPr>
                      <w:ilvl w:val="0"/>
                      <w:numId w:val="0"/>
                    </w:numPr>
                    <w:spacing w:line="290" w:lineRule="exact"/>
                    <w:jc w:val="center"/>
                    <w:rPr>
                      <w:color w:val="000000" w:themeColor="text1"/>
                      <w:szCs w:val="21"/>
                      <w14:textFill>
                        <w14:solidFill>
                          <w14:schemeClr w14:val="tx1"/>
                        </w14:solidFill>
                      </w14:textFill>
                    </w:rPr>
                  </w:pPr>
                </w:p>
              </w:tc>
            </w:tr>
            <w:tr w14:paraId="68311D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2A872364">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restart"/>
                  <w:tcBorders>
                    <w:right w:val="single" w:color="auto" w:sz="4" w:space="0"/>
                  </w:tcBorders>
                  <w:vAlign w:val="center"/>
                </w:tcPr>
                <w:p w14:paraId="1D6589F3">
                  <w:pPr>
                    <w:spacing w:line="29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蠕动泵</w:t>
                  </w:r>
                </w:p>
              </w:tc>
              <w:tc>
                <w:tcPr>
                  <w:tcW w:w="477" w:type="pct"/>
                  <w:vMerge w:val="restart"/>
                  <w:vAlign w:val="center"/>
                </w:tcPr>
                <w:p w14:paraId="772FDF1B">
                  <w:pPr>
                    <w:spacing w:line="290" w:lineRule="exact"/>
                    <w:jc w:val="center"/>
                    <w:rPr>
                      <w:rFonts w:hint="eastAsia" w:eastAsia="宋体"/>
                      <w:color w:val="FF0000"/>
                      <w:kern w:val="0"/>
                      <w:szCs w:val="21"/>
                      <w:lang w:val="en-US" w:eastAsia="zh-CN"/>
                    </w:rPr>
                  </w:pPr>
                  <w:r>
                    <w:rPr>
                      <w:rFonts w:hint="eastAsia"/>
                      <w:color w:val="FF0000"/>
                      <w:kern w:val="0"/>
                      <w:szCs w:val="21"/>
                      <w:lang w:val="en-US" w:eastAsia="zh-CN"/>
                    </w:rPr>
                    <w:t>2</w:t>
                  </w:r>
                </w:p>
              </w:tc>
              <w:tc>
                <w:tcPr>
                  <w:tcW w:w="477" w:type="pct"/>
                  <w:vMerge w:val="restart"/>
                  <w:vAlign w:val="center"/>
                </w:tcPr>
                <w:p w14:paraId="5B69E1DA">
                  <w:p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342" w:type="pct"/>
                  <w:vMerge w:val="continue"/>
                  <w:vAlign w:val="center"/>
                </w:tcPr>
                <w:p w14:paraId="080A5957">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restart"/>
                  <w:vAlign w:val="center"/>
                </w:tcPr>
                <w:p w14:paraId="10121CB9">
                  <w:pPr>
                    <w:pStyle w:val="9"/>
                    <w:numPr>
                      <w:ilvl w:val="0"/>
                      <w:numId w:val="0"/>
                    </w:numPr>
                    <w:spacing w:line="290" w:lineRule="exact"/>
                    <w:jc w:val="center"/>
                    <w:rPr>
                      <w:color w:val="000000" w:themeColor="text1"/>
                      <w:spacing w:val="-11"/>
                      <w:szCs w:val="21"/>
                      <w14:textFill>
                        <w14:solidFill>
                          <w14:schemeClr w14:val="tx1"/>
                        </w14:solidFill>
                      </w14:textFill>
                    </w:rPr>
                  </w:pPr>
                  <w:r>
                    <w:rPr>
                      <w:color w:val="000000" w:themeColor="text1"/>
                      <w:spacing w:val="-11"/>
                      <w:szCs w:val="21"/>
                      <w14:textFill>
                        <w14:solidFill>
                          <w14:schemeClr w14:val="tx1"/>
                        </w14:solidFill>
                      </w14:textFill>
                    </w:rPr>
                    <w:t>8</w:t>
                  </w:r>
                </w:p>
              </w:tc>
              <w:tc>
                <w:tcPr>
                  <w:tcW w:w="203" w:type="pct"/>
                  <w:vMerge w:val="restart"/>
                  <w:vAlign w:val="center"/>
                </w:tcPr>
                <w:p w14:paraId="21E4AEF0">
                  <w:pPr>
                    <w:pStyle w:val="9"/>
                    <w:numPr>
                      <w:ilvl w:val="0"/>
                      <w:numId w:val="0"/>
                    </w:numPr>
                    <w:spacing w:line="290" w:lineRule="exact"/>
                    <w:jc w:val="center"/>
                    <w:rPr>
                      <w:color w:val="000000" w:themeColor="text1"/>
                      <w:spacing w:val="-11"/>
                      <w:szCs w:val="21"/>
                      <w14:textFill>
                        <w14:solidFill>
                          <w14:schemeClr w14:val="tx1"/>
                        </w14:solidFill>
                      </w14:textFill>
                    </w:rPr>
                  </w:pPr>
                  <w:r>
                    <w:rPr>
                      <w:color w:val="000000" w:themeColor="text1"/>
                      <w:spacing w:val="-11"/>
                      <w:szCs w:val="21"/>
                      <w14:textFill>
                        <w14:solidFill>
                          <w14:schemeClr w14:val="tx1"/>
                        </w14:solidFill>
                      </w14:textFill>
                    </w:rPr>
                    <w:t>3</w:t>
                  </w:r>
                </w:p>
              </w:tc>
              <w:tc>
                <w:tcPr>
                  <w:tcW w:w="193" w:type="pct"/>
                  <w:vMerge w:val="restart"/>
                  <w:vAlign w:val="center"/>
                </w:tcPr>
                <w:p w14:paraId="5D17FCD6">
                  <w:pPr>
                    <w:pStyle w:val="9"/>
                    <w:numPr>
                      <w:ilvl w:val="0"/>
                      <w:numId w:val="0"/>
                    </w:numPr>
                    <w:spacing w:line="290" w:lineRule="exact"/>
                    <w:jc w:val="center"/>
                    <w:rPr>
                      <w:color w:val="000000" w:themeColor="text1"/>
                      <w:spacing w:val="-11"/>
                      <w:szCs w:val="21"/>
                      <w14:textFill>
                        <w14:solidFill>
                          <w14:schemeClr w14:val="tx1"/>
                        </w14:solidFill>
                      </w14:textFill>
                    </w:rPr>
                  </w:pPr>
                  <w:r>
                    <w:rPr>
                      <w:rFonts w:hint="eastAsia"/>
                      <w:color w:val="000000" w:themeColor="text1"/>
                      <w:spacing w:val="-11"/>
                      <w:szCs w:val="21"/>
                      <w14:textFill>
                        <w14:solidFill>
                          <w14:schemeClr w14:val="tx1"/>
                        </w14:solidFill>
                      </w14:textFill>
                    </w:rPr>
                    <w:t>7</w:t>
                  </w:r>
                </w:p>
              </w:tc>
              <w:tc>
                <w:tcPr>
                  <w:tcW w:w="254" w:type="pct"/>
                  <w:vAlign w:val="center"/>
                </w:tcPr>
                <w:p w14:paraId="7C4B7ACD">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w:t>
                  </w:r>
                </w:p>
              </w:tc>
              <w:tc>
                <w:tcPr>
                  <w:tcW w:w="251" w:type="pct"/>
                  <w:vAlign w:val="center"/>
                </w:tcPr>
                <w:p w14:paraId="76B2FB3D">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497" w:type="pct"/>
                  <w:vAlign w:val="center"/>
                </w:tcPr>
                <w:p w14:paraId="4B5D3B3C">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67.8</w:t>
                  </w:r>
                </w:p>
              </w:tc>
              <w:tc>
                <w:tcPr>
                  <w:tcW w:w="257" w:type="pct"/>
                  <w:vMerge w:val="continue"/>
                  <w:vAlign w:val="center"/>
                </w:tcPr>
                <w:p w14:paraId="52B6522D">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377B58F9">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12110D05">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47.8</w:t>
                  </w:r>
                </w:p>
              </w:tc>
              <w:tc>
                <w:tcPr>
                  <w:tcW w:w="355" w:type="pct"/>
                  <w:vMerge w:val="restart"/>
                  <w:vAlign w:val="center"/>
                </w:tcPr>
                <w:p w14:paraId="332D3403">
                  <w:pPr>
                    <w:pStyle w:val="9"/>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1m</w:t>
                  </w:r>
                </w:p>
              </w:tc>
            </w:tr>
            <w:tr w14:paraId="6AFBA01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3F494D80">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7A2EF5F2">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5D6EA19E">
                  <w:pPr>
                    <w:spacing w:line="290" w:lineRule="exact"/>
                    <w:jc w:val="center"/>
                    <w:rPr>
                      <w:color w:val="FF0000"/>
                      <w:szCs w:val="21"/>
                    </w:rPr>
                  </w:pPr>
                </w:p>
              </w:tc>
              <w:tc>
                <w:tcPr>
                  <w:tcW w:w="477" w:type="pct"/>
                  <w:vMerge w:val="continue"/>
                  <w:vAlign w:val="center"/>
                </w:tcPr>
                <w:p w14:paraId="19DF5ED8">
                  <w:p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31D3F5F4">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2B8F5B4C">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35AE3B4A">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78256710">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4DEFC134">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w:t>
                  </w:r>
                </w:p>
              </w:tc>
              <w:tc>
                <w:tcPr>
                  <w:tcW w:w="251" w:type="pct"/>
                  <w:vAlign w:val="center"/>
                </w:tcPr>
                <w:p w14:paraId="01D3D36B">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497" w:type="pct"/>
                  <w:vAlign w:val="center"/>
                </w:tcPr>
                <w:p w14:paraId="36625616">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75.1</w:t>
                  </w:r>
                </w:p>
              </w:tc>
              <w:tc>
                <w:tcPr>
                  <w:tcW w:w="257" w:type="pct"/>
                  <w:vMerge w:val="continue"/>
                  <w:vAlign w:val="center"/>
                </w:tcPr>
                <w:p w14:paraId="758D55E5">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4A25231C">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0DC0B8D3">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55.1</w:t>
                  </w:r>
                </w:p>
              </w:tc>
              <w:tc>
                <w:tcPr>
                  <w:tcW w:w="355" w:type="pct"/>
                  <w:vMerge w:val="continue"/>
                  <w:vAlign w:val="center"/>
                </w:tcPr>
                <w:p w14:paraId="357F2D5A">
                  <w:pPr>
                    <w:pStyle w:val="9"/>
                    <w:numPr>
                      <w:ilvl w:val="0"/>
                      <w:numId w:val="0"/>
                    </w:numPr>
                    <w:spacing w:line="290" w:lineRule="exact"/>
                    <w:jc w:val="center"/>
                    <w:rPr>
                      <w:color w:val="000000" w:themeColor="text1"/>
                      <w:szCs w:val="21"/>
                      <w14:textFill>
                        <w14:solidFill>
                          <w14:schemeClr w14:val="tx1"/>
                        </w14:solidFill>
                      </w14:textFill>
                    </w:rPr>
                  </w:pPr>
                </w:p>
              </w:tc>
            </w:tr>
            <w:tr w14:paraId="2CA33B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5239C715">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0D974EF8">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4CBD0715">
                  <w:pPr>
                    <w:spacing w:line="290" w:lineRule="exact"/>
                    <w:jc w:val="center"/>
                    <w:rPr>
                      <w:color w:val="FF0000"/>
                      <w:szCs w:val="21"/>
                    </w:rPr>
                  </w:pPr>
                </w:p>
              </w:tc>
              <w:tc>
                <w:tcPr>
                  <w:tcW w:w="477" w:type="pct"/>
                  <w:vMerge w:val="continue"/>
                  <w:vAlign w:val="center"/>
                </w:tcPr>
                <w:p w14:paraId="58058CFE">
                  <w:p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73A16E88">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131A3C1D">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7080E858">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1C5E6092">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6BAB8A64">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w:t>
                  </w:r>
                </w:p>
              </w:tc>
              <w:tc>
                <w:tcPr>
                  <w:tcW w:w="251" w:type="pct"/>
                  <w:vAlign w:val="center"/>
                </w:tcPr>
                <w:p w14:paraId="2EE917DD">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497" w:type="pct"/>
                  <w:vAlign w:val="center"/>
                </w:tcPr>
                <w:p w14:paraId="3F4544BD">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71.7</w:t>
                  </w:r>
                </w:p>
              </w:tc>
              <w:tc>
                <w:tcPr>
                  <w:tcW w:w="257" w:type="pct"/>
                  <w:vMerge w:val="continue"/>
                  <w:vAlign w:val="center"/>
                </w:tcPr>
                <w:p w14:paraId="5F6ADD20">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21B205FE">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459CB44B">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51.7</w:t>
                  </w:r>
                </w:p>
              </w:tc>
              <w:tc>
                <w:tcPr>
                  <w:tcW w:w="355" w:type="pct"/>
                  <w:vMerge w:val="continue"/>
                  <w:vAlign w:val="center"/>
                </w:tcPr>
                <w:p w14:paraId="27BD84FA">
                  <w:pPr>
                    <w:pStyle w:val="9"/>
                    <w:numPr>
                      <w:ilvl w:val="0"/>
                      <w:numId w:val="0"/>
                    </w:numPr>
                    <w:spacing w:line="290" w:lineRule="exact"/>
                    <w:jc w:val="center"/>
                    <w:rPr>
                      <w:color w:val="000000" w:themeColor="text1"/>
                      <w:szCs w:val="21"/>
                      <w14:textFill>
                        <w14:solidFill>
                          <w14:schemeClr w14:val="tx1"/>
                        </w14:solidFill>
                      </w14:textFill>
                    </w:rPr>
                  </w:pPr>
                </w:p>
              </w:tc>
            </w:tr>
            <w:tr w14:paraId="51898C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0D3208B8">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53852DCB">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5924A122">
                  <w:pPr>
                    <w:spacing w:line="290" w:lineRule="exact"/>
                    <w:jc w:val="center"/>
                    <w:rPr>
                      <w:color w:val="FF0000"/>
                      <w:szCs w:val="21"/>
                    </w:rPr>
                  </w:pPr>
                </w:p>
              </w:tc>
              <w:tc>
                <w:tcPr>
                  <w:tcW w:w="477" w:type="pct"/>
                  <w:vMerge w:val="continue"/>
                  <w:vAlign w:val="center"/>
                </w:tcPr>
                <w:p w14:paraId="39A86280">
                  <w:p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61D99005">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727701C8">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5A8C3A0F">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509C3A93">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147FED2D">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w:t>
                  </w:r>
                </w:p>
              </w:tc>
              <w:tc>
                <w:tcPr>
                  <w:tcW w:w="251" w:type="pct"/>
                  <w:vAlign w:val="center"/>
                </w:tcPr>
                <w:p w14:paraId="0ABA8DAD">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497" w:type="pct"/>
                  <w:vAlign w:val="center"/>
                </w:tcPr>
                <w:p w14:paraId="31D9CD69">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72.9</w:t>
                  </w:r>
                </w:p>
              </w:tc>
              <w:tc>
                <w:tcPr>
                  <w:tcW w:w="257" w:type="pct"/>
                  <w:vMerge w:val="continue"/>
                  <w:vAlign w:val="center"/>
                </w:tcPr>
                <w:p w14:paraId="0BAA0B64">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1583B16E">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783A81FA">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52.9</w:t>
                  </w:r>
                </w:p>
              </w:tc>
              <w:tc>
                <w:tcPr>
                  <w:tcW w:w="355" w:type="pct"/>
                  <w:vMerge w:val="continue"/>
                  <w:vAlign w:val="center"/>
                </w:tcPr>
                <w:p w14:paraId="77995CC9">
                  <w:pPr>
                    <w:pStyle w:val="9"/>
                    <w:numPr>
                      <w:ilvl w:val="0"/>
                      <w:numId w:val="0"/>
                    </w:numPr>
                    <w:spacing w:line="290" w:lineRule="exact"/>
                    <w:jc w:val="center"/>
                    <w:rPr>
                      <w:color w:val="000000" w:themeColor="text1"/>
                      <w:szCs w:val="21"/>
                      <w14:textFill>
                        <w14:solidFill>
                          <w14:schemeClr w14:val="tx1"/>
                        </w14:solidFill>
                      </w14:textFill>
                    </w:rPr>
                  </w:pPr>
                </w:p>
              </w:tc>
            </w:tr>
            <w:tr w14:paraId="651C4F1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24E858DF">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restart"/>
                  <w:tcBorders>
                    <w:right w:val="single" w:color="auto" w:sz="4" w:space="0"/>
                  </w:tcBorders>
                  <w:vAlign w:val="center"/>
                </w:tcPr>
                <w:p w14:paraId="00A61751">
                  <w:p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风机</w:t>
                  </w:r>
                </w:p>
              </w:tc>
              <w:tc>
                <w:tcPr>
                  <w:tcW w:w="477" w:type="pct"/>
                  <w:vMerge w:val="restart"/>
                  <w:vAlign w:val="center"/>
                </w:tcPr>
                <w:p w14:paraId="70B7DC5E">
                  <w:pPr>
                    <w:spacing w:line="290" w:lineRule="exact"/>
                    <w:jc w:val="center"/>
                    <w:rPr>
                      <w:rFonts w:hint="eastAsia" w:eastAsia="宋体"/>
                      <w:color w:val="FF0000"/>
                      <w:szCs w:val="21"/>
                      <w:lang w:val="en-US" w:eastAsia="zh-CN"/>
                    </w:rPr>
                  </w:pPr>
                  <w:r>
                    <w:rPr>
                      <w:rFonts w:hint="eastAsia"/>
                      <w:color w:val="FF0000"/>
                      <w:szCs w:val="21"/>
                      <w:lang w:val="en-US" w:eastAsia="zh-CN"/>
                    </w:rPr>
                    <w:t>1</w:t>
                  </w:r>
                </w:p>
              </w:tc>
              <w:tc>
                <w:tcPr>
                  <w:tcW w:w="477" w:type="pct"/>
                  <w:vMerge w:val="restart"/>
                  <w:vAlign w:val="center"/>
                </w:tcPr>
                <w:p w14:paraId="7ED929A8">
                  <w:p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342" w:type="pct"/>
                  <w:vMerge w:val="continue"/>
                  <w:vAlign w:val="center"/>
                </w:tcPr>
                <w:p w14:paraId="6C200AD1">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restart"/>
                  <w:vAlign w:val="center"/>
                </w:tcPr>
                <w:p w14:paraId="244BD1D0">
                  <w:pPr>
                    <w:pStyle w:val="9"/>
                    <w:numPr>
                      <w:ilvl w:val="0"/>
                      <w:numId w:val="0"/>
                    </w:numPr>
                    <w:spacing w:line="290" w:lineRule="exact"/>
                    <w:jc w:val="center"/>
                    <w:rPr>
                      <w:color w:val="000000" w:themeColor="text1"/>
                      <w:spacing w:val="-11"/>
                      <w:szCs w:val="21"/>
                      <w14:textFill>
                        <w14:solidFill>
                          <w14:schemeClr w14:val="tx1"/>
                        </w14:solidFill>
                      </w14:textFill>
                    </w:rPr>
                  </w:pPr>
                  <w:r>
                    <w:rPr>
                      <w:color w:val="000000" w:themeColor="text1"/>
                      <w:spacing w:val="-11"/>
                      <w:szCs w:val="21"/>
                      <w14:textFill>
                        <w14:solidFill>
                          <w14:schemeClr w14:val="tx1"/>
                        </w14:solidFill>
                      </w14:textFill>
                    </w:rPr>
                    <w:t>9</w:t>
                  </w:r>
                </w:p>
              </w:tc>
              <w:tc>
                <w:tcPr>
                  <w:tcW w:w="203" w:type="pct"/>
                  <w:vMerge w:val="restart"/>
                  <w:vAlign w:val="center"/>
                </w:tcPr>
                <w:p w14:paraId="0BBCE2F8">
                  <w:pPr>
                    <w:pStyle w:val="9"/>
                    <w:numPr>
                      <w:ilvl w:val="0"/>
                      <w:numId w:val="0"/>
                    </w:numPr>
                    <w:spacing w:line="290" w:lineRule="exact"/>
                    <w:jc w:val="center"/>
                    <w:rPr>
                      <w:color w:val="000000" w:themeColor="text1"/>
                      <w:spacing w:val="-11"/>
                      <w:szCs w:val="21"/>
                      <w14:textFill>
                        <w14:solidFill>
                          <w14:schemeClr w14:val="tx1"/>
                        </w14:solidFill>
                      </w14:textFill>
                    </w:rPr>
                  </w:pPr>
                  <w:r>
                    <w:rPr>
                      <w:color w:val="000000" w:themeColor="text1"/>
                      <w:spacing w:val="-11"/>
                      <w:szCs w:val="21"/>
                      <w14:textFill>
                        <w14:solidFill>
                          <w14:schemeClr w14:val="tx1"/>
                        </w14:solidFill>
                      </w14:textFill>
                    </w:rPr>
                    <w:t>7</w:t>
                  </w:r>
                </w:p>
              </w:tc>
              <w:tc>
                <w:tcPr>
                  <w:tcW w:w="193" w:type="pct"/>
                  <w:vMerge w:val="restart"/>
                  <w:vAlign w:val="center"/>
                </w:tcPr>
                <w:p w14:paraId="685C05BB">
                  <w:pPr>
                    <w:pStyle w:val="9"/>
                    <w:numPr>
                      <w:ilvl w:val="0"/>
                      <w:numId w:val="0"/>
                    </w:numPr>
                    <w:spacing w:line="290" w:lineRule="exact"/>
                    <w:jc w:val="center"/>
                    <w:rPr>
                      <w:color w:val="000000" w:themeColor="text1"/>
                      <w:spacing w:val="-11"/>
                      <w:szCs w:val="21"/>
                      <w14:textFill>
                        <w14:solidFill>
                          <w14:schemeClr w14:val="tx1"/>
                        </w14:solidFill>
                      </w14:textFill>
                    </w:rPr>
                  </w:pPr>
                  <w:r>
                    <w:rPr>
                      <w:rFonts w:hint="eastAsia"/>
                      <w:color w:val="000000" w:themeColor="text1"/>
                      <w:spacing w:val="-11"/>
                      <w:szCs w:val="21"/>
                      <w14:textFill>
                        <w14:solidFill>
                          <w14:schemeClr w14:val="tx1"/>
                        </w14:solidFill>
                      </w14:textFill>
                    </w:rPr>
                    <w:t>7</w:t>
                  </w:r>
                </w:p>
              </w:tc>
              <w:tc>
                <w:tcPr>
                  <w:tcW w:w="254" w:type="pct"/>
                  <w:vAlign w:val="center"/>
                </w:tcPr>
                <w:p w14:paraId="2D54B545">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w:t>
                  </w:r>
                </w:p>
              </w:tc>
              <w:tc>
                <w:tcPr>
                  <w:tcW w:w="251" w:type="pct"/>
                  <w:vAlign w:val="center"/>
                </w:tcPr>
                <w:p w14:paraId="25BAE5D8">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497" w:type="pct"/>
                  <w:vAlign w:val="center"/>
                </w:tcPr>
                <w:p w14:paraId="0E1057C7">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68.2</w:t>
                  </w:r>
                </w:p>
              </w:tc>
              <w:tc>
                <w:tcPr>
                  <w:tcW w:w="257" w:type="pct"/>
                  <w:vMerge w:val="continue"/>
                  <w:vAlign w:val="center"/>
                </w:tcPr>
                <w:p w14:paraId="24042BA3">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4F0AC47C">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6B20B2B2">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48.2</w:t>
                  </w:r>
                </w:p>
              </w:tc>
              <w:tc>
                <w:tcPr>
                  <w:tcW w:w="355" w:type="pct"/>
                  <w:vMerge w:val="restart"/>
                  <w:vAlign w:val="center"/>
                </w:tcPr>
                <w:p w14:paraId="607434D9">
                  <w:pPr>
                    <w:pStyle w:val="9"/>
                    <w:numPr>
                      <w:ilvl w:val="0"/>
                      <w:numId w:val="0"/>
                    </w:numPr>
                    <w:spacing w:line="29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1m</w:t>
                  </w:r>
                </w:p>
              </w:tc>
            </w:tr>
            <w:tr w14:paraId="78C67E0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0A13BCB1">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323A8BC6">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3D95C7AA">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79550047">
                  <w:p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23059860">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28B360B6">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0491E4B0">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6BFEDABF">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2B1AD50A">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w:t>
                  </w:r>
                </w:p>
              </w:tc>
              <w:tc>
                <w:tcPr>
                  <w:tcW w:w="251" w:type="pct"/>
                  <w:vAlign w:val="center"/>
                </w:tcPr>
                <w:p w14:paraId="3F6B99A7">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497" w:type="pct"/>
                  <w:vAlign w:val="center"/>
                </w:tcPr>
                <w:p w14:paraId="1DF27E47">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75.1</w:t>
                  </w:r>
                </w:p>
              </w:tc>
              <w:tc>
                <w:tcPr>
                  <w:tcW w:w="257" w:type="pct"/>
                  <w:vMerge w:val="continue"/>
                  <w:vAlign w:val="center"/>
                </w:tcPr>
                <w:p w14:paraId="7AE31EC4">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76202F26">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4BBDBF03">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55.1</w:t>
                  </w:r>
                </w:p>
              </w:tc>
              <w:tc>
                <w:tcPr>
                  <w:tcW w:w="355" w:type="pct"/>
                  <w:vMerge w:val="continue"/>
                  <w:vAlign w:val="center"/>
                </w:tcPr>
                <w:p w14:paraId="4955B9D2">
                  <w:pPr>
                    <w:pStyle w:val="9"/>
                    <w:numPr>
                      <w:ilvl w:val="0"/>
                      <w:numId w:val="0"/>
                    </w:numPr>
                    <w:spacing w:line="290" w:lineRule="exact"/>
                    <w:jc w:val="center"/>
                    <w:rPr>
                      <w:color w:val="000000" w:themeColor="text1"/>
                      <w:szCs w:val="21"/>
                      <w14:textFill>
                        <w14:solidFill>
                          <w14:schemeClr w14:val="tx1"/>
                        </w14:solidFill>
                      </w14:textFill>
                    </w:rPr>
                  </w:pPr>
                </w:p>
              </w:tc>
            </w:tr>
            <w:tr w14:paraId="0970F1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71DEFE4E">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12CEF617">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1A90AFA5">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581C3AA5">
                  <w:p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73AA65C0">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6B0E64F8">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22445F6E">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340DB0A4">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0C3E4777">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w:t>
                  </w:r>
                </w:p>
              </w:tc>
              <w:tc>
                <w:tcPr>
                  <w:tcW w:w="251" w:type="pct"/>
                  <w:vAlign w:val="center"/>
                </w:tcPr>
                <w:p w14:paraId="4C48696F">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497" w:type="pct"/>
                  <w:vAlign w:val="center"/>
                </w:tcPr>
                <w:p w14:paraId="1101B2ED">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74.1</w:t>
                  </w:r>
                </w:p>
              </w:tc>
              <w:tc>
                <w:tcPr>
                  <w:tcW w:w="257" w:type="pct"/>
                  <w:vMerge w:val="continue"/>
                  <w:vAlign w:val="center"/>
                </w:tcPr>
                <w:p w14:paraId="0939DB48">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0B9E20F1">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4C62717A">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54.1</w:t>
                  </w:r>
                </w:p>
              </w:tc>
              <w:tc>
                <w:tcPr>
                  <w:tcW w:w="355" w:type="pct"/>
                  <w:vMerge w:val="continue"/>
                  <w:vAlign w:val="center"/>
                </w:tcPr>
                <w:p w14:paraId="77A82A70">
                  <w:pPr>
                    <w:pStyle w:val="9"/>
                    <w:numPr>
                      <w:ilvl w:val="0"/>
                      <w:numId w:val="0"/>
                    </w:numPr>
                    <w:spacing w:line="290" w:lineRule="exact"/>
                    <w:jc w:val="center"/>
                    <w:rPr>
                      <w:color w:val="000000" w:themeColor="text1"/>
                      <w:szCs w:val="21"/>
                      <w14:textFill>
                        <w14:solidFill>
                          <w14:schemeClr w14:val="tx1"/>
                        </w14:solidFill>
                      </w14:textFill>
                    </w:rPr>
                  </w:pPr>
                </w:p>
              </w:tc>
            </w:tr>
            <w:tr w14:paraId="062A32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9" w:type="pct"/>
                  <w:vMerge w:val="continue"/>
                  <w:vAlign w:val="center"/>
                </w:tcPr>
                <w:p w14:paraId="4CF5CA07">
                  <w:pPr>
                    <w:pStyle w:val="9"/>
                    <w:numPr>
                      <w:ilvl w:val="0"/>
                      <w:numId w:val="0"/>
                    </w:numPr>
                    <w:spacing w:line="290" w:lineRule="exact"/>
                    <w:jc w:val="center"/>
                    <w:rPr>
                      <w:color w:val="000000" w:themeColor="text1"/>
                      <w:szCs w:val="21"/>
                      <w14:textFill>
                        <w14:solidFill>
                          <w14:schemeClr w14:val="tx1"/>
                        </w14:solidFill>
                      </w14:textFill>
                    </w:rPr>
                  </w:pPr>
                </w:p>
              </w:tc>
              <w:tc>
                <w:tcPr>
                  <w:tcW w:w="367" w:type="pct"/>
                  <w:vMerge w:val="continue"/>
                  <w:tcBorders>
                    <w:right w:val="single" w:color="auto" w:sz="4" w:space="0"/>
                  </w:tcBorders>
                  <w:vAlign w:val="center"/>
                </w:tcPr>
                <w:p w14:paraId="0C545280">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46CD6F6E">
                  <w:pPr>
                    <w:spacing w:line="290" w:lineRule="exact"/>
                    <w:jc w:val="center"/>
                    <w:rPr>
                      <w:color w:val="000000" w:themeColor="text1"/>
                      <w:szCs w:val="21"/>
                      <w14:textFill>
                        <w14:solidFill>
                          <w14:schemeClr w14:val="tx1"/>
                        </w14:solidFill>
                      </w14:textFill>
                    </w:rPr>
                  </w:pPr>
                </w:p>
              </w:tc>
              <w:tc>
                <w:tcPr>
                  <w:tcW w:w="477" w:type="pct"/>
                  <w:vMerge w:val="continue"/>
                  <w:vAlign w:val="center"/>
                </w:tcPr>
                <w:p w14:paraId="58761234">
                  <w:pPr>
                    <w:spacing w:line="290" w:lineRule="exact"/>
                    <w:jc w:val="center"/>
                    <w:rPr>
                      <w:color w:val="000000" w:themeColor="text1"/>
                      <w:szCs w:val="21"/>
                      <w14:textFill>
                        <w14:solidFill>
                          <w14:schemeClr w14:val="tx1"/>
                        </w14:solidFill>
                      </w14:textFill>
                    </w:rPr>
                  </w:pPr>
                </w:p>
              </w:tc>
              <w:tc>
                <w:tcPr>
                  <w:tcW w:w="342" w:type="pct"/>
                  <w:vMerge w:val="continue"/>
                  <w:vAlign w:val="center"/>
                </w:tcPr>
                <w:p w14:paraId="4FB1930F">
                  <w:pPr>
                    <w:pStyle w:val="9"/>
                    <w:numPr>
                      <w:ilvl w:val="0"/>
                      <w:numId w:val="0"/>
                    </w:numPr>
                    <w:spacing w:line="290" w:lineRule="exact"/>
                    <w:jc w:val="center"/>
                    <w:rPr>
                      <w:color w:val="000000" w:themeColor="text1"/>
                      <w:szCs w:val="21"/>
                      <w14:textFill>
                        <w14:solidFill>
                          <w14:schemeClr w14:val="tx1"/>
                        </w14:solidFill>
                      </w14:textFill>
                    </w:rPr>
                  </w:pPr>
                </w:p>
              </w:tc>
              <w:tc>
                <w:tcPr>
                  <w:tcW w:w="198" w:type="pct"/>
                  <w:vMerge w:val="continue"/>
                  <w:vAlign w:val="center"/>
                </w:tcPr>
                <w:p w14:paraId="6A6380E3">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03" w:type="pct"/>
                  <w:vMerge w:val="continue"/>
                  <w:vAlign w:val="center"/>
                </w:tcPr>
                <w:p w14:paraId="06546786">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193" w:type="pct"/>
                  <w:vMerge w:val="continue"/>
                  <w:vAlign w:val="center"/>
                </w:tcPr>
                <w:p w14:paraId="6F143819">
                  <w:pPr>
                    <w:pStyle w:val="9"/>
                    <w:numPr>
                      <w:ilvl w:val="0"/>
                      <w:numId w:val="0"/>
                    </w:numPr>
                    <w:spacing w:line="290" w:lineRule="exact"/>
                    <w:jc w:val="center"/>
                    <w:rPr>
                      <w:color w:val="000000" w:themeColor="text1"/>
                      <w:spacing w:val="-11"/>
                      <w:szCs w:val="21"/>
                      <w14:textFill>
                        <w14:solidFill>
                          <w14:schemeClr w14:val="tx1"/>
                        </w14:solidFill>
                      </w14:textFill>
                    </w:rPr>
                  </w:pPr>
                </w:p>
              </w:tc>
              <w:tc>
                <w:tcPr>
                  <w:tcW w:w="254" w:type="pct"/>
                  <w:vAlign w:val="center"/>
                </w:tcPr>
                <w:p w14:paraId="75B90EAA">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w:t>
                  </w:r>
                </w:p>
              </w:tc>
              <w:tc>
                <w:tcPr>
                  <w:tcW w:w="251" w:type="pct"/>
                  <w:vAlign w:val="center"/>
                </w:tcPr>
                <w:p w14:paraId="57748C10">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497" w:type="pct"/>
                  <w:vAlign w:val="center"/>
                </w:tcPr>
                <w:p w14:paraId="2D2E28D7">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72.9</w:t>
                  </w:r>
                </w:p>
              </w:tc>
              <w:tc>
                <w:tcPr>
                  <w:tcW w:w="257" w:type="pct"/>
                  <w:vMerge w:val="continue"/>
                  <w:vAlign w:val="center"/>
                </w:tcPr>
                <w:p w14:paraId="5EE19094">
                  <w:pPr>
                    <w:pStyle w:val="9"/>
                    <w:numPr>
                      <w:ilvl w:val="0"/>
                      <w:numId w:val="0"/>
                    </w:numPr>
                    <w:spacing w:line="290" w:lineRule="exact"/>
                    <w:jc w:val="center"/>
                    <w:rPr>
                      <w:color w:val="000000" w:themeColor="text1"/>
                      <w:szCs w:val="21"/>
                      <w14:textFill>
                        <w14:solidFill>
                          <w14:schemeClr w14:val="tx1"/>
                        </w14:solidFill>
                      </w14:textFill>
                    </w:rPr>
                  </w:pPr>
                </w:p>
              </w:tc>
              <w:tc>
                <w:tcPr>
                  <w:tcW w:w="466" w:type="pct"/>
                  <w:vMerge w:val="continue"/>
                  <w:vAlign w:val="center"/>
                </w:tcPr>
                <w:p w14:paraId="0E745AC1">
                  <w:pPr>
                    <w:pStyle w:val="9"/>
                    <w:numPr>
                      <w:ilvl w:val="0"/>
                      <w:numId w:val="0"/>
                    </w:numPr>
                    <w:spacing w:line="290" w:lineRule="exact"/>
                    <w:jc w:val="center"/>
                    <w:rPr>
                      <w:color w:val="000000" w:themeColor="text1"/>
                      <w:szCs w:val="21"/>
                      <w14:textFill>
                        <w14:solidFill>
                          <w14:schemeClr w14:val="tx1"/>
                        </w14:solidFill>
                      </w14:textFill>
                    </w:rPr>
                  </w:pPr>
                </w:p>
              </w:tc>
              <w:tc>
                <w:tcPr>
                  <w:tcW w:w="428" w:type="pct"/>
                  <w:vAlign w:val="center"/>
                </w:tcPr>
                <w:p w14:paraId="20CA618D">
                  <w:pPr>
                    <w:pStyle w:val="9"/>
                    <w:numPr>
                      <w:ilvl w:val="0"/>
                      <w:numId w:val="0"/>
                    </w:numPr>
                    <w:spacing w:line="29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52.9</w:t>
                  </w:r>
                </w:p>
              </w:tc>
              <w:tc>
                <w:tcPr>
                  <w:tcW w:w="355" w:type="pct"/>
                  <w:vMerge w:val="continue"/>
                  <w:vAlign w:val="center"/>
                </w:tcPr>
                <w:p w14:paraId="0F0D23FC">
                  <w:pPr>
                    <w:pStyle w:val="9"/>
                    <w:numPr>
                      <w:ilvl w:val="0"/>
                      <w:numId w:val="0"/>
                    </w:numPr>
                    <w:spacing w:line="290" w:lineRule="exact"/>
                    <w:jc w:val="center"/>
                    <w:rPr>
                      <w:color w:val="000000" w:themeColor="text1"/>
                      <w:szCs w:val="21"/>
                      <w14:textFill>
                        <w14:solidFill>
                          <w14:schemeClr w14:val="tx1"/>
                        </w14:solidFill>
                      </w14:textFill>
                    </w:rPr>
                  </w:pPr>
                </w:p>
              </w:tc>
            </w:tr>
          </w:tbl>
          <w:p w14:paraId="1BD286BE">
            <w:pPr>
              <w:pStyle w:val="48"/>
              <w:spacing w:after="0" w:line="360" w:lineRule="exact"/>
              <w:rPr>
                <w:color w:val="000000" w:themeColor="text1"/>
                <w14:textFill>
                  <w14:solidFill>
                    <w14:schemeClr w14:val="tx1"/>
                  </w14:solidFill>
                </w14:textFill>
              </w:rPr>
            </w:pPr>
            <w:r>
              <w:rPr>
                <w:color w:val="000000" w:themeColor="text1"/>
                <w14:textFill>
                  <w14:solidFill>
                    <w14:schemeClr w14:val="tx1"/>
                  </w14:solidFill>
                </w14:textFill>
              </w:rPr>
              <w:t>注：以生产车间西南角为原点，本项目无室外声源。</w:t>
            </w:r>
          </w:p>
          <w:p w14:paraId="7687DD91">
            <w:pPr>
              <w:tabs>
                <w:tab w:val="left" w:pos="1684"/>
              </w:tabs>
              <w:spacing w:line="48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3.2噪声防治措施</w:t>
            </w:r>
          </w:p>
          <w:p w14:paraId="554C0CDE">
            <w:pPr>
              <w:spacing w:line="480" w:lineRule="exact"/>
              <w:ind w:firstLine="456" w:firstLineChars="200"/>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针对不同类别的噪声，本项目拟采取以下措施：</w:t>
            </w:r>
          </w:p>
          <w:p w14:paraId="619690F7">
            <w:pPr>
              <w:spacing w:line="480" w:lineRule="exact"/>
              <w:ind w:firstLine="456" w:firstLineChars="200"/>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（1）首先考虑选用低噪声设备，并按照工业设备安装的有关规范进行安装，在源头上控制噪声污染；</w:t>
            </w:r>
          </w:p>
          <w:p w14:paraId="68443848">
            <w:pPr>
              <w:spacing w:line="480" w:lineRule="exact"/>
              <w:ind w:firstLine="456" w:firstLineChars="200"/>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（2）项目各类生产设备均布置在车间内，针对较大的设备噪声源，可通过对设备安装减振座、加设减振垫等方式来进行减振处理，同时通过车间隔声可有效的减轻设备噪声影响；</w:t>
            </w:r>
          </w:p>
          <w:p w14:paraId="1C301938">
            <w:pPr>
              <w:spacing w:line="480" w:lineRule="exact"/>
              <w:ind w:firstLine="456" w:firstLineChars="200"/>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（3）对废气处理设备配套的风机可以在风机风口安装消声器和隔声罩，平时对这类动力设备注意维护，防止其故障时噪声排放；</w:t>
            </w:r>
          </w:p>
          <w:p w14:paraId="7C4444DE">
            <w:pPr>
              <w:spacing w:line="480" w:lineRule="exact"/>
              <w:ind w:firstLine="456" w:firstLineChars="200"/>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（4）保持设备处于良好的运转状态，防止因设备运转不正常而增大噪声，要经常进行保养，减少摩擦力，降低噪声；</w:t>
            </w:r>
          </w:p>
          <w:p w14:paraId="6212FC72">
            <w:pPr>
              <w:spacing w:line="480" w:lineRule="exact"/>
              <w:ind w:firstLine="456" w:firstLineChars="200"/>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5）总图合理布局，在满足工艺要求的前提下，考虑将高噪声设备集中布置，在总平面布置时做到远离厂界以减少高噪声源对厂界外环境的影响；同时设计中，尽量做到高噪声车间与非噪声产生的工作场所闹静分开；</w:t>
            </w:r>
          </w:p>
          <w:p w14:paraId="0D6B8EBD">
            <w:pPr>
              <w:tabs>
                <w:tab w:val="left" w:pos="1684"/>
              </w:tabs>
              <w:spacing w:line="48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3.3厂界达标性分析</w:t>
            </w:r>
          </w:p>
          <w:p w14:paraId="724F9CA8">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项目区运营期噪声源主要为设备噪声，根据有关资料和类比调查，这些机械设备的单机噪声在80~90dB(A)之间。依据《环境影响评价技术导则—声环境》</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HJ2.4-2021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中的数学模型，选用点声源噪声发散衰减模式预测项目厂界噪声的达标情况。预测模式如下：</w:t>
            </w:r>
          </w:p>
          <w:p w14:paraId="7339DB7B">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噪声贡献值</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eqg</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计算公式为：</w:t>
            </w:r>
          </w:p>
          <w:p w14:paraId="0DA5E0A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256155" cy="531495"/>
                  <wp:effectExtent l="0" t="0" r="10795" b="19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5"/>
                          <a:stretch>
                            <a:fillRect/>
                          </a:stretch>
                        </pic:blipFill>
                        <pic:spPr>
                          <a:xfrm>
                            <a:off x="0" y="0"/>
                            <a:ext cx="2256155" cy="531495"/>
                          </a:xfrm>
                          <a:prstGeom prst="rect">
                            <a:avLst/>
                          </a:prstGeom>
                          <a:noFill/>
                          <a:ln>
                            <a:noFill/>
                          </a:ln>
                        </pic:spPr>
                      </pic:pic>
                    </a:graphicData>
                  </a:graphic>
                </wp:inline>
              </w:drawing>
            </w:r>
          </w:p>
          <w:p w14:paraId="2FA8B1A6">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式中：L</w:t>
            </w:r>
            <w:r>
              <w:rPr>
                <w:color w:val="000000" w:themeColor="text1"/>
                <w:sz w:val="24"/>
                <w:vertAlign w:val="subscript"/>
                <w14:textFill>
                  <w14:solidFill>
                    <w14:schemeClr w14:val="tx1"/>
                  </w14:solidFill>
                </w14:textFill>
              </w:rPr>
              <w:t>aqg</w:t>
            </w:r>
            <w:r>
              <w:rPr>
                <w:color w:val="000000" w:themeColor="text1"/>
                <w:sz w:val="24"/>
                <w14:textFill>
                  <w14:solidFill>
                    <w14:schemeClr w14:val="tx1"/>
                  </w14:solidFill>
                </w14:textFill>
              </w:rPr>
              <w:t>——噪声贡献值，dB；</w:t>
            </w:r>
          </w:p>
          <w:p w14:paraId="75B4099D">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T——预测计算的时间段，s；</w:t>
            </w:r>
          </w:p>
          <w:p w14:paraId="16E1C3D9">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t</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——i声源在T时间段内的运行时间，s；</w:t>
            </w:r>
          </w:p>
          <w:p w14:paraId="6E232064">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LAi——i声源在预测点产生的等效连续A声级，dB。</w:t>
            </w:r>
          </w:p>
          <w:p w14:paraId="549E7DE2">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无指向性点声源几何发散衰减的基本公式：</w:t>
            </w:r>
          </w:p>
          <w:p w14:paraId="5F50341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917065" cy="400685"/>
                  <wp:effectExtent l="0" t="0" r="6985" b="1841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6"/>
                          <a:stretch>
                            <a:fillRect/>
                          </a:stretch>
                        </pic:blipFill>
                        <pic:spPr>
                          <a:xfrm>
                            <a:off x="0" y="0"/>
                            <a:ext cx="1917065" cy="400685"/>
                          </a:xfrm>
                          <a:prstGeom prst="rect">
                            <a:avLst/>
                          </a:prstGeom>
                          <a:noFill/>
                          <a:ln>
                            <a:noFill/>
                          </a:ln>
                        </pic:spPr>
                      </pic:pic>
                    </a:graphicData>
                  </a:graphic>
                </wp:inline>
              </w:drawing>
            </w:r>
          </w:p>
          <w:p w14:paraId="22EC6E1E">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式中：LP(r)——预测点声压级，dB(A)；</w:t>
            </w:r>
          </w:p>
          <w:p w14:paraId="63493B1B">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LP(r0)——噪声源声压级，dB(A)；</w:t>
            </w:r>
          </w:p>
          <w:p w14:paraId="0B6D5C38">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r——预测点离噪声源的距离，m。</w:t>
            </w:r>
          </w:p>
          <w:p w14:paraId="7D7788E9">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考虑到厂房、车间窗隔声约25dB(A)，因此本次预测按照降低后的声源强度进行。</w:t>
            </w:r>
          </w:p>
          <w:p w14:paraId="6DCC582A">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噪声预测值</w:t>
            </w:r>
          </w:p>
          <w:p w14:paraId="535F3779">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预测点的贡献值和背景值按能量叠加方法计算得到的声级。</w:t>
            </w:r>
          </w:p>
          <w:p w14:paraId="06DFEC4F">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噪声预测值</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Leq</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计算公式为：</w:t>
            </w:r>
          </w:p>
          <w:p w14:paraId="577953E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271395" cy="428625"/>
                  <wp:effectExtent l="0" t="0" r="14605" b="95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7"/>
                          <a:stretch>
                            <a:fillRect/>
                          </a:stretch>
                        </pic:blipFill>
                        <pic:spPr>
                          <a:xfrm>
                            <a:off x="0" y="0"/>
                            <a:ext cx="2271395" cy="428625"/>
                          </a:xfrm>
                          <a:prstGeom prst="rect">
                            <a:avLst/>
                          </a:prstGeom>
                          <a:noFill/>
                          <a:ln>
                            <a:noFill/>
                          </a:ln>
                        </pic:spPr>
                      </pic:pic>
                    </a:graphicData>
                  </a:graphic>
                </wp:inline>
              </w:drawing>
            </w:r>
          </w:p>
          <w:p w14:paraId="6494065A">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式中：L</w:t>
            </w:r>
            <w:r>
              <w:rPr>
                <w:color w:val="000000" w:themeColor="text1"/>
                <w:sz w:val="24"/>
                <w:vertAlign w:val="subscript"/>
                <w14:textFill>
                  <w14:solidFill>
                    <w14:schemeClr w14:val="tx1"/>
                  </w14:solidFill>
                </w14:textFill>
              </w:rPr>
              <w:t>eq</w:t>
            </w:r>
            <w:r>
              <w:rPr>
                <w:color w:val="000000" w:themeColor="text1"/>
                <w:sz w:val="24"/>
                <w14:textFill>
                  <w14:solidFill>
                    <w14:schemeClr w14:val="tx1"/>
                  </w14:solidFill>
                </w14:textFill>
              </w:rPr>
              <w:t>——预测点噪声预测值，dB(A)；</w:t>
            </w:r>
          </w:p>
          <w:p w14:paraId="1DC49133">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eqg</w:t>
            </w:r>
            <w:r>
              <w:rPr>
                <w:color w:val="000000" w:themeColor="text1"/>
                <w:sz w:val="24"/>
                <w14:textFill>
                  <w14:solidFill>
                    <w14:schemeClr w14:val="tx1"/>
                  </w14:solidFill>
                </w14:textFill>
              </w:rPr>
              <w:t>——建设项目声源在预测点产生的噪声贡献值，dB(A)；</w:t>
            </w:r>
          </w:p>
          <w:p w14:paraId="19031797">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eqb</w:t>
            </w:r>
            <w:r>
              <w:rPr>
                <w:color w:val="000000" w:themeColor="text1"/>
                <w:sz w:val="24"/>
                <w14:textFill>
                  <w14:solidFill>
                    <w14:schemeClr w14:val="tx1"/>
                  </w14:solidFill>
                </w14:textFill>
              </w:rPr>
              <w:t>——预测点的背景噪声值，dB(A)。</w:t>
            </w:r>
          </w:p>
          <w:p w14:paraId="26ACA8F7">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计算结果</w:t>
            </w:r>
          </w:p>
          <w:p w14:paraId="48DACC8B">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按上述预测模式，项目厂界噪声的达标情况见下表。</w:t>
            </w:r>
          </w:p>
          <w:p w14:paraId="0CE5CEE9">
            <w:pPr>
              <w:spacing w:line="48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本项目生产制度为一班制，夜间不生产，故本次评价对东、南、西、北厂界进行昼间噪声的影响预测。根据企业提供的噪声设备分布情况，噪声源对厂界噪声的影响预测结果见下表。</w:t>
            </w:r>
          </w:p>
          <w:p w14:paraId="673F6F06">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表4-1</w:t>
            </w: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 项目噪声源强预测结果一览表    单位：dB（A）</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764"/>
              <w:gridCol w:w="2401"/>
              <w:gridCol w:w="1563"/>
              <w:gridCol w:w="1559"/>
            </w:tblGrid>
            <w:tr w14:paraId="1D497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26" w:type="pct"/>
                  <w:vMerge w:val="restart"/>
                  <w:vAlign w:val="center"/>
                </w:tcPr>
                <w:p w14:paraId="079323BB">
                  <w:pPr>
                    <w:autoSpaceDE w:val="0"/>
                    <w:autoSpaceDN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预测点</w:t>
                  </w:r>
                </w:p>
              </w:tc>
              <w:tc>
                <w:tcPr>
                  <w:tcW w:w="1292" w:type="pct"/>
                  <w:vMerge w:val="restart"/>
                  <w:vAlign w:val="center"/>
                </w:tcPr>
                <w:p w14:paraId="32CE7BA6">
                  <w:pPr>
                    <w:autoSpaceDE w:val="0"/>
                    <w:autoSpaceDN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贡献值（昼）</w:t>
                  </w:r>
                </w:p>
              </w:tc>
              <w:tc>
                <w:tcPr>
                  <w:tcW w:w="841" w:type="pct"/>
                  <w:vAlign w:val="center"/>
                </w:tcPr>
                <w:p w14:paraId="366A6A6B">
                  <w:pPr>
                    <w:autoSpaceDE w:val="0"/>
                    <w:autoSpaceDN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标准</w:t>
                  </w:r>
                </w:p>
              </w:tc>
              <w:tc>
                <w:tcPr>
                  <w:tcW w:w="839" w:type="pct"/>
                  <w:vAlign w:val="center"/>
                </w:tcPr>
                <w:p w14:paraId="2B815FEB">
                  <w:pPr>
                    <w:autoSpaceDE w:val="0"/>
                    <w:autoSpaceDN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超标情况</w:t>
                  </w:r>
                </w:p>
              </w:tc>
            </w:tr>
            <w:tr w14:paraId="22AA94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26" w:type="pct"/>
                  <w:vMerge w:val="continue"/>
                  <w:vAlign w:val="center"/>
                </w:tcPr>
                <w:p w14:paraId="25F684C6">
                  <w:pPr>
                    <w:autoSpaceDE w:val="0"/>
                    <w:autoSpaceDN w:val="0"/>
                    <w:jc w:val="center"/>
                    <w:rPr>
                      <w:b/>
                      <w:color w:val="000000" w:themeColor="text1"/>
                      <w:szCs w:val="21"/>
                      <w14:textFill>
                        <w14:solidFill>
                          <w14:schemeClr w14:val="tx1"/>
                        </w14:solidFill>
                      </w14:textFill>
                    </w:rPr>
                  </w:pPr>
                </w:p>
              </w:tc>
              <w:tc>
                <w:tcPr>
                  <w:tcW w:w="1292" w:type="pct"/>
                  <w:vMerge w:val="continue"/>
                  <w:vAlign w:val="center"/>
                </w:tcPr>
                <w:p w14:paraId="7D50562D">
                  <w:pPr>
                    <w:autoSpaceDE w:val="0"/>
                    <w:autoSpaceDN w:val="0"/>
                    <w:jc w:val="center"/>
                    <w:rPr>
                      <w:b/>
                      <w:color w:val="000000" w:themeColor="text1"/>
                      <w:szCs w:val="21"/>
                      <w14:textFill>
                        <w14:solidFill>
                          <w14:schemeClr w14:val="tx1"/>
                        </w14:solidFill>
                      </w14:textFill>
                    </w:rPr>
                  </w:pPr>
                </w:p>
              </w:tc>
              <w:tc>
                <w:tcPr>
                  <w:tcW w:w="841" w:type="pct"/>
                  <w:tcBorders>
                    <w:right w:val="single" w:color="auto" w:sz="2" w:space="0"/>
                  </w:tcBorders>
                  <w:vAlign w:val="center"/>
                </w:tcPr>
                <w:p w14:paraId="0E06E9AC">
                  <w:pPr>
                    <w:autoSpaceDE w:val="0"/>
                    <w:autoSpaceDN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昼</w:t>
                  </w:r>
                </w:p>
              </w:tc>
              <w:tc>
                <w:tcPr>
                  <w:tcW w:w="839" w:type="pct"/>
                  <w:tcBorders>
                    <w:right w:val="single" w:color="auto" w:sz="2" w:space="0"/>
                  </w:tcBorders>
                  <w:vAlign w:val="center"/>
                </w:tcPr>
                <w:p w14:paraId="3A3F1F8F">
                  <w:pPr>
                    <w:autoSpaceDE w:val="0"/>
                    <w:autoSpaceDN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昼</w:t>
                  </w:r>
                </w:p>
              </w:tc>
            </w:tr>
            <w:tr w14:paraId="1B9BC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26" w:type="pct"/>
                  <w:vAlign w:val="center"/>
                </w:tcPr>
                <w:p w14:paraId="04FCC927">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N1（东</w:t>
                  </w:r>
                  <w:r>
                    <w:rPr>
                      <w:color w:val="000000" w:themeColor="text1"/>
                      <w:kern w:val="0"/>
                      <w:szCs w:val="21"/>
                      <w14:textFill>
                        <w14:solidFill>
                          <w14:schemeClr w14:val="tx1"/>
                        </w14:solidFill>
                      </w14:textFill>
                    </w:rPr>
                    <w:t>厂界）</w:t>
                  </w:r>
                </w:p>
              </w:tc>
              <w:tc>
                <w:tcPr>
                  <w:tcW w:w="1292" w:type="pct"/>
                  <w:vAlign w:val="center"/>
                </w:tcPr>
                <w:p w14:paraId="70BD8806">
                  <w:pPr>
                    <w:autoSpaceDE w:val="0"/>
                    <w:autoSpaceDN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55.15</w:t>
                  </w:r>
                </w:p>
              </w:tc>
              <w:tc>
                <w:tcPr>
                  <w:tcW w:w="841" w:type="pct"/>
                  <w:tcBorders>
                    <w:right w:val="single" w:color="auto" w:sz="2" w:space="0"/>
                  </w:tcBorders>
                  <w:vAlign w:val="center"/>
                </w:tcPr>
                <w:p w14:paraId="32184A7D">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839" w:type="pct"/>
                  <w:tcBorders>
                    <w:right w:val="single" w:color="auto" w:sz="2" w:space="0"/>
                  </w:tcBorders>
                  <w:vAlign w:val="center"/>
                </w:tcPr>
                <w:p w14:paraId="68EE5E12">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150479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26" w:type="pct"/>
                  <w:vAlign w:val="center"/>
                </w:tcPr>
                <w:p w14:paraId="436F72DC">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N2（南</w:t>
                  </w:r>
                  <w:r>
                    <w:rPr>
                      <w:color w:val="000000" w:themeColor="text1"/>
                      <w:kern w:val="0"/>
                      <w:szCs w:val="21"/>
                      <w14:textFill>
                        <w14:solidFill>
                          <w14:schemeClr w14:val="tx1"/>
                        </w14:solidFill>
                      </w14:textFill>
                    </w:rPr>
                    <w:t>厂界</w:t>
                  </w:r>
                  <w:r>
                    <w:rPr>
                      <w:color w:val="000000" w:themeColor="text1"/>
                      <w:szCs w:val="21"/>
                      <w14:textFill>
                        <w14:solidFill>
                          <w14:schemeClr w14:val="tx1"/>
                        </w14:solidFill>
                      </w14:textFill>
                    </w:rPr>
                    <w:t>）</w:t>
                  </w:r>
                </w:p>
              </w:tc>
              <w:tc>
                <w:tcPr>
                  <w:tcW w:w="1292" w:type="pct"/>
                  <w:vAlign w:val="center"/>
                </w:tcPr>
                <w:p w14:paraId="25964BB9">
                  <w:pPr>
                    <w:autoSpaceDE w:val="0"/>
                    <w:autoSpaceDN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5.16</w:t>
                  </w:r>
                </w:p>
              </w:tc>
              <w:tc>
                <w:tcPr>
                  <w:tcW w:w="841" w:type="pct"/>
                  <w:tcBorders>
                    <w:right w:val="single" w:color="auto" w:sz="2" w:space="0"/>
                  </w:tcBorders>
                  <w:vAlign w:val="center"/>
                </w:tcPr>
                <w:p w14:paraId="11E3BDF8">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839" w:type="pct"/>
                  <w:tcBorders>
                    <w:right w:val="single" w:color="auto" w:sz="2" w:space="0"/>
                  </w:tcBorders>
                  <w:vAlign w:val="center"/>
                </w:tcPr>
                <w:p w14:paraId="68FB8AB0">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7D091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26" w:type="pct"/>
                  <w:vAlign w:val="center"/>
                </w:tcPr>
                <w:p w14:paraId="67B9BF7E">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N3（西</w:t>
                  </w:r>
                  <w:r>
                    <w:rPr>
                      <w:color w:val="000000" w:themeColor="text1"/>
                      <w:kern w:val="0"/>
                      <w:szCs w:val="21"/>
                      <w14:textFill>
                        <w14:solidFill>
                          <w14:schemeClr w14:val="tx1"/>
                        </w14:solidFill>
                      </w14:textFill>
                    </w:rPr>
                    <w:t>厂界</w:t>
                  </w:r>
                  <w:r>
                    <w:rPr>
                      <w:color w:val="000000" w:themeColor="text1"/>
                      <w:szCs w:val="21"/>
                      <w14:textFill>
                        <w14:solidFill>
                          <w14:schemeClr w14:val="tx1"/>
                        </w14:solidFill>
                      </w14:textFill>
                    </w:rPr>
                    <w:t>）</w:t>
                  </w:r>
                </w:p>
              </w:tc>
              <w:tc>
                <w:tcPr>
                  <w:tcW w:w="1292" w:type="pct"/>
                  <w:vAlign w:val="center"/>
                </w:tcPr>
                <w:p w14:paraId="5BF4279A">
                  <w:pPr>
                    <w:autoSpaceDE w:val="0"/>
                    <w:autoSpaceDN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54.24</w:t>
                  </w:r>
                </w:p>
              </w:tc>
              <w:tc>
                <w:tcPr>
                  <w:tcW w:w="841" w:type="pct"/>
                  <w:tcBorders>
                    <w:right w:val="single" w:color="auto" w:sz="2" w:space="0"/>
                  </w:tcBorders>
                  <w:vAlign w:val="center"/>
                </w:tcPr>
                <w:p w14:paraId="40A02F30">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839" w:type="pct"/>
                  <w:tcBorders>
                    <w:right w:val="single" w:color="auto" w:sz="2" w:space="0"/>
                  </w:tcBorders>
                  <w:vAlign w:val="center"/>
                </w:tcPr>
                <w:p w14:paraId="5C3F2206">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52D38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26" w:type="pct"/>
                  <w:vAlign w:val="center"/>
                </w:tcPr>
                <w:p w14:paraId="60776C27">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N4（北</w:t>
                  </w:r>
                  <w:r>
                    <w:rPr>
                      <w:color w:val="000000" w:themeColor="text1"/>
                      <w:kern w:val="0"/>
                      <w:szCs w:val="21"/>
                      <w14:textFill>
                        <w14:solidFill>
                          <w14:schemeClr w14:val="tx1"/>
                        </w14:solidFill>
                      </w14:textFill>
                    </w:rPr>
                    <w:t>厂界</w:t>
                  </w:r>
                  <w:r>
                    <w:rPr>
                      <w:color w:val="000000" w:themeColor="text1"/>
                      <w:szCs w:val="21"/>
                      <w14:textFill>
                        <w14:solidFill>
                          <w14:schemeClr w14:val="tx1"/>
                        </w14:solidFill>
                      </w14:textFill>
                    </w:rPr>
                    <w:t>）</w:t>
                  </w:r>
                </w:p>
              </w:tc>
              <w:tc>
                <w:tcPr>
                  <w:tcW w:w="1292" w:type="pct"/>
                  <w:vAlign w:val="center"/>
                </w:tcPr>
                <w:p w14:paraId="607CF533">
                  <w:pPr>
                    <w:autoSpaceDE w:val="0"/>
                    <w:autoSpaceDN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54.04</w:t>
                  </w:r>
                </w:p>
              </w:tc>
              <w:tc>
                <w:tcPr>
                  <w:tcW w:w="841" w:type="pct"/>
                  <w:tcBorders>
                    <w:right w:val="single" w:color="auto" w:sz="2" w:space="0"/>
                  </w:tcBorders>
                  <w:vAlign w:val="center"/>
                </w:tcPr>
                <w:p w14:paraId="34D787FC">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839" w:type="pct"/>
                  <w:tcBorders>
                    <w:right w:val="single" w:color="auto" w:sz="2" w:space="0"/>
                  </w:tcBorders>
                  <w:vAlign w:val="center"/>
                </w:tcPr>
                <w:p w14:paraId="4B889BF3">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17A62FC2">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在采取噪声防治措施的前提下，四周厂界噪声均符合《工业企业厂界环境噪声排放标准》（GB12348-2008）中的3类标准。因此，本项目噪声源对周围环境影响较小。</w:t>
            </w:r>
          </w:p>
          <w:p w14:paraId="5D82DBDF">
            <w:pPr>
              <w:tabs>
                <w:tab w:val="left" w:pos="1684"/>
              </w:tabs>
              <w:spacing w:before="120" w:beforeLines="50" w:after="120" w:afterLines="50" w:line="36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3.4噪声监测计划</w:t>
            </w:r>
          </w:p>
          <w:p w14:paraId="0039F546">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监测点位：厂界四周布设4个点位；</w:t>
            </w:r>
          </w:p>
          <w:p w14:paraId="4A832A30">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监测频次：《排污单位自行监测技术指南 总则》（HJ819-2017）要求每季度监测一次。</w:t>
            </w:r>
          </w:p>
          <w:p w14:paraId="24F65047">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监测因子：</w:t>
            </w:r>
            <w:r>
              <w:rPr>
                <w:bCs/>
                <w:color w:val="000000" w:themeColor="text1"/>
                <w:sz w:val="24"/>
                <w14:textFill>
                  <w14:solidFill>
                    <w14:schemeClr w14:val="tx1"/>
                  </w14:solidFill>
                </w14:textFill>
              </w:rPr>
              <w:t>厂界噪声</w:t>
            </w:r>
            <w:r>
              <w:rPr>
                <w:color w:val="000000" w:themeColor="text1"/>
                <w:sz w:val="24"/>
                <w14:textFill>
                  <w14:solidFill>
                    <w14:schemeClr w14:val="tx1"/>
                  </w14:solidFill>
                </w14:textFill>
              </w:rPr>
              <w:t>昼/夜间</w:t>
            </w:r>
            <w:r>
              <w:rPr>
                <w:bCs/>
                <w:color w:val="000000" w:themeColor="text1"/>
                <w:sz w:val="24"/>
                <w14:textFill>
                  <w14:solidFill>
                    <w14:schemeClr w14:val="tx1"/>
                  </w14:solidFill>
                </w14:textFill>
              </w:rPr>
              <w:t>等效连续A声级</w:t>
            </w:r>
            <w:r>
              <w:rPr>
                <w:color w:val="000000" w:themeColor="text1"/>
                <w:sz w:val="24"/>
                <w14:textFill>
                  <w14:solidFill>
                    <w14:schemeClr w14:val="tx1"/>
                  </w14:solidFill>
                </w14:textFill>
              </w:rPr>
              <w:t>Leq(A)。</w:t>
            </w:r>
          </w:p>
          <w:p w14:paraId="187277AE">
            <w:pPr>
              <w:tabs>
                <w:tab w:val="left" w:pos="2160"/>
              </w:tabs>
              <w:spacing w:line="480" w:lineRule="exact"/>
              <w:ind w:firstLine="480" w:firstLineChars="200"/>
              <w:rPr>
                <w:b/>
                <w:color w:val="000000" w:themeColor="text1"/>
                <w:sz w:val="24"/>
                <w14:textFill>
                  <w14:solidFill>
                    <w14:schemeClr w14:val="tx1"/>
                  </w14:solidFill>
                </w14:textFill>
              </w:rPr>
            </w:pPr>
            <w:r>
              <w:rPr>
                <w:color w:val="000000" w:themeColor="text1"/>
                <w:sz w:val="24"/>
                <w14:textFill>
                  <w14:solidFill>
                    <w14:schemeClr w14:val="tx1"/>
                  </w14:solidFill>
                </w14:textFill>
              </w:rPr>
              <w:t>噪声监测位置、监测因子、频率等详见表4-1</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p>
          <w:p w14:paraId="7A66176A">
            <w:pPr>
              <w:pStyle w:val="60"/>
              <w:spacing w:before="0" w:beforeLines="0" w:line="360" w:lineRule="exact"/>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14:textFill>
                  <w14:solidFill>
                    <w14:schemeClr w14:val="tx1"/>
                  </w14:solidFill>
                </w14:textFill>
              </w:rPr>
              <w:t xml:space="preserve">13 </w:t>
            </w:r>
            <w:r>
              <w:rPr>
                <w:b/>
                <w:color w:val="000000" w:themeColor="text1"/>
                <w:sz w:val="21"/>
                <w:szCs w:val="21"/>
                <w14:textFill>
                  <w14:solidFill>
                    <w14:schemeClr w14:val="tx1"/>
                  </w14:solidFill>
                </w14:textFill>
              </w:rPr>
              <w:t>噪声监测因子及频次表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2139"/>
              <w:gridCol w:w="2166"/>
              <w:gridCol w:w="4982"/>
            </w:tblGrid>
            <w:tr w14:paraId="287D78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152" w:type="pct"/>
                  <w:vAlign w:val="center"/>
                </w:tcPr>
                <w:p w14:paraId="399D291B">
                  <w:pPr>
                    <w:snapToGrid w:val="0"/>
                    <w:spacing w:line="28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监测点位</w:t>
                  </w:r>
                </w:p>
              </w:tc>
              <w:tc>
                <w:tcPr>
                  <w:tcW w:w="1166" w:type="pct"/>
                  <w:vAlign w:val="center"/>
                </w:tcPr>
                <w:p w14:paraId="5D3EC45A">
                  <w:pPr>
                    <w:snapToGrid w:val="0"/>
                    <w:spacing w:line="28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监测因子</w:t>
                  </w:r>
                </w:p>
              </w:tc>
              <w:tc>
                <w:tcPr>
                  <w:tcW w:w="2682" w:type="pct"/>
                  <w:vAlign w:val="center"/>
                </w:tcPr>
                <w:p w14:paraId="4BFF9ED7">
                  <w:pPr>
                    <w:snapToGrid w:val="0"/>
                    <w:spacing w:line="28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监测频次</w:t>
                  </w:r>
                </w:p>
              </w:tc>
            </w:tr>
            <w:tr w14:paraId="790D85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152" w:type="pct"/>
                  <w:vAlign w:val="center"/>
                </w:tcPr>
                <w:p w14:paraId="70808FCF">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厂界四周</w:t>
                  </w:r>
                </w:p>
              </w:tc>
              <w:tc>
                <w:tcPr>
                  <w:tcW w:w="1166" w:type="pct"/>
                  <w:vAlign w:val="center"/>
                </w:tcPr>
                <w:p w14:paraId="0F19DF3B">
                  <w:pPr>
                    <w:snapToGrid w:val="0"/>
                    <w:spacing w:line="280" w:lineRule="exact"/>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等效连续A声级</w:t>
                  </w:r>
                </w:p>
              </w:tc>
              <w:tc>
                <w:tcPr>
                  <w:tcW w:w="2682" w:type="pct"/>
                  <w:vAlign w:val="center"/>
                </w:tcPr>
                <w:p w14:paraId="6E95849E">
                  <w:pPr>
                    <w:snapToGrid w:val="0"/>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根据《排污单位自行监测技术指南 总则》（HJ819-2017）要求每季度监测一次</w:t>
                  </w:r>
                </w:p>
              </w:tc>
            </w:tr>
          </w:tbl>
          <w:p w14:paraId="16C1B387">
            <w:pPr>
              <w:pStyle w:val="9"/>
              <w:numPr>
                <w:ilvl w:val="0"/>
                <w:numId w:val="0"/>
              </w:numPr>
              <w:rPr>
                <w:color w:val="000000" w:themeColor="text1"/>
                <w:sz w:val="24"/>
                <w14:textFill>
                  <w14:solidFill>
                    <w14:schemeClr w14:val="tx1"/>
                  </w14:solidFill>
                </w14:textFill>
              </w:rPr>
            </w:pPr>
          </w:p>
          <w:p w14:paraId="2010EFD4">
            <w:pPr>
              <w:pStyle w:val="9"/>
              <w:numPr>
                <w:ilvl w:val="0"/>
                <w:numId w:val="0"/>
              </w:numPr>
              <w:rPr>
                <w:color w:val="000000" w:themeColor="text1"/>
                <w:sz w:val="24"/>
                <w14:textFill>
                  <w14:solidFill>
                    <w14:schemeClr w14:val="tx1"/>
                  </w14:solidFill>
                </w14:textFill>
              </w:rPr>
            </w:pPr>
          </w:p>
          <w:p w14:paraId="44CD4AD1">
            <w:pPr>
              <w:pStyle w:val="9"/>
              <w:numPr>
                <w:ilvl w:val="0"/>
                <w:numId w:val="0"/>
              </w:numPr>
              <w:rPr>
                <w:color w:val="000000" w:themeColor="text1"/>
                <w:sz w:val="24"/>
                <w14:textFill>
                  <w14:solidFill>
                    <w14:schemeClr w14:val="tx1"/>
                  </w14:solidFill>
                </w14:textFill>
              </w:rPr>
            </w:pPr>
          </w:p>
        </w:tc>
      </w:tr>
    </w:tbl>
    <w:p w14:paraId="54491FC9">
      <w:pPr>
        <w:pStyle w:val="48"/>
        <w:rPr>
          <w:color w:val="000000" w:themeColor="text1"/>
          <w14:textFill>
            <w14:solidFill>
              <w14:schemeClr w14:val="tx1"/>
            </w14:solidFill>
          </w14:textFill>
        </w:rPr>
        <w:sectPr>
          <w:pgSz w:w="11907" w:h="16840"/>
          <w:pgMar w:top="1440" w:right="1080" w:bottom="1440" w:left="1080" w:header="851" w:footer="851" w:gutter="0"/>
          <w:cols w:space="720" w:num="1"/>
          <w:docGrid w:linePitch="312" w:charSpace="0"/>
        </w:sectPr>
      </w:pP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9549"/>
      </w:tblGrid>
      <w:tr w14:paraId="4C2F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dxa"/>
            <w:vAlign w:val="center"/>
          </w:tcPr>
          <w:p w14:paraId="1455533D">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2867103F">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14E7068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7DF10628">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22862C7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10637A90">
            <w:pPr>
              <w:pStyle w:val="48"/>
              <w:spacing w:after="0" w:line="360" w:lineRule="exact"/>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tc>
        <w:tc>
          <w:tcPr>
            <w:tcW w:w="9549" w:type="dxa"/>
            <w:vAlign w:val="center"/>
          </w:tcPr>
          <w:p w14:paraId="5361B0CA">
            <w:pPr>
              <w:tabs>
                <w:tab w:val="left" w:pos="1684"/>
              </w:tabs>
              <w:spacing w:line="480" w:lineRule="exact"/>
              <w:rPr>
                <w:b/>
                <w:bCs/>
                <w:color w:val="000000" w:themeColor="text1"/>
                <w:spacing w:val="-4"/>
                <w:sz w:val="24"/>
                <w14:textFill>
                  <w14:solidFill>
                    <w14:schemeClr w14:val="tx1"/>
                  </w14:solidFill>
                </w14:textFill>
              </w:rPr>
            </w:pPr>
            <w:r>
              <w:rPr>
                <w:b/>
                <w:bCs/>
                <w:color w:val="000000" w:themeColor="text1"/>
                <w:spacing w:val="-4"/>
                <w:sz w:val="24"/>
                <w14:textFill>
                  <w14:solidFill>
                    <w14:schemeClr w14:val="tx1"/>
                  </w14:solidFill>
                </w14:textFill>
              </w:rPr>
              <w:t>4、固体废物</w:t>
            </w:r>
          </w:p>
          <w:p w14:paraId="65C8245A">
            <w:pPr>
              <w:tabs>
                <w:tab w:val="left" w:pos="1684"/>
              </w:tabs>
              <w:spacing w:line="48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4.1产生源强核算</w:t>
            </w:r>
          </w:p>
          <w:p w14:paraId="4A276AE9">
            <w:pPr>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本项目产生的固废为一般固废、危险废物、生活垃圾等</w:t>
            </w:r>
          </w:p>
          <w:p w14:paraId="653D3ACB">
            <w:pPr>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一般固废</w:t>
            </w:r>
          </w:p>
          <w:p w14:paraId="790568E4">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废包装材料</w:t>
            </w:r>
          </w:p>
          <w:p w14:paraId="5F95E94A">
            <w:pPr>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原辅料使用后会产生</w:t>
            </w:r>
            <w:r>
              <w:rPr>
                <w:rFonts w:hint="eastAsia"/>
                <w:bCs/>
                <w:color w:val="000000" w:themeColor="text1"/>
                <w:sz w:val="24"/>
                <w14:textFill>
                  <w14:solidFill>
                    <w14:schemeClr w14:val="tx1"/>
                  </w14:solidFill>
                </w14:textFill>
              </w:rPr>
              <w:t>未接触化学品的</w:t>
            </w:r>
            <w:r>
              <w:rPr>
                <w:bCs/>
                <w:color w:val="000000" w:themeColor="text1"/>
                <w:sz w:val="24"/>
                <w14:textFill>
                  <w14:solidFill>
                    <w14:schemeClr w14:val="tx1"/>
                  </w14:solidFill>
                </w14:textFill>
              </w:rPr>
              <w:t>废包装</w:t>
            </w:r>
            <w:r>
              <w:rPr>
                <w:rFonts w:hint="eastAsia"/>
                <w:bCs/>
                <w:color w:val="000000" w:themeColor="text1"/>
                <w:sz w:val="24"/>
                <w14:textFill>
                  <w14:solidFill>
                    <w14:schemeClr w14:val="tx1"/>
                  </w14:solidFill>
                </w14:textFill>
              </w:rPr>
              <w:t>材料</w:t>
            </w:r>
            <w:r>
              <w:rPr>
                <w:bCs/>
                <w:color w:val="000000" w:themeColor="text1"/>
                <w:sz w:val="24"/>
                <w14:textFill>
                  <w14:solidFill>
                    <w14:schemeClr w14:val="tx1"/>
                  </w14:solidFill>
                </w14:textFill>
              </w:rPr>
              <w:t>，根据企业提供资料，年产生量约0.</w:t>
            </w:r>
            <w:r>
              <w:rPr>
                <w:rFonts w:hint="eastAsia"/>
                <w:bCs/>
                <w:color w:val="000000" w:themeColor="text1"/>
                <w:sz w:val="24"/>
                <w14:textFill>
                  <w14:solidFill>
                    <w14:schemeClr w14:val="tx1"/>
                  </w14:solidFill>
                </w14:textFill>
              </w:rPr>
              <w:t>05</w:t>
            </w:r>
            <w:r>
              <w:rPr>
                <w:bCs/>
                <w:color w:val="000000" w:themeColor="text1"/>
                <w:sz w:val="24"/>
                <w14:textFill>
                  <w14:solidFill>
                    <w14:schemeClr w14:val="tx1"/>
                  </w14:solidFill>
                </w14:textFill>
              </w:rPr>
              <w:t>t/a，经收集后外售综合利用。</w:t>
            </w:r>
          </w:p>
          <w:p w14:paraId="15239C78">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（2）危险废物</w:t>
            </w:r>
          </w:p>
          <w:p w14:paraId="1236603E">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①目标产物</w:t>
            </w:r>
          </w:p>
          <w:p w14:paraId="4B16EA49">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项目实验得到的目标产物产生量约为0.004t/a，作为危险废物委托有资质单位处置。</w:t>
            </w:r>
          </w:p>
          <w:p w14:paraId="4926E276">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②实验废物</w:t>
            </w:r>
          </w:p>
          <w:p w14:paraId="73CAB0F1">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项目实验过程会产生废试剂瓶、废实验用品、废培养基等实验废物，</w:t>
            </w:r>
            <w:r>
              <w:rPr>
                <w:bCs/>
                <w:color w:val="000000" w:themeColor="text1"/>
                <w:sz w:val="24"/>
                <w14:textFill>
                  <w14:solidFill>
                    <w14:schemeClr w14:val="tx1"/>
                  </w14:solidFill>
                </w14:textFill>
              </w:rPr>
              <w:t>根据企业提供资料，年产生量约0.</w:t>
            </w: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t/a</w:t>
            </w:r>
            <w:r>
              <w:rPr>
                <w:rFonts w:hint="eastAsia"/>
                <w:bCs/>
                <w:color w:val="000000" w:themeColor="text1"/>
                <w:sz w:val="24"/>
                <w14:textFill>
                  <w14:solidFill>
                    <w14:schemeClr w14:val="tx1"/>
                  </w14:solidFill>
                </w14:textFill>
              </w:rPr>
              <w:t>，作为危险废物委托有资质单位处置。</w:t>
            </w:r>
          </w:p>
          <w:p w14:paraId="41F2F2DB">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③实验废液</w:t>
            </w:r>
          </w:p>
          <w:p w14:paraId="205B8537">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项目实验过程中会产生废溶剂、废液等实验废液，</w:t>
            </w:r>
            <w:r>
              <w:rPr>
                <w:bCs/>
                <w:color w:val="000000" w:themeColor="text1"/>
                <w:sz w:val="24"/>
                <w14:textFill>
                  <w14:solidFill>
                    <w14:schemeClr w14:val="tx1"/>
                  </w14:solidFill>
                </w14:textFill>
              </w:rPr>
              <w:t>据企业提供资料，年产生量约0.</w:t>
            </w:r>
            <w:r>
              <w:rPr>
                <w:rFonts w:hint="eastAsia"/>
                <w:bCs/>
                <w:color w:val="000000" w:themeColor="text1"/>
                <w:sz w:val="24"/>
                <w14:textFill>
                  <w14:solidFill>
                    <w14:schemeClr w14:val="tx1"/>
                  </w14:solidFill>
                </w14:textFill>
              </w:rPr>
              <w:t>4</w:t>
            </w:r>
            <w:r>
              <w:rPr>
                <w:bCs/>
                <w:color w:val="000000" w:themeColor="text1"/>
                <w:sz w:val="24"/>
                <w14:textFill>
                  <w14:solidFill>
                    <w14:schemeClr w14:val="tx1"/>
                  </w14:solidFill>
                </w14:textFill>
              </w:rPr>
              <w:t>t/a</w:t>
            </w:r>
            <w:r>
              <w:rPr>
                <w:rFonts w:hint="eastAsia"/>
                <w:bCs/>
                <w:color w:val="000000" w:themeColor="text1"/>
                <w:sz w:val="24"/>
                <w14:textFill>
                  <w14:solidFill>
                    <w14:schemeClr w14:val="tx1"/>
                  </w14:solidFill>
                </w14:textFill>
              </w:rPr>
              <w:t>，作为危险废物委托有资质单位处置。</w:t>
            </w:r>
          </w:p>
          <w:p w14:paraId="721257A8">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④菌渣</w:t>
            </w:r>
          </w:p>
          <w:p w14:paraId="44B9CF94">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项目物料提纯过程中会产生菌渣，根据物料平衡，</w:t>
            </w:r>
            <w:r>
              <w:rPr>
                <w:bCs/>
                <w:color w:val="000000" w:themeColor="text1"/>
                <w:sz w:val="24"/>
                <w14:textFill>
                  <w14:solidFill>
                    <w14:schemeClr w14:val="tx1"/>
                  </w14:solidFill>
                </w14:textFill>
              </w:rPr>
              <w:t>年产生量</w:t>
            </w:r>
            <w:r>
              <w:rPr>
                <w:rFonts w:hint="eastAsia"/>
                <w:bCs/>
                <w:color w:val="000000" w:themeColor="text1"/>
                <w:sz w:val="24"/>
                <w14:textFill>
                  <w14:solidFill>
                    <w14:schemeClr w14:val="tx1"/>
                  </w14:solidFill>
                </w14:textFill>
              </w:rPr>
              <w:t>为</w:t>
            </w:r>
            <w:r>
              <w:rPr>
                <w:bCs/>
                <w:color w:val="000000" w:themeColor="text1"/>
                <w:sz w:val="24"/>
                <w14:textFill>
                  <w14:solidFill>
                    <w14:schemeClr w14:val="tx1"/>
                  </w14:solidFill>
                </w14:textFill>
              </w:rPr>
              <w:t>0.</w:t>
            </w:r>
            <w:r>
              <w:rPr>
                <w:rFonts w:hint="eastAsia"/>
                <w:bCs/>
                <w:color w:val="000000" w:themeColor="text1"/>
                <w:sz w:val="24"/>
                <w14:textFill>
                  <w14:solidFill>
                    <w14:schemeClr w14:val="tx1"/>
                  </w14:solidFill>
                </w14:textFill>
              </w:rPr>
              <w:t>041</w:t>
            </w:r>
            <w:r>
              <w:rPr>
                <w:bCs/>
                <w:color w:val="000000" w:themeColor="text1"/>
                <w:sz w:val="24"/>
                <w14:textFill>
                  <w14:solidFill>
                    <w14:schemeClr w14:val="tx1"/>
                  </w14:solidFill>
                </w14:textFill>
              </w:rPr>
              <w:t>t/a</w:t>
            </w:r>
            <w:r>
              <w:rPr>
                <w:rFonts w:hint="eastAsia"/>
                <w:bCs/>
                <w:color w:val="000000" w:themeColor="text1"/>
                <w:sz w:val="24"/>
                <w14:textFill>
                  <w14:solidFill>
                    <w14:schemeClr w14:val="tx1"/>
                  </w14:solidFill>
                </w14:textFill>
              </w:rPr>
              <w:t>，作为危险废物委托有资质单位处置。</w:t>
            </w:r>
          </w:p>
          <w:p w14:paraId="275D2ADF">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⑤乙醇回收废液</w:t>
            </w:r>
          </w:p>
          <w:p w14:paraId="3C427924">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项目乙醇回收过程中会产生乙醇回收废液，根据乙醇平衡，</w:t>
            </w:r>
            <w:r>
              <w:rPr>
                <w:bCs/>
                <w:color w:val="000000" w:themeColor="text1"/>
                <w:sz w:val="24"/>
                <w14:textFill>
                  <w14:solidFill>
                    <w14:schemeClr w14:val="tx1"/>
                  </w14:solidFill>
                </w14:textFill>
              </w:rPr>
              <w:t>年产生量</w:t>
            </w:r>
            <w:r>
              <w:rPr>
                <w:rFonts w:hint="eastAsia"/>
                <w:bCs/>
                <w:color w:val="000000" w:themeColor="text1"/>
                <w:sz w:val="24"/>
                <w14:textFill>
                  <w14:solidFill>
                    <w14:schemeClr w14:val="tx1"/>
                  </w14:solidFill>
                </w14:textFill>
              </w:rPr>
              <w:t>为</w:t>
            </w:r>
            <w:r>
              <w:rPr>
                <w:bCs/>
                <w:color w:val="000000" w:themeColor="text1"/>
                <w:sz w:val="24"/>
                <w14:textFill>
                  <w14:solidFill>
                    <w14:schemeClr w14:val="tx1"/>
                  </w14:solidFill>
                </w14:textFill>
              </w:rPr>
              <w:t>0.</w:t>
            </w:r>
            <w:r>
              <w:rPr>
                <w:rFonts w:hint="eastAsia"/>
                <w:bCs/>
                <w:color w:val="000000" w:themeColor="text1"/>
                <w:sz w:val="24"/>
                <w14:textFill>
                  <w14:solidFill>
                    <w14:schemeClr w14:val="tx1"/>
                  </w14:solidFill>
                </w14:textFill>
              </w:rPr>
              <w:t>036</w:t>
            </w:r>
            <w:r>
              <w:rPr>
                <w:bCs/>
                <w:color w:val="000000" w:themeColor="text1"/>
                <w:sz w:val="24"/>
                <w14:textFill>
                  <w14:solidFill>
                    <w14:schemeClr w14:val="tx1"/>
                  </w14:solidFill>
                </w14:textFill>
              </w:rPr>
              <w:t>t/a</w:t>
            </w:r>
            <w:r>
              <w:rPr>
                <w:rFonts w:hint="eastAsia"/>
                <w:bCs/>
                <w:color w:val="000000" w:themeColor="text1"/>
                <w:sz w:val="24"/>
                <w14:textFill>
                  <w14:solidFill>
                    <w14:schemeClr w14:val="tx1"/>
                  </w14:solidFill>
                </w14:textFill>
              </w:rPr>
              <w:t>，作为危险废物委托有资质单位处置。</w:t>
            </w:r>
          </w:p>
          <w:p w14:paraId="5D2E2288">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⑥废液</w:t>
            </w:r>
          </w:p>
          <w:p w14:paraId="4DEFAE0C">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项目物料提纯过程中会产生废液，根据水平衡，</w:t>
            </w:r>
            <w:r>
              <w:rPr>
                <w:bCs/>
                <w:color w:val="000000" w:themeColor="text1"/>
                <w:sz w:val="24"/>
                <w14:textFill>
                  <w14:solidFill>
                    <w14:schemeClr w14:val="tx1"/>
                  </w14:solidFill>
                </w14:textFill>
              </w:rPr>
              <w:t>年产生量</w:t>
            </w:r>
            <w:r>
              <w:rPr>
                <w:rFonts w:hint="eastAsia"/>
                <w:bCs/>
                <w:color w:val="000000" w:themeColor="text1"/>
                <w:sz w:val="24"/>
                <w14:textFill>
                  <w14:solidFill>
                    <w14:schemeClr w14:val="tx1"/>
                  </w14:solidFill>
                </w14:textFill>
              </w:rPr>
              <w:t>为</w:t>
            </w:r>
            <w:r>
              <w:rPr>
                <w:bCs/>
                <w:color w:val="000000" w:themeColor="text1"/>
                <w:sz w:val="24"/>
                <w14:textFill>
                  <w14:solidFill>
                    <w14:schemeClr w14:val="tx1"/>
                  </w14:solidFill>
                </w14:textFill>
              </w:rPr>
              <w:t>0.</w:t>
            </w:r>
            <w:r>
              <w:rPr>
                <w:rFonts w:hint="eastAsia"/>
                <w:bCs/>
                <w:color w:val="000000" w:themeColor="text1"/>
                <w:sz w:val="24"/>
                <w14:textFill>
                  <w14:solidFill>
                    <w14:schemeClr w14:val="tx1"/>
                  </w14:solidFill>
                </w14:textFill>
              </w:rPr>
              <w:t>918</w:t>
            </w:r>
            <w:r>
              <w:rPr>
                <w:bCs/>
                <w:color w:val="000000" w:themeColor="text1"/>
                <w:sz w:val="24"/>
                <w14:textFill>
                  <w14:solidFill>
                    <w14:schemeClr w14:val="tx1"/>
                  </w14:solidFill>
                </w14:textFill>
              </w:rPr>
              <w:t>t/a</w:t>
            </w:r>
            <w:r>
              <w:rPr>
                <w:rFonts w:hint="eastAsia"/>
                <w:bCs/>
                <w:color w:val="000000" w:themeColor="text1"/>
                <w:sz w:val="24"/>
                <w14:textFill>
                  <w14:solidFill>
                    <w14:schemeClr w14:val="tx1"/>
                  </w14:solidFill>
                </w14:textFill>
              </w:rPr>
              <w:t>，作为危险废物委托有资质单位处置。</w:t>
            </w:r>
          </w:p>
          <w:p w14:paraId="7EF4D8C0">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⑦设备清洗废液</w:t>
            </w:r>
          </w:p>
          <w:p w14:paraId="122C2827">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项目实验器材进行定期清洗会产生器材清洗废液，根据水平衡，</w:t>
            </w:r>
            <w:r>
              <w:rPr>
                <w:bCs/>
                <w:color w:val="000000" w:themeColor="text1"/>
                <w:sz w:val="24"/>
                <w14:textFill>
                  <w14:solidFill>
                    <w14:schemeClr w14:val="tx1"/>
                  </w14:solidFill>
                </w14:textFill>
              </w:rPr>
              <w:t>年产生量</w:t>
            </w:r>
            <w:r>
              <w:rPr>
                <w:rFonts w:hint="eastAsia"/>
                <w:bCs/>
                <w:color w:val="000000" w:themeColor="text1"/>
                <w:sz w:val="24"/>
                <w14:textFill>
                  <w14:solidFill>
                    <w14:schemeClr w14:val="tx1"/>
                  </w14:solidFill>
                </w14:textFill>
              </w:rPr>
              <w:t>为4</w:t>
            </w:r>
            <w:r>
              <w:rPr>
                <w:bCs/>
                <w:color w:val="000000" w:themeColor="text1"/>
                <w:sz w:val="24"/>
                <w14:textFill>
                  <w14:solidFill>
                    <w14:schemeClr w14:val="tx1"/>
                  </w14:solidFill>
                </w14:textFill>
              </w:rPr>
              <w:t>t/a</w:t>
            </w:r>
            <w:r>
              <w:rPr>
                <w:rFonts w:hint="eastAsia"/>
                <w:bCs/>
                <w:color w:val="000000" w:themeColor="text1"/>
                <w:sz w:val="24"/>
                <w14:textFill>
                  <w14:solidFill>
                    <w14:schemeClr w14:val="tx1"/>
                  </w14:solidFill>
                </w14:textFill>
              </w:rPr>
              <w:t>，作为危险废物委托有资质单位处置。</w:t>
            </w:r>
          </w:p>
          <w:p w14:paraId="430D10F2">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⑧废试剂瓶</w:t>
            </w:r>
          </w:p>
          <w:p w14:paraId="674FF744">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w:t>
            </w:r>
            <w:r>
              <w:rPr>
                <w:bCs/>
                <w:color w:val="000000" w:themeColor="text1"/>
                <w:sz w:val="24"/>
                <w14:textFill>
                  <w14:solidFill>
                    <w14:schemeClr w14:val="tx1"/>
                  </w14:solidFill>
                </w14:textFill>
              </w:rPr>
              <w:t>包装拆解产生</w:t>
            </w:r>
            <w:r>
              <w:rPr>
                <w:rFonts w:hint="eastAsia"/>
                <w:bCs/>
                <w:color w:val="000000" w:themeColor="text1"/>
                <w:sz w:val="24"/>
                <w14:textFill>
                  <w14:solidFill>
                    <w14:schemeClr w14:val="tx1"/>
                  </w14:solidFill>
                </w14:textFill>
              </w:rPr>
              <w:t>废试剂瓶，</w:t>
            </w:r>
            <w:r>
              <w:rPr>
                <w:bCs/>
                <w:color w:val="000000" w:themeColor="text1"/>
                <w:sz w:val="24"/>
                <w14:textFill>
                  <w14:solidFill>
                    <w14:schemeClr w14:val="tx1"/>
                  </w14:solidFill>
                </w14:textFill>
              </w:rPr>
              <w:t>据企业提供资料，年产生量约0.</w:t>
            </w:r>
            <w:r>
              <w:rPr>
                <w:rFonts w:hint="eastAsia"/>
                <w:bCs/>
                <w:color w:val="000000" w:themeColor="text1"/>
                <w:sz w:val="24"/>
                <w14:textFill>
                  <w14:solidFill>
                    <w14:schemeClr w14:val="tx1"/>
                  </w14:solidFill>
                </w14:textFill>
              </w:rPr>
              <w:t>05</w:t>
            </w:r>
            <w:r>
              <w:rPr>
                <w:bCs/>
                <w:color w:val="000000" w:themeColor="text1"/>
                <w:sz w:val="24"/>
                <w14:textFill>
                  <w14:solidFill>
                    <w14:schemeClr w14:val="tx1"/>
                  </w14:solidFill>
                </w14:textFill>
              </w:rPr>
              <w:t>t/a</w:t>
            </w:r>
            <w:r>
              <w:rPr>
                <w:rFonts w:hint="eastAsia"/>
                <w:bCs/>
                <w:color w:val="000000" w:themeColor="text1"/>
                <w:sz w:val="24"/>
                <w14:textFill>
                  <w14:solidFill>
                    <w14:schemeClr w14:val="tx1"/>
                  </w14:solidFill>
                </w14:textFill>
              </w:rPr>
              <w:t>，作为危险废物委托有资质单位处置。</w:t>
            </w:r>
          </w:p>
          <w:p w14:paraId="01CDE65D">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⑨地面清洗废液</w:t>
            </w:r>
          </w:p>
          <w:p w14:paraId="530B3E86">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项目地面定期清洗会产生地面清洗废液，根据水平衡，</w:t>
            </w:r>
            <w:r>
              <w:rPr>
                <w:bCs/>
                <w:color w:val="000000" w:themeColor="text1"/>
                <w:sz w:val="24"/>
                <w14:textFill>
                  <w14:solidFill>
                    <w14:schemeClr w14:val="tx1"/>
                  </w14:solidFill>
                </w14:textFill>
              </w:rPr>
              <w:t>年产生量</w:t>
            </w:r>
            <w:r>
              <w:rPr>
                <w:rFonts w:hint="eastAsia"/>
                <w:bCs/>
                <w:color w:val="000000" w:themeColor="text1"/>
                <w:sz w:val="24"/>
                <w14:textFill>
                  <w14:solidFill>
                    <w14:schemeClr w14:val="tx1"/>
                  </w14:solidFill>
                </w14:textFill>
              </w:rPr>
              <w:t>为2.4</w:t>
            </w:r>
            <w:r>
              <w:rPr>
                <w:bCs/>
                <w:color w:val="000000" w:themeColor="text1"/>
                <w:sz w:val="24"/>
                <w14:textFill>
                  <w14:solidFill>
                    <w14:schemeClr w14:val="tx1"/>
                  </w14:solidFill>
                </w14:textFill>
              </w:rPr>
              <w:t>t/a</w:t>
            </w:r>
            <w:r>
              <w:rPr>
                <w:rFonts w:hint="eastAsia"/>
                <w:bCs/>
                <w:color w:val="000000" w:themeColor="text1"/>
                <w:sz w:val="24"/>
                <w14:textFill>
                  <w14:solidFill>
                    <w14:schemeClr w14:val="tx1"/>
                  </w14:solidFill>
                </w14:textFill>
              </w:rPr>
              <w:t>，作为危险废物委托有资质单位处置。</w:t>
            </w:r>
          </w:p>
          <w:p w14:paraId="716A721F">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⑩实验设备废液</w:t>
            </w:r>
          </w:p>
          <w:p w14:paraId="1BA8FF22">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项目配备金属浴、核酸电泳仪、水浴锅、灭菌锅、冷水机等实验设备，均需添加纯水，定期更换，产生实验设备废液，根据水平衡，</w:t>
            </w:r>
            <w:r>
              <w:rPr>
                <w:bCs/>
                <w:color w:val="000000" w:themeColor="text1"/>
                <w:sz w:val="24"/>
                <w14:textFill>
                  <w14:solidFill>
                    <w14:schemeClr w14:val="tx1"/>
                  </w14:solidFill>
                </w14:textFill>
              </w:rPr>
              <w:t>年产生量</w:t>
            </w:r>
            <w:r>
              <w:rPr>
                <w:rFonts w:hint="eastAsia"/>
                <w:bCs/>
                <w:color w:val="000000" w:themeColor="text1"/>
                <w:sz w:val="24"/>
                <w14:textFill>
                  <w14:solidFill>
                    <w14:schemeClr w14:val="tx1"/>
                  </w14:solidFill>
                </w14:textFill>
              </w:rPr>
              <w:t>为1.6</w:t>
            </w:r>
            <w:r>
              <w:rPr>
                <w:bCs/>
                <w:color w:val="000000" w:themeColor="text1"/>
                <w:sz w:val="24"/>
                <w14:textFill>
                  <w14:solidFill>
                    <w14:schemeClr w14:val="tx1"/>
                  </w14:solidFill>
                </w14:textFill>
              </w:rPr>
              <w:t>t/a</w:t>
            </w:r>
            <w:r>
              <w:rPr>
                <w:rFonts w:hint="eastAsia"/>
                <w:bCs/>
                <w:color w:val="000000" w:themeColor="text1"/>
                <w:sz w:val="24"/>
                <w14:textFill>
                  <w14:solidFill>
                    <w14:schemeClr w14:val="tx1"/>
                  </w14:solidFill>
                </w14:textFill>
              </w:rPr>
              <w:t>，作为危险废物委托有资质单位处置。</w:t>
            </w:r>
          </w:p>
          <w:p w14:paraId="3D50762C">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⑪废活性炭</w:t>
            </w:r>
          </w:p>
          <w:p w14:paraId="52D24003">
            <w:pPr>
              <w:spacing w:line="48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废气处理设施活性炭吸附装置定期更换活性炭，活性炭按照《省生态环境厅关于将排污单位活性炭使用更换纳入排污许可管理的通知》中计算公式对活性炭更换频次进行计算。经前文计算，预计产生废活性炭量0.176t/a（含吸附的有机废气量）</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作为危险废物委托有资质单位处置。</w:t>
            </w:r>
          </w:p>
          <w:p w14:paraId="1CEC3E64">
            <w:pPr>
              <w:spacing w:line="480" w:lineRule="exact"/>
              <w:ind w:firstLine="480" w:firstLineChars="200"/>
              <w:rPr>
                <w:rFonts w:hint="default" w:eastAsia="宋体"/>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⑫废树脂</w:t>
            </w:r>
          </w:p>
          <w:p w14:paraId="255473E6">
            <w:pPr>
              <w:spacing w:line="480" w:lineRule="exact"/>
              <w:ind w:firstLine="480" w:firstLineChars="200"/>
              <w:rPr>
                <w:bCs/>
                <w:color w:val="000000" w:themeColor="text1"/>
                <w:sz w:val="24"/>
                <w14:textFill>
                  <w14:solidFill>
                    <w14:schemeClr w14:val="tx1"/>
                  </w14:solidFill>
                </w14:textFill>
              </w:rPr>
            </w:pPr>
            <w:r>
              <w:rPr>
                <w:rFonts w:hint="eastAsia"/>
                <w:bCs/>
                <w:color w:val="FF0000"/>
                <w:sz w:val="24"/>
                <w:lang w:val="en-US" w:eastAsia="zh-CN"/>
              </w:rPr>
              <w:t>项目吸附分离法中使用树脂富集和纯化，树脂定期更换，会产生废树脂，根据企业提供资料，年产生量约0.01</w:t>
            </w:r>
            <w:r>
              <w:rPr>
                <w:bCs/>
                <w:color w:val="FF0000"/>
                <w:sz w:val="24"/>
              </w:rPr>
              <w:t>t/a</w:t>
            </w:r>
            <w:r>
              <w:rPr>
                <w:rFonts w:hint="eastAsia"/>
                <w:bCs/>
                <w:color w:val="FF0000"/>
                <w:sz w:val="24"/>
                <w:lang w:eastAsia="zh-CN"/>
              </w:rPr>
              <w:t>，</w:t>
            </w:r>
            <w:r>
              <w:rPr>
                <w:rFonts w:hint="eastAsia"/>
                <w:bCs/>
                <w:color w:val="FF0000"/>
                <w:sz w:val="24"/>
              </w:rPr>
              <w:t>作为危险废物委托有资质单位处置。</w:t>
            </w:r>
          </w:p>
          <w:p w14:paraId="66EE9E9C">
            <w:pPr>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（3）生活垃圾</w:t>
            </w:r>
          </w:p>
          <w:p w14:paraId="6B47B99C">
            <w:pPr>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本项目员工共10人，年工作日300天，每人每天按0.5kg计，生活垃圾的产生量为1.5t/a，生活垃圾由当地环卫部门统一处理。</w:t>
            </w:r>
          </w:p>
          <w:p w14:paraId="39A887F0">
            <w:pPr>
              <w:tabs>
                <w:tab w:val="left" w:pos="1684"/>
              </w:tabs>
              <w:spacing w:line="48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4.2固体废物属性判定</w:t>
            </w:r>
          </w:p>
          <w:p w14:paraId="1173DC2E">
            <w:pPr>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根据《中华人民共和国固体废物污染环境防治法》、《固体废物鉴别标准 通则》（GB34330-20</w:t>
            </w:r>
            <w:r>
              <w:rPr>
                <w:rFonts w:hint="eastAsia"/>
                <w:bCs/>
                <w:color w:val="000000" w:themeColor="text1"/>
                <w:sz w:val="24"/>
                <w14:textFill>
                  <w14:solidFill>
                    <w14:schemeClr w14:val="tx1"/>
                  </w14:solidFill>
                </w14:textFill>
              </w:rPr>
              <w:t>25</w:t>
            </w:r>
            <w:r>
              <w:rPr>
                <w:bCs/>
                <w:color w:val="000000" w:themeColor="text1"/>
                <w:sz w:val="24"/>
                <w14:textFill>
                  <w14:solidFill>
                    <w14:schemeClr w14:val="tx1"/>
                  </w14:solidFill>
                </w14:textFill>
              </w:rPr>
              <w:t>），依据产生来源固体废物鉴别结果见表4-1</w:t>
            </w:r>
            <w:r>
              <w:rPr>
                <w:rFonts w:hint="eastAsia"/>
                <w:bCs/>
                <w:color w:val="000000" w:themeColor="text1"/>
                <w:sz w:val="24"/>
                <w14:textFill>
                  <w14:solidFill>
                    <w14:schemeClr w14:val="tx1"/>
                  </w14:solidFill>
                </w14:textFill>
              </w:rPr>
              <w:t>4</w:t>
            </w:r>
            <w:r>
              <w:rPr>
                <w:bCs/>
                <w:color w:val="000000" w:themeColor="text1"/>
                <w:sz w:val="24"/>
                <w14:textFill>
                  <w14:solidFill>
                    <w14:schemeClr w14:val="tx1"/>
                  </w14:solidFill>
                </w14:textFill>
              </w:rPr>
              <w:t>。</w:t>
            </w:r>
          </w:p>
          <w:p w14:paraId="24D289F5">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表4-1</w:t>
            </w:r>
            <w:r>
              <w:rPr>
                <w:rFonts w:hint="eastAsia"/>
                <w:b/>
                <w:color w:val="000000" w:themeColor="text1"/>
                <w:szCs w:val="21"/>
                <w14:textFill>
                  <w14:solidFill>
                    <w14:schemeClr w14:val="tx1"/>
                  </w14:solidFill>
                </w14:textFill>
              </w:rPr>
              <w:t>4</w:t>
            </w:r>
            <w:r>
              <w:rPr>
                <w:b/>
                <w:color w:val="000000" w:themeColor="text1"/>
                <w:szCs w:val="21"/>
                <w14:textFill>
                  <w14:solidFill>
                    <w14:schemeClr w14:val="tx1"/>
                  </w14:solidFill>
                </w14:textFill>
              </w:rPr>
              <w:t xml:space="preserve"> 本项目固体废物鉴别情况汇总表（t/a）</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323"/>
              <w:gridCol w:w="1416"/>
              <w:gridCol w:w="713"/>
              <w:gridCol w:w="2087"/>
              <w:gridCol w:w="983"/>
              <w:gridCol w:w="774"/>
              <w:gridCol w:w="774"/>
              <w:gridCol w:w="774"/>
            </w:tblGrid>
            <w:tr w14:paraId="3CDFEE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restart"/>
                  <w:vAlign w:val="center"/>
                </w:tcPr>
                <w:p w14:paraId="3C034D2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709" w:type="pct"/>
                  <w:vMerge w:val="restart"/>
                  <w:vAlign w:val="center"/>
                </w:tcPr>
                <w:p w14:paraId="65B3A02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固废名称</w:t>
                  </w:r>
                </w:p>
              </w:tc>
              <w:tc>
                <w:tcPr>
                  <w:tcW w:w="759" w:type="pct"/>
                  <w:vMerge w:val="restart"/>
                  <w:vAlign w:val="center"/>
                </w:tcPr>
                <w:p w14:paraId="3713702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产生工序</w:t>
                  </w:r>
                </w:p>
              </w:tc>
              <w:tc>
                <w:tcPr>
                  <w:tcW w:w="382" w:type="pct"/>
                  <w:vMerge w:val="restart"/>
                  <w:vAlign w:val="center"/>
                </w:tcPr>
                <w:p w14:paraId="7FC2514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形态</w:t>
                  </w:r>
                </w:p>
              </w:tc>
              <w:tc>
                <w:tcPr>
                  <w:tcW w:w="1119" w:type="pct"/>
                  <w:vMerge w:val="restart"/>
                  <w:vAlign w:val="center"/>
                </w:tcPr>
                <w:p w14:paraId="5CB5B53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主要成分</w:t>
                  </w:r>
                </w:p>
              </w:tc>
              <w:tc>
                <w:tcPr>
                  <w:tcW w:w="527" w:type="pct"/>
                  <w:vMerge w:val="restart"/>
                  <w:vAlign w:val="center"/>
                </w:tcPr>
                <w:p w14:paraId="41F6BCE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预测产生量（t/a）</w:t>
                  </w:r>
                </w:p>
              </w:tc>
              <w:tc>
                <w:tcPr>
                  <w:tcW w:w="1245" w:type="pct"/>
                  <w:gridSpan w:val="3"/>
                  <w:vAlign w:val="center"/>
                </w:tcPr>
                <w:p w14:paraId="31B9B84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种类判断</w:t>
                  </w:r>
                </w:p>
              </w:tc>
            </w:tr>
            <w:tr w14:paraId="28203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vAlign w:val="center"/>
                </w:tcPr>
                <w:p w14:paraId="75DE30EB">
                  <w:pPr>
                    <w:jc w:val="center"/>
                    <w:rPr>
                      <w:b/>
                      <w:bCs/>
                      <w:color w:val="000000" w:themeColor="text1"/>
                      <w:szCs w:val="21"/>
                      <w14:textFill>
                        <w14:solidFill>
                          <w14:schemeClr w14:val="tx1"/>
                        </w14:solidFill>
                      </w14:textFill>
                    </w:rPr>
                  </w:pPr>
                </w:p>
              </w:tc>
              <w:tc>
                <w:tcPr>
                  <w:tcW w:w="709" w:type="pct"/>
                  <w:vMerge w:val="continue"/>
                  <w:vAlign w:val="center"/>
                </w:tcPr>
                <w:p w14:paraId="6807AF5D">
                  <w:pPr>
                    <w:jc w:val="center"/>
                    <w:rPr>
                      <w:b/>
                      <w:bCs/>
                      <w:color w:val="000000" w:themeColor="text1"/>
                      <w:szCs w:val="21"/>
                      <w14:textFill>
                        <w14:solidFill>
                          <w14:schemeClr w14:val="tx1"/>
                        </w14:solidFill>
                      </w14:textFill>
                    </w:rPr>
                  </w:pPr>
                </w:p>
              </w:tc>
              <w:tc>
                <w:tcPr>
                  <w:tcW w:w="759" w:type="pct"/>
                  <w:vMerge w:val="continue"/>
                  <w:vAlign w:val="center"/>
                </w:tcPr>
                <w:p w14:paraId="09DF76B4">
                  <w:pPr>
                    <w:jc w:val="center"/>
                    <w:rPr>
                      <w:b/>
                      <w:bCs/>
                      <w:color w:val="000000" w:themeColor="text1"/>
                      <w:szCs w:val="21"/>
                      <w14:textFill>
                        <w14:solidFill>
                          <w14:schemeClr w14:val="tx1"/>
                        </w14:solidFill>
                      </w14:textFill>
                    </w:rPr>
                  </w:pPr>
                </w:p>
              </w:tc>
              <w:tc>
                <w:tcPr>
                  <w:tcW w:w="382" w:type="pct"/>
                  <w:vMerge w:val="continue"/>
                  <w:vAlign w:val="center"/>
                </w:tcPr>
                <w:p w14:paraId="5CD98ACA">
                  <w:pPr>
                    <w:jc w:val="center"/>
                    <w:rPr>
                      <w:b/>
                      <w:bCs/>
                      <w:color w:val="000000" w:themeColor="text1"/>
                      <w:szCs w:val="21"/>
                      <w14:textFill>
                        <w14:solidFill>
                          <w14:schemeClr w14:val="tx1"/>
                        </w14:solidFill>
                      </w14:textFill>
                    </w:rPr>
                  </w:pPr>
                </w:p>
              </w:tc>
              <w:tc>
                <w:tcPr>
                  <w:tcW w:w="1119" w:type="pct"/>
                  <w:vMerge w:val="continue"/>
                  <w:vAlign w:val="center"/>
                </w:tcPr>
                <w:p w14:paraId="20AE5874">
                  <w:pPr>
                    <w:jc w:val="center"/>
                    <w:rPr>
                      <w:b/>
                      <w:bCs/>
                      <w:color w:val="000000" w:themeColor="text1"/>
                      <w:szCs w:val="21"/>
                      <w14:textFill>
                        <w14:solidFill>
                          <w14:schemeClr w14:val="tx1"/>
                        </w14:solidFill>
                      </w14:textFill>
                    </w:rPr>
                  </w:pPr>
                </w:p>
              </w:tc>
              <w:tc>
                <w:tcPr>
                  <w:tcW w:w="527" w:type="pct"/>
                  <w:vMerge w:val="continue"/>
                  <w:vAlign w:val="center"/>
                </w:tcPr>
                <w:p w14:paraId="5B841149">
                  <w:pPr>
                    <w:jc w:val="center"/>
                    <w:rPr>
                      <w:b/>
                      <w:bCs/>
                      <w:color w:val="000000" w:themeColor="text1"/>
                      <w:szCs w:val="21"/>
                      <w14:textFill>
                        <w14:solidFill>
                          <w14:schemeClr w14:val="tx1"/>
                        </w14:solidFill>
                      </w14:textFill>
                    </w:rPr>
                  </w:pPr>
                </w:p>
              </w:tc>
              <w:tc>
                <w:tcPr>
                  <w:tcW w:w="415" w:type="pct"/>
                  <w:vAlign w:val="center"/>
                </w:tcPr>
                <w:p w14:paraId="749811B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固体废物</w:t>
                  </w:r>
                </w:p>
              </w:tc>
              <w:tc>
                <w:tcPr>
                  <w:tcW w:w="415" w:type="pct"/>
                  <w:vAlign w:val="center"/>
                </w:tcPr>
                <w:p w14:paraId="08ED289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副产品</w:t>
                  </w:r>
                </w:p>
              </w:tc>
              <w:tc>
                <w:tcPr>
                  <w:tcW w:w="415" w:type="pct"/>
                  <w:vAlign w:val="center"/>
                </w:tcPr>
                <w:p w14:paraId="0D3A49C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判定</w:t>
                  </w:r>
                </w:p>
                <w:p w14:paraId="102CF78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依据</w:t>
                  </w:r>
                </w:p>
              </w:tc>
            </w:tr>
            <w:tr w14:paraId="3FE6B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777024A5">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09" w:type="pct"/>
                  <w:vAlign w:val="center"/>
                </w:tcPr>
                <w:p w14:paraId="243AD55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废包装材料</w:t>
                  </w:r>
                </w:p>
              </w:tc>
              <w:tc>
                <w:tcPr>
                  <w:tcW w:w="759" w:type="pct"/>
                  <w:vAlign w:val="center"/>
                </w:tcPr>
                <w:p w14:paraId="001726C7">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拆包</w:t>
                  </w:r>
                </w:p>
              </w:tc>
              <w:tc>
                <w:tcPr>
                  <w:tcW w:w="382" w:type="pct"/>
                  <w:vAlign w:val="center"/>
                </w:tcPr>
                <w:p w14:paraId="13374E4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w:t>
                  </w:r>
                </w:p>
              </w:tc>
              <w:tc>
                <w:tcPr>
                  <w:tcW w:w="1119" w:type="pct"/>
                  <w:vAlign w:val="center"/>
                </w:tcPr>
                <w:p w14:paraId="4BC3A7A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纸塑</w:t>
                  </w:r>
                </w:p>
              </w:tc>
              <w:tc>
                <w:tcPr>
                  <w:tcW w:w="527" w:type="pct"/>
                  <w:vAlign w:val="center"/>
                </w:tcPr>
                <w:p w14:paraId="2C049F3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415" w:type="pct"/>
                  <w:vAlign w:val="center"/>
                </w:tcPr>
                <w:p w14:paraId="485BC80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Align w:val="center"/>
                </w:tcPr>
                <w:p w14:paraId="0416B63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Merge w:val="restart"/>
                  <w:vAlign w:val="center"/>
                </w:tcPr>
                <w:p w14:paraId="765898B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《固体废物鉴别标准通则》</w:t>
                  </w:r>
                </w:p>
              </w:tc>
            </w:tr>
            <w:tr w14:paraId="2EED8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1180741D">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09" w:type="pct"/>
                  <w:vAlign w:val="center"/>
                </w:tcPr>
                <w:p w14:paraId="07F33F6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目标产物</w:t>
                  </w:r>
                </w:p>
              </w:tc>
              <w:tc>
                <w:tcPr>
                  <w:tcW w:w="759" w:type="pct"/>
                  <w:vAlign w:val="center"/>
                </w:tcPr>
                <w:p w14:paraId="19D2FA41">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实验</w:t>
                  </w:r>
                </w:p>
              </w:tc>
              <w:tc>
                <w:tcPr>
                  <w:tcW w:w="382" w:type="pct"/>
                  <w:vAlign w:val="center"/>
                </w:tcPr>
                <w:p w14:paraId="4DD741D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1119" w:type="pct"/>
                  <w:vAlign w:val="center"/>
                </w:tcPr>
                <w:p w14:paraId="5604BD3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氨基酸</w:t>
                  </w:r>
                </w:p>
              </w:tc>
              <w:tc>
                <w:tcPr>
                  <w:tcW w:w="527" w:type="pct"/>
                  <w:vAlign w:val="center"/>
                </w:tcPr>
                <w:p w14:paraId="0EDC2CC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w:t>
                  </w:r>
                </w:p>
              </w:tc>
              <w:tc>
                <w:tcPr>
                  <w:tcW w:w="415" w:type="pct"/>
                  <w:vAlign w:val="center"/>
                </w:tcPr>
                <w:p w14:paraId="2FAF2F9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Align w:val="center"/>
                </w:tcPr>
                <w:p w14:paraId="6EC2083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Merge w:val="continue"/>
                  <w:vAlign w:val="center"/>
                </w:tcPr>
                <w:p w14:paraId="24C183E4">
                  <w:pPr>
                    <w:jc w:val="center"/>
                    <w:rPr>
                      <w:color w:val="000000" w:themeColor="text1"/>
                      <w:szCs w:val="21"/>
                      <w14:textFill>
                        <w14:solidFill>
                          <w14:schemeClr w14:val="tx1"/>
                        </w14:solidFill>
                      </w14:textFill>
                    </w:rPr>
                  </w:pPr>
                </w:p>
              </w:tc>
            </w:tr>
            <w:tr w14:paraId="07C27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68C52B7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709" w:type="pct"/>
                  <w:vAlign w:val="center"/>
                </w:tcPr>
                <w:p w14:paraId="6F21853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实验废物</w:t>
                  </w:r>
                </w:p>
              </w:tc>
              <w:tc>
                <w:tcPr>
                  <w:tcW w:w="759" w:type="pct"/>
                  <w:vAlign w:val="center"/>
                </w:tcPr>
                <w:p w14:paraId="74007B06">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实验</w:t>
                  </w:r>
                </w:p>
              </w:tc>
              <w:tc>
                <w:tcPr>
                  <w:tcW w:w="382" w:type="pct"/>
                  <w:vAlign w:val="center"/>
                </w:tcPr>
                <w:p w14:paraId="517C92A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1119" w:type="pct"/>
                  <w:vAlign w:val="center"/>
                </w:tcPr>
                <w:p w14:paraId="3314270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废试剂瓶、废实验用品、废培养基等</w:t>
                  </w:r>
                </w:p>
              </w:tc>
              <w:tc>
                <w:tcPr>
                  <w:tcW w:w="527" w:type="pct"/>
                  <w:vAlign w:val="center"/>
                </w:tcPr>
                <w:p w14:paraId="27292CA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415" w:type="pct"/>
                  <w:vAlign w:val="center"/>
                </w:tcPr>
                <w:p w14:paraId="71A1D91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Align w:val="center"/>
                </w:tcPr>
                <w:p w14:paraId="6912B89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Merge w:val="continue"/>
                  <w:vAlign w:val="center"/>
                </w:tcPr>
                <w:p w14:paraId="0E41A779">
                  <w:pPr>
                    <w:jc w:val="center"/>
                    <w:rPr>
                      <w:color w:val="000000" w:themeColor="text1"/>
                      <w:szCs w:val="21"/>
                      <w14:textFill>
                        <w14:solidFill>
                          <w14:schemeClr w14:val="tx1"/>
                        </w14:solidFill>
                      </w14:textFill>
                    </w:rPr>
                  </w:pPr>
                </w:p>
              </w:tc>
            </w:tr>
            <w:tr w14:paraId="1422F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4B221B5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709" w:type="pct"/>
                  <w:vAlign w:val="center"/>
                </w:tcPr>
                <w:p w14:paraId="7680C34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实验废液</w:t>
                  </w:r>
                </w:p>
              </w:tc>
              <w:tc>
                <w:tcPr>
                  <w:tcW w:w="759" w:type="pct"/>
                  <w:vAlign w:val="center"/>
                </w:tcPr>
                <w:p w14:paraId="44CF9A36">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实验</w:t>
                  </w:r>
                </w:p>
              </w:tc>
              <w:tc>
                <w:tcPr>
                  <w:tcW w:w="382" w:type="pct"/>
                  <w:vAlign w:val="center"/>
                </w:tcPr>
                <w:p w14:paraId="6B5BDE5C">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液</w:t>
                  </w:r>
                </w:p>
              </w:tc>
              <w:tc>
                <w:tcPr>
                  <w:tcW w:w="1119" w:type="pct"/>
                  <w:vAlign w:val="center"/>
                </w:tcPr>
                <w:p w14:paraId="3E6E59F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废溶剂、废液</w:t>
                  </w:r>
                </w:p>
              </w:tc>
              <w:tc>
                <w:tcPr>
                  <w:tcW w:w="527" w:type="pct"/>
                  <w:vAlign w:val="center"/>
                </w:tcPr>
                <w:p w14:paraId="2A7E645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c>
              <w:tc>
                <w:tcPr>
                  <w:tcW w:w="415" w:type="pct"/>
                  <w:vAlign w:val="center"/>
                </w:tcPr>
                <w:p w14:paraId="4DDB86D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Align w:val="center"/>
                </w:tcPr>
                <w:p w14:paraId="79D0B2E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Merge w:val="continue"/>
                  <w:vAlign w:val="center"/>
                </w:tcPr>
                <w:p w14:paraId="566C4F16">
                  <w:pPr>
                    <w:jc w:val="center"/>
                    <w:rPr>
                      <w:color w:val="000000" w:themeColor="text1"/>
                      <w:szCs w:val="21"/>
                      <w14:textFill>
                        <w14:solidFill>
                          <w14:schemeClr w14:val="tx1"/>
                        </w14:solidFill>
                      </w14:textFill>
                    </w:rPr>
                  </w:pPr>
                </w:p>
              </w:tc>
            </w:tr>
            <w:tr w14:paraId="0151B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1BCD880C">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709" w:type="pct"/>
                  <w:vAlign w:val="center"/>
                </w:tcPr>
                <w:p w14:paraId="36E8FF1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菌渣</w:t>
                  </w:r>
                </w:p>
              </w:tc>
              <w:tc>
                <w:tcPr>
                  <w:tcW w:w="759" w:type="pct"/>
                  <w:vAlign w:val="center"/>
                </w:tcPr>
                <w:p w14:paraId="238DE653">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提纯</w:t>
                  </w:r>
                </w:p>
              </w:tc>
              <w:tc>
                <w:tcPr>
                  <w:tcW w:w="382" w:type="pct"/>
                  <w:vAlign w:val="center"/>
                </w:tcPr>
                <w:p w14:paraId="15C9CC0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半固</w:t>
                  </w:r>
                </w:p>
              </w:tc>
              <w:tc>
                <w:tcPr>
                  <w:tcW w:w="1119" w:type="pct"/>
                  <w:vAlign w:val="center"/>
                </w:tcPr>
                <w:p w14:paraId="79A411A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细胞残渣</w:t>
                  </w:r>
                </w:p>
              </w:tc>
              <w:tc>
                <w:tcPr>
                  <w:tcW w:w="527" w:type="pct"/>
                  <w:vAlign w:val="center"/>
                </w:tcPr>
                <w:p w14:paraId="26457AC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0.041</w:t>
                  </w:r>
                </w:p>
              </w:tc>
              <w:tc>
                <w:tcPr>
                  <w:tcW w:w="415" w:type="pct"/>
                  <w:vAlign w:val="center"/>
                </w:tcPr>
                <w:p w14:paraId="5284C33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Align w:val="center"/>
                </w:tcPr>
                <w:p w14:paraId="4A411BE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Merge w:val="continue"/>
                  <w:vAlign w:val="center"/>
                </w:tcPr>
                <w:p w14:paraId="3ED80C03">
                  <w:pPr>
                    <w:jc w:val="center"/>
                    <w:rPr>
                      <w:color w:val="000000" w:themeColor="text1"/>
                      <w:szCs w:val="21"/>
                      <w14:textFill>
                        <w14:solidFill>
                          <w14:schemeClr w14:val="tx1"/>
                        </w14:solidFill>
                      </w14:textFill>
                    </w:rPr>
                  </w:pPr>
                </w:p>
              </w:tc>
            </w:tr>
            <w:tr w14:paraId="06CAD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36FB0AE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709" w:type="pct"/>
                  <w:vAlign w:val="center"/>
                </w:tcPr>
                <w:p w14:paraId="57DE8E6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乙醇回收废液</w:t>
                  </w:r>
                </w:p>
              </w:tc>
              <w:tc>
                <w:tcPr>
                  <w:tcW w:w="759" w:type="pct"/>
                  <w:vAlign w:val="center"/>
                </w:tcPr>
                <w:p w14:paraId="100A9B41">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乙醇回收</w:t>
                  </w:r>
                </w:p>
              </w:tc>
              <w:tc>
                <w:tcPr>
                  <w:tcW w:w="382" w:type="pct"/>
                  <w:vAlign w:val="center"/>
                </w:tcPr>
                <w:p w14:paraId="01F2D42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w:t>
                  </w:r>
                </w:p>
              </w:tc>
              <w:tc>
                <w:tcPr>
                  <w:tcW w:w="1119" w:type="pct"/>
                  <w:vAlign w:val="center"/>
                </w:tcPr>
                <w:p w14:paraId="5BC2615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乙醇</w:t>
                  </w:r>
                </w:p>
              </w:tc>
              <w:tc>
                <w:tcPr>
                  <w:tcW w:w="527" w:type="pct"/>
                  <w:vAlign w:val="center"/>
                </w:tcPr>
                <w:p w14:paraId="4B1E34A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0.036</w:t>
                  </w:r>
                </w:p>
              </w:tc>
              <w:tc>
                <w:tcPr>
                  <w:tcW w:w="415" w:type="pct"/>
                  <w:vAlign w:val="center"/>
                </w:tcPr>
                <w:p w14:paraId="60D6016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Align w:val="center"/>
                </w:tcPr>
                <w:p w14:paraId="0D0051A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Merge w:val="continue"/>
                  <w:vAlign w:val="center"/>
                </w:tcPr>
                <w:p w14:paraId="6049B5A8">
                  <w:pPr>
                    <w:jc w:val="center"/>
                    <w:rPr>
                      <w:color w:val="000000" w:themeColor="text1"/>
                      <w:szCs w:val="21"/>
                      <w14:textFill>
                        <w14:solidFill>
                          <w14:schemeClr w14:val="tx1"/>
                        </w14:solidFill>
                      </w14:textFill>
                    </w:rPr>
                  </w:pPr>
                </w:p>
              </w:tc>
            </w:tr>
            <w:tr w14:paraId="33226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2DEC55F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709" w:type="pct"/>
                  <w:vAlign w:val="center"/>
                </w:tcPr>
                <w:p w14:paraId="5EAAC8F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废液</w:t>
                  </w:r>
                </w:p>
              </w:tc>
              <w:tc>
                <w:tcPr>
                  <w:tcW w:w="759" w:type="pct"/>
                  <w:vAlign w:val="center"/>
                </w:tcPr>
                <w:p w14:paraId="58ED46BC">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提纯</w:t>
                  </w:r>
                </w:p>
              </w:tc>
              <w:tc>
                <w:tcPr>
                  <w:tcW w:w="382" w:type="pct"/>
                  <w:vAlign w:val="center"/>
                </w:tcPr>
                <w:p w14:paraId="21BF765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w:t>
                  </w:r>
                </w:p>
              </w:tc>
              <w:tc>
                <w:tcPr>
                  <w:tcW w:w="1119" w:type="pct"/>
                  <w:vAlign w:val="center"/>
                </w:tcPr>
                <w:p w14:paraId="492A90A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杂质</w:t>
                  </w:r>
                </w:p>
              </w:tc>
              <w:tc>
                <w:tcPr>
                  <w:tcW w:w="527" w:type="pct"/>
                  <w:vAlign w:val="center"/>
                </w:tcPr>
                <w:p w14:paraId="00FB923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0.918</w:t>
                  </w:r>
                </w:p>
              </w:tc>
              <w:tc>
                <w:tcPr>
                  <w:tcW w:w="415" w:type="pct"/>
                  <w:vAlign w:val="center"/>
                </w:tcPr>
                <w:p w14:paraId="4E23EE2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Align w:val="center"/>
                </w:tcPr>
                <w:p w14:paraId="537499F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Merge w:val="continue"/>
                  <w:vAlign w:val="center"/>
                </w:tcPr>
                <w:p w14:paraId="3B43CD29">
                  <w:pPr>
                    <w:jc w:val="center"/>
                    <w:rPr>
                      <w:color w:val="000000" w:themeColor="text1"/>
                      <w:szCs w:val="21"/>
                      <w14:textFill>
                        <w14:solidFill>
                          <w14:schemeClr w14:val="tx1"/>
                        </w14:solidFill>
                      </w14:textFill>
                    </w:rPr>
                  </w:pPr>
                </w:p>
              </w:tc>
            </w:tr>
            <w:tr w14:paraId="42796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48D7615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709" w:type="pct"/>
                  <w:vAlign w:val="center"/>
                </w:tcPr>
                <w:p w14:paraId="09BD4D9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设备清洗废液</w:t>
                  </w:r>
                </w:p>
              </w:tc>
              <w:tc>
                <w:tcPr>
                  <w:tcW w:w="759" w:type="pct"/>
                  <w:vAlign w:val="center"/>
                </w:tcPr>
                <w:p w14:paraId="3E56B30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设备清洗</w:t>
                  </w:r>
                </w:p>
              </w:tc>
              <w:tc>
                <w:tcPr>
                  <w:tcW w:w="382" w:type="pct"/>
                  <w:vAlign w:val="center"/>
                </w:tcPr>
                <w:p w14:paraId="1F1E380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w:t>
                  </w:r>
                </w:p>
              </w:tc>
              <w:tc>
                <w:tcPr>
                  <w:tcW w:w="1119" w:type="pct"/>
                  <w:vAlign w:val="center"/>
                </w:tcPr>
                <w:p w14:paraId="6559533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杂质</w:t>
                  </w:r>
                </w:p>
              </w:tc>
              <w:tc>
                <w:tcPr>
                  <w:tcW w:w="527" w:type="pct"/>
                  <w:vAlign w:val="center"/>
                </w:tcPr>
                <w:p w14:paraId="2EDB496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415" w:type="pct"/>
                  <w:vAlign w:val="center"/>
                </w:tcPr>
                <w:p w14:paraId="2D9C43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Align w:val="center"/>
                </w:tcPr>
                <w:p w14:paraId="5EE2A0B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Merge w:val="continue"/>
                  <w:vAlign w:val="center"/>
                </w:tcPr>
                <w:p w14:paraId="373D3725">
                  <w:pPr>
                    <w:jc w:val="center"/>
                    <w:rPr>
                      <w:color w:val="000000" w:themeColor="text1"/>
                      <w:szCs w:val="21"/>
                      <w14:textFill>
                        <w14:solidFill>
                          <w14:schemeClr w14:val="tx1"/>
                        </w14:solidFill>
                      </w14:textFill>
                    </w:rPr>
                  </w:pPr>
                </w:p>
              </w:tc>
            </w:tr>
            <w:tr w14:paraId="5E1E6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458C3A8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709" w:type="pct"/>
                  <w:vAlign w:val="center"/>
                </w:tcPr>
                <w:p w14:paraId="2FAE705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废试剂瓶</w:t>
                  </w:r>
                </w:p>
              </w:tc>
              <w:tc>
                <w:tcPr>
                  <w:tcW w:w="759" w:type="pct"/>
                  <w:vAlign w:val="center"/>
                </w:tcPr>
                <w:p w14:paraId="52177F0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拆包</w:t>
                  </w:r>
                </w:p>
              </w:tc>
              <w:tc>
                <w:tcPr>
                  <w:tcW w:w="382" w:type="pct"/>
                  <w:vAlign w:val="center"/>
                </w:tcPr>
                <w:p w14:paraId="6A714B2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1119" w:type="pct"/>
                  <w:vAlign w:val="center"/>
                </w:tcPr>
                <w:p w14:paraId="175D94B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化学品</w:t>
                  </w:r>
                </w:p>
              </w:tc>
              <w:tc>
                <w:tcPr>
                  <w:tcW w:w="527" w:type="pct"/>
                  <w:vAlign w:val="center"/>
                </w:tcPr>
                <w:p w14:paraId="7C1F70D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415" w:type="pct"/>
                  <w:vAlign w:val="center"/>
                </w:tcPr>
                <w:p w14:paraId="5D380C8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Align w:val="center"/>
                </w:tcPr>
                <w:p w14:paraId="4A460B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Merge w:val="continue"/>
                  <w:vAlign w:val="center"/>
                </w:tcPr>
                <w:p w14:paraId="7C40D453">
                  <w:pPr>
                    <w:jc w:val="center"/>
                    <w:rPr>
                      <w:color w:val="000000" w:themeColor="text1"/>
                      <w:szCs w:val="21"/>
                      <w14:textFill>
                        <w14:solidFill>
                          <w14:schemeClr w14:val="tx1"/>
                        </w14:solidFill>
                      </w14:textFill>
                    </w:rPr>
                  </w:pPr>
                </w:p>
              </w:tc>
            </w:tr>
            <w:tr w14:paraId="05FBB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5076E36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709" w:type="pct"/>
                  <w:vAlign w:val="center"/>
                </w:tcPr>
                <w:p w14:paraId="7BFF0C2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地面清洗废液</w:t>
                  </w:r>
                </w:p>
              </w:tc>
              <w:tc>
                <w:tcPr>
                  <w:tcW w:w="759" w:type="pct"/>
                  <w:vAlign w:val="center"/>
                </w:tcPr>
                <w:p w14:paraId="028252A5">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地面清洗</w:t>
                  </w:r>
                </w:p>
              </w:tc>
              <w:tc>
                <w:tcPr>
                  <w:tcW w:w="382" w:type="pct"/>
                  <w:vAlign w:val="center"/>
                </w:tcPr>
                <w:p w14:paraId="5CA93E0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w:t>
                  </w:r>
                </w:p>
              </w:tc>
              <w:tc>
                <w:tcPr>
                  <w:tcW w:w="1119" w:type="pct"/>
                  <w:vAlign w:val="center"/>
                </w:tcPr>
                <w:p w14:paraId="63BCCA2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杂质</w:t>
                  </w:r>
                </w:p>
              </w:tc>
              <w:tc>
                <w:tcPr>
                  <w:tcW w:w="527" w:type="pct"/>
                  <w:vAlign w:val="center"/>
                </w:tcPr>
                <w:p w14:paraId="5CA48C4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w:t>
                  </w:r>
                </w:p>
              </w:tc>
              <w:tc>
                <w:tcPr>
                  <w:tcW w:w="415" w:type="pct"/>
                  <w:vAlign w:val="center"/>
                </w:tcPr>
                <w:p w14:paraId="2FA5F2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Align w:val="center"/>
                </w:tcPr>
                <w:p w14:paraId="0C619EF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Merge w:val="continue"/>
                  <w:vAlign w:val="center"/>
                </w:tcPr>
                <w:p w14:paraId="181C0515">
                  <w:pPr>
                    <w:jc w:val="center"/>
                    <w:rPr>
                      <w:color w:val="000000" w:themeColor="text1"/>
                      <w:szCs w:val="21"/>
                      <w14:textFill>
                        <w14:solidFill>
                          <w14:schemeClr w14:val="tx1"/>
                        </w14:solidFill>
                      </w14:textFill>
                    </w:rPr>
                  </w:pPr>
                </w:p>
              </w:tc>
            </w:tr>
            <w:tr w14:paraId="643A7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24716BB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709" w:type="pct"/>
                  <w:vAlign w:val="center"/>
                </w:tcPr>
                <w:p w14:paraId="2E3D545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实验设备废液</w:t>
                  </w:r>
                </w:p>
              </w:tc>
              <w:tc>
                <w:tcPr>
                  <w:tcW w:w="759" w:type="pct"/>
                  <w:vAlign w:val="center"/>
                </w:tcPr>
                <w:p w14:paraId="01D99528">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实验设备运行</w:t>
                  </w:r>
                </w:p>
              </w:tc>
              <w:tc>
                <w:tcPr>
                  <w:tcW w:w="382" w:type="pct"/>
                  <w:vAlign w:val="center"/>
                </w:tcPr>
                <w:p w14:paraId="133BC33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w:t>
                  </w:r>
                </w:p>
              </w:tc>
              <w:tc>
                <w:tcPr>
                  <w:tcW w:w="1119" w:type="pct"/>
                  <w:vAlign w:val="center"/>
                </w:tcPr>
                <w:p w14:paraId="76BC40A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杂质</w:t>
                  </w:r>
                </w:p>
              </w:tc>
              <w:tc>
                <w:tcPr>
                  <w:tcW w:w="527" w:type="pct"/>
                  <w:vAlign w:val="center"/>
                </w:tcPr>
                <w:p w14:paraId="2F0A838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415" w:type="pct"/>
                  <w:vAlign w:val="center"/>
                </w:tcPr>
                <w:p w14:paraId="4164483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Align w:val="center"/>
                </w:tcPr>
                <w:p w14:paraId="3F33BAC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Merge w:val="continue"/>
                  <w:vAlign w:val="center"/>
                </w:tcPr>
                <w:p w14:paraId="3E9138BD">
                  <w:pPr>
                    <w:jc w:val="center"/>
                    <w:rPr>
                      <w:color w:val="000000" w:themeColor="text1"/>
                      <w:szCs w:val="21"/>
                      <w14:textFill>
                        <w14:solidFill>
                          <w14:schemeClr w14:val="tx1"/>
                        </w14:solidFill>
                      </w14:textFill>
                    </w:rPr>
                  </w:pPr>
                </w:p>
              </w:tc>
            </w:tr>
            <w:tr w14:paraId="66272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324DA77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709" w:type="pct"/>
                  <w:vAlign w:val="center"/>
                </w:tcPr>
                <w:p w14:paraId="681D73A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759" w:type="pct"/>
                  <w:vAlign w:val="center"/>
                </w:tcPr>
                <w:p w14:paraId="4CEB23E3">
                  <w:pPr>
                    <w:jc w:val="center"/>
                    <w:rPr>
                      <w:color w:val="000000" w:themeColor="text1"/>
                      <w14:textFill>
                        <w14:solidFill>
                          <w14:schemeClr w14:val="tx1"/>
                        </w14:solidFill>
                      </w14:textFill>
                    </w:rPr>
                  </w:pPr>
                  <w:r>
                    <w:rPr>
                      <w:color w:val="000000" w:themeColor="text1"/>
                      <w14:textFill>
                        <w14:solidFill>
                          <w14:schemeClr w14:val="tx1"/>
                        </w14:solidFill>
                      </w14:textFill>
                    </w:rPr>
                    <w:t>废气处理</w:t>
                  </w:r>
                </w:p>
              </w:tc>
              <w:tc>
                <w:tcPr>
                  <w:tcW w:w="382" w:type="pct"/>
                  <w:vAlign w:val="center"/>
                </w:tcPr>
                <w:p w14:paraId="73CCA13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w:t>
                  </w:r>
                </w:p>
              </w:tc>
              <w:tc>
                <w:tcPr>
                  <w:tcW w:w="1119" w:type="pct"/>
                  <w:vAlign w:val="center"/>
                </w:tcPr>
                <w:p w14:paraId="0C51AE7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有机物等</w:t>
                  </w:r>
                </w:p>
              </w:tc>
              <w:tc>
                <w:tcPr>
                  <w:tcW w:w="527" w:type="pct"/>
                  <w:vAlign w:val="center"/>
                </w:tcPr>
                <w:p w14:paraId="349E21C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0.176</w:t>
                  </w:r>
                </w:p>
              </w:tc>
              <w:tc>
                <w:tcPr>
                  <w:tcW w:w="415" w:type="pct"/>
                  <w:vAlign w:val="center"/>
                </w:tcPr>
                <w:p w14:paraId="3183C63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Align w:val="center"/>
                </w:tcPr>
                <w:p w14:paraId="2758C2F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Merge w:val="continue"/>
                  <w:vAlign w:val="center"/>
                </w:tcPr>
                <w:p w14:paraId="133B548C">
                  <w:pPr>
                    <w:jc w:val="center"/>
                    <w:rPr>
                      <w:color w:val="000000" w:themeColor="text1"/>
                      <w:szCs w:val="21"/>
                      <w14:textFill>
                        <w14:solidFill>
                          <w14:schemeClr w14:val="tx1"/>
                        </w14:solidFill>
                      </w14:textFill>
                    </w:rPr>
                  </w:pPr>
                </w:p>
              </w:tc>
            </w:tr>
            <w:tr w14:paraId="4072C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01CB0159">
                  <w:pPr>
                    <w:snapToGrid w:val="0"/>
                    <w:jc w:val="center"/>
                    <w:rPr>
                      <w:rFonts w:hint="eastAsia"/>
                      <w:color w:val="FF0000"/>
                      <w:szCs w:val="21"/>
                    </w:rPr>
                  </w:pPr>
                  <w:r>
                    <w:rPr>
                      <w:color w:val="FF0000"/>
                      <w:szCs w:val="21"/>
                    </w:rPr>
                    <w:t>13</w:t>
                  </w:r>
                </w:p>
              </w:tc>
              <w:tc>
                <w:tcPr>
                  <w:tcW w:w="709" w:type="pct"/>
                  <w:vAlign w:val="center"/>
                </w:tcPr>
                <w:p w14:paraId="3D657757">
                  <w:pPr>
                    <w:jc w:val="center"/>
                    <w:rPr>
                      <w:rFonts w:hint="eastAsia" w:eastAsia="宋体"/>
                      <w:color w:val="FF0000"/>
                      <w:szCs w:val="21"/>
                      <w:lang w:val="en-US" w:eastAsia="zh-CN"/>
                    </w:rPr>
                  </w:pPr>
                  <w:r>
                    <w:rPr>
                      <w:rFonts w:hint="eastAsia"/>
                      <w:color w:val="FF0000"/>
                      <w:szCs w:val="21"/>
                      <w:lang w:val="en-US" w:eastAsia="zh-CN"/>
                    </w:rPr>
                    <w:t>废树脂</w:t>
                  </w:r>
                </w:p>
              </w:tc>
              <w:tc>
                <w:tcPr>
                  <w:tcW w:w="759" w:type="pct"/>
                  <w:vAlign w:val="center"/>
                </w:tcPr>
                <w:p w14:paraId="1856980F">
                  <w:pPr>
                    <w:jc w:val="center"/>
                    <w:rPr>
                      <w:rFonts w:hint="default" w:eastAsia="宋体"/>
                      <w:color w:val="FF0000"/>
                      <w:lang w:val="en-US" w:eastAsia="zh-CN"/>
                    </w:rPr>
                  </w:pPr>
                  <w:r>
                    <w:rPr>
                      <w:rFonts w:hint="eastAsia"/>
                      <w:color w:val="FF0000"/>
                      <w:lang w:val="en-US" w:eastAsia="zh-CN"/>
                    </w:rPr>
                    <w:t>提纯</w:t>
                  </w:r>
                </w:p>
              </w:tc>
              <w:tc>
                <w:tcPr>
                  <w:tcW w:w="382" w:type="pct"/>
                  <w:vAlign w:val="center"/>
                </w:tcPr>
                <w:p w14:paraId="748CCBD8">
                  <w:pPr>
                    <w:jc w:val="center"/>
                    <w:rPr>
                      <w:color w:val="FF0000"/>
                      <w:szCs w:val="21"/>
                    </w:rPr>
                  </w:pPr>
                  <w:r>
                    <w:rPr>
                      <w:rFonts w:hint="eastAsia"/>
                      <w:color w:val="FF0000"/>
                      <w:szCs w:val="21"/>
                    </w:rPr>
                    <w:t>固</w:t>
                  </w:r>
                </w:p>
              </w:tc>
              <w:tc>
                <w:tcPr>
                  <w:tcW w:w="1119" w:type="pct"/>
                  <w:vAlign w:val="center"/>
                </w:tcPr>
                <w:p w14:paraId="22E7A58E">
                  <w:pPr>
                    <w:jc w:val="center"/>
                    <w:rPr>
                      <w:rFonts w:hint="eastAsia" w:eastAsia="宋体"/>
                      <w:color w:val="FF0000"/>
                      <w:szCs w:val="21"/>
                      <w:lang w:val="en-US" w:eastAsia="zh-CN"/>
                    </w:rPr>
                  </w:pPr>
                  <w:r>
                    <w:rPr>
                      <w:rFonts w:hint="eastAsia"/>
                      <w:color w:val="FF0000"/>
                      <w:szCs w:val="21"/>
                      <w:lang w:val="en-US" w:eastAsia="zh-CN"/>
                    </w:rPr>
                    <w:t>树脂、</w:t>
                  </w:r>
                  <w:r>
                    <w:rPr>
                      <w:rFonts w:hint="eastAsia"/>
                      <w:color w:val="FF0000"/>
                      <w:szCs w:val="21"/>
                    </w:rPr>
                    <w:t>杂质</w:t>
                  </w:r>
                </w:p>
              </w:tc>
              <w:tc>
                <w:tcPr>
                  <w:tcW w:w="527" w:type="pct"/>
                  <w:vAlign w:val="center"/>
                </w:tcPr>
                <w:p w14:paraId="7534E360">
                  <w:pPr>
                    <w:jc w:val="center"/>
                    <w:rPr>
                      <w:rFonts w:hint="default" w:eastAsia="宋体"/>
                      <w:color w:val="FF0000"/>
                      <w:szCs w:val="21"/>
                      <w:lang w:val="en-US" w:eastAsia="zh-CN"/>
                    </w:rPr>
                  </w:pPr>
                  <w:r>
                    <w:rPr>
                      <w:rFonts w:hint="eastAsia"/>
                      <w:color w:val="FF0000"/>
                      <w:szCs w:val="21"/>
                      <w:lang w:val="en-US" w:eastAsia="zh-CN"/>
                    </w:rPr>
                    <w:t>0.01</w:t>
                  </w:r>
                </w:p>
              </w:tc>
              <w:tc>
                <w:tcPr>
                  <w:tcW w:w="415" w:type="pct"/>
                  <w:shd w:val="clear" w:color="auto" w:fill="auto"/>
                  <w:vAlign w:val="center"/>
                </w:tcPr>
                <w:p w14:paraId="3C5DC123">
                  <w:pPr>
                    <w:jc w:val="center"/>
                    <w:rPr>
                      <w:rFonts w:ascii="Times New Roman" w:hAnsi="Times New Roman" w:eastAsia="宋体" w:cs="Times New Roman"/>
                      <w:color w:val="FF0000"/>
                      <w:kern w:val="2"/>
                      <w:sz w:val="21"/>
                      <w:szCs w:val="21"/>
                      <w:lang w:val="en-US" w:eastAsia="zh-CN" w:bidi="ar-SA"/>
                    </w:rPr>
                  </w:pPr>
                  <w:r>
                    <w:rPr>
                      <w:color w:val="FF0000"/>
                      <w:szCs w:val="21"/>
                    </w:rPr>
                    <w:t>√</w:t>
                  </w:r>
                </w:p>
              </w:tc>
              <w:tc>
                <w:tcPr>
                  <w:tcW w:w="415" w:type="pct"/>
                  <w:shd w:val="clear" w:color="auto" w:fill="auto"/>
                  <w:vAlign w:val="center"/>
                </w:tcPr>
                <w:p w14:paraId="4B6F77F8">
                  <w:pPr>
                    <w:jc w:val="center"/>
                    <w:rPr>
                      <w:rFonts w:ascii="Times New Roman" w:hAnsi="Times New Roman" w:eastAsia="宋体" w:cs="Times New Roman"/>
                      <w:color w:val="FF0000"/>
                      <w:kern w:val="2"/>
                      <w:sz w:val="21"/>
                      <w:szCs w:val="21"/>
                      <w:lang w:val="en-US" w:eastAsia="zh-CN" w:bidi="ar-SA"/>
                    </w:rPr>
                  </w:pPr>
                  <w:r>
                    <w:rPr>
                      <w:color w:val="FF0000"/>
                      <w:szCs w:val="21"/>
                    </w:rPr>
                    <w:t>/</w:t>
                  </w:r>
                </w:p>
              </w:tc>
              <w:tc>
                <w:tcPr>
                  <w:tcW w:w="415" w:type="pct"/>
                  <w:vMerge w:val="continue"/>
                  <w:vAlign w:val="center"/>
                </w:tcPr>
                <w:p w14:paraId="54161EFA">
                  <w:pPr>
                    <w:jc w:val="center"/>
                    <w:rPr>
                      <w:color w:val="000000" w:themeColor="text1"/>
                      <w:szCs w:val="21"/>
                      <w14:textFill>
                        <w14:solidFill>
                          <w14:schemeClr w14:val="tx1"/>
                        </w14:solidFill>
                      </w14:textFill>
                    </w:rPr>
                  </w:pPr>
                </w:p>
              </w:tc>
            </w:tr>
            <w:tr w14:paraId="7FB6D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07EE287D">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w:t>
                  </w:r>
                </w:p>
              </w:tc>
              <w:tc>
                <w:tcPr>
                  <w:tcW w:w="709" w:type="pct"/>
                  <w:vAlign w:val="center"/>
                </w:tcPr>
                <w:p w14:paraId="5693F47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759" w:type="pct"/>
                  <w:vAlign w:val="center"/>
                </w:tcPr>
                <w:p w14:paraId="05173847">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员工生活</w:t>
                  </w:r>
                </w:p>
              </w:tc>
              <w:tc>
                <w:tcPr>
                  <w:tcW w:w="382" w:type="pct"/>
                  <w:vAlign w:val="center"/>
                </w:tcPr>
                <w:p w14:paraId="66D6BF9A">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固</w:t>
                  </w:r>
                </w:p>
              </w:tc>
              <w:tc>
                <w:tcPr>
                  <w:tcW w:w="1119" w:type="pct"/>
                  <w:vAlign w:val="center"/>
                </w:tcPr>
                <w:p w14:paraId="57815F8B">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527" w:type="pct"/>
                  <w:vAlign w:val="center"/>
                </w:tcPr>
                <w:p w14:paraId="193B47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415" w:type="pct"/>
                  <w:vAlign w:val="center"/>
                </w:tcPr>
                <w:p w14:paraId="1227DC2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Align w:val="center"/>
                </w:tcPr>
                <w:p w14:paraId="1E358F7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5" w:type="pct"/>
                  <w:vMerge w:val="continue"/>
                  <w:vAlign w:val="center"/>
                </w:tcPr>
                <w:p w14:paraId="07CDDD7E">
                  <w:pPr>
                    <w:jc w:val="center"/>
                    <w:rPr>
                      <w:color w:val="000000" w:themeColor="text1"/>
                      <w:szCs w:val="21"/>
                      <w14:textFill>
                        <w14:solidFill>
                          <w14:schemeClr w14:val="tx1"/>
                        </w14:solidFill>
                      </w14:textFill>
                    </w:rPr>
                  </w:pPr>
                </w:p>
              </w:tc>
            </w:tr>
          </w:tbl>
          <w:p w14:paraId="247C1A4E">
            <w:pPr>
              <w:ind w:left="480" w:hanging="480" w:hangingChars="200"/>
              <w:rPr>
                <w:color w:val="000000" w:themeColor="text1"/>
                <w:sz w:val="24"/>
                <w14:textFill>
                  <w14:solidFill>
                    <w14:schemeClr w14:val="tx1"/>
                  </w14:solidFill>
                </w14:textFill>
              </w:rPr>
            </w:pPr>
            <w:r>
              <w:rPr>
                <w:color w:val="000000" w:themeColor="text1"/>
                <w:sz w:val="24"/>
                <w14:textFill>
                  <w14:solidFill>
                    <w14:schemeClr w14:val="tx1"/>
                  </w14:solidFill>
                </w14:textFill>
              </w:rPr>
              <w:t>注：*种类判断，在相应类别下打钩。</w:t>
            </w:r>
          </w:p>
          <w:p w14:paraId="4809E6E5">
            <w:pPr>
              <w:tabs>
                <w:tab w:val="left" w:pos="1684"/>
              </w:tabs>
              <w:spacing w:line="480" w:lineRule="exact"/>
              <w:rPr>
                <w:color w:val="000000" w:themeColor="text1"/>
                <w:sz w:val="24"/>
                <w14:textFill>
                  <w14:solidFill>
                    <w14:schemeClr w14:val="tx1"/>
                  </w14:solidFill>
                </w14:textFill>
              </w:rPr>
            </w:pPr>
            <w:r>
              <w:rPr>
                <w:b/>
                <w:bCs/>
                <w:color w:val="000000" w:themeColor="text1"/>
                <w:sz w:val="24"/>
                <w14:textFill>
                  <w14:solidFill>
                    <w14:schemeClr w14:val="tx1"/>
                  </w14:solidFill>
                </w14:textFill>
              </w:rPr>
              <w:t>4.3固体废物产生情况汇总</w:t>
            </w:r>
          </w:p>
          <w:p w14:paraId="3EEBC0C0">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根据《国家危险废物名录（2025年版）》、《危险废物鉴别标准 通则》（GB5085.7）、《固体废物分类与代码目录》（2024年版）对以上固废进行属性判定。</w:t>
            </w:r>
          </w:p>
          <w:p w14:paraId="754E4C41">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表4-1</w:t>
            </w:r>
            <w:r>
              <w:rPr>
                <w:rFonts w:hint="eastAsia"/>
                <w:b/>
                <w:color w:val="000000" w:themeColor="text1"/>
                <w:szCs w:val="21"/>
                <w14:textFill>
                  <w14:solidFill>
                    <w14:schemeClr w14:val="tx1"/>
                  </w14:solidFill>
                </w14:textFill>
              </w:rPr>
              <w:t>5</w:t>
            </w:r>
            <w:r>
              <w:rPr>
                <w:b/>
                <w:color w:val="000000" w:themeColor="text1"/>
                <w:szCs w:val="21"/>
                <w14:textFill>
                  <w14:solidFill>
                    <w14:schemeClr w14:val="tx1"/>
                  </w14:solidFill>
                </w14:textFill>
              </w:rPr>
              <w:t xml:space="preserve"> 固体废物分析结果汇总表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71"/>
              <w:gridCol w:w="763"/>
              <w:gridCol w:w="466"/>
              <w:gridCol w:w="772"/>
              <w:gridCol w:w="468"/>
              <w:gridCol w:w="776"/>
              <w:gridCol w:w="851"/>
              <w:gridCol w:w="983"/>
              <w:gridCol w:w="856"/>
              <w:gridCol w:w="1459"/>
              <w:gridCol w:w="791"/>
              <w:gridCol w:w="670"/>
            </w:tblGrid>
            <w:tr w14:paraId="3FE86A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2" w:type="pct"/>
                  <w:vAlign w:val="center"/>
                </w:tcPr>
                <w:p w14:paraId="57D056E4">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409" w:type="pct"/>
                  <w:vAlign w:val="center"/>
                </w:tcPr>
                <w:p w14:paraId="6EA25DA4">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固体废物名称</w:t>
                  </w:r>
                </w:p>
              </w:tc>
              <w:tc>
                <w:tcPr>
                  <w:tcW w:w="249" w:type="pct"/>
                  <w:vAlign w:val="center"/>
                </w:tcPr>
                <w:p w14:paraId="65EF3D3C">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属性</w:t>
                  </w:r>
                </w:p>
              </w:tc>
              <w:tc>
                <w:tcPr>
                  <w:tcW w:w="413" w:type="pct"/>
                  <w:vAlign w:val="center"/>
                </w:tcPr>
                <w:p w14:paraId="260D0CED">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产生工序</w:t>
                  </w:r>
                </w:p>
              </w:tc>
              <w:tc>
                <w:tcPr>
                  <w:tcW w:w="250" w:type="pct"/>
                  <w:vAlign w:val="center"/>
                </w:tcPr>
                <w:p w14:paraId="5DB5A9AD">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形态</w:t>
                  </w:r>
                </w:p>
              </w:tc>
              <w:tc>
                <w:tcPr>
                  <w:tcW w:w="416" w:type="pct"/>
                  <w:vAlign w:val="center"/>
                </w:tcPr>
                <w:p w14:paraId="1D3B39ED">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主要成分</w:t>
                  </w:r>
                </w:p>
              </w:tc>
              <w:tc>
                <w:tcPr>
                  <w:tcW w:w="456" w:type="pct"/>
                  <w:vAlign w:val="center"/>
                </w:tcPr>
                <w:p w14:paraId="0429F80B">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危险特性鉴别方法</w:t>
                  </w:r>
                </w:p>
              </w:tc>
              <w:tc>
                <w:tcPr>
                  <w:tcW w:w="527" w:type="pct"/>
                  <w:vAlign w:val="center"/>
                </w:tcPr>
                <w:p w14:paraId="591D6149">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危险特性</w:t>
                  </w:r>
                </w:p>
              </w:tc>
              <w:tc>
                <w:tcPr>
                  <w:tcW w:w="458" w:type="pct"/>
                  <w:vAlign w:val="center"/>
                </w:tcPr>
                <w:p w14:paraId="572A1C90">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废物类别</w:t>
                  </w:r>
                </w:p>
              </w:tc>
              <w:tc>
                <w:tcPr>
                  <w:tcW w:w="782" w:type="pct"/>
                  <w:vAlign w:val="center"/>
                </w:tcPr>
                <w:p w14:paraId="0596A180">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废物代码</w:t>
                  </w:r>
                </w:p>
              </w:tc>
              <w:tc>
                <w:tcPr>
                  <w:tcW w:w="424" w:type="pct"/>
                  <w:vAlign w:val="center"/>
                </w:tcPr>
                <w:p w14:paraId="7EBE4F2A">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估算产生量（t/a）</w:t>
                  </w:r>
                </w:p>
              </w:tc>
              <w:tc>
                <w:tcPr>
                  <w:tcW w:w="359" w:type="pct"/>
                  <w:vAlign w:val="center"/>
                </w:tcPr>
                <w:p w14:paraId="65EFE9C7">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利用处置方式</w:t>
                  </w:r>
                </w:p>
              </w:tc>
            </w:tr>
            <w:tr w14:paraId="4C0983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2" w:type="pct"/>
                  <w:vAlign w:val="center"/>
                </w:tcPr>
                <w:p w14:paraId="52432B92">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409" w:type="pct"/>
                  <w:vAlign w:val="center"/>
                </w:tcPr>
                <w:p w14:paraId="75EB55D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废包装材料</w:t>
                  </w:r>
                </w:p>
              </w:tc>
              <w:tc>
                <w:tcPr>
                  <w:tcW w:w="249" w:type="pct"/>
                  <w:vAlign w:val="center"/>
                </w:tcPr>
                <w:p w14:paraId="6048A56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一般工业固废</w:t>
                  </w:r>
                </w:p>
              </w:tc>
              <w:tc>
                <w:tcPr>
                  <w:tcW w:w="413" w:type="pct"/>
                  <w:vAlign w:val="center"/>
                </w:tcPr>
                <w:p w14:paraId="5DFDE570">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拆包</w:t>
                  </w:r>
                </w:p>
              </w:tc>
              <w:tc>
                <w:tcPr>
                  <w:tcW w:w="250" w:type="pct"/>
                  <w:vAlign w:val="center"/>
                </w:tcPr>
                <w:p w14:paraId="7057DA0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w:t>
                  </w:r>
                </w:p>
              </w:tc>
              <w:tc>
                <w:tcPr>
                  <w:tcW w:w="416" w:type="pct"/>
                  <w:vAlign w:val="center"/>
                </w:tcPr>
                <w:p w14:paraId="7554C87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纸塑</w:t>
                  </w:r>
                </w:p>
              </w:tc>
              <w:tc>
                <w:tcPr>
                  <w:tcW w:w="456" w:type="pct"/>
                  <w:vMerge w:val="restart"/>
                  <w:vAlign w:val="center"/>
                </w:tcPr>
                <w:p w14:paraId="509B496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《固体废物分类与代码目录》、</w:t>
                  </w:r>
                </w:p>
                <w:p w14:paraId="705CF6D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《国家危险废物名录》（202</w:t>
                  </w: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年）</w:t>
                  </w:r>
                </w:p>
              </w:tc>
              <w:tc>
                <w:tcPr>
                  <w:tcW w:w="527" w:type="pct"/>
                  <w:vAlign w:val="center"/>
                </w:tcPr>
                <w:p w14:paraId="3975CBC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458" w:type="pct"/>
                  <w:vAlign w:val="center"/>
                </w:tcPr>
                <w:p w14:paraId="771763F0">
                  <w:pPr>
                    <w:spacing w:line="2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SW92</w:t>
                  </w:r>
                </w:p>
              </w:tc>
              <w:tc>
                <w:tcPr>
                  <w:tcW w:w="782" w:type="pct"/>
                  <w:vAlign w:val="center"/>
                </w:tcPr>
                <w:p w14:paraId="5761D570">
                  <w:pPr>
                    <w:spacing w:line="2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900-002-S92</w:t>
                  </w:r>
                </w:p>
              </w:tc>
              <w:tc>
                <w:tcPr>
                  <w:tcW w:w="424" w:type="pct"/>
                  <w:vAlign w:val="center"/>
                </w:tcPr>
                <w:p w14:paraId="5F460F3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w:t>
                  </w:r>
                </w:p>
              </w:tc>
              <w:tc>
                <w:tcPr>
                  <w:tcW w:w="359" w:type="pct"/>
                  <w:vAlign w:val="center"/>
                </w:tcPr>
                <w:p w14:paraId="1DC28F8B">
                  <w:pPr>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委外综合利用</w:t>
                  </w:r>
                </w:p>
              </w:tc>
            </w:tr>
            <w:tr w14:paraId="34CE2B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2" w:type="pct"/>
                  <w:vAlign w:val="center"/>
                </w:tcPr>
                <w:p w14:paraId="2412A4DF">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409" w:type="pct"/>
                  <w:vAlign w:val="center"/>
                </w:tcPr>
                <w:p w14:paraId="7A4BBE7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目标产物</w:t>
                  </w:r>
                </w:p>
              </w:tc>
              <w:tc>
                <w:tcPr>
                  <w:tcW w:w="249" w:type="pct"/>
                  <w:vMerge w:val="restart"/>
                  <w:vAlign w:val="center"/>
                </w:tcPr>
                <w:p w14:paraId="46D7226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危险废物</w:t>
                  </w:r>
                </w:p>
              </w:tc>
              <w:tc>
                <w:tcPr>
                  <w:tcW w:w="413" w:type="pct"/>
                  <w:vAlign w:val="center"/>
                </w:tcPr>
                <w:p w14:paraId="464F28AD">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实验</w:t>
                  </w:r>
                </w:p>
              </w:tc>
              <w:tc>
                <w:tcPr>
                  <w:tcW w:w="250" w:type="pct"/>
                  <w:vAlign w:val="center"/>
                </w:tcPr>
                <w:p w14:paraId="65D8403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w:t>
                  </w:r>
                </w:p>
              </w:tc>
              <w:tc>
                <w:tcPr>
                  <w:tcW w:w="416" w:type="pct"/>
                  <w:vAlign w:val="center"/>
                </w:tcPr>
                <w:p w14:paraId="3424C09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氨基酸</w:t>
                  </w:r>
                </w:p>
              </w:tc>
              <w:tc>
                <w:tcPr>
                  <w:tcW w:w="456" w:type="pct"/>
                  <w:vMerge w:val="continue"/>
                  <w:vAlign w:val="center"/>
                </w:tcPr>
                <w:p w14:paraId="00FC702B">
                  <w:pPr>
                    <w:jc w:val="center"/>
                    <w:rPr>
                      <w:color w:val="000000" w:themeColor="text1"/>
                      <w:sz w:val="21"/>
                      <w:szCs w:val="21"/>
                      <w14:textFill>
                        <w14:solidFill>
                          <w14:schemeClr w14:val="tx1"/>
                        </w14:solidFill>
                      </w14:textFill>
                    </w:rPr>
                  </w:pPr>
                </w:p>
              </w:tc>
              <w:tc>
                <w:tcPr>
                  <w:tcW w:w="527" w:type="pct"/>
                  <w:vAlign w:val="center"/>
                </w:tcPr>
                <w:p w14:paraId="6F67CDE7">
                  <w:pPr>
                    <w:pStyle w:val="115"/>
                    <w:ind w:lef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T/C/I/R</w:t>
                  </w:r>
                </w:p>
              </w:tc>
              <w:tc>
                <w:tcPr>
                  <w:tcW w:w="458" w:type="pct"/>
                  <w:vAlign w:val="center"/>
                </w:tcPr>
                <w:p w14:paraId="7C52FE2B">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782" w:type="pct"/>
                  <w:vAlign w:val="center"/>
                </w:tcPr>
                <w:p w14:paraId="16EDA88A">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424" w:type="pct"/>
                  <w:vAlign w:val="center"/>
                </w:tcPr>
                <w:p w14:paraId="366785C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0.004</w:t>
                  </w:r>
                </w:p>
              </w:tc>
              <w:tc>
                <w:tcPr>
                  <w:tcW w:w="359" w:type="pct"/>
                  <w:vMerge w:val="restart"/>
                  <w:vAlign w:val="center"/>
                </w:tcPr>
                <w:p w14:paraId="3C8426B8">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委托有资质的单位处置</w:t>
                  </w:r>
                </w:p>
              </w:tc>
            </w:tr>
            <w:tr w14:paraId="75CDF4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2" w:type="pct"/>
                  <w:vAlign w:val="center"/>
                </w:tcPr>
                <w:p w14:paraId="645DF7E3">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409" w:type="pct"/>
                  <w:vAlign w:val="center"/>
                </w:tcPr>
                <w:p w14:paraId="03FB9DC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实验废物</w:t>
                  </w:r>
                </w:p>
              </w:tc>
              <w:tc>
                <w:tcPr>
                  <w:tcW w:w="249" w:type="pct"/>
                  <w:vMerge w:val="continue"/>
                  <w:vAlign w:val="center"/>
                </w:tcPr>
                <w:p w14:paraId="66E18F3F">
                  <w:pPr>
                    <w:jc w:val="center"/>
                    <w:rPr>
                      <w:color w:val="000000" w:themeColor="text1"/>
                      <w:sz w:val="21"/>
                      <w:szCs w:val="21"/>
                      <w14:textFill>
                        <w14:solidFill>
                          <w14:schemeClr w14:val="tx1"/>
                        </w14:solidFill>
                      </w14:textFill>
                    </w:rPr>
                  </w:pPr>
                </w:p>
              </w:tc>
              <w:tc>
                <w:tcPr>
                  <w:tcW w:w="413" w:type="pct"/>
                  <w:vAlign w:val="center"/>
                </w:tcPr>
                <w:p w14:paraId="7641528E">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实验</w:t>
                  </w:r>
                </w:p>
              </w:tc>
              <w:tc>
                <w:tcPr>
                  <w:tcW w:w="250" w:type="pct"/>
                  <w:vAlign w:val="center"/>
                </w:tcPr>
                <w:p w14:paraId="4308F64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w:t>
                  </w:r>
                </w:p>
              </w:tc>
              <w:tc>
                <w:tcPr>
                  <w:tcW w:w="416" w:type="pct"/>
                  <w:vAlign w:val="center"/>
                </w:tcPr>
                <w:p w14:paraId="49DD538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废试剂瓶、废实验用品、废培养基等</w:t>
                  </w:r>
                </w:p>
              </w:tc>
              <w:tc>
                <w:tcPr>
                  <w:tcW w:w="456" w:type="pct"/>
                  <w:vMerge w:val="continue"/>
                  <w:vAlign w:val="center"/>
                </w:tcPr>
                <w:p w14:paraId="4AD9D89A">
                  <w:pPr>
                    <w:jc w:val="center"/>
                    <w:rPr>
                      <w:color w:val="000000" w:themeColor="text1"/>
                      <w:sz w:val="21"/>
                      <w:szCs w:val="21"/>
                      <w14:textFill>
                        <w14:solidFill>
                          <w14:schemeClr w14:val="tx1"/>
                        </w14:solidFill>
                      </w14:textFill>
                    </w:rPr>
                  </w:pPr>
                </w:p>
              </w:tc>
              <w:tc>
                <w:tcPr>
                  <w:tcW w:w="527" w:type="pct"/>
                  <w:vAlign w:val="center"/>
                </w:tcPr>
                <w:p w14:paraId="22576A22">
                  <w:pPr>
                    <w:pStyle w:val="115"/>
                    <w:ind w:lef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T/C/I/R</w:t>
                  </w:r>
                </w:p>
              </w:tc>
              <w:tc>
                <w:tcPr>
                  <w:tcW w:w="458" w:type="pct"/>
                  <w:vAlign w:val="center"/>
                </w:tcPr>
                <w:p w14:paraId="0E8F5A32">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782" w:type="pct"/>
                  <w:vAlign w:val="center"/>
                </w:tcPr>
                <w:p w14:paraId="2C83DA5A">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424" w:type="pct"/>
                  <w:vAlign w:val="center"/>
                </w:tcPr>
                <w:p w14:paraId="595C6C4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w:t>
                  </w:r>
                </w:p>
              </w:tc>
              <w:tc>
                <w:tcPr>
                  <w:tcW w:w="359" w:type="pct"/>
                  <w:vMerge w:val="continue"/>
                  <w:vAlign w:val="center"/>
                </w:tcPr>
                <w:p w14:paraId="49B31232">
                  <w:pPr>
                    <w:jc w:val="center"/>
                    <w:rPr>
                      <w:color w:val="000000" w:themeColor="text1"/>
                      <w:sz w:val="21"/>
                      <w:szCs w:val="21"/>
                      <w14:textFill>
                        <w14:solidFill>
                          <w14:schemeClr w14:val="tx1"/>
                        </w14:solidFill>
                      </w14:textFill>
                    </w:rPr>
                  </w:pPr>
                </w:p>
              </w:tc>
            </w:tr>
            <w:tr w14:paraId="517C3C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2" w:type="pct"/>
                  <w:vAlign w:val="center"/>
                </w:tcPr>
                <w:p w14:paraId="792FD1D4">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409" w:type="pct"/>
                  <w:vAlign w:val="center"/>
                </w:tcPr>
                <w:p w14:paraId="3A91BB8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实验废液</w:t>
                  </w:r>
                </w:p>
              </w:tc>
              <w:tc>
                <w:tcPr>
                  <w:tcW w:w="249" w:type="pct"/>
                  <w:vMerge w:val="continue"/>
                  <w:vAlign w:val="center"/>
                </w:tcPr>
                <w:p w14:paraId="03D3500F">
                  <w:pPr>
                    <w:jc w:val="center"/>
                    <w:rPr>
                      <w:color w:val="000000" w:themeColor="text1"/>
                      <w:sz w:val="21"/>
                      <w:szCs w:val="21"/>
                      <w14:textFill>
                        <w14:solidFill>
                          <w14:schemeClr w14:val="tx1"/>
                        </w14:solidFill>
                      </w14:textFill>
                    </w:rPr>
                  </w:pPr>
                </w:p>
              </w:tc>
              <w:tc>
                <w:tcPr>
                  <w:tcW w:w="413" w:type="pct"/>
                  <w:vAlign w:val="center"/>
                </w:tcPr>
                <w:p w14:paraId="5CB2FD27">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实验</w:t>
                  </w:r>
                </w:p>
              </w:tc>
              <w:tc>
                <w:tcPr>
                  <w:tcW w:w="250" w:type="pct"/>
                  <w:vAlign w:val="center"/>
                </w:tcPr>
                <w:p w14:paraId="59A6B9BA">
                  <w:pPr>
                    <w:jc w:val="center"/>
                    <w:rPr>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液</w:t>
                  </w:r>
                </w:p>
              </w:tc>
              <w:tc>
                <w:tcPr>
                  <w:tcW w:w="416" w:type="pct"/>
                  <w:vAlign w:val="center"/>
                </w:tcPr>
                <w:p w14:paraId="6C2FF85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废溶剂、废液</w:t>
                  </w:r>
                </w:p>
              </w:tc>
              <w:tc>
                <w:tcPr>
                  <w:tcW w:w="456" w:type="pct"/>
                  <w:vMerge w:val="continue"/>
                  <w:vAlign w:val="center"/>
                </w:tcPr>
                <w:p w14:paraId="0758529F">
                  <w:pPr>
                    <w:jc w:val="center"/>
                    <w:rPr>
                      <w:color w:val="000000" w:themeColor="text1"/>
                      <w:sz w:val="21"/>
                      <w:szCs w:val="21"/>
                      <w14:textFill>
                        <w14:solidFill>
                          <w14:schemeClr w14:val="tx1"/>
                        </w14:solidFill>
                      </w14:textFill>
                    </w:rPr>
                  </w:pPr>
                </w:p>
              </w:tc>
              <w:tc>
                <w:tcPr>
                  <w:tcW w:w="527" w:type="pct"/>
                  <w:vAlign w:val="center"/>
                </w:tcPr>
                <w:p w14:paraId="626645D9">
                  <w:pPr>
                    <w:pStyle w:val="115"/>
                    <w:ind w:lef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T/C/I/R</w:t>
                  </w:r>
                </w:p>
              </w:tc>
              <w:tc>
                <w:tcPr>
                  <w:tcW w:w="458" w:type="pct"/>
                  <w:vAlign w:val="center"/>
                </w:tcPr>
                <w:p w14:paraId="0892767E">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782" w:type="pct"/>
                  <w:vAlign w:val="center"/>
                </w:tcPr>
                <w:p w14:paraId="75D87F62">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424" w:type="pct"/>
                  <w:vAlign w:val="center"/>
                </w:tcPr>
                <w:p w14:paraId="0D9BDAF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0.4</w:t>
                  </w:r>
                </w:p>
              </w:tc>
              <w:tc>
                <w:tcPr>
                  <w:tcW w:w="359" w:type="pct"/>
                  <w:vMerge w:val="continue"/>
                  <w:vAlign w:val="center"/>
                </w:tcPr>
                <w:p w14:paraId="2F2C4C6A">
                  <w:pPr>
                    <w:jc w:val="center"/>
                    <w:rPr>
                      <w:color w:val="000000" w:themeColor="text1"/>
                      <w:sz w:val="21"/>
                      <w:szCs w:val="21"/>
                      <w14:textFill>
                        <w14:solidFill>
                          <w14:schemeClr w14:val="tx1"/>
                        </w14:solidFill>
                      </w14:textFill>
                    </w:rPr>
                  </w:pPr>
                </w:p>
              </w:tc>
            </w:tr>
            <w:tr w14:paraId="31DF28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2" w:type="pct"/>
                  <w:vAlign w:val="center"/>
                </w:tcPr>
                <w:p w14:paraId="26316FBA">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409" w:type="pct"/>
                  <w:vAlign w:val="center"/>
                </w:tcPr>
                <w:p w14:paraId="5197FE1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菌渣</w:t>
                  </w:r>
                </w:p>
              </w:tc>
              <w:tc>
                <w:tcPr>
                  <w:tcW w:w="249" w:type="pct"/>
                  <w:vMerge w:val="continue"/>
                  <w:vAlign w:val="center"/>
                </w:tcPr>
                <w:p w14:paraId="4EFBE284">
                  <w:pPr>
                    <w:jc w:val="center"/>
                    <w:rPr>
                      <w:color w:val="000000" w:themeColor="text1"/>
                      <w:sz w:val="21"/>
                      <w:szCs w:val="21"/>
                      <w14:textFill>
                        <w14:solidFill>
                          <w14:schemeClr w14:val="tx1"/>
                        </w14:solidFill>
                      </w14:textFill>
                    </w:rPr>
                  </w:pPr>
                </w:p>
              </w:tc>
              <w:tc>
                <w:tcPr>
                  <w:tcW w:w="413" w:type="pct"/>
                  <w:vAlign w:val="center"/>
                </w:tcPr>
                <w:p w14:paraId="302DCF33">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提纯</w:t>
                  </w:r>
                </w:p>
              </w:tc>
              <w:tc>
                <w:tcPr>
                  <w:tcW w:w="250" w:type="pct"/>
                  <w:vAlign w:val="center"/>
                </w:tcPr>
                <w:p w14:paraId="6872AAE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半固</w:t>
                  </w:r>
                </w:p>
              </w:tc>
              <w:tc>
                <w:tcPr>
                  <w:tcW w:w="416" w:type="pct"/>
                  <w:vAlign w:val="center"/>
                </w:tcPr>
                <w:p w14:paraId="1213FFF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细胞残渣</w:t>
                  </w:r>
                </w:p>
              </w:tc>
              <w:tc>
                <w:tcPr>
                  <w:tcW w:w="456" w:type="pct"/>
                  <w:vMerge w:val="continue"/>
                  <w:vAlign w:val="center"/>
                </w:tcPr>
                <w:p w14:paraId="244EA315">
                  <w:pPr>
                    <w:jc w:val="center"/>
                    <w:rPr>
                      <w:color w:val="000000" w:themeColor="text1"/>
                      <w:sz w:val="21"/>
                      <w:szCs w:val="21"/>
                      <w14:textFill>
                        <w14:solidFill>
                          <w14:schemeClr w14:val="tx1"/>
                        </w14:solidFill>
                      </w14:textFill>
                    </w:rPr>
                  </w:pPr>
                </w:p>
              </w:tc>
              <w:tc>
                <w:tcPr>
                  <w:tcW w:w="527" w:type="pct"/>
                  <w:vAlign w:val="center"/>
                </w:tcPr>
                <w:p w14:paraId="77D330FF">
                  <w:pPr>
                    <w:pStyle w:val="115"/>
                    <w:ind w:lef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T/C/I/R</w:t>
                  </w:r>
                </w:p>
              </w:tc>
              <w:tc>
                <w:tcPr>
                  <w:tcW w:w="458" w:type="pct"/>
                  <w:vAlign w:val="center"/>
                </w:tcPr>
                <w:p w14:paraId="7C0B94B4">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782" w:type="pct"/>
                  <w:vAlign w:val="center"/>
                </w:tcPr>
                <w:p w14:paraId="6354B726">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424" w:type="pct"/>
                  <w:vAlign w:val="center"/>
                </w:tcPr>
                <w:p w14:paraId="44030D1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0.041</w:t>
                  </w:r>
                </w:p>
              </w:tc>
              <w:tc>
                <w:tcPr>
                  <w:tcW w:w="359" w:type="pct"/>
                  <w:vMerge w:val="continue"/>
                  <w:vAlign w:val="center"/>
                </w:tcPr>
                <w:p w14:paraId="4419EE7E">
                  <w:pPr>
                    <w:jc w:val="center"/>
                    <w:rPr>
                      <w:color w:val="000000" w:themeColor="text1"/>
                      <w:sz w:val="21"/>
                      <w:szCs w:val="21"/>
                      <w14:textFill>
                        <w14:solidFill>
                          <w14:schemeClr w14:val="tx1"/>
                        </w14:solidFill>
                      </w14:textFill>
                    </w:rPr>
                  </w:pPr>
                </w:p>
              </w:tc>
            </w:tr>
            <w:tr w14:paraId="18A187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2" w:type="pct"/>
                  <w:vAlign w:val="center"/>
                </w:tcPr>
                <w:p w14:paraId="590F3642">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409" w:type="pct"/>
                  <w:vAlign w:val="center"/>
                </w:tcPr>
                <w:p w14:paraId="37A1782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乙醇回收废液</w:t>
                  </w:r>
                </w:p>
              </w:tc>
              <w:tc>
                <w:tcPr>
                  <w:tcW w:w="249" w:type="pct"/>
                  <w:vMerge w:val="continue"/>
                  <w:vAlign w:val="center"/>
                </w:tcPr>
                <w:p w14:paraId="488AC1B6">
                  <w:pPr>
                    <w:jc w:val="center"/>
                    <w:rPr>
                      <w:color w:val="000000" w:themeColor="text1"/>
                      <w:sz w:val="21"/>
                      <w:szCs w:val="21"/>
                      <w14:textFill>
                        <w14:solidFill>
                          <w14:schemeClr w14:val="tx1"/>
                        </w14:solidFill>
                      </w14:textFill>
                    </w:rPr>
                  </w:pPr>
                </w:p>
              </w:tc>
              <w:tc>
                <w:tcPr>
                  <w:tcW w:w="413" w:type="pct"/>
                  <w:vAlign w:val="center"/>
                </w:tcPr>
                <w:p w14:paraId="0E364BA5">
                  <w:pPr>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乙醇回收</w:t>
                  </w:r>
                </w:p>
              </w:tc>
              <w:tc>
                <w:tcPr>
                  <w:tcW w:w="250" w:type="pct"/>
                  <w:vAlign w:val="center"/>
                </w:tcPr>
                <w:p w14:paraId="5400BB5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w:t>
                  </w:r>
                </w:p>
              </w:tc>
              <w:tc>
                <w:tcPr>
                  <w:tcW w:w="416" w:type="pct"/>
                  <w:vAlign w:val="center"/>
                </w:tcPr>
                <w:p w14:paraId="3B1F5CC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乙醇</w:t>
                  </w:r>
                </w:p>
              </w:tc>
              <w:tc>
                <w:tcPr>
                  <w:tcW w:w="456" w:type="pct"/>
                  <w:vMerge w:val="continue"/>
                  <w:vAlign w:val="center"/>
                </w:tcPr>
                <w:p w14:paraId="3D383C21">
                  <w:pPr>
                    <w:jc w:val="center"/>
                    <w:rPr>
                      <w:color w:val="000000" w:themeColor="text1"/>
                      <w:sz w:val="21"/>
                      <w:szCs w:val="21"/>
                      <w14:textFill>
                        <w14:solidFill>
                          <w14:schemeClr w14:val="tx1"/>
                        </w14:solidFill>
                      </w14:textFill>
                    </w:rPr>
                  </w:pPr>
                </w:p>
              </w:tc>
              <w:tc>
                <w:tcPr>
                  <w:tcW w:w="527" w:type="pct"/>
                  <w:vAlign w:val="center"/>
                </w:tcPr>
                <w:p w14:paraId="31678A0B">
                  <w:pPr>
                    <w:pStyle w:val="115"/>
                    <w:ind w:lef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T/C/I/R</w:t>
                  </w:r>
                </w:p>
              </w:tc>
              <w:tc>
                <w:tcPr>
                  <w:tcW w:w="458" w:type="pct"/>
                  <w:vAlign w:val="center"/>
                </w:tcPr>
                <w:p w14:paraId="6C27897B">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782" w:type="pct"/>
                  <w:vAlign w:val="center"/>
                </w:tcPr>
                <w:p w14:paraId="43D22A72">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424" w:type="pct"/>
                  <w:vAlign w:val="center"/>
                </w:tcPr>
                <w:p w14:paraId="70B32D8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0.036</w:t>
                  </w:r>
                </w:p>
              </w:tc>
              <w:tc>
                <w:tcPr>
                  <w:tcW w:w="359" w:type="pct"/>
                  <w:vMerge w:val="continue"/>
                  <w:vAlign w:val="center"/>
                </w:tcPr>
                <w:p w14:paraId="24E5A2C1">
                  <w:pPr>
                    <w:jc w:val="center"/>
                    <w:rPr>
                      <w:color w:val="000000" w:themeColor="text1"/>
                      <w:sz w:val="21"/>
                      <w:szCs w:val="21"/>
                      <w14:textFill>
                        <w14:solidFill>
                          <w14:schemeClr w14:val="tx1"/>
                        </w14:solidFill>
                      </w14:textFill>
                    </w:rPr>
                  </w:pPr>
                </w:p>
              </w:tc>
            </w:tr>
            <w:tr w14:paraId="679D12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2" w:type="pct"/>
                  <w:vAlign w:val="center"/>
                </w:tcPr>
                <w:p w14:paraId="07D34FBC">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409" w:type="pct"/>
                  <w:vAlign w:val="center"/>
                </w:tcPr>
                <w:p w14:paraId="50A69B5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废液</w:t>
                  </w:r>
                </w:p>
              </w:tc>
              <w:tc>
                <w:tcPr>
                  <w:tcW w:w="249" w:type="pct"/>
                  <w:vMerge w:val="continue"/>
                  <w:vAlign w:val="center"/>
                </w:tcPr>
                <w:p w14:paraId="22A138DC">
                  <w:pPr>
                    <w:jc w:val="center"/>
                    <w:rPr>
                      <w:color w:val="000000" w:themeColor="text1"/>
                      <w:sz w:val="21"/>
                      <w:szCs w:val="21"/>
                      <w14:textFill>
                        <w14:solidFill>
                          <w14:schemeClr w14:val="tx1"/>
                        </w14:solidFill>
                      </w14:textFill>
                    </w:rPr>
                  </w:pPr>
                </w:p>
              </w:tc>
              <w:tc>
                <w:tcPr>
                  <w:tcW w:w="413" w:type="pct"/>
                  <w:vAlign w:val="center"/>
                </w:tcPr>
                <w:p w14:paraId="1E0F1FDF">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提纯</w:t>
                  </w:r>
                </w:p>
              </w:tc>
              <w:tc>
                <w:tcPr>
                  <w:tcW w:w="250" w:type="pct"/>
                  <w:vAlign w:val="center"/>
                </w:tcPr>
                <w:p w14:paraId="4546809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w:t>
                  </w:r>
                </w:p>
              </w:tc>
              <w:tc>
                <w:tcPr>
                  <w:tcW w:w="416" w:type="pct"/>
                  <w:vAlign w:val="center"/>
                </w:tcPr>
                <w:p w14:paraId="3CBFB46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杂质</w:t>
                  </w:r>
                </w:p>
              </w:tc>
              <w:tc>
                <w:tcPr>
                  <w:tcW w:w="456" w:type="pct"/>
                  <w:vMerge w:val="continue"/>
                  <w:vAlign w:val="center"/>
                </w:tcPr>
                <w:p w14:paraId="217909A5">
                  <w:pPr>
                    <w:jc w:val="center"/>
                    <w:rPr>
                      <w:color w:val="000000" w:themeColor="text1"/>
                      <w:sz w:val="21"/>
                      <w:szCs w:val="21"/>
                      <w14:textFill>
                        <w14:solidFill>
                          <w14:schemeClr w14:val="tx1"/>
                        </w14:solidFill>
                      </w14:textFill>
                    </w:rPr>
                  </w:pPr>
                </w:p>
              </w:tc>
              <w:tc>
                <w:tcPr>
                  <w:tcW w:w="527" w:type="pct"/>
                  <w:vAlign w:val="center"/>
                </w:tcPr>
                <w:p w14:paraId="3B73CF31">
                  <w:pPr>
                    <w:pStyle w:val="115"/>
                    <w:ind w:lef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T/C/I/R</w:t>
                  </w:r>
                </w:p>
              </w:tc>
              <w:tc>
                <w:tcPr>
                  <w:tcW w:w="458" w:type="pct"/>
                  <w:vAlign w:val="center"/>
                </w:tcPr>
                <w:p w14:paraId="64E052E1">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782" w:type="pct"/>
                  <w:vAlign w:val="center"/>
                </w:tcPr>
                <w:p w14:paraId="0CD877E7">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424" w:type="pct"/>
                  <w:vAlign w:val="center"/>
                </w:tcPr>
                <w:p w14:paraId="677C9D8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0.918</w:t>
                  </w:r>
                </w:p>
              </w:tc>
              <w:tc>
                <w:tcPr>
                  <w:tcW w:w="359" w:type="pct"/>
                  <w:vMerge w:val="continue"/>
                  <w:vAlign w:val="center"/>
                </w:tcPr>
                <w:p w14:paraId="32B512C0">
                  <w:pPr>
                    <w:jc w:val="center"/>
                    <w:rPr>
                      <w:color w:val="000000" w:themeColor="text1"/>
                      <w:sz w:val="21"/>
                      <w:szCs w:val="21"/>
                      <w14:textFill>
                        <w14:solidFill>
                          <w14:schemeClr w14:val="tx1"/>
                        </w14:solidFill>
                      </w14:textFill>
                    </w:rPr>
                  </w:pPr>
                </w:p>
              </w:tc>
            </w:tr>
            <w:tr w14:paraId="5C04C1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2" w:type="pct"/>
                  <w:vAlign w:val="center"/>
                </w:tcPr>
                <w:p w14:paraId="0FCDA002">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409" w:type="pct"/>
                  <w:vAlign w:val="center"/>
                </w:tcPr>
                <w:p w14:paraId="5E8037A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设备清洗废液</w:t>
                  </w:r>
                </w:p>
              </w:tc>
              <w:tc>
                <w:tcPr>
                  <w:tcW w:w="249" w:type="pct"/>
                  <w:vMerge w:val="continue"/>
                  <w:vAlign w:val="center"/>
                </w:tcPr>
                <w:p w14:paraId="77E3F415">
                  <w:pPr>
                    <w:jc w:val="center"/>
                    <w:rPr>
                      <w:color w:val="000000" w:themeColor="text1"/>
                      <w:sz w:val="21"/>
                      <w:szCs w:val="21"/>
                      <w14:textFill>
                        <w14:solidFill>
                          <w14:schemeClr w14:val="tx1"/>
                        </w14:solidFill>
                      </w14:textFill>
                    </w:rPr>
                  </w:pPr>
                </w:p>
              </w:tc>
              <w:tc>
                <w:tcPr>
                  <w:tcW w:w="413" w:type="pct"/>
                  <w:vAlign w:val="center"/>
                </w:tcPr>
                <w:p w14:paraId="7F17B17A">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设备清洗</w:t>
                  </w:r>
                </w:p>
              </w:tc>
              <w:tc>
                <w:tcPr>
                  <w:tcW w:w="250" w:type="pct"/>
                  <w:vAlign w:val="center"/>
                </w:tcPr>
                <w:p w14:paraId="4B008C3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w:t>
                  </w:r>
                </w:p>
              </w:tc>
              <w:tc>
                <w:tcPr>
                  <w:tcW w:w="416" w:type="pct"/>
                  <w:vAlign w:val="center"/>
                </w:tcPr>
                <w:p w14:paraId="6F10977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杂质</w:t>
                  </w:r>
                </w:p>
              </w:tc>
              <w:tc>
                <w:tcPr>
                  <w:tcW w:w="456" w:type="pct"/>
                  <w:vMerge w:val="continue"/>
                  <w:vAlign w:val="center"/>
                </w:tcPr>
                <w:p w14:paraId="6A8F7683">
                  <w:pPr>
                    <w:jc w:val="center"/>
                    <w:rPr>
                      <w:color w:val="000000" w:themeColor="text1"/>
                      <w:sz w:val="21"/>
                      <w:szCs w:val="21"/>
                      <w14:textFill>
                        <w14:solidFill>
                          <w14:schemeClr w14:val="tx1"/>
                        </w14:solidFill>
                      </w14:textFill>
                    </w:rPr>
                  </w:pPr>
                </w:p>
              </w:tc>
              <w:tc>
                <w:tcPr>
                  <w:tcW w:w="527" w:type="pct"/>
                  <w:vAlign w:val="center"/>
                </w:tcPr>
                <w:p w14:paraId="1CC2681E">
                  <w:pPr>
                    <w:pStyle w:val="115"/>
                    <w:ind w:lef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T/C/I/R</w:t>
                  </w:r>
                </w:p>
              </w:tc>
              <w:tc>
                <w:tcPr>
                  <w:tcW w:w="458" w:type="pct"/>
                  <w:vAlign w:val="center"/>
                </w:tcPr>
                <w:p w14:paraId="69210948">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782" w:type="pct"/>
                  <w:vAlign w:val="center"/>
                </w:tcPr>
                <w:p w14:paraId="336E0CD0">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424" w:type="pct"/>
                  <w:vAlign w:val="center"/>
                </w:tcPr>
                <w:p w14:paraId="1FEE527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359" w:type="pct"/>
                  <w:vMerge w:val="continue"/>
                  <w:vAlign w:val="center"/>
                </w:tcPr>
                <w:p w14:paraId="14DF77D4">
                  <w:pPr>
                    <w:jc w:val="center"/>
                    <w:rPr>
                      <w:color w:val="000000" w:themeColor="text1"/>
                      <w:sz w:val="21"/>
                      <w:szCs w:val="21"/>
                      <w14:textFill>
                        <w14:solidFill>
                          <w14:schemeClr w14:val="tx1"/>
                        </w14:solidFill>
                      </w14:textFill>
                    </w:rPr>
                  </w:pPr>
                </w:p>
              </w:tc>
            </w:tr>
            <w:tr w14:paraId="087732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2" w:type="pct"/>
                  <w:vAlign w:val="center"/>
                </w:tcPr>
                <w:p w14:paraId="3D804243">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409" w:type="pct"/>
                  <w:vAlign w:val="center"/>
                </w:tcPr>
                <w:p w14:paraId="7C7ADA5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废试剂瓶</w:t>
                  </w:r>
                </w:p>
              </w:tc>
              <w:tc>
                <w:tcPr>
                  <w:tcW w:w="249" w:type="pct"/>
                  <w:vMerge w:val="continue"/>
                  <w:vAlign w:val="center"/>
                </w:tcPr>
                <w:p w14:paraId="1017C2FB">
                  <w:pPr>
                    <w:jc w:val="center"/>
                    <w:rPr>
                      <w:color w:val="000000" w:themeColor="text1"/>
                      <w:sz w:val="21"/>
                      <w:szCs w:val="21"/>
                      <w14:textFill>
                        <w14:solidFill>
                          <w14:schemeClr w14:val="tx1"/>
                        </w14:solidFill>
                      </w14:textFill>
                    </w:rPr>
                  </w:pPr>
                </w:p>
              </w:tc>
              <w:tc>
                <w:tcPr>
                  <w:tcW w:w="413" w:type="pct"/>
                  <w:vAlign w:val="center"/>
                </w:tcPr>
                <w:p w14:paraId="7A9FDCA4">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拆包</w:t>
                  </w:r>
                </w:p>
              </w:tc>
              <w:tc>
                <w:tcPr>
                  <w:tcW w:w="250" w:type="pct"/>
                  <w:vAlign w:val="center"/>
                </w:tcPr>
                <w:p w14:paraId="61E0680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w:t>
                  </w:r>
                </w:p>
              </w:tc>
              <w:tc>
                <w:tcPr>
                  <w:tcW w:w="416" w:type="pct"/>
                  <w:vAlign w:val="center"/>
                </w:tcPr>
                <w:p w14:paraId="7903B67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化学品</w:t>
                  </w:r>
                </w:p>
              </w:tc>
              <w:tc>
                <w:tcPr>
                  <w:tcW w:w="456" w:type="pct"/>
                  <w:vMerge w:val="continue"/>
                  <w:vAlign w:val="center"/>
                </w:tcPr>
                <w:p w14:paraId="1E7C294F">
                  <w:pPr>
                    <w:jc w:val="center"/>
                    <w:rPr>
                      <w:color w:val="000000" w:themeColor="text1"/>
                      <w:sz w:val="21"/>
                      <w:szCs w:val="21"/>
                      <w14:textFill>
                        <w14:solidFill>
                          <w14:schemeClr w14:val="tx1"/>
                        </w14:solidFill>
                      </w14:textFill>
                    </w:rPr>
                  </w:pPr>
                </w:p>
              </w:tc>
              <w:tc>
                <w:tcPr>
                  <w:tcW w:w="527" w:type="pct"/>
                  <w:vAlign w:val="center"/>
                </w:tcPr>
                <w:p w14:paraId="1C497E2A">
                  <w:pPr>
                    <w:pStyle w:val="115"/>
                    <w:ind w:lef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T/In</w:t>
                  </w:r>
                </w:p>
              </w:tc>
              <w:tc>
                <w:tcPr>
                  <w:tcW w:w="458" w:type="pct"/>
                  <w:vAlign w:val="center"/>
                </w:tcPr>
                <w:p w14:paraId="4A79C927">
                  <w:pPr>
                    <w:pStyle w:val="115"/>
                    <w:ind w:lef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782" w:type="pct"/>
                  <w:vAlign w:val="center"/>
                </w:tcPr>
                <w:p w14:paraId="3D26CA57">
                  <w:pPr>
                    <w:pStyle w:val="115"/>
                    <w:ind w:lef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900-041-49</w:t>
                  </w:r>
                </w:p>
              </w:tc>
              <w:tc>
                <w:tcPr>
                  <w:tcW w:w="424" w:type="pct"/>
                  <w:vAlign w:val="center"/>
                </w:tcPr>
                <w:p w14:paraId="142D380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0.05</w:t>
                  </w:r>
                </w:p>
              </w:tc>
              <w:tc>
                <w:tcPr>
                  <w:tcW w:w="359" w:type="pct"/>
                  <w:vMerge w:val="continue"/>
                  <w:vAlign w:val="center"/>
                </w:tcPr>
                <w:p w14:paraId="25CB6F3D">
                  <w:pPr>
                    <w:jc w:val="center"/>
                    <w:rPr>
                      <w:color w:val="000000" w:themeColor="text1"/>
                      <w:sz w:val="21"/>
                      <w:szCs w:val="21"/>
                      <w14:textFill>
                        <w14:solidFill>
                          <w14:schemeClr w14:val="tx1"/>
                        </w14:solidFill>
                      </w14:textFill>
                    </w:rPr>
                  </w:pPr>
                </w:p>
              </w:tc>
            </w:tr>
            <w:tr w14:paraId="41929E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2" w:type="pct"/>
                  <w:vAlign w:val="center"/>
                </w:tcPr>
                <w:p w14:paraId="5FEA9288">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409" w:type="pct"/>
                  <w:vAlign w:val="center"/>
                </w:tcPr>
                <w:p w14:paraId="450447B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地面清洗废液</w:t>
                  </w:r>
                </w:p>
              </w:tc>
              <w:tc>
                <w:tcPr>
                  <w:tcW w:w="249" w:type="pct"/>
                  <w:vMerge w:val="continue"/>
                  <w:vAlign w:val="center"/>
                </w:tcPr>
                <w:p w14:paraId="50402F4A">
                  <w:pPr>
                    <w:jc w:val="center"/>
                    <w:rPr>
                      <w:color w:val="000000" w:themeColor="text1"/>
                      <w:sz w:val="21"/>
                      <w:szCs w:val="21"/>
                      <w14:textFill>
                        <w14:solidFill>
                          <w14:schemeClr w14:val="tx1"/>
                        </w14:solidFill>
                      </w14:textFill>
                    </w:rPr>
                  </w:pPr>
                </w:p>
              </w:tc>
              <w:tc>
                <w:tcPr>
                  <w:tcW w:w="413" w:type="pct"/>
                  <w:vAlign w:val="center"/>
                </w:tcPr>
                <w:p w14:paraId="496314BB">
                  <w:pPr>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地面清洗</w:t>
                  </w:r>
                </w:p>
              </w:tc>
              <w:tc>
                <w:tcPr>
                  <w:tcW w:w="250" w:type="pct"/>
                  <w:vAlign w:val="center"/>
                </w:tcPr>
                <w:p w14:paraId="791F248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w:t>
                  </w:r>
                </w:p>
              </w:tc>
              <w:tc>
                <w:tcPr>
                  <w:tcW w:w="416" w:type="pct"/>
                  <w:vAlign w:val="center"/>
                </w:tcPr>
                <w:p w14:paraId="3AC8F34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杂质</w:t>
                  </w:r>
                </w:p>
              </w:tc>
              <w:tc>
                <w:tcPr>
                  <w:tcW w:w="456" w:type="pct"/>
                  <w:vMerge w:val="continue"/>
                  <w:vAlign w:val="center"/>
                </w:tcPr>
                <w:p w14:paraId="4A2AF43E">
                  <w:pPr>
                    <w:jc w:val="center"/>
                    <w:rPr>
                      <w:color w:val="000000" w:themeColor="text1"/>
                      <w:sz w:val="21"/>
                      <w:szCs w:val="21"/>
                      <w14:textFill>
                        <w14:solidFill>
                          <w14:schemeClr w14:val="tx1"/>
                        </w14:solidFill>
                      </w14:textFill>
                    </w:rPr>
                  </w:pPr>
                </w:p>
              </w:tc>
              <w:tc>
                <w:tcPr>
                  <w:tcW w:w="527" w:type="pct"/>
                  <w:vAlign w:val="center"/>
                </w:tcPr>
                <w:p w14:paraId="6CE8C07E">
                  <w:pPr>
                    <w:pStyle w:val="115"/>
                    <w:ind w:lef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T/C/I/R</w:t>
                  </w:r>
                </w:p>
              </w:tc>
              <w:tc>
                <w:tcPr>
                  <w:tcW w:w="458" w:type="pct"/>
                  <w:vAlign w:val="center"/>
                </w:tcPr>
                <w:p w14:paraId="382D9709">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782" w:type="pct"/>
                  <w:vAlign w:val="center"/>
                </w:tcPr>
                <w:p w14:paraId="48081873">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424" w:type="pct"/>
                  <w:vAlign w:val="center"/>
                </w:tcPr>
                <w:p w14:paraId="799EC7F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2.4</w:t>
                  </w:r>
                </w:p>
              </w:tc>
              <w:tc>
                <w:tcPr>
                  <w:tcW w:w="359" w:type="pct"/>
                  <w:vMerge w:val="continue"/>
                  <w:vAlign w:val="center"/>
                </w:tcPr>
                <w:p w14:paraId="5B6B61C5">
                  <w:pPr>
                    <w:jc w:val="center"/>
                    <w:rPr>
                      <w:color w:val="000000" w:themeColor="text1"/>
                      <w:sz w:val="21"/>
                      <w:szCs w:val="21"/>
                      <w14:textFill>
                        <w14:solidFill>
                          <w14:schemeClr w14:val="tx1"/>
                        </w14:solidFill>
                      </w14:textFill>
                    </w:rPr>
                  </w:pPr>
                </w:p>
              </w:tc>
            </w:tr>
            <w:tr w14:paraId="396092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2" w:type="pct"/>
                  <w:vAlign w:val="center"/>
                </w:tcPr>
                <w:p w14:paraId="30CC105A">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p>
              </w:tc>
              <w:tc>
                <w:tcPr>
                  <w:tcW w:w="409" w:type="pct"/>
                  <w:vAlign w:val="center"/>
                </w:tcPr>
                <w:p w14:paraId="1F9C0FE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实验设备废液</w:t>
                  </w:r>
                </w:p>
              </w:tc>
              <w:tc>
                <w:tcPr>
                  <w:tcW w:w="249" w:type="pct"/>
                  <w:vMerge w:val="continue"/>
                  <w:vAlign w:val="center"/>
                </w:tcPr>
                <w:p w14:paraId="411B0E7F">
                  <w:pPr>
                    <w:jc w:val="center"/>
                    <w:rPr>
                      <w:color w:val="000000" w:themeColor="text1"/>
                      <w:sz w:val="21"/>
                      <w:szCs w:val="21"/>
                      <w14:textFill>
                        <w14:solidFill>
                          <w14:schemeClr w14:val="tx1"/>
                        </w14:solidFill>
                      </w14:textFill>
                    </w:rPr>
                  </w:pPr>
                </w:p>
              </w:tc>
              <w:tc>
                <w:tcPr>
                  <w:tcW w:w="413" w:type="pct"/>
                  <w:vAlign w:val="center"/>
                </w:tcPr>
                <w:p w14:paraId="46080876">
                  <w:pPr>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实验设备运行</w:t>
                  </w:r>
                </w:p>
              </w:tc>
              <w:tc>
                <w:tcPr>
                  <w:tcW w:w="250" w:type="pct"/>
                  <w:vAlign w:val="center"/>
                </w:tcPr>
                <w:p w14:paraId="3D39670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w:t>
                  </w:r>
                </w:p>
              </w:tc>
              <w:tc>
                <w:tcPr>
                  <w:tcW w:w="416" w:type="pct"/>
                  <w:vAlign w:val="center"/>
                </w:tcPr>
                <w:p w14:paraId="5E32D21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杂质</w:t>
                  </w:r>
                </w:p>
              </w:tc>
              <w:tc>
                <w:tcPr>
                  <w:tcW w:w="456" w:type="pct"/>
                  <w:vMerge w:val="continue"/>
                  <w:vAlign w:val="center"/>
                </w:tcPr>
                <w:p w14:paraId="5EB35017">
                  <w:pPr>
                    <w:jc w:val="center"/>
                    <w:rPr>
                      <w:color w:val="000000" w:themeColor="text1"/>
                      <w:sz w:val="21"/>
                      <w:szCs w:val="21"/>
                      <w14:textFill>
                        <w14:solidFill>
                          <w14:schemeClr w14:val="tx1"/>
                        </w14:solidFill>
                      </w14:textFill>
                    </w:rPr>
                  </w:pPr>
                </w:p>
              </w:tc>
              <w:tc>
                <w:tcPr>
                  <w:tcW w:w="527" w:type="pct"/>
                  <w:vAlign w:val="center"/>
                </w:tcPr>
                <w:p w14:paraId="20146CFB">
                  <w:pPr>
                    <w:pStyle w:val="115"/>
                    <w:ind w:lef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T/C/I/R</w:t>
                  </w:r>
                </w:p>
              </w:tc>
              <w:tc>
                <w:tcPr>
                  <w:tcW w:w="458" w:type="pct"/>
                  <w:vAlign w:val="center"/>
                </w:tcPr>
                <w:p w14:paraId="4AA59EDE">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782" w:type="pct"/>
                  <w:vAlign w:val="center"/>
                </w:tcPr>
                <w:p w14:paraId="4ECC81A4">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424" w:type="pct"/>
                  <w:vAlign w:val="center"/>
                </w:tcPr>
                <w:p w14:paraId="1696460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1.6</w:t>
                  </w:r>
                </w:p>
              </w:tc>
              <w:tc>
                <w:tcPr>
                  <w:tcW w:w="359" w:type="pct"/>
                  <w:vMerge w:val="continue"/>
                  <w:vAlign w:val="center"/>
                </w:tcPr>
                <w:p w14:paraId="1E08242D">
                  <w:pPr>
                    <w:jc w:val="center"/>
                    <w:rPr>
                      <w:color w:val="000000" w:themeColor="text1"/>
                      <w:sz w:val="21"/>
                      <w:szCs w:val="21"/>
                      <w14:textFill>
                        <w14:solidFill>
                          <w14:schemeClr w14:val="tx1"/>
                        </w14:solidFill>
                      </w14:textFill>
                    </w:rPr>
                  </w:pPr>
                </w:p>
              </w:tc>
            </w:tr>
            <w:tr w14:paraId="3DCB60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2" w:type="pct"/>
                  <w:vAlign w:val="center"/>
                </w:tcPr>
                <w:p w14:paraId="48DACBBA">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w:t>
                  </w:r>
                </w:p>
              </w:tc>
              <w:tc>
                <w:tcPr>
                  <w:tcW w:w="409" w:type="pct"/>
                  <w:vAlign w:val="center"/>
                </w:tcPr>
                <w:p w14:paraId="0CC67A4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废活性炭</w:t>
                  </w:r>
                </w:p>
              </w:tc>
              <w:tc>
                <w:tcPr>
                  <w:tcW w:w="249" w:type="pct"/>
                  <w:vMerge w:val="continue"/>
                  <w:vAlign w:val="center"/>
                </w:tcPr>
                <w:p w14:paraId="354E0296">
                  <w:pPr>
                    <w:jc w:val="center"/>
                    <w:rPr>
                      <w:color w:val="000000" w:themeColor="text1"/>
                      <w:sz w:val="21"/>
                      <w:szCs w:val="21"/>
                      <w14:textFill>
                        <w14:solidFill>
                          <w14:schemeClr w14:val="tx1"/>
                        </w14:solidFill>
                      </w14:textFill>
                    </w:rPr>
                  </w:pPr>
                </w:p>
              </w:tc>
              <w:tc>
                <w:tcPr>
                  <w:tcW w:w="413" w:type="pct"/>
                  <w:vAlign w:val="center"/>
                </w:tcPr>
                <w:p w14:paraId="0CC5F396">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废气处理</w:t>
                  </w:r>
                </w:p>
              </w:tc>
              <w:tc>
                <w:tcPr>
                  <w:tcW w:w="250" w:type="pct"/>
                  <w:vAlign w:val="center"/>
                </w:tcPr>
                <w:p w14:paraId="211E72B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w:t>
                  </w:r>
                </w:p>
              </w:tc>
              <w:tc>
                <w:tcPr>
                  <w:tcW w:w="416" w:type="pct"/>
                  <w:vAlign w:val="center"/>
                </w:tcPr>
                <w:p w14:paraId="2823E3A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有机物等</w:t>
                  </w:r>
                </w:p>
              </w:tc>
              <w:tc>
                <w:tcPr>
                  <w:tcW w:w="456" w:type="pct"/>
                  <w:vMerge w:val="continue"/>
                  <w:vAlign w:val="center"/>
                </w:tcPr>
                <w:p w14:paraId="03E112E0">
                  <w:pPr>
                    <w:jc w:val="center"/>
                    <w:rPr>
                      <w:color w:val="000000" w:themeColor="text1"/>
                      <w:sz w:val="21"/>
                      <w:szCs w:val="21"/>
                      <w14:textFill>
                        <w14:solidFill>
                          <w14:schemeClr w14:val="tx1"/>
                        </w14:solidFill>
                      </w14:textFill>
                    </w:rPr>
                  </w:pPr>
                </w:p>
              </w:tc>
              <w:tc>
                <w:tcPr>
                  <w:tcW w:w="527" w:type="pct"/>
                  <w:vAlign w:val="center"/>
                </w:tcPr>
                <w:p w14:paraId="6C9DDE5C">
                  <w:pPr>
                    <w:autoSpaceDE w:val="0"/>
                    <w:autoSpaceDN w:val="0"/>
                    <w:adjustRightInd w:val="0"/>
                    <w:spacing w:line="30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14:textFill>
                        <w14:solidFill>
                          <w14:schemeClr w14:val="tx1"/>
                        </w14:solidFill>
                      </w14:textFill>
                    </w:rPr>
                    <w:t>T</w:t>
                  </w:r>
                </w:p>
              </w:tc>
              <w:tc>
                <w:tcPr>
                  <w:tcW w:w="458" w:type="pct"/>
                  <w:vAlign w:val="center"/>
                </w:tcPr>
                <w:p w14:paraId="7F685818">
                  <w:pPr>
                    <w:autoSpaceDE w:val="0"/>
                    <w:autoSpaceDN w:val="0"/>
                    <w:adjustRightInd w:val="0"/>
                    <w:spacing w:line="30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14:textFill>
                        <w14:solidFill>
                          <w14:schemeClr w14:val="tx1"/>
                        </w14:solidFill>
                      </w14:textFill>
                    </w:rPr>
                    <w:t>HW49</w:t>
                  </w:r>
                </w:p>
              </w:tc>
              <w:tc>
                <w:tcPr>
                  <w:tcW w:w="782" w:type="pct"/>
                  <w:vAlign w:val="center"/>
                </w:tcPr>
                <w:p w14:paraId="6108877A">
                  <w:pPr>
                    <w:jc w:val="center"/>
                    <w:rPr>
                      <w:color w:val="000000" w:themeColor="text1"/>
                      <w:sz w:val="21"/>
                      <w:szCs w:val="21"/>
                      <w14:textFill>
                        <w14:solidFill>
                          <w14:schemeClr w14:val="tx1"/>
                        </w14:solidFill>
                      </w14:textFill>
                    </w:rPr>
                  </w:pPr>
                  <w:r>
                    <w:rPr>
                      <w:rFonts w:hint="eastAsia" w:eastAsia="仿宋"/>
                      <w:color w:val="000000" w:themeColor="text1"/>
                      <w:kern w:val="0"/>
                      <w:sz w:val="21"/>
                      <w:szCs w:val="21"/>
                      <w14:textFill>
                        <w14:solidFill>
                          <w14:schemeClr w14:val="tx1"/>
                        </w14:solidFill>
                      </w14:textFill>
                    </w:rPr>
                    <w:t>900-039-49</w:t>
                  </w:r>
                </w:p>
              </w:tc>
              <w:tc>
                <w:tcPr>
                  <w:tcW w:w="424" w:type="pct"/>
                  <w:vAlign w:val="center"/>
                </w:tcPr>
                <w:p w14:paraId="1F424FC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0.176</w:t>
                  </w:r>
                </w:p>
              </w:tc>
              <w:tc>
                <w:tcPr>
                  <w:tcW w:w="359" w:type="pct"/>
                  <w:vMerge w:val="continue"/>
                  <w:vAlign w:val="center"/>
                </w:tcPr>
                <w:p w14:paraId="4DFB53D1">
                  <w:pPr>
                    <w:jc w:val="center"/>
                    <w:rPr>
                      <w:color w:val="000000" w:themeColor="text1"/>
                      <w:sz w:val="21"/>
                      <w:szCs w:val="21"/>
                      <w14:textFill>
                        <w14:solidFill>
                          <w14:schemeClr w14:val="tx1"/>
                        </w14:solidFill>
                      </w14:textFill>
                    </w:rPr>
                  </w:pPr>
                </w:p>
              </w:tc>
            </w:tr>
            <w:tr w14:paraId="280F93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2" w:type="pct"/>
                  <w:vAlign w:val="center"/>
                </w:tcPr>
                <w:p w14:paraId="06FDB768">
                  <w:pPr>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409" w:type="pct"/>
                  <w:vAlign w:val="center"/>
                </w:tcPr>
                <w:p w14:paraId="1DF8DF53">
                  <w:pPr>
                    <w:jc w:val="center"/>
                    <w:rPr>
                      <w:rFonts w:hint="eastAsia" w:eastAsia="宋体"/>
                      <w:color w:val="FF0000"/>
                      <w:sz w:val="21"/>
                      <w:szCs w:val="21"/>
                      <w:lang w:val="en-US" w:eastAsia="zh-CN"/>
                    </w:rPr>
                  </w:pPr>
                  <w:r>
                    <w:rPr>
                      <w:rFonts w:hint="eastAsia"/>
                      <w:color w:val="FF0000"/>
                      <w:sz w:val="21"/>
                      <w:szCs w:val="21"/>
                      <w:lang w:val="en-US" w:eastAsia="zh-CN"/>
                    </w:rPr>
                    <w:t>废树脂</w:t>
                  </w:r>
                </w:p>
              </w:tc>
              <w:tc>
                <w:tcPr>
                  <w:tcW w:w="249" w:type="pct"/>
                  <w:vMerge w:val="continue"/>
                  <w:vAlign w:val="center"/>
                </w:tcPr>
                <w:p w14:paraId="52E4A548">
                  <w:pPr>
                    <w:jc w:val="center"/>
                    <w:rPr>
                      <w:color w:val="FF0000"/>
                      <w:sz w:val="21"/>
                      <w:szCs w:val="21"/>
                    </w:rPr>
                  </w:pPr>
                </w:p>
              </w:tc>
              <w:tc>
                <w:tcPr>
                  <w:tcW w:w="413" w:type="pct"/>
                  <w:vAlign w:val="center"/>
                </w:tcPr>
                <w:p w14:paraId="7BF451F4">
                  <w:pPr>
                    <w:jc w:val="center"/>
                    <w:rPr>
                      <w:rFonts w:hint="eastAsia" w:eastAsia="宋体"/>
                      <w:color w:val="FF0000"/>
                      <w:sz w:val="21"/>
                      <w:szCs w:val="21"/>
                      <w:lang w:val="en-US" w:eastAsia="zh-CN"/>
                    </w:rPr>
                  </w:pPr>
                  <w:r>
                    <w:rPr>
                      <w:rFonts w:hint="eastAsia"/>
                      <w:color w:val="FF0000"/>
                      <w:sz w:val="21"/>
                      <w:szCs w:val="21"/>
                      <w:lang w:val="en-US" w:eastAsia="zh-CN"/>
                    </w:rPr>
                    <w:t>提纯</w:t>
                  </w:r>
                </w:p>
              </w:tc>
              <w:tc>
                <w:tcPr>
                  <w:tcW w:w="250" w:type="pct"/>
                  <w:vAlign w:val="center"/>
                </w:tcPr>
                <w:p w14:paraId="35D67F6C">
                  <w:pPr>
                    <w:jc w:val="center"/>
                    <w:rPr>
                      <w:color w:val="FF0000"/>
                      <w:sz w:val="21"/>
                      <w:szCs w:val="21"/>
                    </w:rPr>
                  </w:pPr>
                  <w:r>
                    <w:rPr>
                      <w:color w:val="FF0000"/>
                      <w:sz w:val="21"/>
                      <w:szCs w:val="21"/>
                    </w:rPr>
                    <w:t>固</w:t>
                  </w:r>
                </w:p>
              </w:tc>
              <w:tc>
                <w:tcPr>
                  <w:tcW w:w="416" w:type="pct"/>
                  <w:vAlign w:val="center"/>
                </w:tcPr>
                <w:p w14:paraId="5BB3CF1B">
                  <w:pPr>
                    <w:jc w:val="center"/>
                    <w:rPr>
                      <w:rFonts w:hint="eastAsia"/>
                      <w:color w:val="FF0000"/>
                      <w:sz w:val="21"/>
                      <w:szCs w:val="21"/>
                    </w:rPr>
                  </w:pPr>
                  <w:r>
                    <w:rPr>
                      <w:rFonts w:hint="eastAsia"/>
                      <w:color w:val="FF0000"/>
                      <w:sz w:val="21"/>
                      <w:szCs w:val="21"/>
                      <w:lang w:val="en-US" w:eastAsia="zh-CN"/>
                    </w:rPr>
                    <w:t>树脂、</w:t>
                  </w:r>
                  <w:r>
                    <w:rPr>
                      <w:rFonts w:hint="eastAsia"/>
                      <w:color w:val="FF0000"/>
                      <w:sz w:val="21"/>
                      <w:szCs w:val="21"/>
                    </w:rPr>
                    <w:t>杂质</w:t>
                  </w:r>
                </w:p>
              </w:tc>
              <w:tc>
                <w:tcPr>
                  <w:tcW w:w="456" w:type="pct"/>
                  <w:vMerge w:val="continue"/>
                  <w:vAlign w:val="center"/>
                </w:tcPr>
                <w:p w14:paraId="123174A1">
                  <w:pPr>
                    <w:jc w:val="center"/>
                    <w:rPr>
                      <w:color w:val="FF0000"/>
                      <w:sz w:val="21"/>
                      <w:szCs w:val="21"/>
                    </w:rPr>
                  </w:pPr>
                </w:p>
              </w:tc>
              <w:tc>
                <w:tcPr>
                  <w:tcW w:w="527" w:type="pct"/>
                  <w:vAlign w:val="center"/>
                </w:tcPr>
                <w:p w14:paraId="7E2F28EC">
                  <w:pPr>
                    <w:autoSpaceDE w:val="0"/>
                    <w:autoSpaceDN w:val="0"/>
                    <w:adjustRightInd w:val="0"/>
                    <w:spacing w:line="300" w:lineRule="exact"/>
                    <w:jc w:val="center"/>
                    <w:rPr>
                      <w:rFonts w:hint="eastAsia" w:eastAsia="仿宋"/>
                      <w:color w:val="FF0000"/>
                      <w:kern w:val="0"/>
                      <w:sz w:val="21"/>
                      <w:szCs w:val="21"/>
                      <w:lang w:val="en-US" w:eastAsia="zh-CN"/>
                    </w:rPr>
                  </w:pPr>
                  <w:r>
                    <w:rPr>
                      <w:rFonts w:hint="eastAsia" w:eastAsia="仿宋"/>
                      <w:color w:val="FF0000"/>
                      <w:kern w:val="0"/>
                      <w:sz w:val="21"/>
                      <w:szCs w:val="21"/>
                      <w:lang w:val="en-US" w:eastAsia="zh-CN"/>
                    </w:rPr>
                    <w:t>T</w:t>
                  </w:r>
                </w:p>
              </w:tc>
              <w:tc>
                <w:tcPr>
                  <w:tcW w:w="458" w:type="pct"/>
                  <w:vAlign w:val="center"/>
                </w:tcPr>
                <w:p w14:paraId="35EB5B10">
                  <w:pPr>
                    <w:autoSpaceDE w:val="0"/>
                    <w:autoSpaceDN w:val="0"/>
                    <w:adjustRightInd w:val="0"/>
                    <w:spacing w:line="300" w:lineRule="exact"/>
                    <w:jc w:val="center"/>
                    <w:rPr>
                      <w:rFonts w:hint="default" w:eastAsia="仿宋"/>
                      <w:color w:val="FF0000"/>
                      <w:kern w:val="0"/>
                      <w:sz w:val="21"/>
                      <w:szCs w:val="21"/>
                      <w:lang w:val="en-US" w:eastAsia="zh-CN"/>
                    </w:rPr>
                  </w:pPr>
                  <w:r>
                    <w:rPr>
                      <w:rFonts w:hint="eastAsia" w:eastAsia="仿宋"/>
                      <w:color w:val="FF0000"/>
                      <w:kern w:val="0"/>
                      <w:sz w:val="21"/>
                      <w:szCs w:val="21"/>
                      <w:lang w:val="en-US" w:eastAsia="zh-CN"/>
                    </w:rPr>
                    <w:t>HW13</w:t>
                  </w:r>
                </w:p>
              </w:tc>
              <w:tc>
                <w:tcPr>
                  <w:tcW w:w="782" w:type="pct"/>
                  <w:vAlign w:val="center"/>
                </w:tcPr>
                <w:p w14:paraId="0BAE6F97">
                  <w:pPr>
                    <w:jc w:val="center"/>
                    <w:rPr>
                      <w:rFonts w:hint="default" w:eastAsia="仿宋"/>
                      <w:color w:val="FF0000"/>
                      <w:kern w:val="0"/>
                      <w:sz w:val="21"/>
                      <w:szCs w:val="21"/>
                      <w:lang w:val="en-US" w:eastAsia="zh-CN"/>
                    </w:rPr>
                  </w:pPr>
                  <w:r>
                    <w:rPr>
                      <w:rFonts w:hint="eastAsia" w:eastAsia="仿宋"/>
                      <w:color w:val="FF0000"/>
                      <w:kern w:val="0"/>
                      <w:sz w:val="21"/>
                      <w:szCs w:val="21"/>
                      <w:lang w:val="en-US" w:eastAsia="zh-CN"/>
                    </w:rPr>
                    <w:t>900-015-13</w:t>
                  </w:r>
                </w:p>
              </w:tc>
              <w:tc>
                <w:tcPr>
                  <w:tcW w:w="424" w:type="pct"/>
                  <w:vAlign w:val="center"/>
                </w:tcPr>
                <w:p w14:paraId="42371D08">
                  <w:pPr>
                    <w:jc w:val="center"/>
                    <w:rPr>
                      <w:rFonts w:hint="default" w:eastAsia="宋体"/>
                      <w:color w:val="FF0000"/>
                      <w:sz w:val="21"/>
                      <w:szCs w:val="21"/>
                      <w:lang w:val="en-US" w:eastAsia="zh-CN"/>
                    </w:rPr>
                  </w:pPr>
                  <w:r>
                    <w:rPr>
                      <w:rFonts w:hint="eastAsia"/>
                      <w:color w:val="FF0000"/>
                      <w:sz w:val="21"/>
                      <w:szCs w:val="21"/>
                      <w:lang w:val="en-US" w:eastAsia="zh-CN"/>
                    </w:rPr>
                    <w:t>0.01</w:t>
                  </w:r>
                </w:p>
              </w:tc>
              <w:tc>
                <w:tcPr>
                  <w:tcW w:w="359" w:type="pct"/>
                  <w:vMerge w:val="continue"/>
                  <w:vAlign w:val="center"/>
                </w:tcPr>
                <w:p w14:paraId="20C5922A">
                  <w:pPr>
                    <w:jc w:val="center"/>
                    <w:rPr>
                      <w:color w:val="000000" w:themeColor="text1"/>
                      <w:sz w:val="21"/>
                      <w:szCs w:val="21"/>
                      <w14:textFill>
                        <w14:solidFill>
                          <w14:schemeClr w14:val="tx1"/>
                        </w14:solidFill>
                      </w14:textFill>
                    </w:rPr>
                  </w:pPr>
                </w:p>
              </w:tc>
            </w:tr>
            <w:tr w14:paraId="3C732E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52" w:type="pct"/>
                  <w:vAlign w:val="center"/>
                </w:tcPr>
                <w:p w14:paraId="3E43E314">
                  <w:pPr>
                    <w:snapToGrid w:val="0"/>
                    <w:jc w:val="center"/>
                    <w:rPr>
                      <w:rFonts w:hint="eastAsia"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4</w:t>
                  </w:r>
                </w:p>
              </w:tc>
              <w:tc>
                <w:tcPr>
                  <w:tcW w:w="409" w:type="pct"/>
                  <w:vAlign w:val="center"/>
                </w:tcPr>
                <w:p w14:paraId="4D6B58A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w:t>
                  </w:r>
                </w:p>
              </w:tc>
              <w:tc>
                <w:tcPr>
                  <w:tcW w:w="249" w:type="pct"/>
                  <w:vAlign w:val="center"/>
                </w:tcPr>
                <w:p w14:paraId="2A349EB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413" w:type="pct"/>
                  <w:vAlign w:val="center"/>
                </w:tcPr>
                <w:p w14:paraId="3FBA889C">
                  <w:pPr>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员工生活</w:t>
                  </w:r>
                </w:p>
              </w:tc>
              <w:tc>
                <w:tcPr>
                  <w:tcW w:w="250" w:type="pct"/>
                  <w:vAlign w:val="center"/>
                </w:tcPr>
                <w:p w14:paraId="72179B3D">
                  <w:pPr>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w:t>
                  </w:r>
                </w:p>
              </w:tc>
              <w:tc>
                <w:tcPr>
                  <w:tcW w:w="416" w:type="pct"/>
                  <w:vAlign w:val="center"/>
                </w:tcPr>
                <w:p w14:paraId="0EAB79CF">
                  <w:pPr>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w:t>
                  </w:r>
                </w:p>
              </w:tc>
              <w:tc>
                <w:tcPr>
                  <w:tcW w:w="456" w:type="pct"/>
                  <w:vMerge w:val="continue"/>
                  <w:vAlign w:val="center"/>
                </w:tcPr>
                <w:p w14:paraId="636CBD68">
                  <w:pPr>
                    <w:jc w:val="center"/>
                    <w:rPr>
                      <w:color w:val="000000" w:themeColor="text1"/>
                      <w:sz w:val="21"/>
                      <w:szCs w:val="21"/>
                      <w14:textFill>
                        <w14:solidFill>
                          <w14:schemeClr w14:val="tx1"/>
                        </w14:solidFill>
                      </w14:textFill>
                    </w:rPr>
                  </w:pPr>
                </w:p>
              </w:tc>
              <w:tc>
                <w:tcPr>
                  <w:tcW w:w="527" w:type="pct"/>
                  <w:vAlign w:val="center"/>
                </w:tcPr>
                <w:p w14:paraId="5DAB3C5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458" w:type="pct"/>
                  <w:vAlign w:val="center"/>
                </w:tcPr>
                <w:p w14:paraId="0D377FC0">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SW6</w:t>
                  </w:r>
                  <w:r>
                    <w:rPr>
                      <w:rFonts w:hint="eastAsia"/>
                      <w:color w:val="000000" w:themeColor="text1"/>
                      <w:sz w:val="21"/>
                      <w:szCs w:val="21"/>
                      <w14:textFill>
                        <w14:solidFill>
                          <w14:schemeClr w14:val="tx1"/>
                        </w14:solidFill>
                      </w14:textFill>
                    </w:rPr>
                    <w:t>4</w:t>
                  </w:r>
                </w:p>
              </w:tc>
              <w:tc>
                <w:tcPr>
                  <w:tcW w:w="782" w:type="pct"/>
                  <w:vAlign w:val="center"/>
                </w:tcPr>
                <w:p w14:paraId="252C929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w:t>
                  </w: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99</w:t>
                  </w:r>
                  <w:r>
                    <w:rPr>
                      <w:color w:val="000000" w:themeColor="text1"/>
                      <w:sz w:val="21"/>
                      <w:szCs w:val="21"/>
                      <w14:textFill>
                        <w14:solidFill>
                          <w14:schemeClr w14:val="tx1"/>
                        </w14:solidFill>
                      </w14:textFill>
                    </w:rPr>
                    <w:t>-S64</w:t>
                  </w:r>
                </w:p>
              </w:tc>
              <w:tc>
                <w:tcPr>
                  <w:tcW w:w="424" w:type="pct"/>
                  <w:vAlign w:val="center"/>
                </w:tcPr>
                <w:p w14:paraId="39FF5F6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359" w:type="pct"/>
                  <w:vAlign w:val="center"/>
                </w:tcPr>
                <w:p w14:paraId="14FCAC8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环卫清运</w:t>
                  </w:r>
                </w:p>
              </w:tc>
            </w:tr>
          </w:tbl>
          <w:p w14:paraId="29CEA973">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本项目固体废物利用处置方式评价表4-</w:t>
            </w:r>
            <w:r>
              <w:rPr>
                <w:rFonts w:hint="eastAsia"/>
                <w:color w:val="000000" w:themeColor="text1"/>
                <w:sz w:val="24"/>
                <w14:textFill>
                  <w14:solidFill>
                    <w14:schemeClr w14:val="tx1"/>
                  </w14:solidFill>
                </w14:textFill>
              </w:rPr>
              <w:t>16</w:t>
            </w:r>
            <w:r>
              <w:rPr>
                <w:color w:val="000000" w:themeColor="text1"/>
                <w:sz w:val="24"/>
                <w14:textFill>
                  <w14:solidFill>
                    <w14:schemeClr w14:val="tx1"/>
                  </w14:solidFill>
                </w14:textFill>
              </w:rPr>
              <w:t>。</w:t>
            </w:r>
          </w:p>
          <w:p w14:paraId="784777C4">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14:textFill>
                  <w14:solidFill>
                    <w14:schemeClr w14:val="tx1"/>
                  </w14:solidFill>
                </w14:textFill>
              </w:rPr>
              <w:t>16</w:t>
            </w:r>
            <w:r>
              <w:rPr>
                <w:b/>
                <w:color w:val="000000" w:themeColor="text1"/>
                <w:szCs w:val="21"/>
                <w14:textFill>
                  <w14:solidFill>
                    <w14:schemeClr w14:val="tx1"/>
                  </w14:solidFill>
                </w14:textFill>
              </w:rPr>
              <w:t xml:space="preserve"> 本项目固体废物利用处置方式评价表</w:t>
            </w:r>
          </w:p>
          <w:tbl>
            <w:tblPr>
              <w:tblStyle w:val="25"/>
              <w:tblW w:w="4996" w:type="pct"/>
              <w:jc w:val="center"/>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35"/>
              <w:gridCol w:w="1081"/>
              <w:gridCol w:w="1079"/>
              <w:gridCol w:w="865"/>
              <w:gridCol w:w="1138"/>
              <w:gridCol w:w="1684"/>
              <w:gridCol w:w="1654"/>
              <w:gridCol w:w="1190"/>
            </w:tblGrid>
            <w:tr w14:paraId="47C9BA0E">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pct"/>
                  <w:tcBorders>
                    <w:top w:val="single" w:color="auto" w:sz="12" w:space="0"/>
                  </w:tcBorders>
                  <w:vAlign w:val="center"/>
                </w:tcPr>
                <w:p w14:paraId="68CA95FC">
                  <w:pPr>
                    <w:widowControl/>
                    <w:spacing w:line="300" w:lineRule="exact"/>
                    <w:jc w:val="center"/>
                    <w:rPr>
                      <w:b/>
                      <w:color w:val="000000" w:themeColor="text1"/>
                      <w:spacing w:val="-8"/>
                      <w:kern w:val="0"/>
                      <w:sz w:val="21"/>
                      <w:szCs w:val="21"/>
                      <w14:textFill>
                        <w14:solidFill>
                          <w14:schemeClr w14:val="tx1"/>
                        </w14:solidFill>
                      </w14:textFill>
                    </w:rPr>
                  </w:pPr>
                  <w:r>
                    <w:rPr>
                      <w:b/>
                      <w:color w:val="000000" w:themeColor="text1"/>
                      <w:spacing w:val="-8"/>
                      <w:kern w:val="0"/>
                      <w:sz w:val="21"/>
                      <w:szCs w:val="21"/>
                      <w14:textFill>
                        <w14:solidFill>
                          <w14:schemeClr w14:val="tx1"/>
                        </w14:solidFill>
                      </w14:textFill>
                    </w:rPr>
                    <w:t>序号</w:t>
                  </w:r>
                </w:p>
              </w:tc>
              <w:tc>
                <w:tcPr>
                  <w:tcW w:w="579" w:type="pct"/>
                  <w:tcBorders>
                    <w:top w:val="single" w:color="auto" w:sz="12" w:space="0"/>
                  </w:tcBorders>
                  <w:vAlign w:val="center"/>
                </w:tcPr>
                <w:p w14:paraId="3EE8C115">
                  <w:pPr>
                    <w:widowControl/>
                    <w:spacing w:line="300" w:lineRule="exact"/>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固体废物名称</w:t>
                  </w:r>
                </w:p>
              </w:tc>
              <w:tc>
                <w:tcPr>
                  <w:tcW w:w="578" w:type="pct"/>
                  <w:tcBorders>
                    <w:top w:val="single" w:color="auto" w:sz="12" w:space="0"/>
                  </w:tcBorders>
                  <w:vAlign w:val="center"/>
                </w:tcPr>
                <w:p w14:paraId="024428FC">
                  <w:pPr>
                    <w:widowControl/>
                    <w:spacing w:line="300" w:lineRule="exact"/>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产生工序</w:t>
                  </w:r>
                </w:p>
              </w:tc>
              <w:tc>
                <w:tcPr>
                  <w:tcW w:w="463" w:type="pct"/>
                  <w:tcBorders>
                    <w:top w:val="single" w:color="auto" w:sz="12" w:space="0"/>
                  </w:tcBorders>
                  <w:vAlign w:val="center"/>
                </w:tcPr>
                <w:p w14:paraId="0BE503AC">
                  <w:pPr>
                    <w:widowControl/>
                    <w:spacing w:line="300" w:lineRule="exact"/>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属性</w:t>
                  </w:r>
                </w:p>
              </w:tc>
              <w:tc>
                <w:tcPr>
                  <w:tcW w:w="610" w:type="pct"/>
                  <w:tcBorders>
                    <w:top w:val="single" w:color="auto" w:sz="12" w:space="0"/>
                  </w:tcBorders>
                  <w:vAlign w:val="center"/>
                </w:tcPr>
                <w:p w14:paraId="6BCA92D5">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废物类别</w:t>
                  </w:r>
                </w:p>
              </w:tc>
              <w:tc>
                <w:tcPr>
                  <w:tcW w:w="902" w:type="pct"/>
                  <w:tcBorders>
                    <w:top w:val="single" w:color="auto" w:sz="12" w:space="0"/>
                  </w:tcBorders>
                  <w:vAlign w:val="center"/>
                </w:tcPr>
                <w:p w14:paraId="556FF2CC">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废物代码</w:t>
                  </w:r>
                </w:p>
              </w:tc>
              <w:tc>
                <w:tcPr>
                  <w:tcW w:w="886" w:type="pct"/>
                  <w:tcBorders>
                    <w:top w:val="single" w:color="auto" w:sz="12" w:space="0"/>
                  </w:tcBorders>
                  <w:vAlign w:val="center"/>
                </w:tcPr>
                <w:p w14:paraId="42C26FB9">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估算产生量（t/a）</w:t>
                  </w:r>
                </w:p>
              </w:tc>
              <w:tc>
                <w:tcPr>
                  <w:tcW w:w="638" w:type="pct"/>
                  <w:tcBorders>
                    <w:top w:val="single" w:color="auto" w:sz="12" w:space="0"/>
                  </w:tcBorders>
                  <w:vAlign w:val="center"/>
                </w:tcPr>
                <w:p w14:paraId="3844F076">
                  <w:pPr>
                    <w:widowControl/>
                    <w:spacing w:line="300" w:lineRule="exact"/>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利用处置方式</w:t>
                  </w:r>
                </w:p>
              </w:tc>
            </w:tr>
            <w:tr w14:paraId="4B4A1D5A">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pct"/>
                  <w:vAlign w:val="center"/>
                </w:tcPr>
                <w:p w14:paraId="20F3871A">
                  <w:pPr>
                    <w:snapToGrid w:val="0"/>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579" w:type="pct"/>
                  <w:vAlign w:val="center"/>
                </w:tcPr>
                <w:p w14:paraId="3992A60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废包装材料</w:t>
                  </w:r>
                </w:p>
              </w:tc>
              <w:tc>
                <w:tcPr>
                  <w:tcW w:w="578" w:type="pct"/>
                  <w:vAlign w:val="center"/>
                </w:tcPr>
                <w:p w14:paraId="49F7E2C9">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拆包</w:t>
                  </w:r>
                </w:p>
              </w:tc>
              <w:tc>
                <w:tcPr>
                  <w:tcW w:w="463" w:type="pct"/>
                  <w:vAlign w:val="center"/>
                </w:tcPr>
                <w:p w14:paraId="45C4121C">
                  <w:pPr>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一般固废</w:t>
                  </w:r>
                </w:p>
              </w:tc>
              <w:tc>
                <w:tcPr>
                  <w:tcW w:w="610" w:type="pct"/>
                  <w:vAlign w:val="center"/>
                </w:tcPr>
                <w:p w14:paraId="0DF794E4">
                  <w:pPr>
                    <w:spacing w:line="2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SW92</w:t>
                  </w:r>
                </w:p>
              </w:tc>
              <w:tc>
                <w:tcPr>
                  <w:tcW w:w="902" w:type="pct"/>
                  <w:vAlign w:val="center"/>
                </w:tcPr>
                <w:p w14:paraId="6E17A4B3">
                  <w:pPr>
                    <w:spacing w:line="2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900-002-S92</w:t>
                  </w:r>
                </w:p>
              </w:tc>
              <w:tc>
                <w:tcPr>
                  <w:tcW w:w="886" w:type="pct"/>
                  <w:vAlign w:val="center"/>
                </w:tcPr>
                <w:p w14:paraId="1C1657D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w:t>
                  </w:r>
                </w:p>
              </w:tc>
              <w:tc>
                <w:tcPr>
                  <w:tcW w:w="638" w:type="pct"/>
                  <w:vAlign w:val="center"/>
                </w:tcPr>
                <w:p w14:paraId="2035CEC5">
                  <w:pPr>
                    <w:widowControl/>
                    <w:spacing w:line="300" w:lineRule="exact"/>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委外综合利用</w:t>
                  </w:r>
                </w:p>
              </w:tc>
            </w:tr>
            <w:tr w14:paraId="0BECC3DB">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pct"/>
                  <w:vAlign w:val="center"/>
                </w:tcPr>
                <w:p w14:paraId="7554F1F7">
                  <w:pPr>
                    <w:widowControl/>
                    <w:spacing w:line="300" w:lineRule="exact"/>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w:t>
                  </w:r>
                </w:p>
              </w:tc>
              <w:tc>
                <w:tcPr>
                  <w:tcW w:w="579" w:type="pct"/>
                  <w:vAlign w:val="center"/>
                </w:tcPr>
                <w:p w14:paraId="56D37CA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目标产物</w:t>
                  </w:r>
                </w:p>
              </w:tc>
              <w:tc>
                <w:tcPr>
                  <w:tcW w:w="578" w:type="pct"/>
                  <w:vAlign w:val="center"/>
                </w:tcPr>
                <w:p w14:paraId="0A60F58C">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实验</w:t>
                  </w:r>
                </w:p>
              </w:tc>
              <w:tc>
                <w:tcPr>
                  <w:tcW w:w="463" w:type="pct"/>
                  <w:vMerge w:val="restart"/>
                  <w:vAlign w:val="center"/>
                </w:tcPr>
                <w:p w14:paraId="44B8B328">
                  <w:pPr>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危险废物</w:t>
                  </w:r>
                </w:p>
              </w:tc>
              <w:tc>
                <w:tcPr>
                  <w:tcW w:w="610" w:type="pct"/>
                  <w:vAlign w:val="center"/>
                </w:tcPr>
                <w:p w14:paraId="7CBDE151">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902" w:type="pct"/>
                  <w:vAlign w:val="center"/>
                </w:tcPr>
                <w:p w14:paraId="1B79CDD3">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886" w:type="pct"/>
                  <w:vAlign w:val="center"/>
                </w:tcPr>
                <w:p w14:paraId="2AD9D29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0.004</w:t>
                  </w:r>
                </w:p>
              </w:tc>
              <w:tc>
                <w:tcPr>
                  <w:tcW w:w="638" w:type="pct"/>
                  <w:vMerge w:val="restart"/>
                  <w:vAlign w:val="center"/>
                </w:tcPr>
                <w:p w14:paraId="0171F5BB">
                  <w:pPr>
                    <w:widowControl/>
                    <w:spacing w:line="300" w:lineRule="exact"/>
                    <w:jc w:val="center"/>
                    <w:rPr>
                      <w:rFonts w:hint="eastAsia" w:eastAsia="宋体"/>
                      <w:color w:val="000000" w:themeColor="text1"/>
                      <w:kern w:val="0"/>
                      <w:sz w:val="21"/>
                      <w:szCs w:val="21"/>
                      <w:lang w:val="en-US" w:eastAsia="zh-CN"/>
                      <w14:textFill>
                        <w14:solidFill>
                          <w14:schemeClr w14:val="tx1"/>
                        </w14:solidFill>
                      </w14:textFill>
                    </w:rPr>
                  </w:pPr>
                  <w:r>
                    <w:rPr>
                      <w:color w:val="000000" w:themeColor="text1"/>
                      <w:kern w:val="0"/>
                      <w:sz w:val="21"/>
                      <w:szCs w:val="21"/>
                      <w14:textFill>
                        <w14:solidFill>
                          <w14:schemeClr w14:val="tx1"/>
                        </w14:solidFill>
                      </w14:textFill>
                    </w:rPr>
                    <w:t>有资质单位</w:t>
                  </w:r>
                  <w:r>
                    <w:rPr>
                      <w:rFonts w:hint="eastAsia"/>
                      <w:color w:val="000000" w:themeColor="text1"/>
                      <w:kern w:val="0"/>
                      <w:sz w:val="21"/>
                      <w:szCs w:val="21"/>
                      <w:lang w:val="en-US" w:eastAsia="zh-CN"/>
                      <w14:textFill>
                        <w14:solidFill>
                          <w14:schemeClr w14:val="tx1"/>
                        </w14:solidFill>
                      </w14:textFill>
                    </w:rPr>
                    <w:t>处置</w:t>
                  </w:r>
                </w:p>
              </w:tc>
            </w:tr>
            <w:tr w14:paraId="0588641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pct"/>
                  <w:shd w:val="clear" w:color="auto" w:fill="auto"/>
                  <w:vAlign w:val="center"/>
                </w:tcPr>
                <w:p w14:paraId="15224F87">
                  <w:pPr>
                    <w:widowControl/>
                    <w:spacing w:line="300" w:lineRule="exact"/>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3</w:t>
                  </w:r>
                </w:p>
              </w:tc>
              <w:tc>
                <w:tcPr>
                  <w:tcW w:w="579" w:type="pct"/>
                  <w:vAlign w:val="center"/>
                </w:tcPr>
                <w:p w14:paraId="6051980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实验废物</w:t>
                  </w:r>
                </w:p>
              </w:tc>
              <w:tc>
                <w:tcPr>
                  <w:tcW w:w="578" w:type="pct"/>
                  <w:vAlign w:val="center"/>
                </w:tcPr>
                <w:p w14:paraId="35429D59">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实验</w:t>
                  </w:r>
                </w:p>
              </w:tc>
              <w:tc>
                <w:tcPr>
                  <w:tcW w:w="463" w:type="pct"/>
                  <w:vMerge w:val="continue"/>
                  <w:vAlign w:val="center"/>
                </w:tcPr>
                <w:p w14:paraId="579B3C18">
                  <w:pPr>
                    <w:spacing w:line="300" w:lineRule="exact"/>
                    <w:jc w:val="center"/>
                    <w:rPr>
                      <w:color w:val="000000" w:themeColor="text1"/>
                      <w:sz w:val="21"/>
                      <w:szCs w:val="21"/>
                      <w14:textFill>
                        <w14:solidFill>
                          <w14:schemeClr w14:val="tx1"/>
                        </w14:solidFill>
                      </w14:textFill>
                    </w:rPr>
                  </w:pPr>
                </w:p>
              </w:tc>
              <w:tc>
                <w:tcPr>
                  <w:tcW w:w="610" w:type="pct"/>
                  <w:vAlign w:val="center"/>
                </w:tcPr>
                <w:p w14:paraId="795D399C">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902" w:type="pct"/>
                  <w:vAlign w:val="center"/>
                </w:tcPr>
                <w:p w14:paraId="08780E29">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886" w:type="pct"/>
                  <w:vAlign w:val="center"/>
                </w:tcPr>
                <w:p w14:paraId="00C3F15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w:t>
                  </w:r>
                </w:p>
              </w:tc>
              <w:tc>
                <w:tcPr>
                  <w:tcW w:w="638" w:type="pct"/>
                  <w:vMerge w:val="continue"/>
                  <w:vAlign w:val="center"/>
                </w:tcPr>
                <w:p w14:paraId="780F7F02">
                  <w:pPr>
                    <w:widowControl/>
                    <w:spacing w:line="300" w:lineRule="exact"/>
                    <w:jc w:val="center"/>
                    <w:rPr>
                      <w:color w:val="000000" w:themeColor="text1"/>
                      <w:kern w:val="0"/>
                      <w:sz w:val="21"/>
                      <w:szCs w:val="21"/>
                      <w14:textFill>
                        <w14:solidFill>
                          <w14:schemeClr w14:val="tx1"/>
                        </w14:solidFill>
                      </w14:textFill>
                    </w:rPr>
                  </w:pPr>
                </w:p>
              </w:tc>
            </w:tr>
            <w:tr w14:paraId="42833B6F">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pct"/>
                  <w:shd w:val="clear" w:color="auto" w:fill="auto"/>
                  <w:vAlign w:val="center"/>
                </w:tcPr>
                <w:p w14:paraId="5C74AF2E">
                  <w:pPr>
                    <w:widowControl/>
                    <w:spacing w:line="300" w:lineRule="exact"/>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4</w:t>
                  </w:r>
                </w:p>
              </w:tc>
              <w:tc>
                <w:tcPr>
                  <w:tcW w:w="579" w:type="pct"/>
                  <w:vAlign w:val="center"/>
                </w:tcPr>
                <w:p w14:paraId="037155F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实验废液</w:t>
                  </w:r>
                </w:p>
              </w:tc>
              <w:tc>
                <w:tcPr>
                  <w:tcW w:w="578" w:type="pct"/>
                  <w:vAlign w:val="center"/>
                </w:tcPr>
                <w:p w14:paraId="2DFBF844">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实验</w:t>
                  </w:r>
                </w:p>
              </w:tc>
              <w:tc>
                <w:tcPr>
                  <w:tcW w:w="463" w:type="pct"/>
                  <w:vMerge w:val="continue"/>
                  <w:vAlign w:val="center"/>
                </w:tcPr>
                <w:p w14:paraId="36701522">
                  <w:pPr>
                    <w:spacing w:line="300" w:lineRule="exact"/>
                    <w:jc w:val="center"/>
                    <w:rPr>
                      <w:color w:val="000000" w:themeColor="text1"/>
                      <w:sz w:val="21"/>
                      <w:szCs w:val="21"/>
                      <w14:textFill>
                        <w14:solidFill>
                          <w14:schemeClr w14:val="tx1"/>
                        </w14:solidFill>
                      </w14:textFill>
                    </w:rPr>
                  </w:pPr>
                </w:p>
              </w:tc>
              <w:tc>
                <w:tcPr>
                  <w:tcW w:w="610" w:type="pct"/>
                  <w:vAlign w:val="center"/>
                </w:tcPr>
                <w:p w14:paraId="04E77752">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902" w:type="pct"/>
                  <w:vAlign w:val="center"/>
                </w:tcPr>
                <w:p w14:paraId="3ED94095">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886" w:type="pct"/>
                  <w:vAlign w:val="center"/>
                </w:tcPr>
                <w:p w14:paraId="2F8F6C0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0.4</w:t>
                  </w:r>
                </w:p>
              </w:tc>
              <w:tc>
                <w:tcPr>
                  <w:tcW w:w="638" w:type="pct"/>
                  <w:vMerge w:val="continue"/>
                  <w:vAlign w:val="center"/>
                </w:tcPr>
                <w:p w14:paraId="2C2FD821">
                  <w:pPr>
                    <w:widowControl/>
                    <w:spacing w:line="300" w:lineRule="exact"/>
                    <w:jc w:val="center"/>
                    <w:rPr>
                      <w:color w:val="000000" w:themeColor="text1"/>
                      <w:kern w:val="0"/>
                      <w:sz w:val="21"/>
                      <w:szCs w:val="21"/>
                      <w14:textFill>
                        <w14:solidFill>
                          <w14:schemeClr w14:val="tx1"/>
                        </w14:solidFill>
                      </w14:textFill>
                    </w:rPr>
                  </w:pPr>
                </w:p>
              </w:tc>
            </w:tr>
            <w:tr w14:paraId="656EDDF2">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pct"/>
                  <w:shd w:val="clear" w:color="auto" w:fill="auto"/>
                  <w:vAlign w:val="center"/>
                </w:tcPr>
                <w:p w14:paraId="3F8BFC2C">
                  <w:pPr>
                    <w:widowControl/>
                    <w:spacing w:line="300" w:lineRule="exact"/>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5</w:t>
                  </w:r>
                </w:p>
              </w:tc>
              <w:tc>
                <w:tcPr>
                  <w:tcW w:w="579" w:type="pct"/>
                  <w:vAlign w:val="center"/>
                </w:tcPr>
                <w:p w14:paraId="7855FE9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菌渣</w:t>
                  </w:r>
                </w:p>
              </w:tc>
              <w:tc>
                <w:tcPr>
                  <w:tcW w:w="578" w:type="pct"/>
                  <w:vAlign w:val="center"/>
                </w:tcPr>
                <w:p w14:paraId="16141809">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提纯</w:t>
                  </w:r>
                </w:p>
              </w:tc>
              <w:tc>
                <w:tcPr>
                  <w:tcW w:w="463" w:type="pct"/>
                  <w:vMerge w:val="continue"/>
                  <w:vAlign w:val="center"/>
                </w:tcPr>
                <w:p w14:paraId="1BEAC173">
                  <w:pPr>
                    <w:spacing w:line="300" w:lineRule="exact"/>
                    <w:jc w:val="center"/>
                    <w:rPr>
                      <w:color w:val="000000" w:themeColor="text1"/>
                      <w:sz w:val="21"/>
                      <w:szCs w:val="21"/>
                      <w14:textFill>
                        <w14:solidFill>
                          <w14:schemeClr w14:val="tx1"/>
                        </w14:solidFill>
                      </w14:textFill>
                    </w:rPr>
                  </w:pPr>
                </w:p>
              </w:tc>
              <w:tc>
                <w:tcPr>
                  <w:tcW w:w="610" w:type="pct"/>
                  <w:vAlign w:val="center"/>
                </w:tcPr>
                <w:p w14:paraId="180C2AC0">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902" w:type="pct"/>
                  <w:vAlign w:val="center"/>
                </w:tcPr>
                <w:p w14:paraId="25D0D6A7">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886" w:type="pct"/>
                  <w:vAlign w:val="center"/>
                </w:tcPr>
                <w:p w14:paraId="57C7826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0.041</w:t>
                  </w:r>
                </w:p>
              </w:tc>
              <w:tc>
                <w:tcPr>
                  <w:tcW w:w="638" w:type="pct"/>
                  <w:vMerge w:val="continue"/>
                  <w:vAlign w:val="center"/>
                </w:tcPr>
                <w:p w14:paraId="1BE2C366">
                  <w:pPr>
                    <w:widowControl/>
                    <w:spacing w:line="300" w:lineRule="exact"/>
                    <w:jc w:val="center"/>
                    <w:rPr>
                      <w:color w:val="000000" w:themeColor="text1"/>
                      <w:kern w:val="0"/>
                      <w:sz w:val="21"/>
                      <w:szCs w:val="21"/>
                      <w14:textFill>
                        <w14:solidFill>
                          <w14:schemeClr w14:val="tx1"/>
                        </w14:solidFill>
                      </w14:textFill>
                    </w:rPr>
                  </w:pPr>
                </w:p>
              </w:tc>
            </w:tr>
            <w:tr w14:paraId="0004642B">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pct"/>
                  <w:shd w:val="clear" w:color="auto" w:fill="auto"/>
                  <w:vAlign w:val="center"/>
                </w:tcPr>
                <w:p w14:paraId="69456819">
                  <w:pPr>
                    <w:widowControl/>
                    <w:spacing w:line="300" w:lineRule="exact"/>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6</w:t>
                  </w:r>
                </w:p>
              </w:tc>
              <w:tc>
                <w:tcPr>
                  <w:tcW w:w="579" w:type="pct"/>
                  <w:vAlign w:val="center"/>
                </w:tcPr>
                <w:p w14:paraId="26B7897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乙醇回收废液</w:t>
                  </w:r>
                </w:p>
              </w:tc>
              <w:tc>
                <w:tcPr>
                  <w:tcW w:w="578" w:type="pct"/>
                  <w:vAlign w:val="center"/>
                </w:tcPr>
                <w:p w14:paraId="6A212970">
                  <w:pPr>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乙醇回收</w:t>
                  </w:r>
                </w:p>
              </w:tc>
              <w:tc>
                <w:tcPr>
                  <w:tcW w:w="463" w:type="pct"/>
                  <w:vMerge w:val="continue"/>
                  <w:vAlign w:val="center"/>
                </w:tcPr>
                <w:p w14:paraId="153FA906">
                  <w:pPr>
                    <w:spacing w:line="300" w:lineRule="exact"/>
                    <w:jc w:val="center"/>
                    <w:rPr>
                      <w:color w:val="000000" w:themeColor="text1"/>
                      <w:sz w:val="21"/>
                      <w:szCs w:val="21"/>
                      <w14:textFill>
                        <w14:solidFill>
                          <w14:schemeClr w14:val="tx1"/>
                        </w14:solidFill>
                      </w14:textFill>
                    </w:rPr>
                  </w:pPr>
                </w:p>
              </w:tc>
              <w:tc>
                <w:tcPr>
                  <w:tcW w:w="610" w:type="pct"/>
                  <w:vAlign w:val="center"/>
                </w:tcPr>
                <w:p w14:paraId="4643FDE8">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902" w:type="pct"/>
                  <w:vAlign w:val="center"/>
                </w:tcPr>
                <w:p w14:paraId="397085FF">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886" w:type="pct"/>
                  <w:vAlign w:val="center"/>
                </w:tcPr>
                <w:p w14:paraId="2CD163E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0.036</w:t>
                  </w:r>
                </w:p>
              </w:tc>
              <w:tc>
                <w:tcPr>
                  <w:tcW w:w="638" w:type="pct"/>
                  <w:vMerge w:val="continue"/>
                  <w:vAlign w:val="center"/>
                </w:tcPr>
                <w:p w14:paraId="77F152DA">
                  <w:pPr>
                    <w:widowControl/>
                    <w:spacing w:line="300" w:lineRule="exact"/>
                    <w:jc w:val="center"/>
                    <w:rPr>
                      <w:color w:val="000000" w:themeColor="text1"/>
                      <w:kern w:val="0"/>
                      <w:sz w:val="21"/>
                      <w:szCs w:val="21"/>
                      <w14:textFill>
                        <w14:solidFill>
                          <w14:schemeClr w14:val="tx1"/>
                        </w14:solidFill>
                      </w14:textFill>
                    </w:rPr>
                  </w:pPr>
                </w:p>
              </w:tc>
            </w:tr>
            <w:tr w14:paraId="7D5CE4E9">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pct"/>
                  <w:shd w:val="clear" w:color="auto" w:fill="auto"/>
                  <w:vAlign w:val="center"/>
                </w:tcPr>
                <w:p w14:paraId="4383798C">
                  <w:pPr>
                    <w:widowControl/>
                    <w:spacing w:line="300" w:lineRule="exact"/>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7</w:t>
                  </w:r>
                </w:p>
              </w:tc>
              <w:tc>
                <w:tcPr>
                  <w:tcW w:w="579" w:type="pct"/>
                  <w:vAlign w:val="center"/>
                </w:tcPr>
                <w:p w14:paraId="25DAC4F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废液</w:t>
                  </w:r>
                </w:p>
              </w:tc>
              <w:tc>
                <w:tcPr>
                  <w:tcW w:w="578" w:type="pct"/>
                  <w:vAlign w:val="center"/>
                </w:tcPr>
                <w:p w14:paraId="54C39FB5">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提纯</w:t>
                  </w:r>
                </w:p>
              </w:tc>
              <w:tc>
                <w:tcPr>
                  <w:tcW w:w="463" w:type="pct"/>
                  <w:vMerge w:val="continue"/>
                  <w:vAlign w:val="center"/>
                </w:tcPr>
                <w:p w14:paraId="6FD2CA61">
                  <w:pPr>
                    <w:spacing w:line="300" w:lineRule="exact"/>
                    <w:jc w:val="center"/>
                    <w:rPr>
                      <w:color w:val="000000" w:themeColor="text1"/>
                      <w:sz w:val="21"/>
                      <w:szCs w:val="21"/>
                      <w14:textFill>
                        <w14:solidFill>
                          <w14:schemeClr w14:val="tx1"/>
                        </w14:solidFill>
                      </w14:textFill>
                    </w:rPr>
                  </w:pPr>
                </w:p>
              </w:tc>
              <w:tc>
                <w:tcPr>
                  <w:tcW w:w="610" w:type="pct"/>
                  <w:vAlign w:val="center"/>
                </w:tcPr>
                <w:p w14:paraId="04AACD19">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902" w:type="pct"/>
                  <w:vAlign w:val="center"/>
                </w:tcPr>
                <w:p w14:paraId="278AF440">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886" w:type="pct"/>
                  <w:vAlign w:val="center"/>
                </w:tcPr>
                <w:p w14:paraId="18C90F9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0.918</w:t>
                  </w:r>
                </w:p>
              </w:tc>
              <w:tc>
                <w:tcPr>
                  <w:tcW w:w="638" w:type="pct"/>
                  <w:vMerge w:val="continue"/>
                  <w:vAlign w:val="center"/>
                </w:tcPr>
                <w:p w14:paraId="74690E77">
                  <w:pPr>
                    <w:widowControl/>
                    <w:spacing w:line="300" w:lineRule="exact"/>
                    <w:jc w:val="center"/>
                    <w:rPr>
                      <w:color w:val="000000" w:themeColor="text1"/>
                      <w:kern w:val="0"/>
                      <w:sz w:val="21"/>
                      <w:szCs w:val="21"/>
                      <w14:textFill>
                        <w14:solidFill>
                          <w14:schemeClr w14:val="tx1"/>
                        </w14:solidFill>
                      </w14:textFill>
                    </w:rPr>
                  </w:pPr>
                </w:p>
              </w:tc>
            </w:tr>
            <w:tr w14:paraId="03424FD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pct"/>
                  <w:shd w:val="clear" w:color="auto" w:fill="auto"/>
                  <w:vAlign w:val="center"/>
                </w:tcPr>
                <w:p w14:paraId="6FC6BE3F">
                  <w:pPr>
                    <w:widowControl/>
                    <w:spacing w:line="300" w:lineRule="exact"/>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8</w:t>
                  </w:r>
                </w:p>
              </w:tc>
              <w:tc>
                <w:tcPr>
                  <w:tcW w:w="579" w:type="pct"/>
                  <w:vAlign w:val="center"/>
                </w:tcPr>
                <w:p w14:paraId="367D5D9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设备清洗废液</w:t>
                  </w:r>
                </w:p>
              </w:tc>
              <w:tc>
                <w:tcPr>
                  <w:tcW w:w="578" w:type="pct"/>
                  <w:vAlign w:val="center"/>
                </w:tcPr>
                <w:p w14:paraId="027D2B14">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设备清洗</w:t>
                  </w:r>
                </w:p>
              </w:tc>
              <w:tc>
                <w:tcPr>
                  <w:tcW w:w="463" w:type="pct"/>
                  <w:vMerge w:val="continue"/>
                  <w:vAlign w:val="center"/>
                </w:tcPr>
                <w:p w14:paraId="16EA45FB">
                  <w:pPr>
                    <w:spacing w:line="300" w:lineRule="exact"/>
                    <w:jc w:val="center"/>
                    <w:rPr>
                      <w:color w:val="000000" w:themeColor="text1"/>
                      <w:sz w:val="21"/>
                      <w:szCs w:val="21"/>
                      <w14:textFill>
                        <w14:solidFill>
                          <w14:schemeClr w14:val="tx1"/>
                        </w14:solidFill>
                      </w14:textFill>
                    </w:rPr>
                  </w:pPr>
                </w:p>
              </w:tc>
              <w:tc>
                <w:tcPr>
                  <w:tcW w:w="610" w:type="pct"/>
                  <w:vAlign w:val="center"/>
                </w:tcPr>
                <w:p w14:paraId="348B6C01">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902" w:type="pct"/>
                  <w:vAlign w:val="center"/>
                </w:tcPr>
                <w:p w14:paraId="63BB2738">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886" w:type="pct"/>
                  <w:vAlign w:val="center"/>
                </w:tcPr>
                <w:p w14:paraId="1DDC8CC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638" w:type="pct"/>
                  <w:vMerge w:val="continue"/>
                  <w:vAlign w:val="center"/>
                </w:tcPr>
                <w:p w14:paraId="31116451">
                  <w:pPr>
                    <w:widowControl/>
                    <w:spacing w:line="300" w:lineRule="exact"/>
                    <w:jc w:val="center"/>
                    <w:rPr>
                      <w:color w:val="000000" w:themeColor="text1"/>
                      <w:kern w:val="0"/>
                      <w:sz w:val="21"/>
                      <w:szCs w:val="21"/>
                      <w14:textFill>
                        <w14:solidFill>
                          <w14:schemeClr w14:val="tx1"/>
                        </w14:solidFill>
                      </w14:textFill>
                    </w:rPr>
                  </w:pPr>
                </w:p>
              </w:tc>
            </w:tr>
            <w:tr w14:paraId="19850F2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pct"/>
                  <w:shd w:val="clear" w:color="auto" w:fill="auto"/>
                  <w:vAlign w:val="center"/>
                </w:tcPr>
                <w:p w14:paraId="21FDD1D6">
                  <w:pPr>
                    <w:widowControl/>
                    <w:spacing w:line="300" w:lineRule="exact"/>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9</w:t>
                  </w:r>
                </w:p>
              </w:tc>
              <w:tc>
                <w:tcPr>
                  <w:tcW w:w="579" w:type="pct"/>
                  <w:vAlign w:val="center"/>
                </w:tcPr>
                <w:p w14:paraId="2167B35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废试剂瓶</w:t>
                  </w:r>
                </w:p>
              </w:tc>
              <w:tc>
                <w:tcPr>
                  <w:tcW w:w="578" w:type="pct"/>
                  <w:vAlign w:val="center"/>
                </w:tcPr>
                <w:p w14:paraId="22581515">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拆包</w:t>
                  </w:r>
                </w:p>
              </w:tc>
              <w:tc>
                <w:tcPr>
                  <w:tcW w:w="463" w:type="pct"/>
                  <w:vMerge w:val="continue"/>
                  <w:vAlign w:val="center"/>
                </w:tcPr>
                <w:p w14:paraId="282D7F80">
                  <w:pPr>
                    <w:spacing w:line="300" w:lineRule="exact"/>
                    <w:jc w:val="center"/>
                    <w:rPr>
                      <w:color w:val="000000" w:themeColor="text1"/>
                      <w:sz w:val="21"/>
                      <w:szCs w:val="21"/>
                      <w14:textFill>
                        <w14:solidFill>
                          <w14:schemeClr w14:val="tx1"/>
                        </w14:solidFill>
                      </w14:textFill>
                    </w:rPr>
                  </w:pPr>
                </w:p>
              </w:tc>
              <w:tc>
                <w:tcPr>
                  <w:tcW w:w="610" w:type="pct"/>
                  <w:vAlign w:val="center"/>
                </w:tcPr>
                <w:p w14:paraId="7481262B">
                  <w:pPr>
                    <w:pStyle w:val="115"/>
                    <w:ind w:lef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902" w:type="pct"/>
                  <w:vAlign w:val="center"/>
                </w:tcPr>
                <w:p w14:paraId="19A22334">
                  <w:pPr>
                    <w:pStyle w:val="115"/>
                    <w:ind w:lef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900-041-49</w:t>
                  </w:r>
                </w:p>
              </w:tc>
              <w:tc>
                <w:tcPr>
                  <w:tcW w:w="886" w:type="pct"/>
                  <w:vAlign w:val="center"/>
                </w:tcPr>
                <w:p w14:paraId="7C2D44C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0.05</w:t>
                  </w:r>
                </w:p>
              </w:tc>
              <w:tc>
                <w:tcPr>
                  <w:tcW w:w="638" w:type="pct"/>
                  <w:vMerge w:val="continue"/>
                  <w:vAlign w:val="center"/>
                </w:tcPr>
                <w:p w14:paraId="6FB54E2D">
                  <w:pPr>
                    <w:widowControl/>
                    <w:spacing w:line="300" w:lineRule="exact"/>
                    <w:jc w:val="center"/>
                    <w:rPr>
                      <w:color w:val="000000" w:themeColor="text1"/>
                      <w:kern w:val="0"/>
                      <w:sz w:val="21"/>
                      <w:szCs w:val="21"/>
                      <w14:textFill>
                        <w14:solidFill>
                          <w14:schemeClr w14:val="tx1"/>
                        </w14:solidFill>
                      </w14:textFill>
                    </w:rPr>
                  </w:pPr>
                </w:p>
              </w:tc>
            </w:tr>
            <w:tr w14:paraId="5BAA58F6">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pct"/>
                  <w:shd w:val="clear" w:color="auto" w:fill="auto"/>
                  <w:vAlign w:val="center"/>
                </w:tcPr>
                <w:p w14:paraId="20A34048">
                  <w:pPr>
                    <w:widowControl/>
                    <w:spacing w:line="300" w:lineRule="exact"/>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10</w:t>
                  </w:r>
                </w:p>
              </w:tc>
              <w:tc>
                <w:tcPr>
                  <w:tcW w:w="579" w:type="pct"/>
                  <w:vAlign w:val="center"/>
                </w:tcPr>
                <w:p w14:paraId="31E5E05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地面清洗废液</w:t>
                  </w:r>
                </w:p>
              </w:tc>
              <w:tc>
                <w:tcPr>
                  <w:tcW w:w="578" w:type="pct"/>
                  <w:vAlign w:val="center"/>
                </w:tcPr>
                <w:p w14:paraId="5ADBA5A5">
                  <w:pPr>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地面清洗</w:t>
                  </w:r>
                </w:p>
              </w:tc>
              <w:tc>
                <w:tcPr>
                  <w:tcW w:w="463" w:type="pct"/>
                  <w:vMerge w:val="continue"/>
                  <w:vAlign w:val="center"/>
                </w:tcPr>
                <w:p w14:paraId="376E8E72">
                  <w:pPr>
                    <w:spacing w:line="300" w:lineRule="exact"/>
                    <w:jc w:val="center"/>
                    <w:rPr>
                      <w:color w:val="000000" w:themeColor="text1"/>
                      <w:sz w:val="21"/>
                      <w:szCs w:val="21"/>
                      <w14:textFill>
                        <w14:solidFill>
                          <w14:schemeClr w14:val="tx1"/>
                        </w14:solidFill>
                      </w14:textFill>
                    </w:rPr>
                  </w:pPr>
                </w:p>
              </w:tc>
              <w:tc>
                <w:tcPr>
                  <w:tcW w:w="610" w:type="pct"/>
                  <w:vAlign w:val="center"/>
                </w:tcPr>
                <w:p w14:paraId="275B8DA6">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902" w:type="pct"/>
                  <w:vAlign w:val="center"/>
                </w:tcPr>
                <w:p w14:paraId="7E55D1CC">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886" w:type="pct"/>
                  <w:vAlign w:val="center"/>
                </w:tcPr>
                <w:p w14:paraId="3D5E7DA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2.4</w:t>
                  </w:r>
                </w:p>
              </w:tc>
              <w:tc>
                <w:tcPr>
                  <w:tcW w:w="638" w:type="pct"/>
                  <w:vMerge w:val="continue"/>
                  <w:vAlign w:val="center"/>
                </w:tcPr>
                <w:p w14:paraId="6D07B4A7">
                  <w:pPr>
                    <w:widowControl/>
                    <w:spacing w:line="300" w:lineRule="exact"/>
                    <w:jc w:val="center"/>
                    <w:rPr>
                      <w:color w:val="000000" w:themeColor="text1"/>
                      <w:kern w:val="0"/>
                      <w:sz w:val="21"/>
                      <w:szCs w:val="21"/>
                      <w14:textFill>
                        <w14:solidFill>
                          <w14:schemeClr w14:val="tx1"/>
                        </w14:solidFill>
                      </w14:textFill>
                    </w:rPr>
                  </w:pPr>
                </w:p>
              </w:tc>
            </w:tr>
            <w:tr w14:paraId="0B6A05F1">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pct"/>
                  <w:shd w:val="clear" w:color="auto" w:fill="auto"/>
                  <w:vAlign w:val="center"/>
                </w:tcPr>
                <w:p w14:paraId="3123BD98">
                  <w:pPr>
                    <w:widowControl/>
                    <w:spacing w:line="300" w:lineRule="exact"/>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11</w:t>
                  </w:r>
                </w:p>
              </w:tc>
              <w:tc>
                <w:tcPr>
                  <w:tcW w:w="579" w:type="pct"/>
                  <w:vAlign w:val="center"/>
                </w:tcPr>
                <w:p w14:paraId="432D3D1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实验设备废液</w:t>
                  </w:r>
                </w:p>
              </w:tc>
              <w:tc>
                <w:tcPr>
                  <w:tcW w:w="578" w:type="pct"/>
                  <w:vAlign w:val="center"/>
                </w:tcPr>
                <w:p w14:paraId="398DA97F">
                  <w:pPr>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实验设备运行</w:t>
                  </w:r>
                </w:p>
              </w:tc>
              <w:tc>
                <w:tcPr>
                  <w:tcW w:w="463" w:type="pct"/>
                  <w:vMerge w:val="continue"/>
                  <w:vAlign w:val="center"/>
                </w:tcPr>
                <w:p w14:paraId="0AAC3692">
                  <w:pPr>
                    <w:spacing w:line="300" w:lineRule="exact"/>
                    <w:jc w:val="center"/>
                    <w:rPr>
                      <w:color w:val="000000" w:themeColor="text1"/>
                      <w:sz w:val="21"/>
                      <w:szCs w:val="21"/>
                      <w14:textFill>
                        <w14:solidFill>
                          <w14:schemeClr w14:val="tx1"/>
                        </w14:solidFill>
                      </w14:textFill>
                    </w:rPr>
                  </w:pPr>
                </w:p>
              </w:tc>
              <w:tc>
                <w:tcPr>
                  <w:tcW w:w="610" w:type="pct"/>
                  <w:vAlign w:val="center"/>
                </w:tcPr>
                <w:p w14:paraId="0BB632D1">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902" w:type="pct"/>
                  <w:vAlign w:val="center"/>
                </w:tcPr>
                <w:p w14:paraId="67C8431B">
                  <w:pPr>
                    <w:pStyle w:val="117"/>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900-047-49</w:t>
                  </w:r>
                </w:p>
              </w:tc>
              <w:tc>
                <w:tcPr>
                  <w:tcW w:w="886" w:type="pct"/>
                  <w:vAlign w:val="center"/>
                </w:tcPr>
                <w:p w14:paraId="08C3521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1.6</w:t>
                  </w:r>
                </w:p>
              </w:tc>
              <w:tc>
                <w:tcPr>
                  <w:tcW w:w="638" w:type="pct"/>
                  <w:vMerge w:val="continue"/>
                  <w:vAlign w:val="center"/>
                </w:tcPr>
                <w:p w14:paraId="483098FD">
                  <w:pPr>
                    <w:widowControl/>
                    <w:spacing w:line="300" w:lineRule="exact"/>
                    <w:jc w:val="center"/>
                    <w:rPr>
                      <w:color w:val="000000" w:themeColor="text1"/>
                      <w:kern w:val="0"/>
                      <w:sz w:val="21"/>
                      <w:szCs w:val="21"/>
                      <w14:textFill>
                        <w14:solidFill>
                          <w14:schemeClr w14:val="tx1"/>
                        </w14:solidFill>
                      </w14:textFill>
                    </w:rPr>
                  </w:pPr>
                </w:p>
              </w:tc>
            </w:tr>
            <w:tr w14:paraId="1ABDF271">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pct"/>
                  <w:shd w:val="clear" w:color="auto" w:fill="auto"/>
                  <w:vAlign w:val="center"/>
                </w:tcPr>
                <w:p w14:paraId="7D72B4D5">
                  <w:pPr>
                    <w:widowControl/>
                    <w:spacing w:line="300" w:lineRule="exact"/>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12</w:t>
                  </w:r>
                </w:p>
              </w:tc>
              <w:tc>
                <w:tcPr>
                  <w:tcW w:w="579" w:type="pct"/>
                  <w:vAlign w:val="center"/>
                </w:tcPr>
                <w:p w14:paraId="349037C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废活性炭</w:t>
                  </w:r>
                </w:p>
              </w:tc>
              <w:tc>
                <w:tcPr>
                  <w:tcW w:w="578" w:type="pct"/>
                  <w:vAlign w:val="center"/>
                </w:tcPr>
                <w:p w14:paraId="1BB7C20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废气处理</w:t>
                  </w:r>
                </w:p>
              </w:tc>
              <w:tc>
                <w:tcPr>
                  <w:tcW w:w="463" w:type="pct"/>
                  <w:vMerge w:val="continue"/>
                  <w:vAlign w:val="center"/>
                </w:tcPr>
                <w:p w14:paraId="739A6080">
                  <w:pPr>
                    <w:spacing w:line="300" w:lineRule="exact"/>
                    <w:jc w:val="center"/>
                    <w:rPr>
                      <w:color w:val="000000" w:themeColor="text1"/>
                      <w:sz w:val="21"/>
                      <w:szCs w:val="21"/>
                      <w14:textFill>
                        <w14:solidFill>
                          <w14:schemeClr w14:val="tx1"/>
                        </w14:solidFill>
                      </w14:textFill>
                    </w:rPr>
                  </w:pPr>
                </w:p>
              </w:tc>
              <w:tc>
                <w:tcPr>
                  <w:tcW w:w="610" w:type="pct"/>
                  <w:vAlign w:val="center"/>
                </w:tcPr>
                <w:p w14:paraId="0474FAED">
                  <w:pPr>
                    <w:autoSpaceDE w:val="0"/>
                    <w:autoSpaceDN w:val="0"/>
                    <w:adjustRightInd w:val="0"/>
                    <w:spacing w:line="30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14:textFill>
                        <w14:solidFill>
                          <w14:schemeClr w14:val="tx1"/>
                        </w14:solidFill>
                      </w14:textFill>
                    </w:rPr>
                    <w:t>HW49</w:t>
                  </w:r>
                </w:p>
              </w:tc>
              <w:tc>
                <w:tcPr>
                  <w:tcW w:w="902" w:type="pct"/>
                  <w:vAlign w:val="center"/>
                </w:tcPr>
                <w:p w14:paraId="16CB0348">
                  <w:pPr>
                    <w:jc w:val="center"/>
                    <w:rPr>
                      <w:color w:val="000000" w:themeColor="text1"/>
                      <w:sz w:val="21"/>
                      <w:szCs w:val="21"/>
                      <w14:textFill>
                        <w14:solidFill>
                          <w14:schemeClr w14:val="tx1"/>
                        </w14:solidFill>
                      </w14:textFill>
                    </w:rPr>
                  </w:pPr>
                  <w:r>
                    <w:rPr>
                      <w:rFonts w:hint="eastAsia" w:eastAsia="仿宋"/>
                      <w:color w:val="000000" w:themeColor="text1"/>
                      <w:kern w:val="0"/>
                      <w:sz w:val="21"/>
                      <w:szCs w:val="21"/>
                      <w14:textFill>
                        <w14:solidFill>
                          <w14:schemeClr w14:val="tx1"/>
                        </w14:solidFill>
                      </w14:textFill>
                    </w:rPr>
                    <w:t>900-039-49</w:t>
                  </w:r>
                </w:p>
              </w:tc>
              <w:tc>
                <w:tcPr>
                  <w:tcW w:w="886" w:type="pct"/>
                  <w:vAlign w:val="center"/>
                </w:tcPr>
                <w:p w14:paraId="0549A8F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0.176</w:t>
                  </w:r>
                </w:p>
              </w:tc>
              <w:tc>
                <w:tcPr>
                  <w:tcW w:w="638" w:type="pct"/>
                  <w:vMerge w:val="continue"/>
                  <w:vAlign w:val="center"/>
                </w:tcPr>
                <w:p w14:paraId="75E2D979">
                  <w:pPr>
                    <w:widowControl/>
                    <w:spacing w:line="300" w:lineRule="exact"/>
                    <w:jc w:val="center"/>
                    <w:rPr>
                      <w:color w:val="000000" w:themeColor="text1"/>
                      <w:kern w:val="0"/>
                      <w:sz w:val="21"/>
                      <w:szCs w:val="21"/>
                      <w14:textFill>
                        <w14:solidFill>
                          <w14:schemeClr w14:val="tx1"/>
                        </w14:solidFill>
                      </w14:textFill>
                    </w:rPr>
                  </w:pPr>
                </w:p>
              </w:tc>
            </w:tr>
            <w:tr w14:paraId="1BD0FF93">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pct"/>
                  <w:shd w:val="clear" w:color="auto" w:fill="auto"/>
                  <w:vAlign w:val="center"/>
                </w:tcPr>
                <w:p w14:paraId="0CCE950E">
                  <w:pPr>
                    <w:widowControl/>
                    <w:spacing w:line="300" w:lineRule="exact"/>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1</w:t>
                  </w:r>
                  <w:r>
                    <w:rPr>
                      <w:rFonts w:hint="eastAsia"/>
                      <w:color w:val="000000" w:themeColor="text1"/>
                      <w:kern w:val="0"/>
                      <w:sz w:val="21"/>
                      <w:szCs w:val="21"/>
                      <w:lang w:val="en-US" w:eastAsia="zh-CN"/>
                      <w14:textFill>
                        <w14:solidFill>
                          <w14:schemeClr w14:val="tx1"/>
                        </w14:solidFill>
                      </w14:textFill>
                    </w:rPr>
                    <w:t>3</w:t>
                  </w:r>
                </w:p>
              </w:tc>
              <w:tc>
                <w:tcPr>
                  <w:tcW w:w="579" w:type="pct"/>
                  <w:vAlign w:val="center"/>
                </w:tcPr>
                <w:p w14:paraId="15131CE5">
                  <w:pPr>
                    <w:jc w:val="center"/>
                    <w:rPr>
                      <w:rFonts w:hint="eastAsia"/>
                      <w:color w:val="000000" w:themeColor="text1"/>
                      <w:sz w:val="21"/>
                      <w:szCs w:val="21"/>
                      <w14:textFill>
                        <w14:solidFill>
                          <w14:schemeClr w14:val="tx1"/>
                        </w14:solidFill>
                      </w14:textFill>
                    </w:rPr>
                  </w:pPr>
                  <w:r>
                    <w:rPr>
                      <w:rFonts w:hint="eastAsia"/>
                      <w:color w:val="FF0000"/>
                      <w:sz w:val="21"/>
                      <w:szCs w:val="21"/>
                      <w:lang w:val="en-US" w:eastAsia="zh-CN"/>
                    </w:rPr>
                    <w:t>废树脂</w:t>
                  </w:r>
                </w:p>
              </w:tc>
              <w:tc>
                <w:tcPr>
                  <w:tcW w:w="578" w:type="pct"/>
                  <w:vAlign w:val="center"/>
                </w:tcPr>
                <w:p w14:paraId="3722FF1B">
                  <w:pPr>
                    <w:jc w:val="center"/>
                    <w:rPr>
                      <w:color w:val="000000" w:themeColor="text1"/>
                      <w:sz w:val="21"/>
                      <w:szCs w:val="21"/>
                      <w14:textFill>
                        <w14:solidFill>
                          <w14:schemeClr w14:val="tx1"/>
                        </w14:solidFill>
                      </w14:textFill>
                    </w:rPr>
                  </w:pPr>
                  <w:r>
                    <w:rPr>
                      <w:rFonts w:hint="eastAsia"/>
                      <w:color w:val="FF0000"/>
                      <w:sz w:val="21"/>
                      <w:szCs w:val="21"/>
                      <w:lang w:val="en-US" w:eastAsia="zh-CN"/>
                    </w:rPr>
                    <w:t>提纯</w:t>
                  </w:r>
                </w:p>
              </w:tc>
              <w:tc>
                <w:tcPr>
                  <w:tcW w:w="463" w:type="pct"/>
                  <w:vMerge w:val="continue"/>
                  <w:vAlign w:val="center"/>
                </w:tcPr>
                <w:p w14:paraId="34B40876">
                  <w:pPr>
                    <w:spacing w:line="300" w:lineRule="exact"/>
                    <w:jc w:val="center"/>
                    <w:rPr>
                      <w:color w:val="000000" w:themeColor="text1"/>
                      <w:sz w:val="21"/>
                      <w:szCs w:val="21"/>
                      <w14:textFill>
                        <w14:solidFill>
                          <w14:schemeClr w14:val="tx1"/>
                        </w14:solidFill>
                      </w14:textFill>
                    </w:rPr>
                  </w:pPr>
                </w:p>
              </w:tc>
              <w:tc>
                <w:tcPr>
                  <w:tcW w:w="610" w:type="pct"/>
                  <w:shd w:val="clear" w:color="auto" w:fill="auto"/>
                  <w:vAlign w:val="center"/>
                </w:tcPr>
                <w:p w14:paraId="4A32CC39">
                  <w:pPr>
                    <w:autoSpaceDE w:val="0"/>
                    <w:autoSpaceDN w:val="0"/>
                    <w:adjustRightInd w:val="0"/>
                    <w:spacing w:line="300" w:lineRule="exact"/>
                    <w:jc w:val="center"/>
                    <w:rPr>
                      <w:rFonts w:hint="eastAsia" w:ascii="Times New Roman" w:hAnsi="Times New Roman" w:eastAsia="仿宋" w:cs="Times New Roman"/>
                      <w:color w:val="FF0000"/>
                      <w:kern w:val="0"/>
                      <w:sz w:val="21"/>
                      <w:szCs w:val="21"/>
                      <w:lang w:val="en-US" w:eastAsia="zh-CN" w:bidi="ar-SA"/>
                    </w:rPr>
                  </w:pPr>
                  <w:r>
                    <w:rPr>
                      <w:rFonts w:hint="eastAsia" w:eastAsia="仿宋"/>
                      <w:color w:val="FF0000"/>
                      <w:kern w:val="0"/>
                      <w:sz w:val="21"/>
                      <w:szCs w:val="21"/>
                      <w:lang w:val="en-US" w:eastAsia="zh-CN"/>
                    </w:rPr>
                    <w:t>HW13</w:t>
                  </w:r>
                </w:p>
              </w:tc>
              <w:tc>
                <w:tcPr>
                  <w:tcW w:w="902" w:type="pct"/>
                  <w:shd w:val="clear" w:color="auto" w:fill="auto"/>
                  <w:vAlign w:val="center"/>
                </w:tcPr>
                <w:p w14:paraId="0631C127">
                  <w:pPr>
                    <w:jc w:val="center"/>
                    <w:rPr>
                      <w:rFonts w:hint="eastAsia" w:ascii="Times New Roman" w:hAnsi="Times New Roman" w:eastAsia="仿宋" w:cs="Times New Roman"/>
                      <w:color w:val="FF0000"/>
                      <w:kern w:val="0"/>
                      <w:sz w:val="21"/>
                      <w:szCs w:val="21"/>
                      <w:lang w:val="en-US" w:eastAsia="zh-CN" w:bidi="ar-SA"/>
                    </w:rPr>
                  </w:pPr>
                  <w:r>
                    <w:rPr>
                      <w:rFonts w:hint="eastAsia" w:eastAsia="仿宋"/>
                      <w:color w:val="FF0000"/>
                      <w:kern w:val="0"/>
                      <w:sz w:val="21"/>
                      <w:szCs w:val="21"/>
                      <w:lang w:val="en-US" w:eastAsia="zh-CN"/>
                    </w:rPr>
                    <w:t>900-015-13</w:t>
                  </w:r>
                </w:p>
              </w:tc>
              <w:tc>
                <w:tcPr>
                  <w:tcW w:w="886" w:type="pct"/>
                  <w:shd w:val="clear" w:color="auto" w:fill="auto"/>
                  <w:vAlign w:val="center"/>
                </w:tcPr>
                <w:p w14:paraId="52D68E62">
                  <w:pPr>
                    <w:jc w:val="center"/>
                    <w:rPr>
                      <w:rFonts w:hint="eastAsia" w:ascii="Times New Roman" w:hAnsi="Times New Roman" w:eastAsia="宋体" w:cs="Times New Roman"/>
                      <w:color w:val="FF0000"/>
                      <w:kern w:val="2"/>
                      <w:sz w:val="21"/>
                      <w:szCs w:val="21"/>
                      <w:lang w:val="en-US" w:eastAsia="zh-CN" w:bidi="ar-SA"/>
                    </w:rPr>
                  </w:pPr>
                  <w:r>
                    <w:rPr>
                      <w:rFonts w:hint="eastAsia"/>
                      <w:color w:val="FF0000"/>
                      <w:sz w:val="21"/>
                      <w:szCs w:val="21"/>
                      <w:lang w:val="en-US" w:eastAsia="zh-CN"/>
                    </w:rPr>
                    <w:t>0.01</w:t>
                  </w:r>
                </w:p>
              </w:tc>
              <w:tc>
                <w:tcPr>
                  <w:tcW w:w="638" w:type="pct"/>
                  <w:vMerge w:val="continue"/>
                  <w:vAlign w:val="center"/>
                </w:tcPr>
                <w:p w14:paraId="53EB1366">
                  <w:pPr>
                    <w:widowControl/>
                    <w:spacing w:line="300" w:lineRule="exact"/>
                    <w:jc w:val="center"/>
                    <w:rPr>
                      <w:color w:val="000000" w:themeColor="text1"/>
                      <w:kern w:val="0"/>
                      <w:sz w:val="21"/>
                      <w:szCs w:val="21"/>
                      <w14:textFill>
                        <w14:solidFill>
                          <w14:schemeClr w14:val="tx1"/>
                        </w14:solidFill>
                      </w14:textFill>
                    </w:rPr>
                  </w:pPr>
                </w:p>
              </w:tc>
            </w:tr>
            <w:tr w14:paraId="530EE99D">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pct"/>
                  <w:vAlign w:val="center"/>
                </w:tcPr>
                <w:p w14:paraId="040A99B8">
                  <w:pPr>
                    <w:widowControl/>
                    <w:spacing w:line="300" w:lineRule="exact"/>
                    <w:jc w:val="center"/>
                    <w:rPr>
                      <w:rFonts w:hint="eastAsia" w:eastAsia="宋体"/>
                      <w:color w:val="000000" w:themeColor="text1"/>
                      <w:kern w:val="0"/>
                      <w:sz w:val="21"/>
                      <w:szCs w:val="21"/>
                      <w:lang w:val="en-US" w:eastAsia="zh-CN"/>
                      <w14:textFill>
                        <w14:solidFill>
                          <w14:schemeClr w14:val="tx1"/>
                        </w14:solidFill>
                      </w14:textFill>
                    </w:rPr>
                  </w:pPr>
                  <w:r>
                    <w:rPr>
                      <w:color w:val="000000" w:themeColor="text1"/>
                      <w:kern w:val="0"/>
                      <w:sz w:val="21"/>
                      <w:szCs w:val="21"/>
                      <w14:textFill>
                        <w14:solidFill>
                          <w14:schemeClr w14:val="tx1"/>
                        </w14:solidFill>
                      </w14:textFill>
                    </w:rPr>
                    <w:t>1</w:t>
                  </w:r>
                  <w:r>
                    <w:rPr>
                      <w:rFonts w:hint="eastAsia"/>
                      <w:color w:val="000000" w:themeColor="text1"/>
                      <w:kern w:val="0"/>
                      <w:sz w:val="21"/>
                      <w:szCs w:val="21"/>
                      <w:lang w:val="en-US" w:eastAsia="zh-CN"/>
                      <w14:textFill>
                        <w14:solidFill>
                          <w14:schemeClr w14:val="tx1"/>
                        </w14:solidFill>
                      </w14:textFill>
                    </w:rPr>
                    <w:t>4</w:t>
                  </w:r>
                </w:p>
              </w:tc>
              <w:tc>
                <w:tcPr>
                  <w:tcW w:w="579" w:type="pct"/>
                  <w:tcBorders>
                    <w:bottom w:val="single" w:color="auto" w:sz="12" w:space="0"/>
                  </w:tcBorders>
                  <w:vAlign w:val="center"/>
                </w:tcPr>
                <w:p w14:paraId="25B7D1F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w:t>
                  </w:r>
                </w:p>
              </w:tc>
              <w:tc>
                <w:tcPr>
                  <w:tcW w:w="578" w:type="pct"/>
                  <w:tcBorders>
                    <w:bottom w:val="single" w:color="auto" w:sz="12" w:space="0"/>
                  </w:tcBorders>
                  <w:vAlign w:val="center"/>
                </w:tcPr>
                <w:p w14:paraId="17FE5AA1">
                  <w:pPr>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员工生活</w:t>
                  </w:r>
                </w:p>
              </w:tc>
              <w:tc>
                <w:tcPr>
                  <w:tcW w:w="463" w:type="pct"/>
                  <w:vAlign w:val="center"/>
                </w:tcPr>
                <w:p w14:paraId="13E795ED">
                  <w:pPr>
                    <w:spacing w:line="3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610" w:type="pct"/>
                  <w:tcBorders>
                    <w:bottom w:val="single" w:color="auto" w:sz="12" w:space="0"/>
                  </w:tcBorders>
                  <w:vAlign w:val="center"/>
                </w:tcPr>
                <w:p w14:paraId="366F6AD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SW6</w:t>
                  </w:r>
                  <w:r>
                    <w:rPr>
                      <w:rFonts w:hint="eastAsia"/>
                      <w:color w:val="000000" w:themeColor="text1"/>
                      <w:sz w:val="21"/>
                      <w:szCs w:val="21"/>
                      <w14:textFill>
                        <w14:solidFill>
                          <w14:schemeClr w14:val="tx1"/>
                        </w14:solidFill>
                      </w14:textFill>
                    </w:rPr>
                    <w:t>4</w:t>
                  </w:r>
                </w:p>
              </w:tc>
              <w:tc>
                <w:tcPr>
                  <w:tcW w:w="902" w:type="pct"/>
                  <w:tcBorders>
                    <w:bottom w:val="single" w:color="auto" w:sz="12" w:space="0"/>
                  </w:tcBorders>
                  <w:vAlign w:val="center"/>
                </w:tcPr>
                <w:p w14:paraId="6B63318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w:t>
                  </w: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99</w:t>
                  </w:r>
                  <w:r>
                    <w:rPr>
                      <w:color w:val="000000" w:themeColor="text1"/>
                      <w:sz w:val="21"/>
                      <w:szCs w:val="21"/>
                      <w14:textFill>
                        <w14:solidFill>
                          <w14:schemeClr w14:val="tx1"/>
                        </w14:solidFill>
                      </w14:textFill>
                    </w:rPr>
                    <w:t>-S64</w:t>
                  </w:r>
                </w:p>
              </w:tc>
              <w:tc>
                <w:tcPr>
                  <w:tcW w:w="886" w:type="pct"/>
                  <w:tcBorders>
                    <w:bottom w:val="single" w:color="auto" w:sz="12" w:space="0"/>
                  </w:tcBorders>
                  <w:vAlign w:val="center"/>
                </w:tcPr>
                <w:p w14:paraId="576F8C9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638" w:type="pct"/>
                  <w:vAlign w:val="center"/>
                </w:tcPr>
                <w:p w14:paraId="6D724005">
                  <w:pPr>
                    <w:widowControl/>
                    <w:spacing w:line="300" w:lineRule="exact"/>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环卫单位</w:t>
                  </w:r>
                </w:p>
              </w:tc>
            </w:tr>
          </w:tbl>
          <w:p w14:paraId="7E251827">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本项目产生的固体废弃物主要为一般固废、危险固废和生活垃圾。</w:t>
            </w:r>
          </w:p>
          <w:p w14:paraId="701C947D">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废包装材料为一般固废</w:t>
            </w:r>
            <w:r>
              <w:rPr>
                <w:rFonts w:hint="eastAsia"/>
                <w:color w:val="000000" w:themeColor="text1"/>
                <w:sz w:val="24"/>
                <w:szCs w:val="24"/>
                <w14:textFill>
                  <w14:solidFill>
                    <w14:schemeClr w14:val="tx1"/>
                  </w14:solidFill>
                </w14:textFill>
              </w:rPr>
              <w:t>。收集后暂存于一般固废仓库</w:t>
            </w:r>
            <w:r>
              <w:rPr>
                <w:color w:val="000000" w:themeColor="text1"/>
                <w:sz w:val="24"/>
                <w:szCs w:val="24"/>
                <w14:textFill>
                  <w14:solidFill>
                    <w14:schemeClr w14:val="tx1"/>
                  </w14:solidFill>
                </w14:textFill>
              </w:rPr>
              <w:t>，处置方式为委外综合利用。</w:t>
            </w:r>
          </w:p>
          <w:p w14:paraId="13797739">
            <w:pPr>
              <w:pStyle w:val="8"/>
              <w:spacing w:before="0" w:after="0" w:line="480" w:lineRule="exact"/>
              <w:ind w:right="0" w:firstLine="480" w:firstLineChars="200"/>
              <w:rPr>
                <w:color w:val="000000" w:themeColor="text1"/>
                <w:sz w:val="24"/>
                <w:szCs w:val="24"/>
                <w14:textFill>
                  <w14:solidFill>
                    <w14:schemeClr w14:val="tx1"/>
                  </w14:solidFill>
                </w14:textFill>
              </w:rPr>
            </w:pPr>
            <w:bookmarkStart w:id="29" w:name="OLE_LINK28"/>
            <w:r>
              <w:rPr>
                <w:color w:val="000000" w:themeColor="text1"/>
                <w:sz w:val="24"/>
                <w:szCs w:val="24"/>
                <w14:textFill>
                  <w14:solidFill>
                    <w14:schemeClr w14:val="tx1"/>
                  </w14:solidFill>
                </w14:textFill>
              </w:rPr>
              <w:t>目标产物</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实验废物</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菌渣</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废试剂瓶</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废活性炭</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废树脂</w:t>
            </w:r>
            <w:r>
              <w:rPr>
                <w:rFonts w:hint="eastAsia"/>
                <w:color w:val="000000" w:themeColor="text1"/>
                <w:sz w:val="24"/>
                <w:szCs w:val="24"/>
                <w14:textFill>
                  <w14:solidFill>
                    <w14:schemeClr w14:val="tx1"/>
                  </w14:solidFill>
                </w14:textFill>
              </w:rPr>
              <w:t>为危险废物，收集后暂存于危废仓库，</w:t>
            </w:r>
            <w:r>
              <w:rPr>
                <w:color w:val="000000" w:themeColor="text1"/>
                <w:sz w:val="24"/>
                <w:szCs w:val="24"/>
                <w14:textFill>
                  <w14:solidFill>
                    <w14:schemeClr w14:val="tx1"/>
                  </w14:solidFill>
                </w14:textFill>
              </w:rPr>
              <w:t>委托有资质单位处置；实验废液</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乙醇回收废液</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废液</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设备清洗废液</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地面清洗废液</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实验设备废液经收集后，储存于废液储罐内，委托有资质单位处置。</w:t>
            </w:r>
            <w:bookmarkEnd w:id="29"/>
          </w:p>
          <w:p w14:paraId="35DF8A44">
            <w:pPr>
              <w:spacing w:line="480" w:lineRule="atLeast"/>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生活垃圾由环卫单位处置。</w:t>
            </w:r>
          </w:p>
          <w:p w14:paraId="5BC83442">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（1）一般固废</w:t>
            </w:r>
          </w:p>
          <w:p w14:paraId="2A89B4D9">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本项目设置</w:t>
            </w:r>
            <w:r>
              <w:rPr>
                <w:rFonts w:hint="eastAsia"/>
                <w:color w:val="000000" w:themeColor="text1"/>
                <w:sz w:val="24"/>
                <w:szCs w:val="24"/>
                <w14:textFill>
                  <w14:solidFill>
                    <w14:schemeClr w14:val="tx1"/>
                  </w14:solidFill>
                </w14:textFill>
              </w:rPr>
              <w:t>一般固废仓库</w:t>
            </w:r>
            <w:r>
              <w:rPr>
                <w:color w:val="000000" w:themeColor="text1"/>
                <w:sz w:val="24"/>
                <w:szCs w:val="24"/>
                <w14:textFill>
                  <w14:solidFill>
                    <w14:schemeClr w14:val="tx1"/>
                  </w14:solidFill>
                </w14:textFill>
              </w:rPr>
              <w:t>储存一般固废，占地面积为</w:t>
            </w: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，满足本项目一般固废废包装材料</w:t>
            </w:r>
            <w:r>
              <w:rPr>
                <w:rFonts w:hint="eastAsia"/>
                <w:color w:val="000000" w:themeColor="text1"/>
                <w:sz w:val="24"/>
                <w:szCs w:val="24"/>
                <w14:textFill>
                  <w14:solidFill>
                    <w14:schemeClr w14:val="tx1"/>
                  </w14:solidFill>
                </w14:textFill>
              </w:rPr>
              <w:t>的暂存需求</w:t>
            </w:r>
            <w:r>
              <w:rPr>
                <w:color w:val="000000" w:themeColor="text1"/>
                <w:sz w:val="24"/>
                <w:szCs w:val="24"/>
                <w14:textFill>
                  <w14:solidFill>
                    <w14:schemeClr w14:val="tx1"/>
                  </w14:solidFill>
                </w14:textFill>
              </w:rPr>
              <w:t>。</w:t>
            </w:r>
          </w:p>
          <w:p w14:paraId="7FEBBFBF">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（2）危险固废</w:t>
            </w:r>
          </w:p>
          <w:p w14:paraId="1227F734">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本项目设置</w:t>
            </w:r>
            <w:r>
              <w:rPr>
                <w:rFonts w:hint="eastAsia"/>
                <w:color w:val="000000" w:themeColor="text1"/>
                <w:sz w:val="24"/>
                <w:szCs w:val="24"/>
                <w14:textFill>
                  <w14:solidFill>
                    <w14:schemeClr w14:val="tx1"/>
                  </w14:solidFill>
                </w14:textFill>
              </w:rPr>
              <w:t>1个</w:t>
            </w:r>
            <w:r>
              <w:rPr>
                <w:color w:val="000000" w:themeColor="text1"/>
                <w:sz w:val="24"/>
                <w:szCs w:val="24"/>
                <w14:textFill>
                  <w14:solidFill>
                    <w14:schemeClr w14:val="tx1"/>
                  </w14:solidFill>
                </w14:textFill>
              </w:rPr>
              <w:t>面积为3.75m</w:t>
            </w:r>
            <w:r>
              <w:rPr>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的危废仓库、1个容积为1</w:t>
            </w:r>
            <w:r>
              <w:rPr>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的</w:t>
            </w:r>
            <w:r>
              <w:rPr>
                <w:color w:val="000000" w:themeColor="text1"/>
                <w:sz w:val="24"/>
                <w:szCs w:val="24"/>
                <w14:textFill>
                  <w14:solidFill>
                    <w14:schemeClr w14:val="tx1"/>
                  </w14:solidFill>
                </w14:textFill>
              </w:rPr>
              <w:t>废液储罐，危险废物贮存场已按照《</w:t>
            </w:r>
            <w:bookmarkStart w:id="30" w:name="OLE_LINK66"/>
            <w:r>
              <w:rPr>
                <w:color w:val="000000" w:themeColor="text1"/>
                <w:sz w:val="24"/>
                <w:szCs w:val="24"/>
                <w14:textFill>
                  <w14:solidFill>
                    <w14:schemeClr w14:val="tx1"/>
                  </w14:solidFill>
                </w14:textFill>
              </w:rPr>
              <w:t>危险废物贮存污染控制标准</w:t>
            </w:r>
            <w:bookmarkEnd w:id="30"/>
            <w:r>
              <w:rPr>
                <w:color w:val="000000" w:themeColor="text1"/>
                <w:sz w:val="24"/>
                <w:szCs w:val="24"/>
                <w14:textFill>
                  <w14:solidFill>
                    <w14:schemeClr w14:val="tx1"/>
                  </w14:solidFill>
                </w14:textFill>
              </w:rPr>
              <w:t>》(GB18597-2023）、省生态环境厅关于做好《危险废物贮存污染控制标准》等标准规范实施后危险废物环境管理衔接工作的通知（苏环办[2023]154号）、省生态环境厅关于印发《江苏省固体废物全过程环境监管工作意见》的通知（苏环办[2024]16号）、《市生态环境局关于开展全市固废危废环境隐患排查暨贮存规范化管理专项整治行动的通知》（常环执法〔2019〕40号）进行设置，具有防风、防雨、防晒和防治危险废物流失、扬散的措施，各类危险废物均置于包装容器或包装袋中，各类危险废物及时清运。</w:t>
            </w:r>
          </w:p>
          <w:p w14:paraId="22434043">
            <w:pPr>
              <w:pStyle w:val="8"/>
              <w:spacing w:before="0" w:after="0" w:line="480" w:lineRule="exact"/>
              <w:ind w:right="0" w:firstLine="480" w:firstLineChars="200"/>
              <w:rPr>
                <w:b/>
                <w:bCs/>
                <w:color w:val="000000" w:themeColor="text1"/>
                <w14:textFill>
                  <w14:solidFill>
                    <w14:schemeClr w14:val="tx1"/>
                  </w14:solidFill>
                </w14:textFill>
              </w:rPr>
            </w:pPr>
            <w:r>
              <w:rPr>
                <w:color w:val="000000" w:themeColor="text1"/>
                <w:sz w:val="24"/>
                <w:szCs w:val="24"/>
                <w14:textFill>
                  <w14:solidFill>
                    <w14:schemeClr w14:val="tx1"/>
                  </w14:solidFill>
                </w14:textFill>
              </w:rPr>
              <w:t>考虑到进出口、过道等，有效存储面积按80%计算，则本公司危废</w:t>
            </w:r>
            <w:r>
              <w:rPr>
                <w:rFonts w:hint="eastAsia"/>
                <w:color w:val="000000" w:themeColor="text1"/>
                <w:sz w:val="24"/>
                <w:szCs w:val="24"/>
                <w14:textFill>
                  <w14:solidFill>
                    <w14:schemeClr w14:val="tx1"/>
                  </w14:solidFill>
                </w14:textFill>
              </w:rPr>
              <w:t>仓库</w:t>
            </w:r>
            <w:r>
              <w:rPr>
                <w:color w:val="000000" w:themeColor="text1"/>
                <w:sz w:val="24"/>
                <w:szCs w:val="24"/>
                <w14:textFill>
                  <w14:solidFill>
                    <w14:schemeClr w14:val="tx1"/>
                  </w14:solidFill>
                </w14:textFill>
              </w:rPr>
              <w:t>有效存储面积为3m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，每平方米危废储存量按1t计。本项目建成后产生的固态危废采用袋装/桶装存放，建成后危废的产生量约为0.3</w:t>
            </w:r>
            <w:r>
              <w:rPr>
                <w:rFonts w:hint="eastAsia"/>
                <w:color w:val="000000" w:themeColor="text1"/>
                <w:sz w:val="24"/>
                <w:szCs w:val="24"/>
                <w14:textFill>
                  <w14:solidFill>
                    <w14:schemeClr w14:val="tx1"/>
                  </w14:solidFill>
                </w14:textFill>
              </w:rPr>
              <w:t>68</w:t>
            </w:r>
            <w:r>
              <w:rPr>
                <w:color w:val="000000" w:themeColor="text1"/>
                <w:sz w:val="24"/>
                <w:szCs w:val="24"/>
                <w14:textFill>
                  <w14:solidFill>
                    <w14:schemeClr w14:val="tx1"/>
                  </w14:solidFill>
                </w14:textFill>
              </w:rPr>
              <w:t>t/a，危废每三个月转移一次，最大存储量为0.</w:t>
            </w:r>
            <w:r>
              <w:rPr>
                <w:rFonts w:hint="eastAsia"/>
                <w:color w:val="000000" w:themeColor="text1"/>
                <w:sz w:val="24"/>
                <w:szCs w:val="24"/>
                <w14:textFill>
                  <w14:solidFill>
                    <w14:schemeClr w14:val="tx1"/>
                  </w14:solidFill>
                </w14:textFill>
              </w:rPr>
              <w:t>09</w:t>
            </w:r>
            <w:r>
              <w:rPr>
                <w:color w:val="000000" w:themeColor="text1"/>
                <w:sz w:val="24"/>
                <w:szCs w:val="24"/>
                <w14:textFill>
                  <w14:solidFill>
                    <w14:schemeClr w14:val="tx1"/>
                  </w14:solidFill>
                </w14:textFill>
              </w:rPr>
              <w:t>t，则</w:t>
            </w:r>
            <w:r>
              <w:rPr>
                <w:rFonts w:hint="eastAsia"/>
                <w:color w:val="000000" w:themeColor="text1"/>
                <w:sz w:val="24"/>
                <w:szCs w:val="24"/>
                <w14:textFill>
                  <w14:solidFill>
                    <w14:schemeClr w14:val="tx1"/>
                  </w14:solidFill>
                </w14:textFill>
              </w:rPr>
              <w:t>危废</w:t>
            </w:r>
            <w:r>
              <w:rPr>
                <w:color w:val="000000" w:themeColor="text1"/>
                <w:sz w:val="24"/>
                <w:szCs w:val="24"/>
                <w14:textFill>
                  <w14:solidFill>
                    <w14:schemeClr w14:val="tx1"/>
                  </w14:solidFill>
                </w14:textFill>
              </w:rPr>
              <w:t>仓库容积能够满足企业固态危废的暂存需求；</w:t>
            </w:r>
            <w:r>
              <w:rPr>
                <w:rFonts w:hint="eastAsia"/>
                <w:color w:val="000000" w:themeColor="text1"/>
                <w:sz w:val="24"/>
                <w:szCs w:val="24"/>
                <w14:textFill>
                  <w14:solidFill>
                    <w14:schemeClr w14:val="tx1"/>
                  </w14:solidFill>
                </w14:textFill>
              </w:rPr>
              <w:t>液态危废</w:t>
            </w:r>
            <w:r>
              <w:rPr>
                <w:color w:val="000000" w:themeColor="text1"/>
                <w:sz w:val="24"/>
                <w:szCs w:val="24"/>
                <w14:textFill>
                  <w14:solidFill>
                    <w14:schemeClr w14:val="tx1"/>
                  </w14:solidFill>
                </w14:textFill>
              </w:rPr>
              <w:t>收集至</w:t>
            </w:r>
            <w:r>
              <w:rPr>
                <w:rFonts w:hint="eastAsia"/>
                <w:color w:val="000000" w:themeColor="text1"/>
                <w:sz w:val="24"/>
                <w:szCs w:val="24"/>
                <w14:textFill>
                  <w14:solidFill>
                    <w14:schemeClr w14:val="tx1"/>
                  </w14:solidFill>
                </w14:textFill>
              </w:rPr>
              <w:t>废液储罐内</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储罐容积</w:t>
            </w:r>
            <w:r>
              <w:rPr>
                <w:color w:val="000000" w:themeColor="text1"/>
                <w:sz w:val="24"/>
                <w:szCs w:val="24"/>
                <w14:textFill>
                  <w14:solidFill>
                    <w14:schemeClr w14:val="tx1"/>
                  </w14:solidFill>
                </w14:textFill>
              </w:rPr>
              <w:t>为1m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，废液每月运一次，最大储存量为0.</w:t>
            </w:r>
            <w:r>
              <w:rPr>
                <w:rFonts w:hint="eastAsia"/>
                <w:color w:val="000000" w:themeColor="text1"/>
                <w:sz w:val="24"/>
                <w:szCs w:val="24"/>
                <w14:textFill>
                  <w14:solidFill>
                    <w14:schemeClr w14:val="tx1"/>
                  </w14:solidFill>
                </w14:textFill>
              </w:rPr>
              <w:t>78</w:t>
            </w:r>
            <w:r>
              <w:rPr>
                <w:color w:val="000000" w:themeColor="text1"/>
                <w:sz w:val="24"/>
                <w:szCs w:val="24"/>
                <w14:textFill>
                  <w14:solidFill>
                    <w14:schemeClr w14:val="tx1"/>
                  </w14:solidFill>
                </w14:textFill>
              </w:rPr>
              <w:t>t，</w:t>
            </w:r>
            <w:r>
              <w:rPr>
                <w:rFonts w:hint="eastAsia"/>
                <w:color w:val="000000" w:themeColor="text1"/>
                <w:sz w:val="24"/>
                <w:szCs w:val="24"/>
                <w14:textFill>
                  <w14:solidFill>
                    <w14:schemeClr w14:val="tx1"/>
                  </w14:solidFill>
                </w14:textFill>
              </w:rPr>
              <w:t>废液储罐</w:t>
            </w:r>
            <w:r>
              <w:rPr>
                <w:color w:val="000000" w:themeColor="text1"/>
                <w:sz w:val="24"/>
                <w:szCs w:val="24"/>
                <w14:textFill>
                  <w14:solidFill>
                    <w14:schemeClr w14:val="tx1"/>
                  </w14:solidFill>
                </w14:textFill>
              </w:rPr>
              <w:t>能够满足</w:t>
            </w:r>
            <w:r>
              <w:rPr>
                <w:rFonts w:hint="eastAsia"/>
                <w:color w:val="000000" w:themeColor="text1"/>
                <w:sz w:val="24"/>
                <w:szCs w:val="24"/>
                <w14:textFill>
                  <w14:solidFill>
                    <w14:schemeClr w14:val="tx1"/>
                  </w14:solidFill>
                </w14:textFill>
              </w:rPr>
              <w:t>企业液态危废的</w:t>
            </w:r>
            <w:r>
              <w:rPr>
                <w:color w:val="000000" w:themeColor="text1"/>
                <w:sz w:val="24"/>
                <w:szCs w:val="24"/>
                <w14:textFill>
                  <w14:solidFill>
                    <w14:schemeClr w14:val="tx1"/>
                  </w14:solidFill>
                </w14:textFill>
              </w:rPr>
              <w:t>暂存需求。</w:t>
            </w:r>
          </w:p>
          <w:p w14:paraId="090510ED">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表4-</w:t>
            </w:r>
            <w:r>
              <w:rPr>
                <w:rFonts w:hint="eastAsia"/>
                <w:b/>
                <w:bCs/>
                <w:color w:val="000000" w:themeColor="text1"/>
                <w14:textFill>
                  <w14:solidFill>
                    <w14:schemeClr w14:val="tx1"/>
                  </w14:solidFill>
                </w14:textFill>
              </w:rPr>
              <w:t>17</w:t>
            </w:r>
            <w:r>
              <w:rPr>
                <w:b/>
                <w:bCs/>
                <w:color w:val="000000" w:themeColor="text1"/>
                <w14:textFill>
                  <w14:solidFill>
                    <w14:schemeClr w14:val="tx1"/>
                  </w14:solidFill>
                </w14:textFill>
              </w:rPr>
              <w:t xml:space="preserve"> 废物贮存场所基本情况表</w:t>
            </w:r>
          </w:p>
          <w:tbl>
            <w:tblPr>
              <w:tblStyle w:val="2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675"/>
              <w:gridCol w:w="1150"/>
              <w:gridCol w:w="1539"/>
              <w:gridCol w:w="1226"/>
              <w:gridCol w:w="1310"/>
              <w:gridCol w:w="1310"/>
            </w:tblGrid>
            <w:tr w14:paraId="2188A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tcBorders>
                    <w:tl2br w:val="nil"/>
                    <w:tr2bl w:val="nil"/>
                  </w:tcBorders>
                  <w:vAlign w:val="center"/>
                </w:tcPr>
                <w:p w14:paraId="22670B9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贮存场所名称</w:t>
                  </w:r>
                </w:p>
              </w:tc>
              <w:tc>
                <w:tcPr>
                  <w:tcW w:w="897" w:type="pct"/>
                  <w:tcBorders>
                    <w:tl2br w:val="nil"/>
                    <w:tr2bl w:val="nil"/>
                  </w:tcBorders>
                  <w:vAlign w:val="center"/>
                </w:tcPr>
                <w:p w14:paraId="66359D1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616" w:type="pct"/>
                  <w:tcBorders>
                    <w:tl2br w:val="nil"/>
                    <w:tr2bl w:val="nil"/>
                  </w:tcBorders>
                  <w:vAlign w:val="center"/>
                </w:tcPr>
                <w:p w14:paraId="31D85C6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废物类别</w:t>
                  </w:r>
                </w:p>
              </w:tc>
              <w:tc>
                <w:tcPr>
                  <w:tcW w:w="824" w:type="pct"/>
                  <w:tcBorders>
                    <w:tl2br w:val="nil"/>
                    <w:tr2bl w:val="nil"/>
                  </w:tcBorders>
                  <w:vAlign w:val="center"/>
                </w:tcPr>
                <w:p w14:paraId="545D246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废物代码</w:t>
                  </w:r>
                </w:p>
              </w:tc>
              <w:tc>
                <w:tcPr>
                  <w:tcW w:w="657" w:type="pct"/>
                  <w:tcBorders>
                    <w:tl2br w:val="nil"/>
                    <w:tr2bl w:val="nil"/>
                  </w:tcBorders>
                  <w:vAlign w:val="center"/>
                </w:tcPr>
                <w:p w14:paraId="144B10A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占地面积（m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p>
              </w:tc>
              <w:tc>
                <w:tcPr>
                  <w:tcW w:w="702" w:type="pct"/>
                  <w:tcBorders>
                    <w:tl2br w:val="nil"/>
                    <w:tr2bl w:val="nil"/>
                  </w:tcBorders>
                  <w:vAlign w:val="center"/>
                </w:tcPr>
                <w:p w14:paraId="1ECA090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储存方式</w:t>
                  </w:r>
                </w:p>
              </w:tc>
              <w:tc>
                <w:tcPr>
                  <w:tcW w:w="702" w:type="pct"/>
                  <w:tcBorders>
                    <w:tl2br w:val="nil"/>
                    <w:tr2bl w:val="nil"/>
                  </w:tcBorders>
                  <w:vAlign w:val="center"/>
                </w:tcPr>
                <w:p w14:paraId="47C9BDF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储存周期</w:t>
                  </w:r>
                </w:p>
              </w:tc>
            </w:tr>
            <w:tr w14:paraId="67D7D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99" w:type="pct"/>
                  <w:vMerge w:val="restart"/>
                  <w:tcBorders>
                    <w:tl2br w:val="nil"/>
                    <w:tr2bl w:val="nil"/>
                  </w:tcBorders>
                  <w:vAlign w:val="center"/>
                </w:tcPr>
                <w:p w14:paraId="11EE08F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危废仓库</w:t>
                  </w:r>
                </w:p>
              </w:tc>
              <w:tc>
                <w:tcPr>
                  <w:tcW w:w="897" w:type="pct"/>
                  <w:tcBorders>
                    <w:tl2br w:val="nil"/>
                    <w:tr2bl w:val="nil"/>
                  </w:tcBorders>
                  <w:vAlign w:val="center"/>
                </w:tcPr>
                <w:p w14:paraId="73DA711F">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目标产物</w:t>
                  </w:r>
                </w:p>
              </w:tc>
              <w:tc>
                <w:tcPr>
                  <w:tcW w:w="616" w:type="pct"/>
                  <w:tcBorders>
                    <w:tl2br w:val="nil"/>
                    <w:tr2bl w:val="nil"/>
                  </w:tcBorders>
                  <w:vAlign w:val="center"/>
                </w:tcPr>
                <w:p w14:paraId="1E32B577">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HW49</w:t>
                  </w:r>
                </w:p>
              </w:tc>
              <w:tc>
                <w:tcPr>
                  <w:tcW w:w="824" w:type="pct"/>
                  <w:tcBorders>
                    <w:tl2br w:val="nil"/>
                    <w:tr2bl w:val="nil"/>
                  </w:tcBorders>
                  <w:vAlign w:val="center"/>
                </w:tcPr>
                <w:p w14:paraId="1A684BCF">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900-047-49</w:t>
                  </w:r>
                </w:p>
              </w:tc>
              <w:tc>
                <w:tcPr>
                  <w:tcW w:w="657" w:type="pct"/>
                  <w:vMerge w:val="restart"/>
                  <w:tcBorders>
                    <w:tl2br w:val="nil"/>
                    <w:tr2bl w:val="nil"/>
                  </w:tcBorders>
                  <w:vAlign w:val="center"/>
                </w:tcPr>
                <w:p w14:paraId="2E4E3C0B">
                  <w:pPr>
                    <w:jc w:val="center"/>
                    <w:rPr>
                      <w:rFonts w:hint="default" w:ascii="Times New Roman" w:hAnsi="Times New Roman" w:eastAsia="宋体" w:cs="Times New Roman"/>
                      <w:color w:val="FF0000"/>
                      <w:kern w:val="2"/>
                      <w:sz w:val="21"/>
                      <w:szCs w:val="21"/>
                      <w:lang w:val="en-US" w:eastAsia="zh-CN" w:bidi="ar-SA"/>
                    </w:rPr>
                  </w:pPr>
                  <w:r>
                    <w:rPr>
                      <w:color w:val="000000" w:themeColor="text1"/>
                      <w:szCs w:val="21"/>
                      <w14:textFill>
                        <w14:solidFill>
                          <w14:schemeClr w14:val="tx1"/>
                        </w14:solidFill>
                      </w14:textFill>
                    </w:rPr>
                    <w:t>3.75</w:t>
                  </w:r>
                </w:p>
              </w:tc>
              <w:tc>
                <w:tcPr>
                  <w:tcW w:w="702" w:type="pct"/>
                  <w:tcBorders>
                    <w:tl2br w:val="nil"/>
                    <w:tr2bl w:val="nil"/>
                  </w:tcBorders>
                  <w:vAlign w:val="center"/>
                </w:tcPr>
                <w:p w14:paraId="26DFA1ED">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袋装封口</w:t>
                  </w:r>
                </w:p>
              </w:tc>
              <w:tc>
                <w:tcPr>
                  <w:tcW w:w="702" w:type="pct"/>
                  <w:vMerge w:val="restart"/>
                  <w:tcBorders>
                    <w:tl2br w:val="nil"/>
                    <w:tr2bl w:val="nil"/>
                  </w:tcBorders>
                  <w:vAlign w:val="center"/>
                </w:tcPr>
                <w:p w14:paraId="6C53D9C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不超过90天</w:t>
                  </w:r>
                </w:p>
              </w:tc>
            </w:tr>
            <w:tr w14:paraId="212E4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99" w:type="pct"/>
                  <w:vMerge w:val="continue"/>
                  <w:tcBorders>
                    <w:tl2br w:val="nil"/>
                    <w:tr2bl w:val="nil"/>
                  </w:tcBorders>
                  <w:vAlign w:val="center"/>
                </w:tcPr>
                <w:p w14:paraId="5F3E6F06">
                  <w:pPr>
                    <w:jc w:val="center"/>
                    <w:rPr>
                      <w:color w:val="000000" w:themeColor="text1"/>
                      <w:szCs w:val="21"/>
                      <w14:textFill>
                        <w14:solidFill>
                          <w14:schemeClr w14:val="tx1"/>
                        </w14:solidFill>
                      </w14:textFill>
                    </w:rPr>
                  </w:pPr>
                </w:p>
              </w:tc>
              <w:tc>
                <w:tcPr>
                  <w:tcW w:w="897" w:type="pct"/>
                  <w:tcBorders>
                    <w:tl2br w:val="nil"/>
                    <w:tr2bl w:val="nil"/>
                  </w:tcBorders>
                  <w:vAlign w:val="center"/>
                </w:tcPr>
                <w:p w14:paraId="79362F1D">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实验废物</w:t>
                  </w:r>
                </w:p>
              </w:tc>
              <w:tc>
                <w:tcPr>
                  <w:tcW w:w="616" w:type="pct"/>
                  <w:tcBorders>
                    <w:tl2br w:val="nil"/>
                    <w:tr2bl w:val="nil"/>
                  </w:tcBorders>
                  <w:vAlign w:val="center"/>
                </w:tcPr>
                <w:p w14:paraId="2EBA67FE">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HW49</w:t>
                  </w:r>
                </w:p>
              </w:tc>
              <w:tc>
                <w:tcPr>
                  <w:tcW w:w="824" w:type="pct"/>
                  <w:tcBorders>
                    <w:tl2br w:val="nil"/>
                    <w:tr2bl w:val="nil"/>
                  </w:tcBorders>
                  <w:vAlign w:val="center"/>
                </w:tcPr>
                <w:p w14:paraId="403449E0">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900-047-49</w:t>
                  </w:r>
                </w:p>
              </w:tc>
              <w:tc>
                <w:tcPr>
                  <w:tcW w:w="657" w:type="pct"/>
                  <w:vMerge w:val="continue"/>
                  <w:tcBorders>
                    <w:tl2br w:val="nil"/>
                    <w:tr2bl w:val="nil"/>
                  </w:tcBorders>
                  <w:vAlign w:val="center"/>
                </w:tcPr>
                <w:p w14:paraId="3102DE9B">
                  <w:pPr>
                    <w:jc w:val="center"/>
                    <w:rPr>
                      <w:color w:val="000000" w:themeColor="text1"/>
                      <w:szCs w:val="21"/>
                      <w14:textFill>
                        <w14:solidFill>
                          <w14:schemeClr w14:val="tx1"/>
                        </w14:solidFill>
                      </w14:textFill>
                    </w:rPr>
                  </w:pPr>
                </w:p>
              </w:tc>
              <w:tc>
                <w:tcPr>
                  <w:tcW w:w="702" w:type="pct"/>
                  <w:tcBorders>
                    <w:tl2br w:val="nil"/>
                    <w:tr2bl w:val="nil"/>
                  </w:tcBorders>
                  <w:vAlign w:val="center"/>
                </w:tcPr>
                <w:p w14:paraId="5622BE0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袋装封口</w:t>
                  </w:r>
                </w:p>
              </w:tc>
              <w:tc>
                <w:tcPr>
                  <w:tcW w:w="702" w:type="pct"/>
                  <w:vMerge w:val="continue"/>
                  <w:tcBorders>
                    <w:tl2br w:val="nil"/>
                    <w:tr2bl w:val="nil"/>
                  </w:tcBorders>
                  <w:vAlign w:val="center"/>
                </w:tcPr>
                <w:p w14:paraId="0DE18EC1">
                  <w:pPr>
                    <w:jc w:val="center"/>
                    <w:rPr>
                      <w:color w:val="000000" w:themeColor="text1"/>
                      <w:szCs w:val="21"/>
                      <w14:textFill>
                        <w14:solidFill>
                          <w14:schemeClr w14:val="tx1"/>
                        </w14:solidFill>
                      </w14:textFill>
                    </w:rPr>
                  </w:pPr>
                </w:p>
              </w:tc>
            </w:tr>
            <w:tr w14:paraId="51DE1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99" w:type="pct"/>
                  <w:vMerge w:val="continue"/>
                  <w:tcBorders>
                    <w:tl2br w:val="nil"/>
                    <w:tr2bl w:val="nil"/>
                  </w:tcBorders>
                  <w:vAlign w:val="center"/>
                </w:tcPr>
                <w:p w14:paraId="071AD8E4">
                  <w:pPr>
                    <w:jc w:val="center"/>
                    <w:rPr>
                      <w:color w:val="000000" w:themeColor="text1"/>
                      <w:szCs w:val="21"/>
                      <w14:textFill>
                        <w14:solidFill>
                          <w14:schemeClr w14:val="tx1"/>
                        </w14:solidFill>
                      </w14:textFill>
                    </w:rPr>
                  </w:pPr>
                </w:p>
              </w:tc>
              <w:tc>
                <w:tcPr>
                  <w:tcW w:w="897" w:type="pct"/>
                  <w:tcBorders>
                    <w:tl2br w:val="nil"/>
                    <w:tr2bl w:val="nil"/>
                  </w:tcBorders>
                  <w:vAlign w:val="center"/>
                </w:tcPr>
                <w:p w14:paraId="2BFF50E9">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菌渣</w:t>
                  </w:r>
                </w:p>
              </w:tc>
              <w:tc>
                <w:tcPr>
                  <w:tcW w:w="616" w:type="pct"/>
                  <w:tcBorders>
                    <w:tl2br w:val="nil"/>
                    <w:tr2bl w:val="nil"/>
                  </w:tcBorders>
                  <w:vAlign w:val="center"/>
                </w:tcPr>
                <w:p w14:paraId="7CCFC951">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HW49</w:t>
                  </w:r>
                </w:p>
              </w:tc>
              <w:tc>
                <w:tcPr>
                  <w:tcW w:w="824" w:type="pct"/>
                  <w:tcBorders>
                    <w:tl2br w:val="nil"/>
                    <w:tr2bl w:val="nil"/>
                  </w:tcBorders>
                  <w:vAlign w:val="center"/>
                </w:tcPr>
                <w:p w14:paraId="4A6B1DFD">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900-047-49</w:t>
                  </w:r>
                </w:p>
              </w:tc>
              <w:tc>
                <w:tcPr>
                  <w:tcW w:w="657" w:type="pct"/>
                  <w:vMerge w:val="continue"/>
                  <w:tcBorders>
                    <w:tl2br w:val="nil"/>
                    <w:tr2bl w:val="nil"/>
                  </w:tcBorders>
                  <w:vAlign w:val="center"/>
                </w:tcPr>
                <w:p w14:paraId="0A6A4C9A">
                  <w:pPr>
                    <w:jc w:val="center"/>
                    <w:rPr>
                      <w:color w:val="000000" w:themeColor="text1"/>
                      <w:szCs w:val="21"/>
                      <w14:textFill>
                        <w14:solidFill>
                          <w14:schemeClr w14:val="tx1"/>
                        </w14:solidFill>
                      </w14:textFill>
                    </w:rPr>
                  </w:pPr>
                </w:p>
              </w:tc>
              <w:tc>
                <w:tcPr>
                  <w:tcW w:w="702" w:type="pct"/>
                  <w:tcBorders>
                    <w:tl2br w:val="nil"/>
                    <w:tr2bl w:val="nil"/>
                  </w:tcBorders>
                  <w:vAlign w:val="center"/>
                </w:tcPr>
                <w:p w14:paraId="2B0973AF">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桶装封口</w:t>
                  </w:r>
                </w:p>
              </w:tc>
              <w:tc>
                <w:tcPr>
                  <w:tcW w:w="702" w:type="pct"/>
                  <w:vMerge w:val="continue"/>
                  <w:tcBorders>
                    <w:tl2br w:val="nil"/>
                    <w:tr2bl w:val="nil"/>
                  </w:tcBorders>
                  <w:vAlign w:val="center"/>
                </w:tcPr>
                <w:p w14:paraId="24A7BBD8">
                  <w:pPr>
                    <w:jc w:val="center"/>
                    <w:rPr>
                      <w:color w:val="000000" w:themeColor="text1"/>
                      <w:szCs w:val="21"/>
                      <w14:textFill>
                        <w14:solidFill>
                          <w14:schemeClr w14:val="tx1"/>
                        </w14:solidFill>
                      </w14:textFill>
                    </w:rPr>
                  </w:pPr>
                </w:p>
              </w:tc>
            </w:tr>
            <w:tr w14:paraId="6D703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99" w:type="pct"/>
                  <w:vMerge w:val="continue"/>
                  <w:tcBorders>
                    <w:tl2br w:val="nil"/>
                    <w:tr2bl w:val="nil"/>
                  </w:tcBorders>
                  <w:vAlign w:val="center"/>
                </w:tcPr>
                <w:p w14:paraId="50BC88B6">
                  <w:pPr>
                    <w:jc w:val="center"/>
                    <w:rPr>
                      <w:color w:val="000000" w:themeColor="text1"/>
                      <w14:textFill>
                        <w14:solidFill>
                          <w14:schemeClr w14:val="tx1"/>
                        </w14:solidFill>
                      </w14:textFill>
                    </w:rPr>
                  </w:pPr>
                </w:p>
              </w:tc>
              <w:tc>
                <w:tcPr>
                  <w:tcW w:w="897" w:type="pct"/>
                  <w:tcBorders>
                    <w:tl2br w:val="nil"/>
                    <w:tr2bl w:val="nil"/>
                  </w:tcBorders>
                  <w:vAlign w:val="center"/>
                </w:tcPr>
                <w:p w14:paraId="6BD57CF0">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废试剂瓶</w:t>
                  </w:r>
                </w:p>
              </w:tc>
              <w:tc>
                <w:tcPr>
                  <w:tcW w:w="616" w:type="pct"/>
                  <w:tcBorders>
                    <w:tl2br w:val="nil"/>
                    <w:tr2bl w:val="nil"/>
                  </w:tcBorders>
                  <w:vAlign w:val="center"/>
                </w:tcPr>
                <w:p w14:paraId="782706AF">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HW49</w:t>
                  </w:r>
                </w:p>
              </w:tc>
              <w:tc>
                <w:tcPr>
                  <w:tcW w:w="824" w:type="pct"/>
                  <w:tcBorders>
                    <w:tl2br w:val="nil"/>
                    <w:tr2bl w:val="nil"/>
                  </w:tcBorders>
                  <w:vAlign w:val="center"/>
                </w:tcPr>
                <w:p w14:paraId="0C385F63">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900-041-49</w:t>
                  </w:r>
                </w:p>
              </w:tc>
              <w:tc>
                <w:tcPr>
                  <w:tcW w:w="657" w:type="pct"/>
                  <w:vMerge w:val="continue"/>
                  <w:tcBorders>
                    <w:tl2br w:val="nil"/>
                    <w:tr2bl w:val="nil"/>
                  </w:tcBorders>
                  <w:vAlign w:val="center"/>
                </w:tcPr>
                <w:p w14:paraId="69B01D86">
                  <w:pPr>
                    <w:jc w:val="center"/>
                    <w:rPr>
                      <w:color w:val="000000" w:themeColor="text1"/>
                      <w:szCs w:val="21"/>
                      <w14:textFill>
                        <w14:solidFill>
                          <w14:schemeClr w14:val="tx1"/>
                        </w14:solidFill>
                      </w14:textFill>
                    </w:rPr>
                  </w:pPr>
                </w:p>
              </w:tc>
              <w:tc>
                <w:tcPr>
                  <w:tcW w:w="702" w:type="pct"/>
                  <w:tcBorders>
                    <w:tl2br w:val="nil"/>
                    <w:tr2bl w:val="nil"/>
                  </w:tcBorders>
                  <w:vAlign w:val="center"/>
                </w:tcPr>
                <w:p w14:paraId="24697F3D">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袋装封口</w:t>
                  </w:r>
                </w:p>
              </w:tc>
              <w:tc>
                <w:tcPr>
                  <w:tcW w:w="702" w:type="pct"/>
                  <w:vMerge w:val="continue"/>
                  <w:tcBorders>
                    <w:tl2br w:val="nil"/>
                    <w:tr2bl w:val="nil"/>
                  </w:tcBorders>
                  <w:vAlign w:val="center"/>
                </w:tcPr>
                <w:p w14:paraId="7E430DAA">
                  <w:pPr>
                    <w:jc w:val="center"/>
                    <w:rPr>
                      <w:color w:val="000000" w:themeColor="text1"/>
                      <w:szCs w:val="21"/>
                      <w14:textFill>
                        <w14:solidFill>
                          <w14:schemeClr w14:val="tx1"/>
                        </w14:solidFill>
                      </w14:textFill>
                    </w:rPr>
                  </w:pPr>
                </w:p>
              </w:tc>
            </w:tr>
            <w:tr w14:paraId="330E1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99" w:type="pct"/>
                  <w:vMerge w:val="continue"/>
                  <w:tcBorders>
                    <w:tl2br w:val="nil"/>
                    <w:tr2bl w:val="nil"/>
                  </w:tcBorders>
                  <w:vAlign w:val="center"/>
                </w:tcPr>
                <w:p w14:paraId="03EFBE16">
                  <w:pPr>
                    <w:jc w:val="center"/>
                    <w:rPr>
                      <w:color w:val="000000" w:themeColor="text1"/>
                      <w:szCs w:val="21"/>
                      <w14:textFill>
                        <w14:solidFill>
                          <w14:schemeClr w14:val="tx1"/>
                        </w14:solidFill>
                      </w14:textFill>
                    </w:rPr>
                  </w:pPr>
                </w:p>
              </w:tc>
              <w:tc>
                <w:tcPr>
                  <w:tcW w:w="897" w:type="pct"/>
                  <w:tcBorders>
                    <w:tl2br w:val="nil"/>
                    <w:tr2bl w:val="nil"/>
                  </w:tcBorders>
                  <w:vAlign w:val="center"/>
                </w:tcPr>
                <w:p w14:paraId="1F5C0C5D">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废活性炭</w:t>
                  </w:r>
                </w:p>
              </w:tc>
              <w:tc>
                <w:tcPr>
                  <w:tcW w:w="616" w:type="pct"/>
                  <w:tcBorders>
                    <w:tl2br w:val="nil"/>
                    <w:tr2bl w:val="nil"/>
                  </w:tcBorders>
                  <w:vAlign w:val="center"/>
                </w:tcPr>
                <w:p w14:paraId="2953125F">
                  <w:pPr>
                    <w:widowControl/>
                    <w:jc w:val="center"/>
                    <w:textAlignment w:val="center"/>
                    <w:rPr>
                      <w:color w:val="000000" w:themeColor="text1"/>
                      <w:szCs w:val="21"/>
                      <w14:textFill>
                        <w14:solidFill>
                          <w14:schemeClr w14:val="tx1"/>
                        </w14:solidFill>
                      </w14:textFill>
                    </w:rPr>
                  </w:pPr>
                  <w:r>
                    <w:rPr>
                      <w:color w:val="000000" w:themeColor="text1"/>
                      <w:kern w:val="0"/>
                      <w:sz w:val="20"/>
                      <w:szCs w:val="20"/>
                      <w:lang w:bidi="ar"/>
                      <w14:textFill>
                        <w14:solidFill>
                          <w14:schemeClr w14:val="tx1"/>
                        </w14:solidFill>
                      </w14:textFill>
                    </w:rPr>
                    <w:t>HW49</w:t>
                  </w:r>
                </w:p>
              </w:tc>
              <w:tc>
                <w:tcPr>
                  <w:tcW w:w="824" w:type="pct"/>
                  <w:tcBorders>
                    <w:tl2br w:val="nil"/>
                    <w:tr2bl w:val="nil"/>
                  </w:tcBorders>
                  <w:vAlign w:val="center"/>
                </w:tcPr>
                <w:p w14:paraId="72F47E08">
                  <w:pPr>
                    <w:widowControl/>
                    <w:jc w:val="center"/>
                    <w:textAlignment w:val="center"/>
                    <w:rPr>
                      <w:color w:val="000000" w:themeColor="text1"/>
                      <w:szCs w:val="21"/>
                      <w14:textFill>
                        <w14:solidFill>
                          <w14:schemeClr w14:val="tx1"/>
                        </w14:solidFill>
                      </w14:textFill>
                    </w:rPr>
                  </w:pPr>
                  <w:r>
                    <w:rPr>
                      <w:color w:val="000000" w:themeColor="text1"/>
                      <w:kern w:val="0"/>
                      <w:sz w:val="20"/>
                      <w:szCs w:val="20"/>
                      <w:lang w:bidi="ar"/>
                      <w14:textFill>
                        <w14:solidFill>
                          <w14:schemeClr w14:val="tx1"/>
                        </w14:solidFill>
                      </w14:textFill>
                    </w:rPr>
                    <w:t>900-039-49</w:t>
                  </w:r>
                </w:p>
              </w:tc>
              <w:tc>
                <w:tcPr>
                  <w:tcW w:w="657" w:type="pct"/>
                  <w:vMerge w:val="continue"/>
                  <w:tcBorders>
                    <w:tl2br w:val="nil"/>
                    <w:tr2bl w:val="nil"/>
                  </w:tcBorders>
                  <w:vAlign w:val="center"/>
                </w:tcPr>
                <w:p w14:paraId="2893E99A">
                  <w:pPr>
                    <w:jc w:val="center"/>
                    <w:rPr>
                      <w:color w:val="000000" w:themeColor="text1"/>
                      <w:szCs w:val="21"/>
                      <w14:textFill>
                        <w14:solidFill>
                          <w14:schemeClr w14:val="tx1"/>
                        </w14:solidFill>
                      </w14:textFill>
                    </w:rPr>
                  </w:pPr>
                </w:p>
              </w:tc>
              <w:tc>
                <w:tcPr>
                  <w:tcW w:w="702" w:type="pct"/>
                  <w:tcBorders>
                    <w:tl2br w:val="nil"/>
                    <w:tr2bl w:val="nil"/>
                  </w:tcBorders>
                  <w:vAlign w:val="center"/>
                </w:tcPr>
                <w:p w14:paraId="4D75739D">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袋装封口</w:t>
                  </w:r>
                </w:p>
              </w:tc>
              <w:tc>
                <w:tcPr>
                  <w:tcW w:w="702" w:type="pct"/>
                  <w:vMerge w:val="continue"/>
                  <w:tcBorders>
                    <w:tl2br w:val="nil"/>
                    <w:tr2bl w:val="nil"/>
                  </w:tcBorders>
                  <w:vAlign w:val="center"/>
                </w:tcPr>
                <w:p w14:paraId="2DE1307E">
                  <w:pPr>
                    <w:jc w:val="center"/>
                    <w:rPr>
                      <w:color w:val="000000" w:themeColor="text1"/>
                      <w:szCs w:val="21"/>
                      <w14:textFill>
                        <w14:solidFill>
                          <w14:schemeClr w14:val="tx1"/>
                        </w14:solidFill>
                      </w14:textFill>
                    </w:rPr>
                  </w:pPr>
                </w:p>
              </w:tc>
            </w:tr>
            <w:tr w14:paraId="68A8D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99" w:type="pct"/>
                  <w:vMerge w:val="continue"/>
                  <w:tcBorders>
                    <w:tl2br w:val="nil"/>
                    <w:tr2bl w:val="nil"/>
                  </w:tcBorders>
                  <w:vAlign w:val="center"/>
                </w:tcPr>
                <w:p w14:paraId="06CE7068">
                  <w:pPr>
                    <w:jc w:val="center"/>
                    <w:rPr>
                      <w:color w:val="000000" w:themeColor="text1"/>
                      <w:szCs w:val="21"/>
                      <w14:textFill>
                        <w14:solidFill>
                          <w14:schemeClr w14:val="tx1"/>
                        </w14:solidFill>
                      </w14:textFill>
                    </w:rPr>
                  </w:pPr>
                </w:p>
              </w:tc>
              <w:tc>
                <w:tcPr>
                  <w:tcW w:w="897" w:type="pct"/>
                  <w:tcBorders>
                    <w:tl2br w:val="nil"/>
                    <w:tr2bl w:val="nil"/>
                  </w:tcBorders>
                  <w:vAlign w:val="center"/>
                </w:tcPr>
                <w:p w14:paraId="4DA3B6FA">
                  <w:pPr>
                    <w:widowControl/>
                    <w:jc w:val="center"/>
                    <w:textAlignment w:val="center"/>
                    <w:rPr>
                      <w:rFonts w:hint="eastAsia" w:ascii="宋体" w:hAnsi="宋体" w:eastAsia="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废树脂</w:t>
                  </w:r>
                </w:p>
              </w:tc>
              <w:tc>
                <w:tcPr>
                  <w:tcW w:w="616" w:type="pct"/>
                  <w:tcBorders>
                    <w:tl2br w:val="nil"/>
                    <w:tr2bl w:val="nil"/>
                  </w:tcBorders>
                  <w:shd w:val="clear" w:color="auto" w:fill="auto"/>
                  <w:vAlign w:val="center"/>
                </w:tcPr>
                <w:p w14:paraId="039205F6">
                  <w:pPr>
                    <w:autoSpaceDE w:val="0"/>
                    <w:autoSpaceDN w:val="0"/>
                    <w:adjustRightInd w:val="0"/>
                    <w:spacing w:line="300" w:lineRule="exact"/>
                    <w:jc w:val="center"/>
                    <w:rPr>
                      <w:rFonts w:hint="default"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HW13</w:t>
                  </w:r>
                </w:p>
              </w:tc>
              <w:tc>
                <w:tcPr>
                  <w:tcW w:w="824" w:type="pct"/>
                  <w:tcBorders>
                    <w:tl2br w:val="nil"/>
                    <w:tr2bl w:val="nil"/>
                  </w:tcBorders>
                  <w:shd w:val="clear" w:color="auto" w:fill="auto"/>
                  <w:vAlign w:val="center"/>
                </w:tcPr>
                <w:p w14:paraId="666995EA">
                  <w:pPr>
                    <w:jc w:val="center"/>
                    <w:rPr>
                      <w:rFonts w:hint="default"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900-015-13</w:t>
                  </w:r>
                </w:p>
              </w:tc>
              <w:tc>
                <w:tcPr>
                  <w:tcW w:w="657" w:type="pct"/>
                  <w:vMerge w:val="continue"/>
                  <w:tcBorders>
                    <w:tl2br w:val="nil"/>
                    <w:tr2bl w:val="nil"/>
                  </w:tcBorders>
                  <w:shd w:val="clear" w:color="auto" w:fill="auto"/>
                  <w:vAlign w:val="center"/>
                </w:tcPr>
                <w:p w14:paraId="6215C7C9">
                  <w:pPr>
                    <w:jc w:val="center"/>
                    <w:rPr>
                      <w:rFonts w:hint="default" w:ascii="Times New Roman" w:hAnsi="Times New Roman" w:eastAsia="宋体" w:cs="Times New Roman"/>
                      <w:color w:val="FF0000"/>
                      <w:kern w:val="2"/>
                      <w:sz w:val="21"/>
                      <w:szCs w:val="21"/>
                      <w:lang w:val="en-US" w:eastAsia="zh-CN" w:bidi="ar-SA"/>
                    </w:rPr>
                  </w:pPr>
                </w:p>
              </w:tc>
              <w:tc>
                <w:tcPr>
                  <w:tcW w:w="702" w:type="pct"/>
                  <w:tcBorders>
                    <w:tl2br w:val="nil"/>
                    <w:tr2bl w:val="nil"/>
                  </w:tcBorders>
                  <w:vAlign w:val="center"/>
                </w:tcPr>
                <w:p w14:paraId="3A77A7E9">
                  <w:pPr>
                    <w:jc w:val="center"/>
                    <w:rPr>
                      <w:color w:val="000000" w:themeColor="text1"/>
                      <w14:textFill>
                        <w14:solidFill>
                          <w14:schemeClr w14:val="tx1"/>
                        </w14:solidFill>
                      </w14:textFill>
                    </w:rPr>
                  </w:pPr>
                  <w:r>
                    <w:rPr>
                      <w:color w:val="000000" w:themeColor="text1"/>
                      <w14:textFill>
                        <w14:solidFill>
                          <w14:schemeClr w14:val="tx1"/>
                        </w14:solidFill>
                      </w14:textFill>
                    </w:rPr>
                    <w:t>袋装封口</w:t>
                  </w:r>
                </w:p>
              </w:tc>
              <w:tc>
                <w:tcPr>
                  <w:tcW w:w="702" w:type="pct"/>
                  <w:vMerge w:val="continue"/>
                  <w:tcBorders>
                    <w:tl2br w:val="nil"/>
                    <w:tr2bl w:val="nil"/>
                  </w:tcBorders>
                  <w:vAlign w:val="center"/>
                </w:tcPr>
                <w:p w14:paraId="625D273A">
                  <w:pPr>
                    <w:jc w:val="center"/>
                    <w:rPr>
                      <w:color w:val="000000" w:themeColor="text1"/>
                      <w:szCs w:val="21"/>
                      <w14:textFill>
                        <w14:solidFill>
                          <w14:schemeClr w14:val="tx1"/>
                        </w14:solidFill>
                      </w14:textFill>
                    </w:rPr>
                  </w:pPr>
                </w:p>
              </w:tc>
            </w:tr>
            <w:tr w14:paraId="6C5A5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vMerge w:val="restart"/>
                  <w:tcBorders>
                    <w:tl2br w:val="nil"/>
                    <w:tr2bl w:val="nil"/>
                  </w:tcBorders>
                  <w:vAlign w:val="center"/>
                </w:tcPr>
                <w:p w14:paraId="3FCECD2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废液储罐</w:t>
                  </w:r>
                </w:p>
              </w:tc>
              <w:tc>
                <w:tcPr>
                  <w:tcW w:w="897" w:type="pct"/>
                  <w:tcBorders>
                    <w:tl2br w:val="nil"/>
                    <w:tr2bl w:val="nil"/>
                  </w:tcBorders>
                  <w:vAlign w:val="center"/>
                </w:tcPr>
                <w:p w14:paraId="7BA20A4A">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实验废液</w:t>
                  </w:r>
                </w:p>
              </w:tc>
              <w:tc>
                <w:tcPr>
                  <w:tcW w:w="616" w:type="pct"/>
                  <w:tcBorders>
                    <w:tl2br w:val="nil"/>
                    <w:tr2bl w:val="nil"/>
                  </w:tcBorders>
                  <w:vAlign w:val="center"/>
                </w:tcPr>
                <w:p w14:paraId="1271BC03">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HW49</w:t>
                  </w:r>
                </w:p>
              </w:tc>
              <w:tc>
                <w:tcPr>
                  <w:tcW w:w="824" w:type="pct"/>
                  <w:tcBorders>
                    <w:tl2br w:val="nil"/>
                    <w:tr2bl w:val="nil"/>
                  </w:tcBorders>
                  <w:vAlign w:val="center"/>
                </w:tcPr>
                <w:p w14:paraId="30466DC5">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900-047-49</w:t>
                  </w:r>
                </w:p>
              </w:tc>
              <w:tc>
                <w:tcPr>
                  <w:tcW w:w="657" w:type="pct"/>
                  <w:vMerge w:val="restart"/>
                  <w:tcBorders>
                    <w:tl2br w:val="nil"/>
                    <w:tr2bl w:val="nil"/>
                  </w:tcBorders>
                  <w:vAlign w:val="center"/>
                </w:tcPr>
                <w:p w14:paraId="18EDFEA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容积1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p>
              </w:tc>
              <w:tc>
                <w:tcPr>
                  <w:tcW w:w="702" w:type="pct"/>
                  <w:vMerge w:val="restart"/>
                  <w:tcBorders>
                    <w:tl2br w:val="nil"/>
                    <w:tr2bl w:val="nil"/>
                  </w:tcBorders>
                  <w:vAlign w:val="center"/>
                </w:tcPr>
                <w:p w14:paraId="7D4E14B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储罐</w:t>
                  </w:r>
                </w:p>
              </w:tc>
              <w:tc>
                <w:tcPr>
                  <w:tcW w:w="702" w:type="pct"/>
                  <w:vMerge w:val="restart"/>
                  <w:tcBorders>
                    <w:tl2br w:val="nil"/>
                    <w:tr2bl w:val="nil"/>
                  </w:tcBorders>
                  <w:vAlign w:val="center"/>
                </w:tcPr>
                <w:p w14:paraId="377DB37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不超过30天</w:t>
                  </w:r>
                </w:p>
              </w:tc>
            </w:tr>
            <w:tr w14:paraId="2B5A3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vMerge w:val="continue"/>
                  <w:tcBorders>
                    <w:tl2br w:val="nil"/>
                    <w:tr2bl w:val="nil"/>
                  </w:tcBorders>
                  <w:vAlign w:val="center"/>
                </w:tcPr>
                <w:p w14:paraId="60B3C73B">
                  <w:pPr>
                    <w:jc w:val="center"/>
                    <w:rPr>
                      <w:color w:val="000000" w:themeColor="text1"/>
                      <w:szCs w:val="21"/>
                      <w14:textFill>
                        <w14:solidFill>
                          <w14:schemeClr w14:val="tx1"/>
                        </w14:solidFill>
                      </w14:textFill>
                    </w:rPr>
                  </w:pPr>
                </w:p>
              </w:tc>
              <w:tc>
                <w:tcPr>
                  <w:tcW w:w="897" w:type="pct"/>
                  <w:tcBorders>
                    <w:tl2br w:val="nil"/>
                    <w:tr2bl w:val="nil"/>
                  </w:tcBorders>
                  <w:vAlign w:val="center"/>
                </w:tcPr>
                <w:p w14:paraId="6BEEFEAB">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乙醇回收废液</w:t>
                  </w:r>
                </w:p>
              </w:tc>
              <w:tc>
                <w:tcPr>
                  <w:tcW w:w="616" w:type="pct"/>
                  <w:tcBorders>
                    <w:tl2br w:val="nil"/>
                    <w:tr2bl w:val="nil"/>
                  </w:tcBorders>
                  <w:vAlign w:val="center"/>
                </w:tcPr>
                <w:p w14:paraId="4AACD6F6">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HW49</w:t>
                  </w:r>
                </w:p>
              </w:tc>
              <w:tc>
                <w:tcPr>
                  <w:tcW w:w="824" w:type="pct"/>
                  <w:tcBorders>
                    <w:tl2br w:val="nil"/>
                    <w:tr2bl w:val="nil"/>
                  </w:tcBorders>
                  <w:vAlign w:val="center"/>
                </w:tcPr>
                <w:p w14:paraId="63BF8A7C">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900-047-49</w:t>
                  </w:r>
                </w:p>
              </w:tc>
              <w:tc>
                <w:tcPr>
                  <w:tcW w:w="657" w:type="pct"/>
                  <w:vMerge w:val="continue"/>
                  <w:tcBorders>
                    <w:tl2br w:val="nil"/>
                    <w:tr2bl w:val="nil"/>
                  </w:tcBorders>
                  <w:vAlign w:val="center"/>
                </w:tcPr>
                <w:p w14:paraId="46309F32">
                  <w:pPr>
                    <w:jc w:val="center"/>
                    <w:rPr>
                      <w:color w:val="000000" w:themeColor="text1"/>
                      <w:szCs w:val="21"/>
                      <w14:textFill>
                        <w14:solidFill>
                          <w14:schemeClr w14:val="tx1"/>
                        </w14:solidFill>
                      </w14:textFill>
                    </w:rPr>
                  </w:pPr>
                </w:p>
              </w:tc>
              <w:tc>
                <w:tcPr>
                  <w:tcW w:w="702" w:type="pct"/>
                  <w:vMerge w:val="continue"/>
                  <w:tcBorders>
                    <w:tl2br w:val="nil"/>
                    <w:tr2bl w:val="nil"/>
                  </w:tcBorders>
                  <w:vAlign w:val="center"/>
                </w:tcPr>
                <w:p w14:paraId="52582D6F">
                  <w:pPr>
                    <w:jc w:val="center"/>
                    <w:rPr>
                      <w:color w:val="000000" w:themeColor="text1"/>
                      <w:szCs w:val="21"/>
                      <w14:textFill>
                        <w14:solidFill>
                          <w14:schemeClr w14:val="tx1"/>
                        </w14:solidFill>
                      </w14:textFill>
                    </w:rPr>
                  </w:pPr>
                </w:p>
              </w:tc>
              <w:tc>
                <w:tcPr>
                  <w:tcW w:w="702" w:type="pct"/>
                  <w:vMerge w:val="continue"/>
                  <w:tcBorders>
                    <w:tl2br w:val="nil"/>
                    <w:tr2bl w:val="nil"/>
                  </w:tcBorders>
                  <w:vAlign w:val="center"/>
                </w:tcPr>
                <w:p w14:paraId="1BD3E739">
                  <w:pPr>
                    <w:jc w:val="center"/>
                    <w:rPr>
                      <w:color w:val="000000" w:themeColor="text1"/>
                      <w:szCs w:val="21"/>
                      <w14:textFill>
                        <w14:solidFill>
                          <w14:schemeClr w14:val="tx1"/>
                        </w14:solidFill>
                      </w14:textFill>
                    </w:rPr>
                  </w:pPr>
                </w:p>
              </w:tc>
            </w:tr>
            <w:tr w14:paraId="32A42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vMerge w:val="continue"/>
                  <w:tcBorders>
                    <w:tl2br w:val="nil"/>
                    <w:tr2bl w:val="nil"/>
                  </w:tcBorders>
                  <w:vAlign w:val="center"/>
                </w:tcPr>
                <w:p w14:paraId="40269C80">
                  <w:pPr>
                    <w:jc w:val="center"/>
                    <w:rPr>
                      <w:color w:val="000000" w:themeColor="text1"/>
                      <w:szCs w:val="21"/>
                      <w14:textFill>
                        <w14:solidFill>
                          <w14:schemeClr w14:val="tx1"/>
                        </w14:solidFill>
                      </w14:textFill>
                    </w:rPr>
                  </w:pPr>
                </w:p>
              </w:tc>
              <w:tc>
                <w:tcPr>
                  <w:tcW w:w="897" w:type="pct"/>
                  <w:tcBorders>
                    <w:tl2br w:val="nil"/>
                    <w:tr2bl w:val="nil"/>
                  </w:tcBorders>
                  <w:vAlign w:val="center"/>
                </w:tcPr>
                <w:p w14:paraId="244EB64A">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废液</w:t>
                  </w:r>
                </w:p>
              </w:tc>
              <w:tc>
                <w:tcPr>
                  <w:tcW w:w="616" w:type="pct"/>
                  <w:tcBorders>
                    <w:tl2br w:val="nil"/>
                    <w:tr2bl w:val="nil"/>
                  </w:tcBorders>
                  <w:vAlign w:val="center"/>
                </w:tcPr>
                <w:p w14:paraId="7AB3FBE9">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HW49</w:t>
                  </w:r>
                </w:p>
              </w:tc>
              <w:tc>
                <w:tcPr>
                  <w:tcW w:w="824" w:type="pct"/>
                  <w:tcBorders>
                    <w:tl2br w:val="nil"/>
                    <w:tr2bl w:val="nil"/>
                  </w:tcBorders>
                  <w:vAlign w:val="center"/>
                </w:tcPr>
                <w:p w14:paraId="65D42156">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900-047-49</w:t>
                  </w:r>
                </w:p>
              </w:tc>
              <w:tc>
                <w:tcPr>
                  <w:tcW w:w="657" w:type="pct"/>
                  <w:vMerge w:val="continue"/>
                  <w:tcBorders>
                    <w:tl2br w:val="nil"/>
                    <w:tr2bl w:val="nil"/>
                  </w:tcBorders>
                  <w:vAlign w:val="center"/>
                </w:tcPr>
                <w:p w14:paraId="160FDEA6">
                  <w:pPr>
                    <w:jc w:val="center"/>
                    <w:rPr>
                      <w:color w:val="000000" w:themeColor="text1"/>
                      <w:szCs w:val="21"/>
                      <w14:textFill>
                        <w14:solidFill>
                          <w14:schemeClr w14:val="tx1"/>
                        </w14:solidFill>
                      </w14:textFill>
                    </w:rPr>
                  </w:pPr>
                </w:p>
              </w:tc>
              <w:tc>
                <w:tcPr>
                  <w:tcW w:w="702" w:type="pct"/>
                  <w:vMerge w:val="continue"/>
                  <w:tcBorders>
                    <w:tl2br w:val="nil"/>
                    <w:tr2bl w:val="nil"/>
                  </w:tcBorders>
                  <w:vAlign w:val="center"/>
                </w:tcPr>
                <w:p w14:paraId="79DD4A30">
                  <w:pPr>
                    <w:jc w:val="center"/>
                    <w:rPr>
                      <w:color w:val="000000" w:themeColor="text1"/>
                      <w:szCs w:val="21"/>
                      <w14:textFill>
                        <w14:solidFill>
                          <w14:schemeClr w14:val="tx1"/>
                        </w14:solidFill>
                      </w14:textFill>
                    </w:rPr>
                  </w:pPr>
                </w:p>
              </w:tc>
              <w:tc>
                <w:tcPr>
                  <w:tcW w:w="702" w:type="pct"/>
                  <w:vMerge w:val="continue"/>
                  <w:tcBorders>
                    <w:tl2br w:val="nil"/>
                    <w:tr2bl w:val="nil"/>
                  </w:tcBorders>
                  <w:vAlign w:val="center"/>
                </w:tcPr>
                <w:p w14:paraId="39740302">
                  <w:pPr>
                    <w:jc w:val="center"/>
                    <w:rPr>
                      <w:color w:val="000000" w:themeColor="text1"/>
                      <w:szCs w:val="21"/>
                      <w14:textFill>
                        <w14:solidFill>
                          <w14:schemeClr w14:val="tx1"/>
                        </w14:solidFill>
                      </w14:textFill>
                    </w:rPr>
                  </w:pPr>
                </w:p>
              </w:tc>
            </w:tr>
            <w:tr w14:paraId="3E42E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vMerge w:val="continue"/>
                  <w:tcBorders>
                    <w:tl2br w:val="nil"/>
                    <w:tr2bl w:val="nil"/>
                  </w:tcBorders>
                  <w:vAlign w:val="center"/>
                </w:tcPr>
                <w:p w14:paraId="5EC718C8">
                  <w:pPr>
                    <w:jc w:val="center"/>
                    <w:rPr>
                      <w:color w:val="000000" w:themeColor="text1"/>
                      <w:szCs w:val="21"/>
                      <w14:textFill>
                        <w14:solidFill>
                          <w14:schemeClr w14:val="tx1"/>
                        </w14:solidFill>
                      </w14:textFill>
                    </w:rPr>
                  </w:pPr>
                </w:p>
              </w:tc>
              <w:tc>
                <w:tcPr>
                  <w:tcW w:w="897" w:type="pct"/>
                  <w:tcBorders>
                    <w:tl2br w:val="nil"/>
                    <w:tr2bl w:val="nil"/>
                  </w:tcBorders>
                  <w:vAlign w:val="center"/>
                </w:tcPr>
                <w:p w14:paraId="170E9AAF">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设备清洗废液</w:t>
                  </w:r>
                </w:p>
              </w:tc>
              <w:tc>
                <w:tcPr>
                  <w:tcW w:w="616" w:type="pct"/>
                  <w:tcBorders>
                    <w:tl2br w:val="nil"/>
                    <w:tr2bl w:val="nil"/>
                  </w:tcBorders>
                  <w:vAlign w:val="center"/>
                </w:tcPr>
                <w:p w14:paraId="2650DFE0">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HW49</w:t>
                  </w:r>
                </w:p>
              </w:tc>
              <w:tc>
                <w:tcPr>
                  <w:tcW w:w="824" w:type="pct"/>
                  <w:tcBorders>
                    <w:tl2br w:val="nil"/>
                    <w:tr2bl w:val="nil"/>
                  </w:tcBorders>
                  <w:vAlign w:val="center"/>
                </w:tcPr>
                <w:p w14:paraId="07A965FA">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900-047-49</w:t>
                  </w:r>
                </w:p>
              </w:tc>
              <w:tc>
                <w:tcPr>
                  <w:tcW w:w="657" w:type="pct"/>
                  <w:vMerge w:val="continue"/>
                  <w:tcBorders>
                    <w:tl2br w:val="nil"/>
                    <w:tr2bl w:val="nil"/>
                  </w:tcBorders>
                  <w:vAlign w:val="center"/>
                </w:tcPr>
                <w:p w14:paraId="08B9D3E2">
                  <w:pPr>
                    <w:jc w:val="center"/>
                    <w:rPr>
                      <w:color w:val="000000" w:themeColor="text1"/>
                      <w:szCs w:val="21"/>
                      <w14:textFill>
                        <w14:solidFill>
                          <w14:schemeClr w14:val="tx1"/>
                        </w14:solidFill>
                      </w14:textFill>
                    </w:rPr>
                  </w:pPr>
                </w:p>
              </w:tc>
              <w:tc>
                <w:tcPr>
                  <w:tcW w:w="702" w:type="pct"/>
                  <w:vMerge w:val="continue"/>
                  <w:tcBorders>
                    <w:tl2br w:val="nil"/>
                    <w:tr2bl w:val="nil"/>
                  </w:tcBorders>
                  <w:vAlign w:val="center"/>
                </w:tcPr>
                <w:p w14:paraId="5C023115">
                  <w:pPr>
                    <w:jc w:val="center"/>
                    <w:rPr>
                      <w:color w:val="000000" w:themeColor="text1"/>
                      <w:szCs w:val="21"/>
                      <w14:textFill>
                        <w14:solidFill>
                          <w14:schemeClr w14:val="tx1"/>
                        </w14:solidFill>
                      </w14:textFill>
                    </w:rPr>
                  </w:pPr>
                </w:p>
              </w:tc>
              <w:tc>
                <w:tcPr>
                  <w:tcW w:w="702" w:type="pct"/>
                  <w:vMerge w:val="continue"/>
                  <w:tcBorders>
                    <w:tl2br w:val="nil"/>
                    <w:tr2bl w:val="nil"/>
                  </w:tcBorders>
                  <w:vAlign w:val="center"/>
                </w:tcPr>
                <w:p w14:paraId="5B21E45E">
                  <w:pPr>
                    <w:jc w:val="center"/>
                    <w:rPr>
                      <w:color w:val="000000" w:themeColor="text1"/>
                      <w:szCs w:val="21"/>
                      <w14:textFill>
                        <w14:solidFill>
                          <w14:schemeClr w14:val="tx1"/>
                        </w14:solidFill>
                      </w14:textFill>
                    </w:rPr>
                  </w:pPr>
                </w:p>
              </w:tc>
            </w:tr>
            <w:tr w14:paraId="4C5E8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vMerge w:val="continue"/>
                  <w:tcBorders>
                    <w:tl2br w:val="nil"/>
                    <w:tr2bl w:val="nil"/>
                  </w:tcBorders>
                  <w:vAlign w:val="center"/>
                </w:tcPr>
                <w:p w14:paraId="2698A237">
                  <w:pPr>
                    <w:jc w:val="center"/>
                    <w:rPr>
                      <w:color w:val="000000" w:themeColor="text1"/>
                      <w:szCs w:val="21"/>
                      <w14:textFill>
                        <w14:solidFill>
                          <w14:schemeClr w14:val="tx1"/>
                        </w14:solidFill>
                      </w14:textFill>
                    </w:rPr>
                  </w:pPr>
                </w:p>
              </w:tc>
              <w:tc>
                <w:tcPr>
                  <w:tcW w:w="897" w:type="pct"/>
                  <w:tcBorders>
                    <w:tl2br w:val="nil"/>
                    <w:tr2bl w:val="nil"/>
                  </w:tcBorders>
                  <w:vAlign w:val="center"/>
                </w:tcPr>
                <w:p w14:paraId="4893EAA0">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地面清洗废液</w:t>
                  </w:r>
                </w:p>
              </w:tc>
              <w:tc>
                <w:tcPr>
                  <w:tcW w:w="616" w:type="pct"/>
                  <w:tcBorders>
                    <w:tl2br w:val="nil"/>
                    <w:tr2bl w:val="nil"/>
                  </w:tcBorders>
                  <w:vAlign w:val="center"/>
                </w:tcPr>
                <w:p w14:paraId="6D9CE360">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HW49</w:t>
                  </w:r>
                </w:p>
              </w:tc>
              <w:tc>
                <w:tcPr>
                  <w:tcW w:w="824" w:type="pct"/>
                  <w:tcBorders>
                    <w:tl2br w:val="nil"/>
                    <w:tr2bl w:val="nil"/>
                  </w:tcBorders>
                  <w:vAlign w:val="center"/>
                </w:tcPr>
                <w:p w14:paraId="36CBBF41">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900-047-49</w:t>
                  </w:r>
                </w:p>
              </w:tc>
              <w:tc>
                <w:tcPr>
                  <w:tcW w:w="657" w:type="pct"/>
                  <w:vMerge w:val="continue"/>
                  <w:tcBorders>
                    <w:tl2br w:val="nil"/>
                    <w:tr2bl w:val="nil"/>
                  </w:tcBorders>
                  <w:vAlign w:val="center"/>
                </w:tcPr>
                <w:p w14:paraId="4174F150">
                  <w:pPr>
                    <w:jc w:val="center"/>
                    <w:rPr>
                      <w:color w:val="000000" w:themeColor="text1"/>
                      <w:szCs w:val="21"/>
                      <w14:textFill>
                        <w14:solidFill>
                          <w14:schemeClr w14:val="tx1"/>
                        </w14:solidFill>
                      </w14:textFill>
                    </w:rPr>
                  </w:pPr>
                </w:p>
              </w:tc>
              <w:tc>
                <w:tcPr>
                  <w:tcW w:w="702" w:type="pct"/>
                  <w:vMerge w:val="continue"/>
                  <w:tcBorders>
                    <w:tl2br w:val="nil"/>
                    <w:tr2bl w:val="nil"/>
                  </w:tcBorders>
                  <w:vAlign w:val="center"/>
                </w:tcPr>
                <w:p w14:paraId="3E5A5597">
                  <w:pPr>
                    <w:jc w:val="center"/>
                    <w:rPr>
                      <w:color w:val="000000" w:themeColor="text1"/>
                      <w:szCs w:val="21"/>
                      <w14:textFill>
                        <w14:solidFill>
                          <w14:schemeClr w14:val="tx1"/>
                        </w14:solidFill>
                      </w14:textFill>
                    </w:rPr>
                  </w:pPr>
                </w:p>
              </w:tc>
              <w:tc>
                <w:tcPr>
                  <w:tcW w:w="702" w:type="pct"/>
                  <w:vMerge w:val="continue"/>
                  <w:tcBorders>
                    <w:tl2br w:val="nil"/>
                    <w:tr2bl w:val="nil"/>
                  </w:tcBorders>
                  <w:vAlign w:val="center"/>
                </w:tcPr>
                <w:p w14:paraId="2A925F4B">
                  <w:pPr>
                    <w:jc w:val="center"/>
                    <w:rPr>
                      <w:color w:val="000000" w:themeColor="text1"/>
                      <w:szCs w:val="21"/>
                      <w14:textFill>
                        <w14:solidFill>
                          <w14:schemeClr w14:val="tx1"/>
                        </w14:solidFill>
                      </w14:textFill>
                    </w:rPr>
                  </w:pPr>
                </w:p>
              </w:tc>
            </w:tr>
            <w:tr w14:paraId="2DD41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vMerge w:val="continue"/>
                  <w:tcBorders>
                    <w:tl2br w:val="nil"/>
                    <w:tr2bl w:val="nil"/>
                  </w:tcBorders>
                  <w:vAlign w:val="center"/>
                </w:tcPr>
                <w:p w14:paraId="6172D062">
                  <w:pPr>
                    <w:jc w:val="center"/>
                    <w:rPr>
                      <w:color w:val="000000" w:themeColor="text1"/>
                      <w:szCs w:val="21"/>
                      <w14:textFill>
                        <w14:solidFill>
                          <w14:schemeClr w14:val="tx1"/>
                        </w14:solidFill>
                      </w14:textFill>
                    </w:rPr>
                  </w:pPr>
                </w:p>
              </w:tc>
              <w:tc>
                <w:tcPr>
                  <w:tcW w:w="897" w:type="pct"/>
                  <w:tcBorders>
                    <w:tl2br w:val="nil"/>
                    <w:tr2bl w:val="nil"/>
                  </w:tcBorders>
                  <w:vAlign w:val="center"/>
                </w:tcPr>
                <w:p w14:paraId="0CB11FD0">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实验设备废液</w:t>
                  </w:r>
                </w:p>
              </w:tc>
              <w:tc>
                <w:tcPr>
                  <w:tcW w:w="616" w:type="pct"/>
                  <w:tcBorders>
                    <w:tl2br w:val="nil"/>
                    <w:tr2bl w:val="nil"/>
                  </w:tcBorders>
                  <w:vAlign w:val="center"/>
                </w:tcPr>
                <w:p w14:paraId="021E2ABC">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HW49</w:t>
                  </w:r>
                </w:p>
              </w:tc>
              <w:tc>
                <w:tcPr>
                  <w:tcW w:w="824" w:type="pct"/>
                  <w:tcBorders>
                    <w:tl2br w:val="nil"/>
                    <w:tr2bl w:val="nil"/>
                  </w:tcBorders>
                  <w:vAlign w:val="center"/>
                </w:tcPr>
                <w:p w14:paraId="5A5A1C4D">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900-047-49</w:t>
                  </w:r>
                </w:p>
              </w:tc>
              <w:tc>
                <w:tcPr>
                  <w:tcW w:w="657" w:type="pct"/>
                  <w:vMerge w:val="continue"/>
                  <w:tcBorders>
                    <w:tl2br w:val="nil"/>
                    <w:tr2bl w:val="nil"/>
                  </w:tcBorders>
                  <w:vAlign w:val="center"/>
                </w:tcPr>
                <w:p w14:paraId="4DFCA40B">
                  <w:pPr>
                    <w:jc w:val="center"/>
                    <w:rPr>
                      <w:color w:val="000000" w:themeColor="text1"/>
                      <w:szCs w:val="21"/>
                      <w14:textFill>
                        <w14:solidFill>
                          <w14:schemeClr w14:val="tx1"/>
                        </w14:solidFill>
                      </w14:textFill>
                    </w:rPr>
                  </w:pPr>
                </w:p>
              </w:tc>
              <w:tc>
                <w:tcPr>
                  <w:tcW w:w="702" w:type="pct"/>
                  <w:vMerge w:val="continue"/>
                  <w:tcBorders>
                    <w:tl2br w:val="nil"/>
                    <w:tr2bl w:val="nil"/>
                  </w:tcBorders>
                  <w:vAlign w:val="center"/>
                </w:tcPr>
                <w:p w14:paraId="702E2451">
                  <w:pPr>
                    <w:jc w:val="center"/>
                    <w:rPr>
                      <w:color w:val="000000" w:themeColor="text1"/>
                      <w:szCs w:val="21"/>
                      <w14:textFill>
                        <w14:solidFill>
                          <w14:schemeClr w14:val="tx1"/>
                        </w14:solidFill>
                      </w14:textFill>
                    </w:rPr>
                  </w:pPr>
                </w:p>
              </w:tc>
              <w:tc>
                <w:tcPr>
                  <w:tcW w:w="702" w:type="pct"/>
                  <w:vMerge w:val="continue"/>
                  <w:tcBorders>
                    <w:tl2br w:val="nil"/>
                    <w:tr2bl w:val="nil"/>
                  </w:tcBorders>
                  <w:vAlign w:val="center"/>
                </w:tcPr>
                <w:p w14:paraId="35342DF7">
                  <w:pPr>
                    <w:jc w:val="center"/>
                    <w:rPr>
                      <w:color w:val="000000" w:themeColor="text1"/>
                      <w:szCs w:val="21"/>
                      <w14:textFill>
                        <w14:solidFill>
                          <w14:schemeClr w14:val="tx1"/>
                        </w14:solidFill>
                      </w14:textFill>
                    </w:rPr>
                  </w:pPr>
                </w:p>
              </w:tc>
            </w:tr>
          </w:tbl>
          <w:p w14:paraId="3D8F7B21">
            <w:pPr>
              <w:tabs>
                <w:tab w:val="left" w:pos="1684"/>
              </w:tabs>
              <w:spacing w:line="48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4.4环境管理要求</w:t>
            </w:r>
          </w:p>
          <w:p w14:paraId="4473835F">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（1）一般固废贮存要求</w:t>
            </w:r>
          </w:p>
          <w:p w14:paraId="1E8399F2">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一般</w:t>
            </w:r>
            <w:r>
              <w:rPr>
                <w:rFonts w:hint="eastAsia"/>
                <w:color w:val="000000" w:themeColor="text1"/>
                <w:sz w:val="24"/>
                <w:szCs w:val="24"/>
                <w14:textFill>
                  <w14:solidFill>
                    <w14:schemeClr w14:val="tx1"/>
                  </w14:solidFill>
                </w14:textFill>
              </w:rPr>
              <w:t>工业</w:t>
            </w:r>
            <w:r>
              <w:rPr>
                <w:color w:val="000000" w:themeColor="text1"/>
                <w:sz w:val="24"/>
                <w:szCs w:val="24"/>
                <w14:textFill>
                  <w14:solidFill>
                    <w14:schemeClr w14:val="tx1"/>
                  </w14:solidFill>
                </w14:textFill>
              </w:rPr>
              <w:t>固废</w:t>
            </w:r>
            <w:r>
              <w:rPr>
                <w:rFonts w:hint="eastAsia"/>
                <w:color w:val="000000" w:themeColor="text1"/>
                <w:sz w:val="24"/>
                <w:szCs w:val="24"/>
                <w14:textFill>
                  <w14:solidFill>
                    <w14:schemeClr w14:val="tx1"/>
                  </w14:solidFill>
                </w14:textFill>
              </w:rPr>
              <w:t>暂存</w:t>
            </w:r>
            <w:r>
              <w:rPr>
                <w:color w:val="000000" w:themeColor="text1"/>
                <w:sz w:val="24"/>
                <w:szCs w:val="24"/>
                <w14:textFill>
                  <w14:solidFill>
                    <w14:schemeClr w14:val="tx1"/>
                  </w14:solidFill>
                </w14:textFill>
              </w:rPr>
              <w:t>于</w:t>
            </w:r>
            <w:r>
              <w:rPr>
                <w:rFonts w:hint="eastAsia"/>
                <w:color w:val="000000" w:themeColor="text1"/>
                <w:sz w:val="24"/>
                <w:szCs w:val="24"/>
                <w14:textFill>
                  <w14:solidFill>
                    <w14:schemeClr w14:val="tx1"/>
                  </w14:solidFill>
                </w14:textFill>
              </w:rPr>
              <w:t>一般固废仓库</w:t>
            </w:r>
            <w:r>
              <w:rPr>
                <w:color w:val="000000" w:themeColor="text1"/>
                <w:sz w:val="24"/>
                <w:szCs w:val="24"/>
                <w14:textFill>
                  <w14:solidFill>
                    <w14:schemeClr w14:val="tx1"/>
                  </w14:solidFill>
                </w14:textFill>
              </w:rPr>
              <w:t>，定期交由相关单位综合利用。一般固体废物暂存场所占地</w:t>
            </w:r>
            <w:r>
              <w:rPr>
                <w:rFonts w:hint="eastAsia"/>
                <w:color w:val="000000" w:themeColor="text1"/>
                <w:sz w:val="24"/>
                <w:szCs w:val="24"/>
                <w14:textFill>
                  <w14:solidFill>
                    <w14:schemeClr w14:val="tx1"/>
                  </w14:solidFill>
                </w14:textFill>
              </w:rPr>
              <w:t>参照</w:t>
            </w:r>
            <w:r>
              <w:rPr>
                <w:color w:val="000000" w:themeColor="text1"/>
                <w:sz w:val="24"/>
                <w:szCs w:val="24"/>
                <w14:textFill>
                  <w14:solidFill>
                    <w14:schemeClr w14:val="tx1"/>
                  </w14:solidFill>
                </w14:textFill>
              </w:rPr>
              <w:t>《一般工业固体废物贮存、处置场污染控制标准》（GB18599-2020）、《环境保护图形标志-固体废物贮存（处置场）》（GB15562.2-1995）相关要求进行建设，底层铺设10cm厚成品水泥混凝土，中层铺设5cm厚的成品普通防腐水泥，渗透系数小于1.0×10-7cm/s，满足防渗要求。</w:t>
            </w:r>
          </w:p>
          <w:p w14:paraId="39B5A8DD">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（2）危险废物相关要求</w:t>
            </w:r>
          </w:p>
          <w:p w14:paraId="091BF8DC">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①根据省生态环境厅关于印发《江苏省固体废物全过程环境监管工作意见》的通知（苏环办[2024]16号）要求：</w:t>
            </w:r>
          </w:p>
          <w:p w14:paraId="1126C9D8">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规范贮存管理要求。根据《危险废物贮存污染控制标准》GB18597-2023)，采用危险废物贮存设施进行贮存，符合相应的污染控制标准；同时满足《江苏省危险废物集中收集体系建设工作方案(试行)》（苏环办[2021]290号）中关于贮存周期和贮存量的要求。</w:t>
            </w:r>
          </w:p>
          <w:p w14:paraId="181A269B">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落实信息公开制度。危险废物环境重点监管单位要在出入口、设施内部、危险废物运输车辆通道等关键位置设置视频监控并与中控室联网，通过设立公开栏、标志牌等方式，主动公开危险废物产生和利用处置等有关信息。</w:t>
            </w:r>
          </w:p>
          <w:p w14:paraId="3E47D88F">
            <w:pPr>
              <w:pStyle w:val="8"/>
              <w:spacing w:before="0" w:after="0" w:line="480" w:lineRule="exact"/>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w:t>
            </w:r>
            <w:r>
              <w:rPr>
                <w:color w:val="000000" w:themeColor="text1"/>
                <w:sz w:val="24"/>
                <w:szCs w:val="24"/>
                <w14:textFill>
                  <w14:solidFill>
                    <w14:schemeClr w14:val="tx1"/>
                  </w14:solidFill>
                </w14:textFill>
              </w:rPr>
              <w:t>根据《危险废物贮存污染控制标准》(GB18597-2023）</w:t>
            </w:r>
            <w:r>
              <w:rPr>
                <w:rFonts w:hint="eastAsia"/>
                <w:color w:val="000000" w:themeColor="text1"/>
                <w:sz w:val="24"/>
                <w:szCs w:val="24"/>
                <w14:textFill>
                  <w14:solidFill>
                    <w14:schemeClr w14:val="tx1"/>
                  </w14:solidFill>
                </w14:textFill>
              </w:rPr>
              <w:t>，本项目危废仓库、废液储罐污染控制要求如下：</w:t>
            </w:r>
          </w:p>
          <w:p w14:paraId="654BAE07">
            <w:pPr>
              <w:pStyle w:val="8"/>
              <w:spacing w:before="0" w:after="0" w:line="480" w:lineRule="exact"/>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a.一般要求</w:t>
            </w:r>
          </w:p>
          <w:p w14:paraId="236038B5">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贮存设施应根据危险废物的形态、物理化学性质、包装形式和污染物迁移途径，采取必要的防风、防晒、防雨、防漏、防渗、防腐以及其他环境污染防治措施，不应露天堆放危险废物。</w:t>
            </w:r>
          </w:p>
          <w:p w14:paraId="3D6C3C64">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贮存设施应根据危险废物的类别、数量、形态、物理化学性质和污染防治等要求设置必要的贮存分区，避免不相容的危险废物接触、混合。</w:t>
            </w:r>
          </w:p>
          <w:p w14:paraId="7C558A7D">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贮存设施或贮存分区内地面、墙面裙脚、堵截泄漏的围堰、接触危险废物的隔板和墙体等应采用坚固的材料建造，表面无裂缝。</w:t>
            </w:r>
          </w:p>
          <w:p w14:paraId="78AEC628">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10</w:t>
            </w:r>
            <w:r>
              <w:rPr>
                <w:color w:val="000000" w:themeColor="text1"/>
                <w:sz w:val="24"/>
                <w:szCs w:val="24"/>
                <w:vertAlign w:val="superscript"/>
                <w14:textFill>
                  <w14:solidFill>
                    <w14:schemeClr w14:val="tx1"/>
                  </w14:solidFill>
                </w14:textFill>
              </w:rPr>
              <w:t xml:space="preserve">-7 </w:t>
            </w:r>
            <w:r>
              <w:rPr>
                <w:color w:val="000000" w:themeColor="text1"/>
                <w:sz w:val="24"/>
                <w:szCs w:val="24"/>
                <w14:textFill>
                  <w14:solidFill>
                    <w14:schemeClr w14:val="tx1"/>
                  </w14:solidFill>
                </w14:textFill>
              </w:rPr>
              <w:t>cm/s），或至少2mm厚高密度聚乙烯膜等人工防渗材料（渗透系数不大于10</w:t>
            </w:r>
            <w:r>
              <w:rPr>
                <w:color w:val="000000" w:themeColor="text1"/>
                <w:sz w:val="24"/>
                <w:szCs w:val="24"/>
                <w:vertAlign w:val="superscript"/>
                <w14:textFill>
                  <w14:solidFill>
                    <w14:schemeClr w14:val="tx1"/>
                  </w14:solidFill>
                </w14:textFill>
              </w:rPr>
              <w:t>-10</w:t>
            </w:r>
            <w:r>
              <w:rPr>
                <w:color w:val="000000" w:themeColor="text1"/>
                <w:sz w:val="24"/>
                <w:szCs w:val="24"/>
                <w14:textFill>
                  <w14:solidFill>
                    <w14:schemeClr w14:val="tx1"/>
                  </w14:solidFill>
                </w14:textFill>
              </w:rPr>
              <w:t xml:space="preserve"> cm/s），或其他防渗性能等效的材料。</w:t>
            </w:r>
          </w:p>
          <w:p w14:paraId="63F4EA56">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同一贮存设施宜采用相同的防渗、防腐工艺（包括防渗、防腐结构或材料），防渗、防腐材料应覆盖所有可能与废物及其渗滤液、渗漏液等接触的构筑物表面；采用不同防渗、防腐工艺应分别建设贮存分区。</w:t>
            </w:r>
          </w:p>
          <w:p w14:paraId="45CEBE2F">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贮存设施应采取技术和管理措施防止无关人员进入。</w:t>
            </w:r>
          </w:p>
          <w:p w14:paraId="2762DBDB">
            <w:pPr>
              <w:pStyle w:val="8"/>
              <w:spacing w:before="0" w:after="0" w:line="480" w:lineRule="exact"/>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b.危废仓库要求</w:t>
            </w:r>
          </w:p>
          <w:p w14:paraId="16991EAD">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贮存库内不同贮存分区之间应采取隔离措施。隔离措施可根据危险废物特性采用过道、隔板或隔墙等方式。</w:t>
            </w:r>
          </w:p>
          <w:p w14:paraId="0B3A9C95">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在贮存库内或通过贮存分区方式贮存液态危险废物的，应具有液体泄漏堵截设施，堵截设施最小容积不应低于对应贮存区域最大液态废物容器容积或液态废物总储量1/10(二者取较大者)</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用于贮存可能产生渗滤液的危险废物的贮存库或贮存分区应设计渗滤液收集设施</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收集设施容积应满足渗滤液的收集要求。</w:t>
            </w:r>
          </w:p>
          <w:p w14:paraId="6295A96A">
            <w:pPr>
              <w:pStyle w:val="8"/>
              <w:spacing w:before="0" w:after="0" w:line="480" w:lineRule="exact"/>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c.废液储罐要求</w:t>
            </w:r>
          </w:p>
          <w:p w14:paraId="22912492">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贮存罐区罐体应设置在围堰内，围堰的防渗、防腐性能应满足要求。</w:t>
            </w:r>
          </w:p>
          <w:p w14:paraId="3534BF72">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贮存罐区围堰容积应至少满足其内部最大贮存罐发生意外泄漏时所需要的危险废物收集容积要求。</w:t>
            </w:r>
          </w:p>
          <w:p w14:paraId="43A13A0D">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贮存罐区围堰内收集的废液、废水和初期雨水应及时处理，不应直接排放</w:t>
            </w:r>
            <w:r>
              <w:rPr>
                <w:rFonts w:hint="eastAsia"/>
                <w:color w:val="000000" w:themeColor="text1"/>
                <w:sz w:val="24"/>
                <w:szCs w:val="24"/>
                <w14:textFill>
                  <w14:solidFill>
                    <w14:schemeClr w14:val="tx1"/>
                  </w14:solidFill>
                </w14:textFill>
              </w:rPr>
              <w:t>。</w:t>
            </w:r>
          </w:p>
          <w:p w14:paraId="1B3CE30F">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③根据《危险废物贮存污染控制标准》(GB18597-2023），危险废物贮存容器要求如下：</w:t>
            </w:r>
          </w:p>
          <w:p w14:paraId="09DF843A">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a.应当使用符合标准的容器盛装危险废物；</w:t>
            </w:r>
          </w:p>
          <w:p w14:paraId="5EE06D60">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b.盛装危险废物的容器及材质要满足相应的强度要求；</w:t>
            </w:r>
          </w:p>
          <w:p w14:paraId="62D0E094">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c.盛装危险废物的容器必须完好无损；</w:t>
            </w:r>
          </w:p>
          <w:p w14:paraId="02446C67">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d.盛装危险废物的容器材质和衬里要与危险废物相容（不相互反应）；</w:t>
            </w:r>
          </w:p>
          <w:p w14:paraId="15FF6EB5">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e.液体危险废物可注入开孔直径不超过70毫米并有放气孔的桶中。</w:t>
            </w:r>
          </w:p>
          <w:p w14:paraId="0346CD95">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④根据《危险废物收集、贮存、运输技术规范》，本公司生产过程中产生的危险废物转移按照《危险废物转移联单管理办法》执行；危险废物应储存在适当的包装容器内并储存于危废库房内，具体包装应符合如下要求；</w:t>
            </w:r>
          </w:p>
          <w:p w14:paraId="4E497D9B">
            <w:pPr>
              <w:pStyle w:val="8"/>
              <w:numPr>
                <w:ilvl w:val="0"/>
                <w:numId w:val="7"/>
              </w:numPr>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包装材质要与危险废物相容，可根据废物特性选择钢、铝、塑料等材质；</w:t>
            </w:r>
          </w:p>
          <w:p w14:paraId="74649127">
            <w:pPr>
              <w:pStyle w:val="8"/>
              <w:numPr>
                <w:ilvl w:val="0"/>
                <w:numId w:val="7"/>
              </w:numPr>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性质类似的废物可收集到同一容器中，性质不相容的危险废物不应混合包装；</w:t>
            </w:r>
          </w:p>
          <w:p w14:paraId="512180F3">
            <w:pPr>
              <w:pStyle w:val="8"/>
              <w:numPr>
                <w:ilvl w:val="0"/>
                <w:numId w:val="7"/>
              </w:numPr>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危险废物包装应能有效隔断危险废物迁移扩散途径，并达到防渗、防漏要求；</w:t>
            </w:r>
          </w:p>
          <w:p w14:paraId="0D5CC6D1">
            <w:pPr>
              <w:pStyle w:val="8"/>
              <w:numPr>
                <w:ilvl w:val="0"/>
                <w:numId w:val="7"/>
              </w:numPr>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包装好的危险废物应设置相应的标签，标签信息应填写完整详实；</w:t>
            </w:r>
          </w:p>
          <w:p w14:paraId="3B43FFEA">
            <w:pPr>
              <w:pStyle w:val="8"/>
              <w:numPr>
                <w:ilvl w:val="0"/>
                <w:numId w:val="7"/>
              </w:numPr>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盛装过危险废物的包装袋或包装容器破损后应按危险废物进行管理和处置；</w:t>
            </w:r>
          </w:p>
          <w:p w14:paraId="3ABD927E">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⑤根据《省生态环境厅关于印发江苏省危险废物贮存规范化管理专项整治行动方案的通知》（苏环办[2019]149号）：</w:t>
            </w:r>
          </w:p>
          <w:p w14:paraId="15A9C77D">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在贮存设施建设方面：在明显位置按照《环境保护图形标志固体废物贮存(处置)场》(GB 15562.2-1995)设置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w:t>
            </w:r>
          </w:p>
          <w:p w14:paraId="2D56C67A">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在管理制度落实方面：建立规范的危险废物贮存台账，如实记录废物名称、种类、数量、来源、出入库时间、去向、交接人签字等内容。</w:t>
            </w:r>
          </w:p>
          <w:p w14:paraId="7508F568">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⑥危险废物处理过程要求</w:t>
            </w:r>
          </w:p>
          <w:p w14:paraId="73BB94BC">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a.项目在危险废物的转移时，按有关规定签订危险废物转移单，并需得到有关环境行政主管部门的批准。同时，在危险固废转移前，要设立专门场地严格按要求保存，不得随意堆放，防止对周围环境造成影响。</w:t>
            </w:r>
          </w:p>
          <w:p w14:paraId="7E45D72C">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b.处置单位应严格按照有关处置规定对废物进行处置，不得产生二次污染。</w:t>
            </w:r>
          </w:p>
          <w:p w14:paraId="585C9BF5">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因此，采取以上措施后，本项目产生的各种固体废物均得到了有效处理，不会造成二次污染，从环保角度考虑，固体废物防治措施可行。</w:t>
            </w:r>
          </w:p>
          <w:p w14:paraId="73D7F246">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⑦危险废物运输时的中转、装卸过程应遵守以下技术要求：</w:t>
            </w:r>
          </w:p>
          <w:p w14:paraId="3E765354">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卸货区的工作人员应熟悉废物的危险特性，并配备适当的个人防护装备，装卸剧毒废物应配备特殊的防护装备。</w:t>
            </w:r>
          </w:p>
          <w:p w14:paraId="5C678692">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装卸区应配备必要的消防设备和设施，并设置明显的指示标志。</w:t>
            </w:r>
          </w:p>
          <w:p w14:paraId="0AA26CB4">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危险废物装卸区应设置隔离设施，液态废物卸载区应设置收集槽和缓冲罐。</w:t>
            </w:r>
          </w:p>
          <w:p w14:paraId="1430EAD1">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需具备一定的应急能力。</w:t>
            </w:r>
          </w:p>
          <w:p w14:paraId="33AD1AF5">
            <w:pPr>
              <w:snapToGrid w:val="0"/>
              <w:spacing w:line="48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⑧实验室危险废物环境管理指南</w:t>
            </w:r>
          </w:p>
          <w:p w14:paraId="12F00A57">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根据《江苏省实验室危险废物环境管理指南》（苏环办〔2024〕191号）要求：</w:t>
            </w:r>
          </w:p>
          <w:p w14:paraId="1DC95D36">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Ⅰ分类管理</w:t>
            </w:r>
          </w:p>
          <w:p w14:paraId="51099D88">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实验室危险废物分为废弃危险化学品、液态废物、固态废物三大类。实验室危险废物只能归于具体某一类，混合多种有害成分的危险废物按照附件1自上而下的顺序确定类别。</w:t>
            </w:r>
          </w:p>
          <w:p w14:paraId="78ED5E18">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Ⅱ包装管理</w:t>
            </w:r>
          </w:p>
          <w:p w14:paraId="453FA9F1">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b w:val="0"/>
                <w:bCs/>
                <w:color w:val="000000" w:themeColor="text1"/>
                <w:sz w:val="24"/>
                <w:szCs w:val="24"/>
                <w14:textFill>
                  <w14:solidFill>
                    <w14:schemeClr w14:val="tx1"/>
                  </w14:solidFill>
                </w14:textFill>
              </w:rPr>
              <w:t>a.</w:t>
            </w:r>
            <w:r>
              <w:rPr>
                <w:rFonts w:hint="eastAsia"/>
                <w:b w:val="0"/>
                <w:bCs/>
                <w:snapToGrid/>
                <w:color w:val="000000" w:themeColor="text1"/>
                <w:kern w:val="0"/>
                <w:sz w:val="24"/>
                <w:szCs w:val="24"/>
                <w14:textFill>
                  <w14:solidFill>
                    <w14:schemeClr w14:val="tx1"/>
                  </w14:solidFill>
                </w14:textFill>
              </w:rPr>
              <w:t>用于盛</w:t>
            </w:r>
            <w:r>
              <w:rPr>
                <w:rFonts w:hint="eastAsia"/>
                <w:b w:val="0"/>
                <w:snapToGrid/>
                <w:color w:val="000000" w:themeColor="text1"/>
                <w:kern w:val="0"/>
                <w:sz w:val="24"/>
                <w:szCs w:val="24"/>
                <w14:textFill>
                  <w14:solidFill>
                    <w14:schemeClr w14:val="tx1"/>
                  </w14:solidFill>
                </w14:textFill>
              </w:rPr>
              <w:t>放实验室危险废物的容器和包装物应满足《危险废物贮存污染控制标准》（GB18597—2023）要求。</w:t>
            </w:r>
          </w:p>
          <w:p w14:paraId="366759B1">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b.废弃危险化学品应满足危险化学品包装要求。</w:t>
            </w:r>
          </w:p>
          <w:p w14:paraId="35E8BEA8">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c.具有反应性的危险废物应经预处理，消除反应性后方可投入容器或包装物内。不相容的危险废物不得投入同一容器或包装物内。</w:t>
            </w:r>
          </w:p>
          <w:p w14:paraId="3CE70753">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d.液态废物使用的塑料容器应符合《包装容器 危险品包装用塑料桶》（GB18191—2008）要求，盛装不宜过满，容器顶部与液面之间保留适当空间。</w:t>
            </w:r>
          </w:p>
          <w:p w14:paraId="0610E242">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e.固态废物包装前应不含残留液体，包装物应具有一定强度且可封闭。破碎玻璃器皿、针头等应存放于锐器盒内；无法装入常用容器的固态废物可用防漏胶袋等存放。</w:t>
            </w:r>
          </w:p>
          <w:p w14:paraId="50C4AF0E">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f.废弃试剂瓶（含空瓶）应瓶口朝上码放于满足相应强度且可封闭的包装容器中，确保稳固，防止泄漏、磕碰，并在容器外部标注朝上的方向标识。</w:t>
            </w:r>
          </w:p>
          <w:p w14:paraId="247C84F4">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Ⅲ贮存管理</w:t>
            </w:r>
          </w:p>
          <w:p w14:paraId="58054873">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a.</w:t>
            </w:r>
            <w:r>
              <w:rPr>
                <w:b w:val="0"/>
                <w:snapToGrid/>
                <w:color w:val="000000" w:themeColor="text1"/>
                <w:kern w:val="0"/>
                <w:sz w:val="24"/>
                <w:szCs w:val="24"/>
                <w14:textFill>
                  <w14:solidFill>
                    <w14:schemeClr w14:val="tx1"/>
                  </w14:solidFill>
                </w14:textFill>
              </w:rPr>
              <w:t xml:space="preserve"> 产生实验室危险废物的单位应根据需要建设危险废物贮存库或设置贮存点，贮存库和贮存点应满足《危险废物贮存污染控制标准》（GB18597—2023）要求。</w:t>
            </w:r>
          </w:p>
          <w:p w14:paraId="5DB94C60">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b.</w:t>
            </w:r>
            <w:r>
              <w:rPr>
                <w:b w:val="0"/>
                <w:snapToGrid/>
                <w:color w:val="000000" w:themeColor="text1"/>
                <w:kern w:val="0"/>
                <w:sz w:val="24"/>
                <w:szCs w:val="24"/>
                <w14:textFill>
                  <w14:solidFill>
                    <w14:schemeClr w14:val="tx1"/>
                  </w14:solidFill>
                </w14:textFill>
              </w:rPr>
              <w:t>实验室危险废物应根据危险废物分类和污染防治要求进行分类贮存，且应避免与不相容的物质、材料接触。</w:t>
            </w:r>
          </w:p>
          <w:p w14:paraId="28B3EE98">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c.</w:t>
            </w:r>
            <w:r>
              <w:rPr>
                <w:b w:val="0"/>
                <w:snapToGrid/>
                <w:color w:val="000000" w:themeColor="text1"/>
                <w:kern w:val="0"/>
                <w:sz w:val="24"/>
                <w:szCs w:val="24"/>
                <w14:textFill>
                  <w14:solidFill>
                    <w14:schemeClr w14:val="tx1"/>
                  </w14:solidFill>
                </w14:textFill>
              </w:rPr>
              <w:t>贮存库、贮存点、容器和包装物应按《危险废物识别标志设置技术规范》（HJ 1276—2022）和《省生态环境厅关于做好&lt;危险废物贮存污染控制标准&gt;等标准规范实施后危险废物环境管理衔接工作的通知》（苏环办〔2023〕154 号）等要求设置危险废物贮存库或贮存点标志、危险废物贮存分区标志、危险废物标签等危险废物识别标志。</w:t>
            </w:r>
          </w:p>
          <w:p w14:paraId="19D51064">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d.</w:t>
            </w:r>
            <w:r>
              <w:rPr>
                <w:b w:val="0"/>
                <w:snapToGrid/>
                <w:color w:val="000000" w:themeColor="text1"/>
                <w:kern w:val="0"/>
                <w:sz w:val="24"/>
                <w:szCs w:val="24"/>
                <w14:textFill>
                  <w14:solidFill>
                    <w14:schemeClr w14:val="tx1"/>
                  </w14:solidFill>
                </w14:textFill>
              </w:rPr>
              <w:t>废弃危险化学品应存放于符合安全要求的原危化品贮存设施内，或经预处理使之稳定后贮存于危险废物贮存设施。</w:t>
            </w:r>
          </w:p>
          <w:p w14:paraId="1DE297A2">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e.</w:t>
            </w:r>
            <w:r>
              <w:rPr>
                <w:b w:val="0"/>
                <w:snapToGrid/>
                <w:color w:val="000000" w:themeColor="text1"/>
                <w:kern w:val="0"/>
                <w:sz w:val="24"/>
                <w:szCs w:val="24"/>
                <w14:textFill>
                  <w14:solidFill>
                    <w14:schemeClr w14:val="tx1"/>
                  </w14:solidFill>
                </w14:textFill>
              </w:rPr>
              <w:t>实验室产生的危险特性不明确的废弃危险化学品，应按照《危险化学品安全管理条例》等有关规定进行相关危险特性判定或鉴别，并经预处理稳定化后方可在贮存设施或场所内贮存。</w:t>
            </w:r>
          </w:p>
          <w:p w14:paraId="18DFEA63">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f.</w:t>
            </w:r>
            <w:r>
              <w:rPr>
                <w:b w:val="0"/>
                <w:snapToGrid/>
                <w:color w:val="000000" w:themeColor="text1"/>
                <w:kern w:val="0"/>
                <w:sz w:val="24"/>
                <w:szCs w:val="24"/>
                <w14:textFill>
                  <w14:solidFill>
                    <w14:schemeClr w14:val="tx1"/>
                  </w14:solidFill>
                </w14:textFill>
              </w:rPr>
              <w:t>贮存点、贮存库管理人员应每周对包装容器、防渗漏措施、标签标识、存放期限、投放记录表、管理台账等进行检查，并做好记录。</w:t>
            </w:r>
          </w:p>
          <w:p w14:paraId="612F84D8">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g.</w:t>
            </w:r>
            <w:r>
              <w:rPr>
                <w:b w:val="0"/>
                <w:snapToGrid/>
                <w:color w:val="000000" w:themeColor="text1"/>
                <w:kern w:val="0"/>
                <w:sz w:val="24"/>
                <w:szCs w:val="24"/>
                <w14:textFill>
                  <w14:solidFill>
                    <w14:schemeClr w14:val="tx1"/>
                  </w14:solidFill>
                </w14:textFill>
              </w:rPr>
              <w:t>贮存库和实验室外部贮存点应安装24小时视频监控系统，确保监控画面清晰。视频记录保存时间至少为3个月。</w:t>
            </w:r>
          </w:p>
          <w:p w14:paraId="77084B1A">
            <w:pPr>
              <w:pStyle w:val="4"/>
              <w:numPr>
                <w:ilvl w:val="4"/>
                <w:numId w:val="0"/>
              </w:numPr>
              <w:ind w:firstLine="480" w:firstLineChars="200"/>
              <w:jc w:val="both"/>
              <w:rPr>
                <w:b w:val="0"/>
                <w:snapToGrid/>
                <w:color w:val="000000" w:themeColor="text1"/>
                <w:kern w:val="0"/>
                <w:sz w:val="24"/>
                <w:szCs w:val="24"/>
                <w14:textFill>
                  <w14:solidFill>
                    <w14:schemeClr w14:val="tx1"/>
                  </w14:solidFill>
                </w14:textFill>
              </w:rPr>
            </w:pPr>
            <w:r>
              <w:rPr>
                <w:rFonts w:hint="eastAsia"/>
                <w:b w:val="0"/>
                <w:snapToGrid/>
                <w:color w:val="000000" w:themeColor="text1"/>
                <w:kern w:val="0"/>
                <w:sz w:val="24"/>
                <w:szCs w:val="24"/>
                <w14:textFill>
                  <w14:solidFill>
                    <w14:schemeClr w14:val="tx1"/>
                  </w14:solidFill>
                </w14:textFill>
              </w:rPr>
              <w:t>h.</w:t>
            </w:r>
            <w:r>
              <w:rPr>
                <w:b w:val="0"/>
                <w:snapToGrid/>
                <w:color w:val="000000" w:themeColor="text1"/>
                <w:kern w:val="0"/>
                <w:sz w:val="24"/>
                <w:szCs w:val="24"/>
                <w14:textFill>
                  <w14:solidFill>
                    <w14:schemeClr w14:val="tx1"/>
                  </w14:solidFill>
                </w14:textFill>
              </w:rPr>
              <w:t>实验室危险废物贮存除应满足环境保护相关要求外，还应执行国家安全生产、治安管理、消防、卫生健康等法律法规和标准的相关要求。</w:t>
            </w:r>
          </w:p>
          <w:p w14:paraId="14360F39">
            <w:pPr>
              <w:snapToGrid w:val="0"/>
              <w:spacing w:line="48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5、地下水、土壤</w:t>
            </w:r>
          </w:p>
          <w:p w14:paraId="78F2AB09">
            <w:pPr>
              <w:widowControl/>
              <w:spacing w:line="480" w:lineRule="exact"/>
              <w:ind w:firstLine="420"/>
              <w:jc w:val="left"/>
              <w:textAlignment w:val="bottom"/>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本项目中，可能对地下水、土壤造成污染的途径包括：非甲烷总烃、甲醇等废气通过大气沉降污染土壤和地下水，危废仓库、原辅料仓库等防腐防渗不到位发生泄漏垂直渗入土壤和地下水。</w:t>
            </w:r>
          </w:p>
          <w:p w14:paraId="1098745B">
            <w:pPr>
              <w:widowControl/>
              <w:spacing w:line="480" w:lineRule="exact"/>
              <w:ind w:firstLine="420"/>
              <w:jc w:val="left"/>
              <w:textAlignment w:val="bottom"/>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地下水、土壤保护应以预防为主，减少污染物进入地下水、土壤含水层的概率和途径，并制定和实施地下水、土壤监测井长期监测计划，一旦发现地下水、土壤遭受污染，应及时采取补救措施。针对本项目可能发生的地下水、土壤污染，防治措施按照“源头控制、分区防护、污染监控、应急响应”相结合的原则，从污染物的产生、入渗、扩散、应急响应全方位进行控制。</w:t>
            </w:r>
          </w:p>
          <w:p w14:paraId="43B472BE">
            <w:pPr>
              <w:spacing w:line="48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5.1</w:t>
            </w:r>
            <w:r>
              <w:rPr>
                <w:rFonts w:hint="eastAsia"/>
                <w:b/>
                <w:bCs/>
                <w:color w:val="000000" w:themeColor="text1"/>
                <w:sz w:val="24"/>
                <w14:textFill>
                  <w14:solidFill>
                    <w14:schemeClr w14:val="tx1"/>
                  </w14:solidFill>
                </w14:textFill>
              </w:rPr>
              <w:t>地下水、土壤污染分析</w:t>
            </w:r>
          </w:p>
          <w:p w14:paraId="7CA2B8E3">
            <w:pPr>
              <w:spacing w:line="480" w:lineRule="exac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厂区地面及厂房均已水泥硬化，生产车间均已防渗处理，且位于2F，故造成地下水、土壤污染影响的区域以及污染途径的可能性较小。此外，本项目危险废物贮存仓库发生火灾事故时，产生的消防废水亦会渗透污染地下水的风险。若不加强本项目固废贮存仓库的防渗处理和及时处置，存在污染地下水的可能。</w:t>
            </w:r>
          </w:p>
          <w:p w14:paraId="099BE2D1">
            <w:pPr>
              <w:adjustRightInd w:val="0"/>
              <w:snapToGrid w:val="0"/>
              <w:spacing w:line="480" w:lineRule="exact"/>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5.2地下水、土壤污染防控措施</w:t>
            </w:r>
          </w:p>
          <w:p w14:paraId="3C591344">
            <w:pPr>
              <w:adjustRightInd w:val="0"/>
              <w:snapToGrid w:val="0"/>
              <w:spacing w:line="480" w:lineRule="exact"/>
              <w:ind w:firstLine="42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①源头控制措施</w:t>
            </w:r>
          </w:p>
          <w:p w14:paraId="4044D90A">
            <w:pPr>
              <w:adjustRightInd w:val="0"/>
              <w:snapToGrid w:val="0"/>
              <w:spacing w:line="480" w:lineRule="exact"/>
              <w:ind w:firstLine="42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车间内应有应急处理设施，防止污染物的跑、冒、滴、漏，将污染物泄漏的可能性降到最低限度。对于危废贮存间设托板，确保泄漏物料统一收集。园区建立有效的事故废水收集系统，在污水和雨水排放口设置雨水截止阀。尽快将地面上的废水收集进入废水收集系统，防止事故状态下事故废水进入雨水系统进而污染地下水。</w:t>
            </w:r>
          </w:p>
          <w:p w14:paraId="2C473D76">
            <w:pPr>
              <w:adjustRightInd w:val="0"/>
              <w:snapToGrid w:val="0"/>
              <w:spacing w:line="480" w:lineRule="exact"/>
              <w:ind w:firstLine="42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②分区防渗措施</w:t>
            </w:r>
          </w:p>
          <w:p w14:paraId="440D8FC4">
            <w:pPr>
              <w:adjustRightInd w:val="0"/>
              <w:snapToGrid w:val="0"/>
              <w:spacing w:line="480" w:lineRule="exact"/>
              <w:ind w:firstLine="42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环境影响评价技术导则地下水环境》（HJ610-2016），对已颁布污染控制国家标准或防渗技术规范的行业，防渗技术要求按照相应标准或规范执行，故危废贮存仓库的防渗技术要求按照《危险废物贮存污染控制标准》（GB18597-2023）要求执行，具体防控措施及措施有效相符性见下表</w:t>
            </w:r>
            <w:r>
              <w:rPr>
                <w:color w:val="000000" w:themeColor="text1"/>
                <w:sz w:val="24"/>
                <w14:textFill>
                  <w14:solidFill>
                    <w14:schemeClr w14:val="tx1"/>
                  </w14:solidFill>
                </w14:textFill>
              </w:rPr>
              <w:t>。</w:t>
            </w:r>
          </w:p>
          <w:p w14:paraId="57511902">
            <w:pPr>
              <w:pStyle w:val="118"/>
              <w:adjustRightInd w:val="0"/>
              <w:snapToGrid w:val="0"/>
              <w:spacing w:line="480" w:lineRule="exact"/>
              <w:ind w:firstLine="482"/>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表</w:t>
            </w:r>
            <w:r>
              <w:rPr>
                <w:rFonts w:hint="eastAsia" w:cs="Times New Roman"/>
                <w:color w:val="000000" w:themeColor="text1"/>
                <w:sz w:val="21"/>
                <w:szCs w:val="21"/>
                <w14:textFill>
                  <w14:solidFill>
                    <w14:schemeClr w14:val="tx1"/>
                  </w14:solidFill>
                </w14:textFill>
              </w:rPr>
              <w:t xml:space="preserve">18 </w:t>
            </w:r>
            <w:r>
              <w:rPr>
                <w:rFonts w:cs="Times New Roman"/>
                <w:color w:val="000000" w:themeColor="text1"/>
                <w:sz w:val="21"/>
                <w:szCs w:val="21"/>
                <w14:textFill>
                  <w14:solidFill>
                    <w14:schemeClr w14:val="tx1"/>
                  </w14:solidFill>
                </w14:textFill>
              </w:rPr>
              <w:t>本项目地下水、土壤污染防渗措施</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2928"/>
              <w:gridCol w:w="3620"/>
              <w:gridCol w:w="1657"/>
            </w:tblGrid>
            <w:tr w14:paraId="0D9C0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1" w:type="pct"/>
                  <w:gridSpan w:val="2"/>
                  <w:vAlign w:val="center"/>
                </w:tcPr>
                <w:p w14:paraId="5D395484">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区域位置</w:t>
                  </w:r>
                </w:p>
              </w:tc>
              <w:tc>
                <w:tcPr>
                  <w:tcW w:w="1940" w:type="pct"/>
                  <w:vAlign w:val="center"/>
                </w:tcPr>
                <w:p w14:paraId="7B6C3047">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防渗技术要求</w:t>
                  </w:r>
                </w:p>
              </w:tc>
              <w:tc>
                <w:tcPr>
                  <w:tcW w:w="888" w:type="pct"/>
                  <w:vAlign w:val="center"/>
                </w:tcPr>
                <w:p w14:paraId="00851C51">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污染物类型</w:t>
                  </w:r>
                </w:p>
              </w:tc>
            </w:tr>
            <w:tr w14:paraId="199A1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02" w:type="pct"/>
                  <w:vAlign w:val="center"/>
                </w:tcPr>
                <w:p w14:paraId="34E32CB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重点防渗区</w:t>
                  </w:r>
                </w:p>
              </w:tc>
              <w:tc>
                <w:tcPr>
                  <w:tcW w:w="1568" w:type="pct"/>
                  <w:vAlign w:val="center"/>
                </w:tcPr>
                <w:p w14:paraId="0A367D6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试剂间、危废仓库、废液储罐</w:t>
                  </w:r>
                </w:p>
              </w:tc>
              <w:tc>
                <w:tcPr>
                  <w:tcW w:w="1940" w:type="pct"/>
                  <w:vAlign w:val="center"/>
                </w:tcPr>
                <w:p w14:paraId="67747964">
                  <w:pPr>
                    <w:widowControl/>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等效黏土防渗层Mb≥6.0m，K≤1×10-7cm/s</w:t>
                  </w:r>
                </w:p>
              </w:tc>
              <w:tc>
                <w:tcPr>
                  <w:tcW w:w="888" w:type="pct"/>
                  <w:vAlign w:val="center"/>
                </w:tcPr>
                <w:p w14:paraId="7A61EBA5">
                  <w:pPr>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持久性有机污染物</w:t>
                  </w:r>
                </w:p>
              </w:tc>
            </w:tr>
            <w:tr w14:paraId="02E20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Align w:val="center"/>
                </w:tcPr>
                <w:p w14:paraId="47EE905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一般防渗区</w:t>
                  </w:r>
                </w:p>
              </w:tc>
              <w:tc>
                <w:tcPr>
                  <w:tcW w:w="1568" w:type="pct"/>
                  <w:vAlign w:val="center"/>
                </w:tcPr>
                <w:p w14:paraId="2623900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实验室、一般固废仓库</w:t>
                  </w:r>
                </w:p>
              </w:tc>
              <w:tc>
                <w:tcPr>
                  <w:tcW w:w="1940" w:type="pct"/>
                  <w:vAlign w:val="center"/>
                </w:tcPr>
                <w:p w14:paraId="3D592825">
                  <w:pPr>
                    <w:widowControl/>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等效黏土防渗层Mb≥1.5m，K≤1×10-7cm/s</w:t>
                  </w:r>
                </w:p>
              </w:tc>
              <w:tc>
                <w:tcPr>
                  <w:tcW w:w="888" w:type="pct"/>
                  <w:vAlign w:val="center"/>
                </w:tcPr>
                <w:p w14:paraId="2065F7D9">
                  <w:pPr>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其他类型</w:t>
                  </w:r>
                </w:p>
              </w:tc>
            </w:tr>
          </w:tbl>
          <w:p w14:paraId="338A54FD">
            <w:pPr>
              <w:pStyle w:val="24"/>
              <w:spacing w:after="0" w:line="480" w:lineRule="exact"/>
              <w:ind w:left="0" w:leftChars="0"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③应急响应措施</w:t>
            </w:r>
          </w:p>
          <w:p w14:paraId="5CEB4A99">
            <w:pPr>
              <w:pStyle w:val="24"/>
              <w:spacing w:after="0" w:line="480" w:lineRule="exact"/>
              <w:ind w:left="0" w:leftChars="0"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制定风险事故应急响应的目的是为了在发生风险事故时，能以最快的速度发挥最大的效能，尽快控制事态的发展，降低事故对地下水及土壤的污染。根据地下水、土壤跟踪监测结果，一旦发现地下水和土壤污染事故，应立即启动应急预案。控制污染源，使用吸附材料及时处理泄漏污染物，或者将泄漏的液体引流到事故应急池及污水收集袋，切断污染物的入渗，并查清渗漏点，对渗漏点进行及时修复，以防止污染物进一步扩散蔓延，对已经受污染的地下水采取抽出-处理-回灌的方法进行处理，并继续跟踪监测地下水的水质状况。</w:t>
            </w:r>
          </w:p>
          <w:p w14:paraId="4999B483">
            <w:pPr>
              <w:pStyle w:val="24"/>
              <w:spacing w:after="0" w:line="480" w:lineRule="exact"/>
              <w:ind w:left="0" w:leftChars="0" w:firstLine="0" w:firstLineChars="0"/>
              <w:rPr>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5.3地下水、土壤环境影响分析</w:t>
            </w:r>
          </w:p>
          <w:p w14:paraId="28AED2C5">
            <w:pPr>
              <w:pStyle w:val="24"/>
              <w:spacing w:after="0" w:line="480" w:lineRule="exact"/>
              <w:ind w:left="0" w:leftChars="0"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项目可能对地下水、土壤产生影响的主要区域在危废堆场、一般固废仓库、生产车间、原料仓库、事故应急池，但因本项目一般防渗区、重点防渗区均考虑采取地下水防渗处理措施。正常生产过程中的跑冒滴漏不会下渗到地下水、土壤中。室外管道和阀门的跑冒滴漏水量较小，且本项目用地现状为工业用地，在确保各项防渗措施得以落实、加强维护和厂区环境管理的前提下，正常工况下对地下水、土壤基本无渗漏，污染较小。</w:t>
            </w:r>
          </w:p>
          <w:p w14:paraId="55D8867D">
            <w:pPr>
              <w:spacing w:line="480" w:lineRule="exact"/>
              <w:rPr>
                <w:b/>
                <w:bCs/>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t>6</w:t>
            </w:r>
            <w:r>
              <w:rPr>
                <w:b/>
                <w:bCs/>
                <w:color w:val="000000" w:themeColor="text1"/>
                <w:spacing w:val="-4"/>
                <w:sz w:val="24"/>
                <w14:textFill>
                  <w14:solidFill>
                    <w14:schemeClr w14:val="tx1"/>
                  </w14:solidFill>
                </w14:textFill>
              </w:rPr>
              <w:t>、生态</w:t>
            </w:r>
          </w:p>
          <w:p w14:paraId="6EAC48B7">
            <w:pPr>
              <w:pStyle w:val="8"/>
              <w:spacing w:before="0" w:after="0" w:line="480" w:lineRule="exact"/>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本项目利用现有厂房进行生产建设，不改变厂址内土地利用现状，对厂界外生态不产生影响。</w:t>
            </w:r>
          </w:p>
          <w:p w14:paraId="626E967B">
            <w:pPr>
              <w:spacing w:line="480" w:lineRule="exact"/>
              <w:rPr>
                <w:b/>
                <w:bCs/>
                <w:color w:val="000000" w:themeColor="text1"/>
                <w:spacing w:val="-4"/>
                <w:sz w:val="24"/>
                <w14:textFill>
                  <w14:solidFill>
                    <w14:schemeClr w14:val="tx1"/>
                  </w14:solidFill>
                </w14:textFill>
              </w:rPr>
            </w:pPr>
            <w:r>
              <w:rPr>
                <w:rFonts w:hint="eastAsia"/>
                <w:b/>
                <w:bCs/>
                <w:color w:val="000000" w:themeColor="text1"/>
                <w:spacing w:val="-4"/>
                <w:sz w:val="24"/>
                <w14:textFill>
                  <w14:solidFill>
                    <w14:schemeClr w14:val="tx1"/>
                  </w14:solidFill>
                </w14:textFill>
              </w:rPr>
              <w:t>7</w:t>
            </w:r>
            <w:r>
              <w:rPr>
                <w:b/>
                <w:bCs/>
                <w:color w:val="000000" w:themeColor="text1"/>
                <w:spacing w:val="-4"/>
                <w:sz w:val="24"/>
                <w14:textFill>
                  <w14:solidFill>
                    <w14:schemeClr w14:val="tx1"/>
                  </w14:solidFill>
                </w14:textFill>
              </w:rPr>
              <w:t>、环境风险</w:t>
            </w:r>
          </w:p>
          <w:p w14:paraId="478FCC38">
            <w:pPr>
              <w:adjustRightInd w:val="0"/>
              <w:snapToGrid w:val="0"/>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7.1风险物质识别</w:t>
            </w:r>
          </w:p>
          <w:p w14:paraId="729A4A85">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（1）评价依据</w:t>
            </w:r>
          </w:p>
          <w:p w14:paraId="2429C9C7">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①风险调查</w:t>
            </w:r>
          </w:p>
          <w:p w14:paraId="722E9BB3">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参照《建设项目环境风险评价技术导则》(HJ169-2018)附录B表B.1内容，本项目建成后风险物质主要为</w:t>
            </w:r>
            <w:r>
              <w:rPr>
                <w:rFonts w:hint="eastAsia"/>
                <w:color w:val="000000" w:themeColor="text1"/>
                <w:sz w:val="24"/>
                <w14:textFill>
                  <w14:solidFill>
                    <w14:schemeClr w14:val="tx1"/>
                  </w14:solidFill>
                </w14:textFill>
              </w:rPr>
              <w:t>乙醇、甲醇、乙腈以及</w:t>
            </w:r>
            <w:r>
              <w:rPr>
                <w:color w:val="000000" w:themeColor="text1"/>
                <w:sz w:val="24"/>
                <w14:textFill>
                  <w14:solidFill>
                    <w14:schemeClr w14:val="tx1"/>
                  </w14:solidFill>
                </w14:textFill>
              </w:rPr>
              <w:t>各类危废等。</w:t>
            </w:r>
          </w:p>
          <w:p w14:paraId="01181C04">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②风险潜势初判</w:t>
            </w:r>
          </w:p>
          <w:p w14:paraId="14F76DD8">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169-2018)中附录C，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14:paraId="733DA745">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当只涉及一种危险物质时，计算该物质的总量与其临界量比值，即为Q；</w:t>
            </w:r>
          </w:p>
          <w:p w14:paraId="1F47096D">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当存在多种危险物质时，则按下式计算物质总量与其临界量比值（Q）：</w:t>
            </w:r>
          </w:p>
          <w:p w14:paraId="03416681">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drawing>
                <wp:anchor distT="0" distB="0" distL="114300" distR="114300" simplePos="0" relativeHeight="251659264" behindDoc="0" locked="0" layoutInCell="1" allowOverlap="1">
                  <wp:simplePos x="0" y="0"/>
                  <wp:positionH relativeFrom="column">
                    <wp:posOffset>1445260</wp:posOffset>
                  </wp:positionH>
                  <wp:positionV relativeFrom="paragraph">
                    <wp:posOffset>70485</wp:posOffset>
                  </wp:positionV>
                  <wp:extent cx="1657350" cy="427990"/>
                  <wp:effectExtent l="0" t="0" r="0" b="10160"/>
                  <wp:wrapNone/>
                  <wp:docPr id="4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10"/>
                          <pic:cNvPicPr>
                            <a:picLocks noChangeAspect="1"/>
                          </pic:cNvPicPr>
                        </pic:nvPicPr>
                        <pic:blipFill>
                          <a:blip r:embed="rId28"/>
                          <a:stretch>
                            <a:fillRect/>
                          </a:stretch>
                        </pic:blipFill>
                        <pic:spPr>
                          <a:xfrm>
                            <a:off x="0" y="0"/>
                            <a:ext cx="1657350" cy="427990"/>
                          </a:xfrm>
                          <a:prstGeom prst="rect">
                            <a:avLst/>
                          </a:prstGeom>
                          <a:noFill/>
                          <a:ln>
                            <a:noFill/>
                          </a:ln>
                        </pic:spPr>
                      </pic:pic>
                    </a:graphicData>
                  </a:graphic>
                </wp:anchor>
              </w:drawing>
            </w:r>
          </w:p>
          <w:p w14:paraId="7F061669">
            <w:pPr>
              <w:adjustRightInd w:val="0"/>
              <w:snapToGrid w:val="0"/>
              <w:spacing w:line="480" w:lineRule="exact"/>
              <w:ind w:firstLine="480" w:firstLineChars="200"/>
              <w:rPr>
                <w:color w:val="000000" w:themeColor="text1"/>
                <w:sz w:val="24"/>
                <w14:textFill>
                  <w14:solidFill>
                    <w14:schemeClr w14:val="tx1"/>
                  </w14:solidFill>
                </w14:textFill>
              </w:rPr>
            </w:pPr>
          </w:p>
          <w:p w14:paraId="2796B927">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式中：q1，q2，...，qn——每种危险物质的最大存在总量，t；</w:t>
            </w:r>
          </w:p>
          <w:p w14:paraId="5C49D313">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Q1,Q2，...，Qn——每种危险物质的临界量，t。</w:t>
            </w:r>
          </w:p>
          <w:p w14:paraId="17336BCD">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·当Q&lt;1时，该项目环境风险潜势为Ⅰ。</w:t>
            </w:r>
          </w:p>
          <w:p w14:paraId="2ABB6088">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当Q≥1时，将Q值划分为：1≤Q&lt;10；10≤Q&lt;100；Q≥100。</w:t>
            </w:r>
          </w:p>
          <w:p w14:paraId="7172F8B3">
            <w:pPr>
              <w:ind w:firstLine="422" w:firstLineChars="20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表4-</w:t>
            </w:r>
            <w:r>
              <w:rPr>
                <w:rFonts w:hint="eastAsia"/>
                <w:b/>
                <w:bCs/>
                <w:color w:val="000000" w:themeColor="text1"/>
                <w:kern w:val="0"/>
                <w:szCs w:val="21"/>
                <w14:textFill>
                  <w14:solidFill>
                    <w14:schemeClr w14:val="tx1"/>
                  </w14:solidFill>
                </w14:textFill>
              </w:rPr>
              <w:t>19</w:t>
            </w:r>
            <w:r>
              <w:rPr>
                <w:b/>
                <w:bCs/>
                <w:color w:val="000000" w:themeColor="text1"/>
                <w:kern w:val="0"/>
                <w:szCs w:val="21"/>
                <w14:textFill>
                  <w14:solidFill>
                    <w14:schemeClr w14:val="tx1"/>
                  </w14:solidFill>
                </w14:textFill>
              </w:rPr>
              <w:t xml:space="preserve">  Q值计算结果一览表</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829"/>
              <w:gridCol w:w="2025"/>
              <w:gridCol w:w="1770"/>
              <w:gridCol w:w="1598"/>
              <w:gridCol w:w="1372"/>
              <w:gridCol w:w="1735"/>
            </w:tblGrid>
            <w:tr w14:paraId="6FBF01B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tblHeader/>
                <w:jc w:val="center"/>
              </w:trPr>
              <w:tc>
                <w:tcPr>
                  <w:tcW w:w="444" w:type="pct"/>
                  <w:tcMar>
                    <w:top w:w="0" w:type="dxa"/>
                    <w:left w:w="108" w:type="dxa"/>
                    <w:bottom w:w="0" w:type="dxa"/>
                    <w:right w:w="108" w:type="dxa"/>
                  </w:tcMar>
                  <w:vAlign w:val="center"/>
                </w:tcPr>
                <w:p w14:paraId="62BBED2D">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序号</w:t>
                  </w:r>
                </w:p>
              </w:tc>
              <w:tc>
                <w:tcPr>
                  <w:tcW w:w="1085" w:type="pct"/>
                  <w:tcMar>
                    <w:top w:w="0" w:type="dxa"/>
                    <w:left w:w="108" w:type="dxa"/>
                    <w:bottom w:w="0" w:type="dxa"/>
                    <w:right w:w="108" w:type="dxa"/>
                  </w:tcMar>
                  <w:vAlign w:val="center"/>
                </w:tcPr>
                <w:p w14:paraId="5E86C4D1">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物质名称</w:t>
                  </w:r>
                </w:p>
              </w:tc>
              <w:tc>
                <w:tcPr>
                  <w:tcW w:w="948" w:type="pct"/>
                  <w:tcMar>
                    <w:top w:w="0" w:type="dxa"/>
                    <w:left w:w="108" w:type="dxa"/>
                    <w:bottom w:w="0" w:type="dxa"/>
                    <w:right w:w="108" w:type="dxa"/>
                  </w:tcMar>
                  <w:vAlign w:val="center"/>
                </w:tcPr>
                <w:p w14:paraId="73396E39">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CAS号</w:t>
                  </w:r>
                </w:p>
              </w:tc>
              <w:tc>
                <w:tcPr>
                  <w:tcW w:w="855" w:type="pct"/>
                  <w:tcMar>
                    <w:top w:w="0" w:type="dxa"/>
                    <w:left w:w="108" w:type="dxa"/>
                    <w:bottom w:w="0" w:type="dxa"/>
                    <w:right w:w="108" w:type="dxa"/>
                  </w:tcMar>
                  <w:vAlign w:val="center"/>
                </w:tcPr>
                <w:p w14:paraId="7D467AE9">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最大存在总量（吨）</w:t>
                  </w:r>
                </w:p>
              </w:tc>
              <w:tc>
                <w:tcPr>
                  <w:tcW w:w="735" w:type="pct"/>
                  <w:tcMar>
                    <w:top w:w="0" w:type="dxa"/>
                    <w:left w:w="108" w:type="dxa"/>
                    <w:bottom w:w="0" w:type="dxa"/>
                    <w:right w:w="108" w:type="dxa"/>
                  </w:tcMar>
                  <w:vAlign w:val="center"/>
                </w:tcPr>
                <w:p w14:paraId="13E646BE">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临界量（吨）</w:t>
                  </w:r>
                </w:p>
              </w:tc>
              <w:tc>
                <w:tcPr>
                  <w:tcW w:w="930" w:type="pct"/>
                  <w:tcMar>
                    <w:top w:w="0" w:type="dxa"/>
                    <w:left w:w="108" w:type="dxa"/>
                    <w:bottom w:w="0" w:type="dxa"/>
                    <w:right w:w="108" w:type="dxa"/>
                  </w:tcMar>
                  <w:vAlign w:val="center"/>
                </w:tcPr>
                <w:p w14:paraId="0434918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物质数量与临界量比值（Q）</w:t>
                  </w:r>
                </w:p>
              </w:tc>
            </w:tr>
            <w:tr w14:paraId="08D67A1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98" w:hRule="atLeast"/>
                <w:tblHeader/>
                <w:jc w:val="center"/>
              </w:trPr>
              <w:tc>
                <w:tcPr>
                  <w:tcW w:w="444" w:type="pct"/>
                  <w:tcMar>
                    <w:top w:w="0" w:type="dxa"/>
                    <w:left w:w="108" w:type="dxa"/>
                    <w:bottom w:w="0" w:type="dxa"/>
                    <w:right w:w="108" w:type="dxa"/>
                  </w:tcMar>
                  <w:vAlign w:val="center"/>
                </w:tcPr>
                <w:p w14:paraId="0DB0B87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085" w:type="pct"/>
                  <w:tcMar>
                    <w:top w:w="0" w:type="dxa"/>
                    <w:left w:w="108" w:type="dxa"/>
                    <w:bottom w:w="0" w:type="dxa"/>
                    <w:right w:w="108" w:type="dxa"/>
                  </w:tcMar>
                  <w:vAlign w:val="center"/>
                </w:tcPr>
                <w:p w14:paraId="4FA2A7D8">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乙醇</w:t>
                  </w:r>
                </w:p>
              </w:tc>
              <w:tc>
                <w:tcPr>
                  <w:tcW w:w="948" w:type="pct"/>
                  <w:tcMar>
                    <w:top w:w="0" w:type="dxa"/>
                    <w:left w:w="108" w:type="dxa"/>
                    <w:bottom w:w="0" w:type="dxa"/>
                    <w:right w:w="108" w:type="dxa"/>
                  </w:tcMar>
                  <w:vAlign w:val="center"/>
                </w:tcPr>
                <w:p w14:paraId="2E0DDCCA">
                  <w:pPr>
                    <w:kinsoku w:val="0"/>
                    <w:overflowPunct w:val="0"/>
                    <w:ind w:left="3"/>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64-17-5</w:t>
                  </w:r>
                </w:p>
              </w:tc>
              <w:tc>
                <w:tcPr>
                  <w:tcW w:w="855" w:type="pct"/>
                  <w:tcMar>
                    <w:top w:w="0" w:type="dxa"/>
                    <w:left w:w="108" w:type="dxa"/>
                    <w:bottom w:w="0" w:type="dxa"/>
                    <w:right w:w="108" w:type="dxa"/>
                  </w:tcMar>
                  <w:vAlign w:val="center"/>
                </w:tcPr>
                <w:p w14:paraId="64DC0A9F">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0.004</w:t>
                  </w:r>
                </w:p>
              </w:tc>
              <w:tc>
                <w:tcPr>
                  <w:tcW w:w="735" w:type="pct"/>
                  <w:tcMar>
                    <w:top w:w="0" w:type="dxa"/>
                    <w:left w:w="108" w:type="dxa"/>
                    <w:bottom w:w="0" w:type="dxa"/>
                    <w:right w:w="108" w:type="dxa"/>
                  </w:tcMar>
                  <w:vAlign w:val="center"/>
                </w:tcPr>
                <w:p w14:paraId="68905C69">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930" w:type="pct"/>
                  <w:tcMar>
                    <w:top w:w="0" w:type="dxa"/>
                    <w:left w:w="108" w:type="dxa"/>
                    <w:bottom w:w="0" w:type="dxa"/>
                    <w:right w:w="108" w:type="dxa"/>
                  </w:tcMar>
                  <w:vAlign w:val="center"/>
                </w:tcPr>
                <w:p w14:paraId="05362282">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0.0004</w:t>
                  </w:r>
                </w:p>
              </w:tc>
            </w:tr>
            <w:tr w14:paraId="48CB1809">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98" w:hRule="atLeast"/>
                <w:tblHeader/>
                <w:jc w:val="center"/>
              </w:trPr>
              <w:tc>
                <w:tcPr>
                  <w:tcW w:w="444" w:type="pct"/>
                  <w:tcMar>
                    <w:top w:w="0" w:type="dxa"/>
                    <w:left w:w="108" w:type="dxa"/>
                    <w:bottom w:w="0" w:type="dxa"/>
                    <w:right w:w="108" w:type="dxa"/>
                  </w:tcMar>
                  <w:vAlign w:val="center"/>
                </w:tcPr>
                <w:p w14:paraId="2716AC4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1085" w:type="pct"/>
                  <w:tcMar>
                    <w:top w:w="0" w:type="dxa"/>
                    <w:left w:w="108" w:type="dxa"/>
                    <w:bottom w:w="0" w:type="dxa"/>
                    <w:right w:w="108" w:type="dxa"/>
                  </w:tcMar>
                  <w:vAlign w:val="center"/>
                </w:tcPr>
                <w:p w14:paraId="2BDC1D86">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氢氧化钠</w:t>
                  </w:r>
                </w:p>
              </w:tc>
              <w:tc>
                <w:tcPr>
                  <w:tcW w:w="948" w:type="pct"/>
                  <w:tcMar>
                    <w:top w:w="0" w:type="dxa"/>
                    <w:left w:w="108" w:type="dxa"/>
                    <w:bottom w:w="0" w:type="dxa"/>
                    <w:right w:w="108" w:type="dxa"/>
                  </w:tcMar>
                  <w:vAlign w:val="center"/>
                </w:tcPr>
                <w:p w14:paraId="36656F94">
                  <w:pPr>
                    <w:kinsoku w:val="0"/>
                    <w:overflowPunct w:val="0"/>
                    <w:ind w:left="3"/>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1310-73-2</w:t>
                  </w:r>
                </w:p>
              </w:tc>
              <w:tc>
                <w:tcPr>
                  <w:tcW w:w="855" w:type="pct"/>
                  <w:tcMar>
                    <w:top w:w="0" w:type="dxa"/>
                    <w:left w:w="108" w:type="dxa"/>
                    <w:bottom w:w="0" w:type="dxa"/>
                    <w:right w:w="108" w:type="dxa"/>
                  </w:tcMar>
                  <w:vAlign w:val="center"/>
                </w:tcPr>
                <w:p w14:paraId="6C7648B2">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w:t>
                  </w:r>
                </w:p>
              </w:tc>
              <w:tc>
                <w:tcPr>
                  <w:tcW w:w="735" w:type="pct"/>
                  <w:tcMar>
                    <w:top w:w="0" w:type="dxa"/>
                    <w:left w:w="108" w:type="dxa"/>
                    <w:bottom w:w="0" w:type="dxa"/>
                    <w:right w:w="108" w:type="dxa"/>
                  </w:tcMar>
                  <w:vAlign w:val="center"/>
                </w:tcPr>
                <w:p w14:paraId="10CFBCE4">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930" w:type="pct"/>
                  <w:tcMar>
                    <w:top w:w="0" w:type="dxa"/>
                    <w:left w:w="108" w:type="dxa"/>
                    <w:bottom w:w="0" w:type="dxa"/>
                    <w:right w:w="108" w:type="dxa"/>
                  </w:tcMar>
                  <w:vAlign w:val="center"/>
                </w:tcPr>
                <w:p w14:paraId="0C8E43C8">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w:t>
                  </w:r>
                </w:p>
              </w:tc>
            </w:tr>
            <w:tr w14:paraId="49A462BE">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98" w:hRule="atLeast"/>
                <w:tblHeader/>
                <w:jc w:val="center"/>
              </w:trPr>
              <w:tc>
                <w:tcPr>
                  <w:tcW w:w="444" w:type="pct"/>
                  <w:tcMar>
                    <w:top w:w="0" w:type="dxa"/>
                    <w:left w:w="108" w:type="dxa"/>
                    <w:bottom w:w="0" w:type="dxa"/>
                    <w:right w:w="108" w:type="dxa"/>
                  </w:tcMar>
                  <w:vAlign w:val="center"/>
                </w:tcPr>
                <w:p w14:paraId="3265FCF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1085" w:type="pct"/>
                  <w:tcMar>
                    <w:top w:w="0" w:type="dxa"/>
                    <w:left w:w="108" w:type="dxa"/>
                    <w:bottom w:w="0" w:type="dxa"/>
                    <w:right w:w="108" w:type="dxa"/>
                  </w:tcMar>
                  <w:vAlign w:val="center"/>
                </w:tcPr>
                <w:p w14:paraId="0DA58411">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硫酸铵</w:t>
                  </w:r>
                </w:p>
              </w:tc>
              <w:tc>
                <w:tcPr>
                  <w:tcW w:w="948" w:type="pct"/>
                  <w:tcMar>
                    <w:top w:w="0" w:type="dxa"/>
                    <w:left w:w="108" w:type="dxa"/>
                    <w:bottom w:w="0" w:type="dxa"/>
                    <w:right w:w="108" w:type="dxa"/>
                  </w:tcMar>
                  <w:vAlign w:val="center"/>
                </w:tcPr>
                <w:p w14:paraId="21C843D7">
                  <w:pPr>
                    <w:pStyle w:val="99"/>
                    <w:rPr>
                      <w:color w:val="000000" w:themeColor="text1"/>
                      <w:kern w:val="0"/>
                      <w:sz w:val="21"/>
                      <w:szCs w:val="21"/>
                      <w:lang w:bidi="ar"/>
                      <w14:textFill>
                        <w14:solidFill>
                          <w14:schemeClr w14:val="tx1"/>
                        </w14:solidFill>
                      </w14:textFill>
                    </w:rPr>
                  </w:pPr>
                  <w:r>
                    <w:rPr>
                      <w:color w:val="000000" w:themeColor="text1"/>
                      <w:sz w:val="21"/>
                      <w:szCs w:val="21"/>
                      <w14:textFill>
                        <w14:solidFill>
                          <w14:schemeClr w14:val="tx1"/>
                        </w14:solidFill>
                      </w14:textFill>
                    </w:rPr>
                    <w:t>77783-20-2</w:t>
                  </w:r>
                </w:p>
              </w:tc>
              <w:tc>
                <w:tcPr>
                  <w:tcW w:w="855" w:type="pct"/>
                  <w:tcMar>
                    <w:top w:w="0" w:type="dxa"/>
                    <w:left w:w="108" w:type="dxa"/>
                    <w:bottom w:w="0" w:type="dxa"/>
                    <w:right w:w="108" w:type="dxa"/>
                  </w:tcMar>
                  <w:vAlign w:val="center"/>
                </w:tcPr>
                <w:p w14:paraId="1ADF4368">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w:t>
                  </w:r>
                </w:p>
              </w:tc>
              <w:tc>
                <w:tcPr>
                  <w:tcW w:w="735" w:type="pct"/>
                  <w:tcMar>
                    <w:top w:w="0" w:type="dxa"/>
                    <w:left w:w="108" w:type="dxa"/>
                    <w:bottom w:w="0" w:type="dxa"/>
                    <w:right w:w="108" w:type="dxa"/>
                  </w:tcMar>
                  <w:vAlign w:val="center"/>
                </w:tcPr>
                <w:p w14:paraId="0229BE62">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930" w:type="pct"/>
                  <w:tcMar>
                    <w:top w:w="0" w:type="dxa"/>
                    <w:left w:w="108" w:type="dxa"/>
                    <w:bottom w:w="0" w:type="dxa"/>
                    <w:right w:w="108" w:type="dxa"/>
                  </w:tcMar>
                  <w:vAlign w:val="center"/>
                </w:tcPr>
                <w:p w14:paraId="167961AA">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0.0001</w:t>
                  </w:r>
                </w:p>
              </w:tc>
            </w:tr>
            <w:tr w14:paraId="22F84B70">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98" w:hRule="atLeast"/>
                <w:tblHeader/>
                <w:jc w:val="center"/>
              </w:trPr>
              <w:tc>
                <w:tcPr>
                  <w:tcW w:w="444" w:type="pct"/>
                  <w:tcMar>
                    <w:top w:w="0" w:type="dxa"/>
                    <w:left w:w="108" w:type="dxa"/>
                    <w:bottom w:w="0" w:type="dxa"/>
                    <w:right w:w="108" w:type="dxa"/>
                  </w:tcMar>
                  <w:vAlign w:val="center"/>
                </w:tcPr>
                <w:p w14:paraId="426CF56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p>
              </w:tc>
              <w:tc>
                <w:tcPr>
                  <w:tcW w:w="1085" w:type="pct"/>
                  <w:tcMar>
                    <w:top w:w="0" w:type="dxa"/>
                    <w:left w:w="108" w:type="dxa"/>
                    <w:bottom w:w="0" w:type="dxa"/>
                    <w:right w:w="108" w:type="dxa"/>
                  </w:tcMar>
                  <w:vAlign w:val="center"/>
                </w:tcPr>
                <w:p w14:paraId="690F5D36">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乙腈</w:t>
                  </w:r>
                </w:p>
              </w:tc>
              <w:tc>
                <w:tcPr>
                  <w:tcW w:w="948" w:type="pct"/>
                  <w:tcMar>
                    <w:top w:w="0" w:type="dxa"/>
                    <w:left w:w="108" w:type="dxa"/>
                    <w:bottom w:w="0" w:type="dxa"/>
                    <w:right w:w="108" w:type="dxa"/>
                  </w:tcMar>
                  <w:vAlign w:val="center"/>
                </w:tcPr>
                <w:p w14:paraId="0D77D6EF">
                  <w:pPr>
                    <w:pStyle w:val="99"/>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75-05-8</w:t>
                  </w:r>
                </w:p>
              </w:tc>
              <w:tc>
                <w:tcPr>
                  <w:tcW w:w="855" w:type="pct"/>
                  <w:tcMar>
                    <w:top w:w="0" w:type="dxa"/>
                    <w:left w:w="108" w:type="dxa"/>
                    <w:bottom w:w="0" w:type="dxa"/>
                    <w:right w:w="108" w:type="dxa"/>
                  </w:tcMar>
                  <w:vAlign w:val="center"/>
                </w:tcPr>
                <w:p w14:paraId="497D3B08">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w:t>
                  </w:r>
                </w:p>
              </w:tc>
              <w:tc>
                <w:tcPr>
                  <w:tcW w:w="735" w:type="pct"/>
                  <w:tcMar>
                    <w:top w:w="0" w:type="dxa"/>
                    <w:left w:w="108" w:type="dxa"/>
                    <w:bottom w:w="0" w:type="dxa"/>
                    <w:right w:w="108" w:type="dxa"/>
                  </w:tcMar>
                  <w:vAlign w:val="center"/>
                </w:tcPr>
                <w:p w14:paraId="644E8230">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930" w:type="pct"/>
                  <w:tcMar>
                    <w:top w:w="0" w:type="dxa"/>
                    <w:left w:w="108" w:type="dxa"/>
                    <w:bottom w:w="0" w:type="dxa"/>
                    <w:right w:w="108" w:type="dxa"/>
                  </w:tcMar>
                  <w:vAlign w:val="center"/>
                </w:tcPr>
                <w:p w14:paraId="32E554F0">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0.0001</w:t>
                  </w:r>
                </w:p>
              </w:tc>
            </w:tr>
            <w:tr w14:paraId="7535D9E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98" w:hRule="atLeast"/>
                <w:tblHeader/>
                <w:jc w:val="center"/>
              </w:trPr>
              <w:tc>
                <w:tcPr>
                  <w:tcW w:w="444" w:type="pct"/>
                  <w:tcMar>
                    <w:top w:w="0" w:type="dxa"/>
                    <w:left w:w="108" w:type="dxa"/>
                    <w:bottom w:w="0" w:type="dxa"/>
                    <w:right w:w="108" w:type="dxa"/>
                  </w:tcMar>
                  <w:vAlign w:val="center"/>
                </w:tcPr>
                <w:p w14:paraId="2A72CFC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c>
                <w:tcPr>
                  <w:tcW w:w="1085" w:type="pct"/>
                  <w:tcMar>
                    <w:top w:w="0" w:type="dxa"/>
                    <w:left w:w="108" w:type="dxa"/>
                    <w:bottom w:w="0" w:type="dxa"/>
                    <w:right w:w="108" w:type="dxa"/>
                  </w:tcMar>
                  <w:vAlign w:val="center"/>
                </w:tcPr>
                <w:p w14:paraId="1199885E">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甲醇</w:t>
                  </w:r>
                </w:p>
              </w:tc>
              <w:tc>
                <w:tcPr>
                  <w:tcW w:w="948" w:type="pct"/>
                  <w:tcMar>
                    <w:top w:w="0" w:type="dxa"/>
                    <w:left w:w="108" w:type="dxa"/>
                    <w:bottom w:w="0" w:type="dxa"/>
                    <w:right w:w="108" w:type="dxa"/>
                  </w:tcMar>
                  <w:vAlign w:val="center"/>
                </w:tcPr>
                <w:p w14:paraId="4A1142C8">
                  <w:pPr>
                    <w:pStyle w:val="99"/>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67-56-1</w:t>
                  </w:r>
                </w:p>
              </w:tc>
              <w:tc>
                <w:tcPr>
                  <w:tcW w:w="855" w:type="pct"/>
                  <w:tcMar>
                    <w:top w:w="0" w:type="dxa"/>
                    <w:left w:w="108" w:type="dxa"/>
                    <w:bottom w:w="0" w:type="dxa"/>
                    <w:right w:w="108" w:type="dxa"/>
                  </w:tcMar>
                  <w:vAlign w:val="center"/>
                </w:tcPr>
                <w:p w14:paraId="133BDB2F">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w:t>
                  </w:r>
                </w:p>
              </w:tc>
              <w:tc>
                <w:tcPr>
                  <w:tcW w:w="735" w:type="pct"/>
                  <w:tcMar>
                    <w:top w:w="0" w:type="dxa"/>
                    <w:left w:w="108" w:type="dxa"/>
                    <w:bottom w:w="0" w:type="dxa"/>
                    <w:right w:w="108" w:type="dxa"/>
                  </w:tcMar>
                  <w:vAlign w:val="center"/>
                </w:tcPr>
                <w:p w14:paraId="7A545C75">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930" w:type="pct"/>
                  <w:tcMar>
                    <w:top w:w="0" w:type="dxa"/>
                    <w:left w:w="108" w:type="dxa"/>
                    <w:bottom w:w="0" w:type="dxa"/>
                    <w:right w:w="108" w:type="dxa"/>
                  </w:tcMar>
                  <w:vAlign w:val="center"/>
                </w:tcPr>
                <w:p w14:paraId="116BF229">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0.0001</w:t>
                  </w:r>
                </w:p>
              </w:tc>
            </w:tr>
            <w:tr w14:paraId="060E8A0F">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98" w:hRule="atLeast"/>
                <w:tblHeader/>
                <w:jc w:val="center"/>
              </w:trPr>
              <w:tc>
                <w:tcPr>
                  <w:tcW w:w="444" w:type="pct"/>
                  <w:tcMar>
                    <w:top w:w="0" w:type="dxa"/>
                    <w:left w:w="108" w:type="dxa"/>
                    <w:bottom w:w="0" w:type="dxa"/>
                    <w:right w:w="108" w:type="dxa"/>
                  </w:tcMar>
                  <w:vAlign w:val="center"/>
                </w:tcPr>
                <w:p w14:paraId="2DF51F9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c>
                <w:tcPr>
                  <w:tcW w:w="1085" w:type="pct"/>
                  <w:tcMar>
                    <w:top w:w="0" w:type="dxa"/>
                    <w:left w:w="108" w:type="dxa"/>
                    <w:bottom w:w="0" w:type="dxa"/>
                    <w:right w:w="108" w:type="dxa"/>
                  </w:tcMar>
                  <w:vAlign w:val="center"/>
                </w:tcPr>
                <w:p w14:paraId="2FC92E22">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w:t>
                  </w:r>
                </w:p>
              </w:tc>
              <w:tc>
                <w:tcPr>
                  <w:tcW w:w="948" w:type="pct"/>
                  <w:tcMar>
                    <w:top w:w="0" w:type="dxa"/>
                    <w:left w:w="108" w:type="dxa"/>
                    <w:bottom w:w="0" w:type="dxa"/>
                    <w:right w:w="108" w:type="dxa"/>
                  </w:tcMar>
                  <w:vAlign w:val="center"/>
                </w:tcPr>
                <w:p w14:paraId="53FB9F20">
                  <w:pPr>
                    <w:kinsoku w:val="0"/>
                    <w:overflowPunct w:val="0"/>
                    <w:ind w:left="3"/>
                    <w:jc w:val="center"/>
                    <w:rPr>
                      <w:color w:val="000000" w:themeColor="text1"/>
                      <w:szCs w:val="21"/>
                      <w14:textFill>
                        <w14:solidFill>
                          <w14:schemeClr w14:val="tx1"/>
                        </w14:solidFill>
                      </w14:textFill>
                    </w:rPr>
                  </w:pPr>
                  <w:bookmarkStart w:id="31" w:name="OLE_LINK1"/>
                  <w:r>
                    <w:rPr>
                      <w:color w:val="000000" w:themeColor="text1"/>
                      <w:szCs w:val="21"/>
                      <w14:textFill>
                        <w14:solidFill>
                          <w14:schemeClr w14:val="tx1"/>
                        </w14:solidFill>
                      </w14:textFill>
                    </w:rPr>
                    <w:t>/</w:t>
                  </w:r>
                  <w:bookmarkEnd w:id="31"/>
                </w:p>
              </w:tc>
              <w:tc>
                <w:tcPr>
                  <w:tcW w:w="855" w:type="pct"/>
                  <w:tcMar>
                    <w:top w:w="0" w:type="dxa"/>
                    <w:left w:w="108" w:type="dxa"/>
                    <w:bottom w:w="0" w:type="dxa"/>
                    <w:right w:w="108" w:type="dxa"/>
                  </w:tcMar>
                  <w:vAlign w:val="center"/>
                </w:tcPr>
                <w:p w14:paraId="7714611E">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87</w:t>
                  </w:r>
                </w:p>
              </w:tc>
              <w:tc>
                <w:tcPr>
                  <w:tcW w:w="735" w:type="pct"/>
                  <w:tcMar>
                    <w:top w:w="0" w:type="dxa"/>
                    <w:left w:w="108" w:type="dxa"/>
                    <w:bottom w:w="0" w:type="dxa"/>
                    <w:right w:w="108" w:type="dxa"/>
                  </w:tcMar>
                  <w:vAlign w:val="center"/>
                </w:tcPr>
                <w:p w14:paraId="63DEBB93">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w:t>
                  </w:r>
                </w:p>
              </w:tc>
              <w:tc>
                <w:tcPr>
                  <w:tcW w:w="930" w:type="pct"/>
                  <w:tcMar>
                    <w:top w:w="0" w:type="dxa"/>
                    <w:left w:w="108" w:type="dxa"/>
                    <w:bottom w:w="0" w:type="dxa"/>
                    <w:right w:w="108" w:type="dxa"/>
                  </w:tcMar>
                  <w:vAlign w:val="center"/>
                </w:tcPr>
                <w:p w14:paraId="72CEE405">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0.087</w:t>
                  </w:r>
                </w:p>
              </w:tc>
            </w:tr>
            <w:tr w14:paraId="7FF7A5D9">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jc w:val="center"/>
              </w:trPr>
              <w:tc>
                <w:tcPr>
                  <w:tcW w:w="3333" w:type="pct"/>
                  <w:gridSpan w:val="4"/>
                  <w:tcMar>
                    <w:top w:w="0" w:type="dxa"/>
                    <w:left w:w="108" w:type="dxa"/>
                    <w:bottom w:w="0" w:type="dxa"/>
                    <w:right w:w="108" w:type="dxa"/>
                  </w:tcMar>
                  <w:vAlign w:val="center"/>
                </w:tcPr>
                <w:p w14:paraId="76D306D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合计</w:t>
                  </w:r>
                </w:p>
              </w:tc>
              <w:tc>
                <w:tcPr>
                  <w:tcW w:w="735" w:type="pct"/>
                  <w:tcMar>
                    <w:top w:w="0" w:type="dxa"/>
                    <w:left w:w="108" w:type="dxa"/>
                    <w:bottom w:w="0" w:type="dxa"/>
                    <w:right w:w="108" w:type="dxa"/>
                  </w:tcMar>
                  <w:vAlign w:val="center"/>
                </w:tcPr>
                <w:p w14:paraId="18BA321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30" w:type="pct"/>
                  <w:tcMar>
                    <w:top w:w="0" w:type="dxa"/>
                    <w:left w:w="108" w:type="dxa"/>
                    <w:bottom w:w="0" w:type="dxa"/>
                    <w:right w:w="108" w:type="dxa"/>
                  </w:tcMar>
                  <w:vAlign w:val="center"/>
                </w:tcPr>
                <w:p w14:paraId="3A2030A9">
                  <w:pPr>
                    <w:autoSpaceDE w:val="0"/>
                    <w:autoSpaceDN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0.08772</w:t>
                  </w:r>
                </w:p>
              </w:tc>
            </w:tr>
          </w:tbl>
          <w:p w14:paraId="5AA26998">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根据以上分析，本项目Q&lt;1，故环境风险潜势为Ⅰ。</w:t>
            </w:r>
          </w:p>
          <w:p w14:paraId="23B9DE7D">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③评价等级判定</w:t>
            </w:r>
          </w:p>
          <w:p w14:paraId="2C9914F6">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根据《建设项目环境风险评价技术导则》(HJ169-2018)表1，环境风险评价等级划分为一级、二级、三级，对照下表进行评价工作等级判定。</w:t>
            </w:r>
          </w:p>
          <w:p w14:paraId="07C5FA03">
            <w:pPr>
              <w:adjustRightInd w:val="0"/>
              <w:snapToGrid w:val="0"/>
              <w:spacing w:line="360" w:lineRule="exact"/>
              <w:ind w:firstLine="422" w:firstLineChars="2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表4-2</w:t>
            </w:r>
            <w:r>
              <w:rPr>
                <w:rFonts w:hint="eastAsia"/>
                <w:b/>
                <w:bCs/>
                <w:color w:val="000000" w:themeColor="text1"/>
                <w:szCs w:val="21"/>
                <w14:textFill>
                  <w14:solidFill>
                    <w14:schemeClr w14:val="tx1"/>
                  </w14:solidFill>
                </w14:textFill>
              </w:rPr>
              <w:t>0</w:t>
            </w:r>
            <w:r>
              <w:rPr>
                <w:b/>
                <w:bCs/>
                <w:color w:val="000000" w:themeColor="text1"/>
                <w:szCs w:val="21"/>
                <w14:textFill>
                  <w14:solidFill>
                    <w14:schemeClr w14:val="tx1"/>
                  </w14:solidFill>
                </w14:textFill>
              </w:rPr>
              <w:t xml:space="preserve">  评价工作等级划分</w:t>
            </w:r>
          </w:p>
          <w:tbl>
            <w:tblPr>
              <w:tblStyle w:val="25"/>
              <w:tblW w:w="4998" w:type="pct"/>
              <w:tblInd w:w="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865"/>
              <w:gridCol w:w="1866"/>
              <w:gridCol w:w="1866"/>
              <w:gridCol w:w="1866"/>
              <w:gridCol w:w="1866"/>
            </w:tblGrid>
            <w:tr w14:paraId="57837DD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13" w:hRule="atLeast"/>
              </w:trPr>
              <w:tc>
                <w:tcPr>
                  <w:tcW w:w="1000" w:type="pct"/>
                  <w:vAlign w:val="center"/>
                </w:tcPr>
                <w:p w14:paraId="5114F3FF">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环境风险潜势</w:t>
                  </w:r>
                </w:p>
              </w:tc>
              <w:tc>
                <w:tcPr>
                  <w:tcW w:w="1000" w:type="pct"/>
                  <w:vAlign w:val="center"/>
                </w:tcPr>
                <w:p w14:paraId="2BE14C3D">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Ⅳ、Ⅳ+</w:t>
                  </w:r>
                </w:p>
              </w:tc>
              <w:tc>
                <w:tcPr>
                  <w:tcW w:w="1000" w:type="pct"/>
                  <w:vAlign w:val="center"/>
                </w:tcPr>
                <w:p w14:paraId="7D368863">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Ⅲ</w:t>
                  </w:r>
                </w:p>
              </w:tc>
              <w:tc>
                <w:tcPr>
                  <w:tcW w:w="1000" w:type="pct"/>
                  <w:vAlign w:val="center"/>
                </w:tcPr>
                <w:p w14:paraId="301B4211">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Ⅱ</w:t>
                  </w:r>
                </w:p>
              </w:tc>
              <w:tc>
                <w:tcPr>
                  <w:tcW w:w="1000" w:type="pct"/>
                  <w:vAlign w:val="center"/>
                </w:tcPr>
                <w:p w14:paraId="20C242A5">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Ⅰ</w:t>
                  </w:r>
                </w:p>
              </w:tc>
            </w:tr>
            <w:tr w14:paraId="3B827FE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16" w:hRule="atLeast"/>
              </w:trPr>
              <w:tc>
                <w:tcPr>
                  <w:tcW w:w="1000" w:type="pct"/>
                  <w:vAlign w:val="center"/>
                </w:tcPr>
                <w:p w14:paraId="6A7EBED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评价工作等级</w:t>
                  </w:r>
                </w:p>
              </w:tc>
              <w:tc>
                <w:tcPr>
                  <w:tcW w:w="1000" w:type="pct"/>
                  <w:vAlign w:val="center"/>
                </w:tcPr>
                <w:p w14:paraId="1B6D6C3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w:t>
                  </w:r>
                </w:p>
              </w:tc>
              <w:tc>
                <w:tcPr>
                  <w:tcW w:w="1000" w:type="pct"/>
                  <w:vAlign w:val="center"/>
                </w:tcPr>
                <w:p w14:paraId="4FDC855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w:t>
                  </w:r>
                </w:p>
              </w:tc>
              <w:tc>
                <w:tcPr>
                  <w:tcW w:w="1000" w:type="pct"/>
                  <w:vAlign w:val="center"/>
                </w:tcPr>
                <w:p w14:paraId="59F3556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w:t>
                  </w:r>
                </w:p>
              </w:tc>
              <w:tc>
                <w:tcPr>
                  <w:tcW w:w="1000" w:type="pct"/>
                  <w:shd w:val="clear" w:color="auto" w:fill="F79646"/>
                  <w:vAlign w:val="center"/>
                </w:tcPr>
                <w:p w14:paraId="671F6C1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简单分析a</w:t>
                  </w:r>
                </w:p>
              </w:tc>
            </w:tr>
            <w:tr w14:paraId="34A47C4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c>
                <w:tcPr>
                  <w:tcW w:w="5000" w:type="pct"/>
                  <w:gridSpan w:val="5"/>
                  <w:vAlign w:val="center"/>
                </w:tcPr>
                <w:p w14:paraId="1870A632">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a是相对于详细评价内容工作而言，在描述危险物质、环境影响途径、环境危害后果、风险防范措施等方面给出定性的说明。</w:t>
                  </w:r>
                </w:p>
              </w:tc>
            </w:tr>
          </w:tbl>
          <w:p w14:paraId="25402E12">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根据以上分析，本项目风险潜势为Ⅰ，只开展简单分析即可。</w:t>
            </w:r>
          </w:p>
          <w:p w14:paraId="2A343B90">
            <w:pPr>
              <w:adjustRightInd w:val="0"/>
              <w:snapToGrid w:val="0"/>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7.2风险源分布情况及影响途径</w:t>
            </w:r>
          </w:p>
          <w:p w14:paraId="30DDC0AE">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项目风险单元及事故类型、后果分析结果具体见下表。</w:t>
            </w:r>
          </w:p>
          <w:p w14:paraId="4635A3FC">
            <w:pPr>
              <w:ind w:firstLine="422" w:firstLineChars="20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表4</w:t>
            </w:r>
            <w:r>
              <w:rPr>
                <w:rFonts w:hint="eastAsia"/>
                <w:b/>
                <w:bCs/>
                <w:color w:val="000000" w:themeColor="text1"/>
                <w:kern w:val="0"/>
                <w:szCs w:val="21"/>
                <w14:textFill>
                  <w14:solidFill>
                    <w14:schemeClr w14:val="tx1"/>
                  </w14:solidFill>
                </w14:textFill>
              </w:rPr>
              <w:t>-21</w:t>
            </w:r>
            <w:r>
              <w:rPr>
                <w:b/>
                <w:bCs/>
                <w:color w:val="000000" w:themeColor="text1"/>
                <w:kern w:val="0"/>
                <w:szCs w:val="21"/>
                <w14:textFill>
                  <w14:solidFill>
                    <w14:schemeClr w14:val="tx1"/>
                  </w14:solidFill>
                </w14:textFill>
              </w:rPr>
              <w:t xml:space="preserve"> 风险单元及事故类型、后果分析表</w:t>
            </w:r>
          </w:p>
          <w:tbl>
            <w:tblPr>
              <w:tblStyle w:val="25"/>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1817"/>
              <w:gridCol w:w="1411"/>
              <w:gridCol w:w="1629"/>
              <w:gridCol w:w="1999"/>
              <w:gridCol w:w="1322"/>
            </w:tblGrid>
            <w:tr w14:paraId="4DD5A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vAlign w:val="center"/>
                </w:tcPr>
                <w:p w14:paraId="12E0CD0C">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风险源</w:t>
                  </w:r>
                </w:p>
              </w:tc>
              <w:tc>
                <w:tcPr>
                  <w:tcW w:w="974" w:type="pct"/>
                  <w:vAlign w:val="center"/>
                </w:tcPr>
                <w:p w14:paraId="5526F84F">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风险物质</w:t>
                  </w:r>
                </w:p>
              </w:tc>
              <w:tc>
                <w:tcPr>
                  <w:tcW w:w="756" w:type="pct"/>
                  <w:vAlign w:val="center"/>
                </w:tcPr>
                <w:p w14:paraId="5310DC52">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风险类型</w:t>
                  </w:r>
                </w:p>
              </w:tc>
              <w:tc>
                <w:tcPr>
                  <w:tcW w:w="873" w:type="pct"/>
                  <w:vAlign w:val="center"/>
                </w:tcPr>
                <w:p w14:paraId="48E105AA">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触发因素</w:t>
                  </w:r>
                </w:p>
              </w:tc>
              <w:tc>
                <w:tcPr>
                  <w:tcW w:w="1071" w:type="pct"/>
                  <w:vAlign w:val="center"/>
                </w:tcPr>
                <w:p w14:paraId="7BA3165B">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伴生和次生事故及有害产物</w:t>
                  </w:r>
                </w:p>
              </w:tc>
              <w:tc>
                <w:tcPr>
                  <w:tcW w:w="708" w:type="pct"/>
                  <w:vAlign w:val="center"/>
                </w:tcPr>
                <w:p w14:paraId="3A9DABD4">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影响途径</w:t>
                  </w:r>
                </w:p>
              </w:tc>
            </w:tr>
            <w:tr w14:paraId="02EA5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614" w:type="pct"/>
                  <w:vAlign w:val="center"/>
                </w:tcPr>
                <w:p w14:paraId="186BF41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试剂间</w:t>
                  </w:r>
                </w:p>
              </w:tc>
              <w:tc>
                <w:tcPr>
                  <w:tcW w:w="974" w:type="pct"/>
                  <w:vAlign w:val="center"/>
                </w:tcPr>
                <w:p w14:paraId="007EE681">
                  <w:pPr>
                    <w:pStyle w:val="8"/>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乙醇、甲醇、乙腈、硫酸铵、氢氧化钠</w:t>
                  </w:r>
                </w:p>
              </w:tc>
              <w:tc>
                <w:tcPr>
                  <w:tcW w:w="756" w:type="pct"/>
                  <w:vAlign w:val="center"/>
                </w:tcPr>
                <w:p w14:paraId="1F5D8A6E">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泄漏、火灾</w:t>
                  </w:r>
                </w:p>
              </w:tc>
              <w:tc>
                <w:tcPr>
                  <w:tcW w:w="873" w:type="pct"/>
                  <w:vAlign w:val="center"/>
                </w:tcPr>
                <w:p w14:paraId="62944DD7">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容器破损、遇禁忌物或明火</w:t>
                  </w:r>
                </w:p>
              </w:tc>
              <w:tc>
                <w:tcPr>
                  <w:tcW w:w="1071" w:type="pct"/>
                  <w:vAlign w:val="center"/>
                </w:tcPr>
                <w:p w14:paraId="6E7B1911">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有机泄漏物、燃烧废气、消防废水</w:t>
                  </w:r>
                </w:p>
              </w:tc>
              <w:tc>
                <w:tcPr>
                  <w:tcW w:w="708" w:type="pct"/>
                  <w:vAlign w:val="center"/>
                </w:tcPr>
                <w:p w14:paraId="037D8F2D">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大气、土壤、地下水</w:t>
                  </w:r>
                </w:p>
              </w:tc>
            </w:tr>
            <w:tr w14:paraId="4FF64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614" w:type="pct"/>
                  <w:vAlign w:val="center"/>
                </w:tcPr>
                <w:p w14:paraId="73255B9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实验室</w:t>
                  </w:r>
                </w:p>
              </w:tc>
              <w:tc>
                <w:tcPr>
                  <w:tcW w:w="974" w:type="pct"/>
                  <w:vAlign w:val="center"/>
                </w:tcPr>
                <w:p w14:paraId="7B380939">
                  <w:pPr>
                    <w:pStyle w:val="8"/>
                    <w:spacing w:after="0"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乙醇、甲醇、乙腈、硫酸铵、氢氧化钠</w:t>
                  </w:r>
                </w:p>
              </w:tc>
              <w:tc>
                <w:tcPr>
                  <w:tcW w:w="756" w:type="pct"/>
                  <w:vAlign w:val="center"/>
                </w:tcPr>
                <w:p w14:paraId="2FC6BE3A">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泄漏、火灾</w:t>
                  </w:r>
                </w:p>
              </w:tc>
              <w:tc>
                <w:tcPr>
                  <w:tcW w:w="873" w:type="pct"/>
                  <w:vAlign w:val="center"/>
                </w:tcPr>
                <w:p w14:paraId="767C8DE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容器破损、遇禁忌物或明火</w:t>
                  </w:r>
                </w:p>
              </w:tc>
              <w:tc>
                <w:tcPr>
                  <w:tcW w:w="1071" w:type="pct"/>
                  <w:vAlign w:val="center"/>
                </w:tcPr>
                <w:p w14:paraId="235D117E">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有机泄漏物、燃烧废气、消防废水</w:t>
                  </w:r>
                </w:p>
              </w:tc>
              <w:tc>
                <w:tcPr>
                  <w:tcW w:w="708" w:type="pct"/>
                  <w:vAlign w:val="center"/>
                </w:tcPr>
                <w:p w14:paraId="4474CD57">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大气、土壤、地下水</w:t>
                  </w:r>
                </w:p>
              </w:tc>
            </w:tr>
            <w:tr w14:paraId="5D53C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vAlign w:val="center"/>
                </w:tcPr>
                <w:p w14:paraId="375F88F1">
                  <w:pPr>
                    <w:pStyle w:val="8"/>
                    <w:spacing w:after="0"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危废仓库</w:t>
                  </w:r>
                </w:p>
              </w:tc>
              <w:tc>
                <w:tcPr>
                  <w:tcW w:w="974" w:type="pct"/>
                  <w:vAlign w:val="center"/>
                </w:tcPr>
                <w:p w14:paraId="671564DC">
                  <w:pPr>
                    <w:pStyle w:val="8"/>
                    <w:spacing w:after="0"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危险废物</w:t>
                  </w:r>
                </w:p>
              </w:tc>
              <w:tc>
                <w:tcPr>
                  <w:tcW w:w="756" w:type="pct"/>
                  <w:vAlign w:val="center"/>
                </w:tcPr>
                <w:p w14:paraId="3ACB278F">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泄漏、火灾</w:t>
                  </w:r>
                </w:p>
              </w:tc>
              <w:tc>
                <w:tcPr>
                  <w:tcW w:w="873" w:type="pct"/>
                  <w:vAlign w:val="center"/>
                </w:tcPr>
                <w:p w14:paraId="1EB9786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容器破损、遇禁忌物或明火</w:t>
                  </w:r>
                </w:p>
              </w:tc>
              <w:tc>
                <w:tcPr>
                  <w:tcW w:w="1071" w:type="pct"/>
                  <w:vAlign w:val="center"/>
                </w:tcPr>
                <w:p w14:paraId="4C4D175B">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有机泄漏物、燃烧废气、消防废水</w:t>
                  </w:r>
                </w:p>
              </w:tc>
              <w:tc>
                <w:tcPr>
                  <w:tcW w:w="708" w:type="pct"/>
                  <w:vAlign w:val="center"/>
                </w:tcPr>
                <w:p w14:paraId="4485D546">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大气、土壤、地下水</w:t>
                  </w:r>
                </w:p>
              </w:tc>
            </w:tr>
            <w:tr w14:paraId="12B78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vAlign w:val="center"/>
                </w:tcPr>
                <w:p w14:paraId="72496449">
                  <w:pPr>
                    <w:pStyle w:val="8"/>
                    <w:spacing w:after="0"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废液储罐</w:t>
                  </w:r>
                </w:p>
              </w:tc>
              <w:tc>
                <w:tcPr>
                  <w:tcW w:w="974" w:type="pct"/>
                  <w:vAlign w:val="center"/>
                </w:tcPr>
                <w:p w14:paraId="04992C00">
                  <w:pPr>
                    <w:pStyle w:val="8"/>
                    <w:spacing w:after="0"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危险废物</w:t>
                  </w:r>
                </w:p>
              </w:tc>
              <w:tc>
                <w:tcPr>
                  <w:tcW w:w="756" w:type="pct"/>
                  <w:vAlign w:val="center"/>
                </w:tcPr>
                <w:p w14:paraId="0339A9A3">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泄漏、火灾</w:t>
                  </w:r>
                </w:p>
              </w:tc>
              <w:tc>
                <w:tcPr>
                  <w:tcW w:w="873" w:type="pct"/>
                  <w:vAlign w:val="center"/>
                </w:tcPr>
                <w:p w14:paraId="562D7714">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容器破损、遇禁忌物或明火</w:t>
                  </w:r>
                </w:p>
              </w:tc>
              <w:tc>
                <w:tcPr>
                  <w:tcW w:w="1071" w:type="pct"/>
                  <w:vAlign w:val="center"/>
                </w:tcPr>
                <w:p w14:paraId="293E2232">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有机泄漏物、燃烧废气、消防废水</w:t>
                  </w:r>
                </w:p>
              </w:tc>
              <w:tc>
                <w:tcPr>
                  <w:tcW w:w="708" w:type="pct"/>
                  <w:vAlign w:val="center"/>
                </w:tcPr>
                <w:p w14:paraId="4FB2A02B">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大气、土壤、地下水</w:t>
                  </w:r>
                </w:p>
              </w:tc>
            </w:tr>
            <w:tr w14:paraId="2E98E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vAlign w:val="center"/>
                </w:tcPr>
                <w:p w14:paraId="24D59AAF">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废气处理设施</w:t>
                  </w:r>
                </w:p>
              </w:tc>
              <w:tc>
                <w:tcPr>
                  <w:tcW w:w="974" w:type="pct"/>
                  <w:vAlign w:val="center"/>
                </w:tcPr>
                <w:p w14:paraId="319BED5D">
                  <w:pPr>
                    <w:pStyle w:val="8"/>
                    <w:spacing w:after="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有机废气</w:t>
                  </w:r>
                  <w:r>
                    <w:rPr>
                      <w:rFonts w:hint="eastAsia"/>
                      <w:color w:val="000000" w:themeColor="text1"/>
                      <w:sz w:val="21"/>
                      <w:szCs w:val="21"/>
                      <w14:textFill>
                        <w14:solidFill>
                          <w14:schemeClr w14:val="tx1"/>
                        </w14:solidFill>
                      </w14:textFill>
                    </w:rPr>
                    <w:t>、废活性炭</w:t>
                  </w:r>
                </w:p>
              </w:tc>
              <w:tc>
                <w:tcPr>
                  <w:tcW w:w="756" w:type="pct"/>
                  <w:vAlign w:val="center"/>
                </w:tcPr>
                <w:p w14:paraId="45EDCEB1">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火灾</w:t>
                  </w:r>
                </w:p>
              </w:tc>
              <w:tc>
                <w:tcPr>
                  <w:tcW w:w="873" w:type="pct"/>
                  <w:vAlign w:val="center"/>
                </w:tcPr>
                <w:p w14:paraId="4F1F4832">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设备故障，遇禁忌物或明火</w:t>
                  </w:r>
                </w:p>
              </w:tc>
              <w:tc>
                <w:tcPr>
                  <w:tcW w:w="1071" w:type="pct"/>
                  <w:vAlign w:val="center"/>
                </w:tcPr>
                <w:p w14:paraId="7E219594">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燃烧废气、消防废水</w:t>
                  </w:r>
                </w:p>
              </w:tc>
              <w:tc>
                <w:tcPr>
                  <w:tcW w:w="708" w:type="pct"/>
                  <w:vAlign w:val="center"/>
                </w:tcPr>
                <w:p w14:paraId="697452C9">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大气、土壤、地下水</w:t>
                  </w:r>
                </w:p>
              </w:tc>
            </w:tr>
          </w:tbl>
          <w:p w14:paraId="3B887DC2">
            <w:pPr>
              <w:adjustRightInd w:val="0"/>
              <w:snapToGrid w:val="0"/>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7.3环境风险事故影响分析</w:t>
            </w:r>
          </w:p>
          <w:p w14:paraId="7E4D5490">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①液态原辅料泄漏事故</w:t>
            </w:r>
          </w:p>
          <w:p w14:paraId="77B21763">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厂内液态原辅料乙醇、甲醇、乙腈等在使用、贮存过程中若发生容器破损等情况易发生泄漏事故，若地面未做防渗处理，泄漏物将通过地面渗漏，进而影响土壤和地下水。</w:t>
            </w:r>
          </w:p>
          <w:p w14:paraId="06383392">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若乙醇、甲醇、乙腈等可燃物质在存放及使用过程中，遇禁忌物或明火会引发火灾或爆炸事故，产生伴生/次生污染物通过大气扩散影响周围环境。</w:t>
            </w:r>
          </w:p>
          <w:p w14:paraId="351F0C3B">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②危险废物收集储存系统发生事故</w:t>
            </w:r>
          </w:p>
          <w:p w14:paraId="03250303">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生产过程中产生的危废在收集、储存过程中可能发生泄漏，会对环境和人体造成不同的危害，企业液体危废</w:t>
            </w:r>
            <w:r>
              <w:rPr>
                <w:rFonts w:hint="eastAsia"/>
                <w:color w:val="000000" w:themeColor="text1"/>
                <w:sz w:val="24"/>
                <w14:textFill>
                  <w14:solidFill>
                    <w14:schemeClr w14:val="tx1"/>
                  </w14:solidFill>
                </w14:textFill>
              </w:rPr>
              <w:t>收集至废液储罐</w:t>
            </w:r>
            <w:r>
              <w:rPr>
                <w:color w:val="000000" w:themeColor="text1"/>
                <w:sz w:val="24"/>
                <w14:textFill>
                  <w14:solidFill>
                    <w14:schemeClr w14:val="tx1"/>
                  </w14:solidFill>
                </w14:textFill>
              </w:rPr>
              <w:t>，危废</w:t>
            </w:r>
            <w:r>
              <w:rPr>
                <w:rFonts w:hint="eastAsia"/>
                <w:color w:val="000000" w:themeColor="text1"/>
                <w:sz w:val="24"/>
                <w14:textFill>
                  <w14:solidFill>
                    <w14:schemeClr w14:val="tx1"/>
                  </w14:solidFill>
                </w14:textFill>
              </w:rPr>
              <w:t>仓</w:t>
            </w:r>
            <w:r>
              <w:rPr>
                <w:color w:val="000000" w:themeColor="text1"/>
                <w:sz w:val="24"/>
                <w14:textFill>
                  <w14:solidFill>
                    <w14:schemeClr w14:val="tx1"/>
                  </w14:solidFill>
                </w14:textFill>
              </w:rPr>
              <w:t>库拟设置防腐防渗措施，减少对外部环境的影响。将危险废物混入生活垃圾或随意丢弃，将对人体健康产生较大危害，故应加强危险废物管理工作，杜绝发生危险废物随意丢弃事故。</w:t>
            </w:r>
          </w:p>
          <w:p w14:paraId="3DF139D2">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③火灾、爆炸次生风险</w:t>
            </w:r>
          </w:p>
          <w:p w14:paraId="6A43FBD0">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本项目使用的乙醇、甲醇、乙腈等</w:t>
            </w:r>
            <w:r>
              <w:rPr>
                <w:rFonts w:hint="eastAsia"/>
                <w:color w:val="000000" w:themeColor="text1"/>
                <w:sz w:val="24"/>
                <w14:textFill>
                  <w14:solidFill>
                    <w14:schemeClr w14:val="tx1"/>
                  </w14:solidFill>
                </w14:textFill>
              </w:rPr>
              <w:t>物料</w:t>
            </w:r>
            <w:r>
              <w:rPr>
                <w:color w:val="000000" w:themeColor="text1"/>
                <w:sz w:val="24"/>
                <w14:textFill>
                  <w14:solidFill>
                    <w14:schemeClr w14:val="tx1"/>
                  </w14:solidFill>
                </w14:textFill>
              </w:rPr>
              <w:t>可燃，一旦发生火灾、爆炸事故，事故废水中将会含有泄漏化学品物质，发生事故时，立即</w:t>
            </w:r>
            <w:r>
              <w:rPr>
                <w:rFonts w:hint="eastAsia"/>
                <w:color w:val="000000" w:themeColor="text1"/>
                <w:sz w:val="24"/>
                <w14:textFill>
                  <w14:solidFill>
                    <w14:schemeClr w14:val="tx1"/>
                  </w14:solidFill>
                </w14:textFill>
              </w:rPr>
              <w:t>开启事故应急池阀门，</w:t>
            </w:r>
            <w:r>
              <w:rPr>
                <w:color w:val="000000" w:themeColor="text1"/>
                <w:sz w:val="24"/>
                <w14:textFill>
                  <w14:solidFill>
                    <w14:schemeClr w14:val="tx1"/>
                  </w14:solidFill>
                </w14:textFill>
              </w:rPr>
              <w:t>关闭雨水管阀门，防止事故废水进入周边地表水。</w:t>
            </w:r>
            <w:r>
              <w:rPr>
                <w:rFonts w:hint="eastAsia"/>
                <w:color w:val="000000" w:themeColor="text1"/>
                <w:sz w:val="24"/>
                <w14:textFill>
                  <w14:solidFill>
                    <w14:schemeClr w14:val="tx1"/>
                  </w14:solidFill>
                </w14:textFill>
              </w:rPr>
              <w:t>同时火灾、爆炸事故中未完全燃烧的危险物质以及燃烧过程中的伴生/次生污染物，如CO、氮氧化物、氰化物等</w:t>
            </w:r>
            <w:r>
              <w:rPr>
                <w:color w:val="000000" w:themeColor="text1"/>
                <w:sz w:val="24"/>
                <w14:textFill>
                  <w14:solidFill>
                    <w14:schemeClr w14:val="tx1"/>
                  </w14:solidFill>
                </w14:textFill>
              </w:rPr>
              <w:t>通过大气扩散影响周围环境</w:t>
            </w:r>
            <w:r>
              <w:rPr>
                <w:rFonts w:hint="eastAsia"/>
                <w:color w:val="000000" w:themeColor="text1"/>
                <w:sz w:val="24"/>
                <w14:textFill>
                  <w14:solidFill>
                    <w14:schemeClr w14:val="tx1"/>
                  </w14:solidFill>
                </w14:textFill>
              </w:rPr>
              <w:t>。</w:t>
            </w:r>
          </w:p>
          <w:p w14:paraId="4D205931">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④废气处理设施故障事故</w:t>
            </w:r>
          </w:p>
          <w:p w14:paraId="6D0A8597">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生产产生的废气未经</w:t>
            </w:r>
            <w:r>
              <w:rPr>
                <w:rFonts w:hint="eastAsia"/>
                <w:color w:val="000000" w:themeColor="text1"/>
                <w:sz w:val="24"/>
                <w14:textFill>
                  <w14:solidFill>
                    <w14:schemeClr w14:val="tx1"/>
                  </w14:solidFill>
                </w14:textFill>
              </w:rPr>
              <w:t>活性炭吸附装置处理而</w:t>
            </w:r>
            <w:r>
              <w:rPr>
                <w:color w:val="000000" w:themeColor="text1"/>
                <w:sz w:val="24"/>
                <w14:textFill>
                  <w14:solidFill>
                    <w14:schemeClr w14:val="tx1"/>
                  </w14:solidFill>
                </w14:textFill>
              </w:rPr>
              <w:t>直接外排，影响周边大气环境。</w:t>
            </w:r>
          </w:p>
          <w:p w14:paraId="47B3D50F">
            <w:pPr>
              <w:adjustRightInd w:val="0"/>
              <w:snapToGrid w:val="0"/>
              <w:spacing w:line="48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7.4环境风险防范措施</w:t>
            </w:r>
          </w:p>
          <w:p w14:paraId="59018D2B">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（1）规范配置厂区消防设施，原辅料储存区干燥通风，严禁烟火。</w:t>
            </w:r>
          </w:p>
          <w:p w14:paraId="2B9199F7">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（2）液态物质包装桶底部应设置防泄漏托盘，并保持库房内干燥通风、密封避光，安装通风设施，对夏季高温时应采取遮阳和防高温隔绝涂料等措施。</w:t>
            </w:r>
          </w:p>
          <w:p w14:paraId="0BCC6F6D">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（3）废气处理设施应委托有资质单位设计施工，做好日常维护和检修，及时排查事故安全隐患，确保安全可靠。</w:t>
            </w:r>
          </w:p>
          <w:p w14:paraId="3CDB6225">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生产车间、原辅料暂存区严禁动火作业或使用明火、高温热源，使用合格的防爆电气设备，采取相应的防雷防静电措施，保证设备设施可靠接地，禁止作业场所违规使用可能产生火花和高温的作业工具，减少引发爆炸的点火源；按相关规范和标准进行设计、安装、使用和维护通风除尘系统，按规定进行空气检测和清理粉尘，以有效减少或避免粉尘在作业场所扩散或沉积。</w:t>
            </w:r>
          </w:p>
          <w:p w14:paraId="4750EC19">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（5）化学试剂间风险防范措施</w:t>
            </w:r>
          </w:p>
          <w:p w14:paraId="067E5FF0">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w:t>
            </w:r>
            <w:r>
              <w:rPr>
                <w:rFonts w:hint="eastAsia"/>
                <w:color w:val="000000" w:themeColor="text1"/>
                <w:sz w:val="24"/>
                <w14:textFill>
                  <w14:solidFill>
                    <w14:schemeClr w14:val="tx1"/>
                  </w14:solidFill>
                </w14:textFill>
              </w:rPr>
              <w:t>化学试剂间</w:t>
            </w:r>
            <w:r>
              <w:rPr>
                <w:color w:val="000000" w:themeColor="text1"/>
                <w:sz w:val="24"/>
                <w14:textFill>
                  <w14:solidFill>
                    <w14:schemeClr w14:val="tx1"/>
                  </w14:solidFill>
                </w14:textFill>
              </w:rPr>
              <w:t>根据储存化学品的性质配备相应的灭火器材。已配备烟感报警器、自动灭火系统。</w:t>
            </w:r>
          </w:p>
          <w:p w14:paraId="39334065">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w:t>
            </w:r>
            <w:r>
              <w:rPr>
                <w:rFonts w:hint="eastAsia"/>
                <w:color w:val="000000" w:themeColor="text1"/>
                <w:sz w:val="24"/>
                <w14:textFill>
                  <w14:solidFill>
                    <w14:schemeClr w14:val="tx1"/>
                  </w14:solidFill>
                </w14:textFill>
              </w:rPr>
              <w:t>化学试剂间</w:t>
            </w:r>
            <w:r>
              <w:rPr>
                <w:color w:val="000000" w:themeColor="text1"/>
                <w:sz w:val="24"/>
                <w14:textFill>
                  <w14:solidFill>
                    <w14:schemeClr w14:val="tx1"/>
                  </w14:solidFill>
                </w14:textFill>
              </w:rPr>
              <w:t>内所有电器设备（灯具、开关、风机等）符合防爆标准。</w:t>
            </w:r>
          </w:p>
          <w:p w14:paraId="7E3A4418">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w:t>
            </w:r>
            <w:r>
              <w:rPr>
                <w:rFonts w:hint="eastAsia"/>
                <w:color w:val="000000" w:themeColor="text1"/>
                <w:sz w:val="24"/>
                <w14:textFill>
                  <w14:solidFill>
                    <w14:schemeClr w14:val="tx1"/>
                  </w14:solidFill>
                </w14:textFill>
              </w:rPr>
              <w:t>化学试剂间</w:t>
            </w:r>
            <w:r>
              <w:rPr>
                <w:color w:val="000000" w:themeColor="text1"/>
                <w:sz w:val="24"/>
                <w14:textFill>
                  <w14:solidFill>
                    <w14:schemeClr w14:val="tx1"/>
                  </w14:solidFill>
                </w14:textFill>
              </w:rPr>
              <w:t>地面已设置环氧地坪。</w:t>
            </w:r>
          </w:p>
          <w:p w14:paraId="1C535205">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④</w:t>
            </w:r>
            <w:r>
              <w:rPr>
                <w:rFonts w:hint="eastAsia"/>
                <w:color w:val="000000" w:themeColor="text1"/>
                <w:sz w:val="24"/>
                <w14:textFill>
                  <w14:solidFill>
                    <w14:schemeClr w14:val="tx1"/>
                  </w14:solidFill>
                </w14:textFill>
              </w:rPr>
              <w:t>乙腈、甲醇等危险化学品存放于防爆柜中。</w:t>
            </w:r>
          </w:p>
          <w:p w14:paraId="437E42B0">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⑤</w:t>
            </w:r>
            <w:r>
              <w:rPr>
                <w:rFonts w:hint="eastAsia"/>
                <w:color w:val="000000" w:themeColor="text1"/>
                <w:sz w:val="24"/>
                <w14:textFill>
                  <w14:solidFill>
                    <w14:schemeClr w14:val="tx1"/>
                  </w14:solidFill>
                </w14:textFill>
              </w:rPr>
              <w:t>化学试剂间</w:t>
            </w:r>
            <w:r>
              <w:rPr>
                <w:color w:val="000000" w:themeColor="text1"/>
                <w:sz w:val="24"/>
                <w14:textFill>
                  <w14:solidFill>
                    <w14:schemeClr w14:val="tx1"/>
                  </w14:solidFill>
                </w14:textFill>
              </w:rPr>
              <w:t>外部设置明显的安全警示标志，内部张贴化学品危险标识、MSDS（安全技术说明书）位置标识、禁火禁烟标志等。地面划设通道线和定位线。</w:t>
            </w:r>
          </w:p>
          <w:p w14:paraId="5DD12E9B">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⑥配备必要的个体防护装备，如防化服、防毒面具、防护眼镜、耐酸碱手套、喷淋洗眼器等，并培训其正确使用。</w:t>
            </w:r>
          </w:p>
          <w:p w14:paraId="3CF5D3E4">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）危险废物及时转移至危废暂存间储存，危废暂存间按照《危险废物贮存污染控制标准》（GB18597-2023）要求做好防渗防漏措施及规范管理。</w:t>
            </w:r>
          </w:p>
          <w:p w14:paraId="3DCE94AA">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根据《关于做好生态环境和应急管理部门联动工作的意见》（苏环办﹝2020﹞101号），企业需做到以下几点：a.切实履行好从危险废物产生、收集、贮存、运输、利用、处置等环节各项环保和安全职责；b.制定危险废物管理计划并报属地生态环境部门备案；c.在项目建设过程中和项目建成后均应接受生态环境部门和应急管理部门的监督和管理，积极配合相关部门做好风险防控工作，尽可能避免事故的发生；d.做好设施建设、运行、维护、拆除工作，对设施开展安全风险辨识管控工作，健全内部污染防治设施稳定运行和管理责任制度，严格依据标准规范建设环境治理设施，确保环境治理设施安全、稳定、有效运行。</w:t>
            </w:r>
          </w:p>
          <w:p w14:paraId="392A187F">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本项目废气处理设施为活性炭吸附装置，需安装温度指示、超温声光报警装置、自动降温装置，并满足防爆、防漏电和防泄漏要求。</w:t>
            </w:r>
          </w:p>
          <w:p w14:paraId="1EFA98B4">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根据《省生态厅关于印发重点环保设施项目安全辨识和固体废物鉴定评价工作具体实施方案的通知》（苏环办﹝2022﹞111号），企业要健全内部污染防治设施稳定运行和管理责任制度，严格依据标准规范建设环境治理设施，确保环境治理设施安全、稳定、有效运行。企业须按该文件要求在运营过程中切实履行好自身主体责任，配合相关部门积极有效开展环境保护和应急管理工作。</w:t>
            </w:r>
          </w:p>
          <w:p w14:paraId="0EC0FFB2">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）事故应急池</w:t>
            </w:r>
          </w:p>
          <w:p w14:paraId="1D1DFC06">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园区已</w:t>
            </w:r>
            <w:r>
              <w:rPr>
                <w:color w:val="000000" w:themeColor="text1"/>
                <w:sz w:val="24"/>
                <w14:textFill>
                  <w14:solidFill>
                    <w14:schemeClr w14:val="tx1"/>
                  </w14:solidFill>
                </w14:textFill>
              </w:rPr>
              <w:t>设置事故应急池，并设计相应的切换装置。正常生产运行时，打开雨水管道阀门，收集的雨水直接排入市政雨水管网。事故状态下打开切换装置，收集的事故消防水排入厂内事应急故池，切断污染物与外部的通道，将污染物控制在厂区内，防止事故泄漏物料和污染消防水造成的环境污染。</w:t>
            </w:r>
          </w:p>
          <w:p w14:paraId="225A3A0A">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参照《建设项目环境风险评价技术导则》（HJ169-2018）、《化工建设项目环境保护设计规范》（GB50483-2019）和《石化企业水体环境风险防控技术要求》（Q/SH0729-2018），事故应急池总有效容积计算公式如下：</w:t>
            </w:r>
          </w:p>
          <w:p w14:paraId="7A714C86">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事故池容量V总=(V1+V2-V3)max+V4+V5</w:t>
            </w:r>
          </w:p>
          <w:p w14:paraId="6791A80A">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V1—收集系统范围内发生事故的物料量；</w:t>
            </w:r>
          </w:p>
          <w:p w14:paraId="59E86F1C">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V2—发生事故的储罐、装置或铁路、汽车装卸区的消防水量；</w:t>
            </w:r>
          </w:p>
          <w:p w14:paraId="44FB5917">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V3—发生事故时可以转输到其他储存或处理设施的物料量；</w:t>
            </w:r>
          </w:p>
          <w:p w14:paraId="7995B1FA">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V4—发生事故时仍必须进入该收集系统的生产废水量；</w:t>
            </w:r>
          </w:p>
          <w:p w14:paraId="7ED9AFDD">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V5—发生事故时可能进入该收集系统的降雨量；</w:t>
            </w:r>
          </w:p>
          <w:p w14:paraId="003CAECB">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事故应急池具体容积大小计算如下：</w:t>
            </w:r>
          </w:p>
          <w:p w14:paraId="330A5ED0">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①V1：本项目</w:t>
            </w:r>
            <w:r>
              <w:rPr>
                <w:rFonts w:hint="eastAsia"/>
                <w:color w:val="000000" w:themeColor="text1"/>
                <w:sz w:val="24"/>
                <w14:textFill>
                  <w14:solidFill>
                    <w14:schemeClr w14:val="tx1"/>
                  </w14:solidFill>
                </w14:textFill>
              </w:rPr>
              <w:t>设置1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储罐，则V1=</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14:paraId="2FE42CD4">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②V2=ΣQ消×t消：Q消—发生事故的储罐、装置或铁路、汽车装卸区同时使用的消防设施给水流量，m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p>
          <w:p w14:paraId="5F988C04">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t消—消防设施对应的设计消防历时，h。</w:t>
            </w:r>
          </w:p>
          <w:p w14:paraId="7A406ED5">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厂内消防泵设计有效流量1</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L/s，假设火灾持续时间为2h，则室外发生一次火灾时消防用水量为：0.01</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×3600×2=</w:t>
            </w:r>
            <w:r>
              <w:rPr>
                <w:rFonts w:hint="eastAsia"/>
                <w:color w:val="000000" w:themeColor="text1"/>
                <w:sz w:val="24"/>
                <w14:textFill>
                  <w14:solidFill>
                    <w14:schemeClr w14:val="tx1"/>
                  </w14:solidFill>
                </w14:textFill>
              </w:rPr>
              <w:t>108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，V2=</w:t>
            </w:r>
            <w:r>
              <w:rPr>
                <w:rFonts w:hint="eastAsia"/>
                <w:color w:val="000000" w:themeColor="text1"/>
                <w:sz w:val="24"/>
                <w14:textFill>
                  <w14:solidFill>
                    <w14:schemeClr w14:val="tx1"/>
                  </w14:solidFill>
                </w14:textFill>
              </w:rPr>
              <w:t>108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14:paraId="14E8EB7A">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③V3：事故时可以转输到其它储存或处理设施的物料量为0m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，V3=0m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14:paraId="469E51CE">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④V4：发生事故时进入收集系统的生产废水量为0m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，V4=0m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14:paraId="42B5254D">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⑤V5：常州平均降雨量1226.2mm；多年降平均雨天数12</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天，平均降雨量q＝</w:t>
            </w:r>
            <w:r>
              <w:rPr>
                <w:rFonts w:hint="eastAsia"/>
                <w:color w:val="000000" w:themeColor="text1"/>
                <w:sz w:val="24"/>
                <w14:textFill>
                  <w14:solidFill>
                    <w14:schemeClr w14:val="tx1"/>
                  </w14:solidFill>
                </w14:textFill>
              </w:rPr>
              <w:t>10.22</w:t>
            </w:r>
            <w:r>
              <w:rPr>
                <w:color w:val="000000" w:themeColor="text1"/>
                <w:sz w:val="24"/>
                <w14:textFill>
                  <w14:solidFill>
                    <w14:schemeClr w14:val="tx1"/>
                  </w14:solidFill>
                </w14:textFill>
              </w:rPr>
              <w:t>mm，事故状态下污染区汇水面积约</w:t>
            </w:r>
            <w:r>
              <w:rPr>
                <w:rFonts w:hint="eastAsia"/>
                <w:color w:val="000000" w:themeColor="text1"/>
                <w:sz w:val="24"/>
                <w14:textFill>
                  <w14:solidFill>
                    <w14:schemeClr w14:val="tx1"/>
                  </w14:solidFill>
                </w14:textFill>
              </w:rPr>
              <w:t>0.02</w:t>
            </w:r>
            <w:r>
              <w:rPr>
                <w:color w:val="000000" w:themeColor="text1"/>
                <w:sz w:val="24"/>
                <w14:textFill>
                  <w14:solidFill>
                    <w14:schemeClr w14:val="tx1"/>
                  </w14:solidFill>
                </w14:textFill>
              </w:rPr>
              <w:t>ha，计算V5＝</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14:paraId="3A64D02B">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V5=10qf：q—降雨强度，mm；</w:t>
            </w:r>
          </w:p>
          <w:p w14:paraId="4892C941">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f—必须进入事故废水收集系统的雨水汇水面积，ha。</w:t>
            </w:r>
          </w:p>
          <w:p w14:paraId="423F8EF7">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⑥V总=(V1+V2-V3)+V4+V5=（</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108</w:t>
            </w:r>
            <w:r>
              <w:rPr>
                <w:color w:val="000000" w:themeColor="text1"/>
                <w:sz w:val="24"/>
                <w14:textFill>
                  <w14:solidFill>
                    <w14:schemeClr w14:val="tx1"/>
                  </w14:solidFill>
                </w14:textFill>
              </w:rPr>
              <w:t>-0）+0+</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=111m</w:t>
            </w:r>
            <w:r>
              <w:rPr>
                <w:color w:val="000000" w:themeColor="text1"/>
                <w:sz w:val="24"/>
                <w:vertAlign w:val="superscript"/>
                <w14:textFill>
                  <w14:solidFill>
                    <w14:schemeClr w14:val="tx1"/>
                  </w14:solidFill>
                </w14:textFill>
              </w:rPr>
              <w:t>3</w:t>
            </w:r>
          </w:p>
          <w:p w14:paraId="1B5C7718">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综上所述，本项目事故废水池容积应不小于111m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。企业所在园区设置两个事故应急池共800m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两个应急事故应急池互相连通，并配套相应的应急管道，能够满足本项目突发环境事件下应急需求。在发生事故时关闭雨水排放口的截流阀，将事故废水截留在雨水收集系统内以待进一步处理，防止伴生和次生的泄漏物料、污水、消防水直接进入厂内污水管网和雨水管网，给污水处理厂造成一定的冲击。本项目依托园区事故应急池可行。</w:t>
            </w:r>
          </w:p>
          <w:p w14:paraId="455193A2">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应急事故池由园区管理，本项目发生事故时联系园区，由园区负责监控及切断措施，风险应急责任主体为园区。园区中还有常州蓝谷生物科技有限公司、常州华大生命科技有限公司等企业，均依托园区事故池。以上企业同时发生事故的概率极小，共用该应急池可行。</w:t>
            </w:r>
          </w:p>
          <w:p w14:paraId="6599855E">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）三级防控体系</w:t>
            </w:r>
          </w:p>
          <w:p w14:paraId="4D9E46FB">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根据《建设项目环境风险评价技术导则》（HJ169-2018），事故废水环境风险防范采取“单元-厂区-园区/区域”的三级防控措施，杜绝环境风险事故造成污染事件，将环境风险事故排水及污染物控制在厂区内。</w:t>
            </w:r>
          </w:p>
          <w:p w14:paraId="4C15F13C">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一级防控措施将污染物控制在生产区风险单元；二级防控是将污染物控制在厂区；三级防控将污染物控制在区域内，确保生产非正常状态下不发生污染事件。具体设计要求如下：</w:t>
            </w:r>
          </w:p>
          <w:p w14:paraId="00D473C7">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一级防控：厂区各风险单元地面防腐、防渗，防止泄漏污染地面；危废仓库内部地面防腐、防渗，设置托盘、导流沟和收集槽等，一旦发生泄漏，泄漏物料可通过导流沟收集进入收集槽；厂区落实岗位责任制，生产期间各风险单元均需有工作人员进行巡视。</w:t>
            </w:r>
          </w:p>
          <w:p w14:paraId="716A38C3">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B.二级防控：</w:t>
            </w:r>
            <w:r>
              <w:rPr>
                <w:rFonts w:hint="eastAsia"/>
                <w:color w:val="000000" w:themeColor="text1"/>
                <w:sz w:val="24"/>
                <w14:textFill>
                  <w14:solidFill>
                    <w14:schemeClr w14:val="tx1"/>
                  </w14:solidFill>
                </w14:textFill>
              </w:rPr>
              <w:t>园区</w:t>
            </w:r>
            <w:r>
              <w:rPr>
                <w:color w:val="000000" w:themeColor="text1"/>
                <w:sz w:val="24"/>
                <w14:textFill>
                  <w14:solidFill>
                    <w14:schemeClr w14:val="tx1"/>
                  </w14:solidFill>
                </w14:textFill>
              </w:rPr>
              <w:t>已建设</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的事故应急池，能够满足事故状态下事故废水的收集。一旦本项目发生事故，企业立即通知</w:t>
            </w:r>
            <w:r>
              <w:rPr>
                <w:rFonts w:hint="eastAsia"/>
                <w:color w:val="000000" w:themeColor="text1"/>
                <w:sz w:val="24"/>
                <w14:textFill>
                  <w14:solidFill>
                    <w14:schemeClr w14:val="tx1"/>
                  </w14:solidFill>
                </w14:textFill>
              </w:rPr>
              <w:t>园区</w:t>
            </w:r>
            <w:r>
              <w:rPr>
                <w:color w:val="000000" w:themeColor="text1"/>
                <w:sz w:val="24"/>
                <w14:textFill>
                  <w14:solidFill>
                    <w14:schemeClr w14:val="tx1"/>
                  </w14:solidFill>
                </w14:textFill>
              </w:rPr>
              <w:t>关闭雨水阀门，并打开应急事故池阀门，消防废水、污染雨水、泄漏物料经雨水管网收集进入事故应急池，利用与事故应急池连接的雨水管网使事故废水流入事故应急池内；同时企业打开抽水泵，将事故废水抽入污水收纳袋暂存，企业再根据事件消防水性质接污水管排放或委托有资质单位处理。</w:t>
            </w:r>
          </w:p>
          <w:p w14:paraId="131075C6">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C.三级防控：若未及时收集，消防废水或泄漏物料通过雨水管网流到厂外，立即关闭厂区雨水排放口阀门，同时上报企业应急管理机构，迅速向上级管理部门报告并请求外部增援。</w:t>
            </w:r>
          </w:p>
          <w:p w14:paraId="7982DF5A">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企业应急管理机构接到通知后第一时间携应急物资赶赴现场进行应急处置，同时寻求园区及外部互助单位援助，使用堵漏工具对厂区雨水排放口进行封堵，构筑围堤、造坑导流、挖坑收容，避免事故废水进入市政雨水管网；就地投加药剂处置，降低危险性；启动应急设施，收集事故废水，利用厂区事故应急池、污水收纳袋、槽车或专用收集池等进行暂存。若事故废水不慎进入</w:t>
            </w:r>
            <w:r>
              <w:rPr>
                <w:rFonts w:hint="eastAsia"/>
                <w:color w:val="000000" w:themeColor="text1"/>
                <w:sz w:val="24"/>
                <w14:textFill>
                  <w14:solidFill>
                    <w14:schemeClr w14:val="tx1"/>
                  </w14:solidFill>
                </w14:textFill>
              </w:rPr>
              <w:t>丹金溧漕河</w:t>
            </w:r>
            <w:r>
              <w:rPr>
                <w:color w:val="000000" w:themeColor="text1"/>
                <w:sz w:val="24"/>
                <w14:textFill>
                  <w14:solidFill>
                    <w14:schemeClr w14:val="tx1"/>
                  </w14:solidFill>
                </w14:textFill>
              </w:rPr>
              <w:t>，相关管理部门应立即启动园区/区域环境风险防控措施：视情况</w:t>
            </w:r>
            <w:r>
              <w:rPr>
                <w:rFonts w:hint="eastAsia"/>
                <w:color w:val="000000" w:themeColor="text1"/>
                <w:sz w:val="24"/>
                <w14:textFill>
                  <w14:solidFill>
                    <w14:schemeClr w14:val="tx1"/>
                  </w14:solidFill>
                </w14:textFill>
              </w:rPr>
              <w:t>关闭下游的中桥闸，或者</w:t>
            </w:r>
            <w:r>
              <w:rPr>
                <w:color w:val="000000" w:themeColor="text1"/>
                <w:sz w:val="24"/>
                <w14:textFill>
                  <w14:solidFill>
                    <w14:schemeClr w14:val="tx1"/>
                  </w14:solidFill>
                </w14:textFill>
              </w:rPr>
              <w:t>在污染区上、下游使用拦污索或筑坝拦截污染物，阻隔污染物进一步扩散至附近水体；投加活性炭等吸附材料，就地投加药剂处置，或将污染水抽至安全地方处置。同时根据泄漏液特性进行泄漏液收集、开展河水上下游的水质监测。</w:t>
            </w:r>
          </w:p>
          <w:p w14:paraId="2CBF8944">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三级防控体系能确保事故状态下的泄漏物料、消防废水等全部处于受控状态，实现对事故废水源头、过程和终端的预防和控制，使环境风险可控，降低对厂区外界环境造成的影响。</w:t>
            </w:r>
          </w:p>
          <w:p w14:paraId="4B01BC0F">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（11）生物安全</w:t>
            </w:r>
          </w:p>
          <w:p w14:paraId="1C987ACC">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①生物安全等级</w:t>
            </w:r>
          </w:p>
          <w:p w14:paraId="20AB9471">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本项目使用菌种为大肠杆菌，属于安全菌株，不在《人间传染的病原微生物名录》管控范围内，可直接用于生产，风险等级较低。</w:t>
            </w:r>
          </w:p>
          <w:p w14:paraId="716A6C98">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②生物实验相关要求</w:t>
            </w:r>
          </w:p>
          <w:p w14:paraId="1AD4F03E">
            <w:pPr>
              <w:adjustRightInd w:val="0"/>
              <w:snapToGrid w:val="0"/>
              <w:spacing w:line="480" w:lineRule="exact"/>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针对不同的生物危害程度等级，必须采取不同的安全防范措施。按照我国的《微生生物和生物医学实验室生物安全通用准则》，参照世界卫生组织（WHO）、美国疾病控制中心、美国国立卫生研究院等机构的要求，I级生物危害程度等级的安全防范措施要求见下表。</w:t>
            </w:r>
          </w:p>
          <w:p w14:paraId="76113916">
            <w:pPr>
              <w:pStyle w:val="4"/>
              <w:numPr>
                <w:ilvl w:val="4"/>
                <w:numId w:val="0"/>
              </w:numPr>
              <w:rPr>
                <w:bCs/>
                <w:snapToGrid/>
                <w:color w:val="000000" w:themeColor="text1"/>
                <w:kern w:val="0"/>
                <w:szCs w:val="21"/>
                <w:lang w:val="zh-CN"/>
                <w14:textFill>
                  <w14:solidFill>
                    <w14:schemeClr w14:val="tx1"/>
                  </w14:solidFill>
                </w14:textFill>
              </w:rPr>
            </w:pPr>
            <w:r>
              <w:rPr>
                <w:rFonts w:hint="eastAsia"/>
                <w:bCs/>
                <w:snapToGrid/>
                <w:color w:val="000000" w:themeColor="text1"/>
                <w:kern w:val="0"/>
                <w:szCs w:val="21"/>
                <w14:textFill>
                  <w14:solidFill>
                    <w14:schemeClr w14:val="tx1"/>
                  </w14:solidFill>
                </w14:textFill>
              </w:rPr>
              <w:t xml:space="preserve">表4-22  </w:t>
            </w:r>
            <w:r>
              <w:rPr>
                <w:bCs/>
                <w:snapToGrid/>
                <w:color w:val="000000" w:themeColor="text1"/>
                <w:kern w:val="0"/>
                <w:szCs w:val="21"/>
                <w:lang w:val="zh-CN"/>
                <w14:textFill>
                  <w14:solidFill>
                    <w14:schemeClr w14:val="tx1"/>
                  </w14:solidFill>
                </w14:textFill>
              </w:rPr>
              <w:t>I级生物危害等级及相关安全防范措施</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371"/>
              <w:gridCol w:w="1950"/>
              <w:gridCol w:w="1946"/>
              <w:gridCol w:w="1947"/>
              <w:gridCol w:w="2119"/>
            </w:tblGrid>
            <w:tr w14:paraId="44214B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735" w:type="pct"/>
                  <w:tcBorders>
                    <w:tl2br w:val="nil"/>
                    <w:tr2bl w:val="nil"/>
                  </w:tcBorders>
                  <w:tcMar>
                    <w:top w:w="60" w:type="dxa"/>
                    <w:left w:w="60" w:type="dxa"/>
                    <w:bottom w:w="45" w:type="dxa"/>
                    <w:right w:w="60" w:type="dxa"/>
                  </w:tcMar>
                  <w:vAlign w:val="center"/>
                </w:tcPr>
                <w:p w14:paraId="0DC7F489">
                  <w:pPr>
                    <w:jc w:val="center"/>
                    <w:rPr>
                      <w:rFonts w:eastAsia="Times New Roman"/>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危害等级</w:t>
                  </w:r>
                </w:p>
              </w:tc>
              <w:tc>
                <w:tcPr>
                  <w:tcW w:w="1044" w:type="pct"/>
                  <w:tcBorders>
                    <w:tl2br w:val="nil"/>
                    <w:tr2bl w:val="nil"/>
                  </w:tcBorders>
                  <w:tcMar>
                    <w:top w:w="60" w:type="dxa"/>
                    <w:left w:w="60" w:type="dxa"/>
                    <w:bottom w:w="45" w:type="dxa"/>
                    <w:right w:w="60" w:type="dxa"/>
                  </w:tcMar>
                  <w:vAlign w:val="center"/>
                </w:tcPr>
                <w:p w14:paraId="4AFCE2D7">
                  <w:pPr>
                    <w:jc w:val="center"/>
                    <w:rPr>
                      <w:rFonts w:eastAsia="Times New Roman"/>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病源</w:t>
                  </w:r>
                </w:p>
              </w:tc>
              <w:tc>
                <w:tcPr>
                  <w:tcW w:w="1042" w:type="pct"/>
                  <w:tcBorders>
                    <w:tl2br w:val="nil"/>
                    <w:tr2bl w:val="nil"/>
                  </w:tcBorders>
                  <w:tcMar>
                    <w:top w:w="60" w:type="dxa"/>
                    <w:left w:w="60" w:type="dxa"/>
                    <w:bottom w:w="45" w:type="dxa"/>
                    <w:right w:w="60" w:type="dxa"/>
                  </w:tcMar>
                  <w:vAlign w:val="center"/>
                </w:tcPr>
                <w:p w14:paraId="62973F59">
                  <w:pPr>
                    <w:jc w:val="center"/>
                    <w:rPr>
                      <w:rFonts w:eastAsia="Times New Roman"/>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规范操作要求</w:t>
                  </w:r>
                </w:p>
              </w:tc>
              <w:tc>
                <w:tcPr>
                  <w:tcW w:w="1042" w:type="pct"/>
                  <w:tcBorders>
                    <w:tl2br w:val="nil"/>
                    <w:tr2bl w:val="nil"/>
                  </w:tcBorders>
                  <w:tcMar>
                    <w:top w:w="60" w:type="dxa"/>
                    <w:left w:w="60" w:type="dxa"/>
                    <w:bottom w:w="45" w:type="dxa"/>
                    <w:right w:w="60" w:type="dxa"/>
                  </w:tcMar>
                  <w:vAlign w:val="center"/>
                </w:tcPr>
                <w:p w14:paraId="5F663317">
                  <w:pPr>
                    <w:jc w:val="center"/>
                    <w:rPr>
                      <w:rFonts w:eastAsia="Times New Roman"/>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安全设备</w:t>
                  </w:r>
                </w:p>
              </w:tc>
              <w:tc>
                <w:tcPr>
                  <w:tcW w:w="1134" w:type="pct"/>
                  <w:tcBorders>
                    <w:tl2br w:val="nil"/>
                    <w:tr2bl w:val="nil"/>
                  </w:tcBorders>
                  <w:tcMar>
                    <w:top w:w="60" w:type="dxa"/>
                    <w:left w:w="60" w:type="dxa"/>
                    <w:bottom w:w="45" w:type="dxa"/>
                    <w:right w:w="60" w:type="dxa"/>
                  </w:tcMar>
                  <w:vAlign w:val="center"/>
                </w:tcPr>
                <w:p w14:paraId="6EC2D990">
                  <w:pPr>
                    <w:jc w:val="center"/>
                    <w:rPr>
                      <w:rFonts w:eastAsia="Times New Roman"/>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实验室设施</w:t>
                  </w:r>
                </w:p>
              </w:tc>
            </w:tr>
            <w:tr w14:paraId="5EB29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735" w:type="pct"/>
                  <w:tcBorders>
                    <w:tl2br w:val="nil"/>
                    <w:tr2bl w:val="nil"/>
                  </w:tcBorders>
                  <w:tcMar>
                    <w:top w:w="60" w:type="dxa"/>
                    <w:left w:w="60" w:type="dxa"/>
                    <w:bottom w:w="45" w:type="dxa"/>
                    <w:right w:w="60" w:type="dxa"/>
                  </w:tcMar>
                  <w:vAlign w:val="center"/>
                </w:tcPr>
                <w:p w14:paraId="4C6771EA">
                  <w:pPr>
                    <w:jc w:val="center"/>
                    <w:rPr>
                      <w:rFonts w:eastAsia="Times New Roman"/>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第</w:t>
                  </w:r>
                  <w:r>
                    <w:rPr>
                      <w:rFonts w:eastAsia="Times New Roman"/>
                      <w:color w:val="000000" w:themeColor="text1"/>
                      <w:szCs w:val="21"/>
                      <w:lang w:val="zh-CN"/>
                      <w14:textFill>
                        <w14:solidFill>
                          <w14:schemeClr w14:val="tx1"/>
                        </w14:solidFill>
                      </w14:textFill>
                    </w:rPr>
                    <w:t>I</w:t>
                  </w:r>
                  <w:r>
                    <w:rPr>
                      <w:color w:val="000000" w:themeColor="text1"/>
                      <w:szCs w:val="21"/>
                      <w:lang w:val="zh-CN"/>
                      <w14:textFill>
                        <w14:solidFill>
                          <w14:schemeClr w14:val="tx1"/>
                        </w14:solidFill>
                      </w14:textFill>
                    </w:rPr>
                    <w:t>级（</w:t>
                  </w:r>
                  <w:r>
                    <w:rPr>
                      <w:rFonts w:eastAsia="Times New Roman"/>
                      <w:color w:val="000000" w:themeColor="text1"/>
                      <w:szCs w:val="21"/>
                      <w:lang w:val="zh-CN"/>
                      <w14:textFill>
                        <w14:solidFill>
                          <w14:schemeClr w14:val="tx1"/>
                        </w14:solidFill>
                      </w14:textFill>
                    </w:rPr>
                    <w:t>√</w:t>
                  </w:r>
                  <w:r>
                    <w:rPr>
                      <w:color w:val="000000" w:themeColor="text1"/>
                      <w:szCs w:val="21"/>
                      <w:lang w:val="zh-CN"/>
                      <w14:textFill>
                        <w14:solidFill>
                          <w14:schemeClr w14:val="tx1"/>
                        </w14:solidFill>
                      </w14:textFill>
                    </w:rPr>
                    <w:t>）</w:t>
                  </w:r>
                </w:p>
              </w:tc>
              <w:tc>
                <w:tcPr>
                  <w:tcW w:w="1044" w:type="pct"/>
                  <w:tcBorders>
                    <w:tl2br w:val="nil"/>
                    <w:tr2bl w:val="nil"/>
                  </w:tcBorders>
                  <w:tcMar>
                    <w:top w:w="60" w:type="dxa"/>
                    <w:left w:w="60" w:type="dxa"/>
                    <w:bottom w:w="45" w:type="dxa"/>
                    <w:right w:w="60" w:type="dxa"/>
                  </w:tcMar>
                  <w:vAlign w:val="center"/>
                </w:tcPr>
                <w:p w14:paraId="3789ECAF">
                  <w:pPr>
                    <w:jc w:val="center"/>
                    <w:rPr>
                      <w:rFonts w:eastAsia="Times New Roman"/>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对健康成人已知无致病作用的微生物</w:t>
                  </w:r>
                </w:p>
              </w:tc>
              <w:tc>
                <w:tcPr>
                  <w:tcW w:w="1042" w:type="pct"/>
                  <w:tcBorders>
                    <w:tl2br w:val="nil"/>
                    <w:tr2bl w:val="nil"/>
                  </w:tcBorders>
                  <w:tcMar>
                    <w:top w:w="60" w:type="dxa"/>
                    <w:left w:w="60" w:type="dxa"/>
                    <w:bottom w:w="45" w:type="dxa"/>
                    <w:right w:w="60" w:type="dxa"/>
                  </w:tcMar>
                  <w:vAlign w:val="center"/>
                </w:tcPr>
                <w:p w14:paraId="4149C4C6">
                  <w:pPr>
                    <w:jc w:val="center"/>
                    <w:rPr>
                      <w:rFonts w:eastAsia="Times New Roman"/>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标准的微生物操作</w:t>
                  </w:r>
                </w:p>
              </w:tc>
              <w:tc>
                <w:tcPr>
                  <w:tcW w:w="1042" w:type="pct"/>
                  <w:tcBorders>
                    <w:tl2br w:val="nil"/>
                    <w:tr2bl w:val="nil"/>
                  </w:tcBorders>
                  <w:tcMar>
                    <w:top w:w="60" w:type="dxa"/>
                    <w:left w:w="60" w:type="dxa"/>
                    <w:bottom w:w="45" w:type="dxa"/>
                    <w:right w:w="60" w:type="dxa"/>
                  </w:tcMar>
                  <w:vAlign w:val="center"/>
                </w:tcPr>
                <w:p w14:paraId="460EB98B">
                  <w:pPr>
                    <w:jc w:val="center"/>
                    <w:rPr>
                      <w:rFonts w:eastAsia="Times New Roman"/>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不要求</w:t>
                  </w:r>
                </w:p>
              </w:tc>
              <w:tc>
                <w:tcPr>
                  <w:tcW w:w="1134" w:type="pct"/>
                  <w:tcBorders>
                    <w:tl2br w:val="nil"/>
                    <w:tr2bl w:val="nil"/>
                  </w:tcBorders>
                  <w:tcMar>
                    <w:top w:w="60" w:type="dxa"/>
                    <w:left w:w="60" w:type="dxa"/>
                    <w:bottom w:w="45" w:type="dxa"/>
                    <w:right w:w="60" w:type="dxa"/>
                  </w:tcMar>
                  <w:vAlign w:val="center"/>
                </w:tcPr>
                <w:p w14:paraId="3DF0ECA0">
                  <w:pPr>
                    <w:jc w:val="center"/>
                    <w:rPr>
                      <w:rFonts w:eastAsia="Times New Roman"/>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开放实验台、洗手池</w:t>
                  </w:r>
                </w:p>
              </w:tc>
            </w:tr>
          </w:tbl>
          <w:p w14:paraId="0512D3D8">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③实验室设计与建造的防护措施</w:t>
            </w:r>
          </w:p>
          <w:p w14:paraId="3E55B56C">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A.在实验室出口处设置专用的洗手池；</w:t>
            </w:r>
          </w:p>
          <w:p w14:paraId="791DD3A9">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B.实验室台桌防水、耐酸、耐碱耐溶剂腐蚀；</w:t>
            </w:r>
          </w:p>
          <w:p w14:paraId="084DFC06">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C.实验室易清洁；</w:t>
            </w:r>
          </w:p>
          <w:p w14:paraId="32CA2EF3">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D.实验室设玻璃器皿清洗室，室内配置高压灭菌锅和玻璃器皿清洗装置，可能受微生物污染的各物品均进行高压灭活；</w:t>
            </w:r>
          </w:p>
          <w:p w14:paraId="1177DFAB">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E.配置应急洗眼淋浴装置；</w:t>
            </w:r>
          </w:p>
          <w:p w14:paraId="3ECC7039">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F.在实验室入口处张贴生物危害标牌并指明实验室工作的生物安全等级。</w:t>
            </w:r>
          </w:p>
          <w:p w14:paraId="43FA1106">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在落实以上措施后，本项目实验室设计与建造满足该准则对一级生物安全防护实验室的要求。</w:t>
            </w:r>
          </w:p>
          <w:p w14:paraId="6B6BF69B">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w:t>
            </w:r>
            <w:r>
              <w:rPr>
                <w:color w:val="000000" w:themeColor="text1"/>
                <w:sz w:val="24"/>
                <w14:textFill>
                  <w14:solidFill>
                    <w14:schemeClr w14:val="tx1"/>
                  </w14:solidFill>
                </w14:textFill>
              </w:rPr>
              <w:t>生物安全设备和个体防护措施</w:t>
            </w:r>
          </w:p>
          <w:p w14:paraId="27E099F0">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涉及生物活性物料的操作均在超净工作台进行。</w:t>
            </w:r>
          </w:p>
          <w:p w14:paraId="6E7E48F4">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w:t>
            </w:r>
            <w:r>
              <w:rPr>
                <w:color w:val="000000" w:themeColor="text1"/>
                <w:sz w:val="24"/>
                <w14:textFill>
                  <w14:solidFill>
                    <w14:schemeClr w14:val="tx1"/>
                  </w14:solidFill>
                </w14:textFill>
              </w:rPr>
              <w:t>在实验室工作区域外有足够存放个人衣物的空间；</w:t>
            </w:r>
          </w:p>
          <w:p w14:paraId="7DC19E64">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w:t>
            </w:r>
            <w:r>
              <w:rPr>
                <w:color w:val="000000" w:themeColor="text1"/>
                <w:sz w:val="24"/>
                <w14:textFill>
                  <w14:solidFill>
                    <w14:schemeClr w14:val="tx1"/>
                  </w14:solidFill>
                </w14:textFill>
              </w:rPr>
              <w:t>实验室对实验人员配备的个体防护装备（PPE）包括抛弃型防护服、安全眼镜、乳胶和丁腈橡胶手套等，并要求所有进入实验室的人员着工作服和戴防护眼镜，在实验室佩戴手套以防止接触感染性物质；</w:t>
            </w:r>
          </w:p>
          <w:p w14:paraId="07E655F2">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w:t>
            </w:r>
            <w:r>
              <w:rPr>
                <w:color w:val="000000" w:themeColor="text1"/>
                <w:sz w:val="24"/>
                <w14:textFill>
                  <w14:solidFill>
                    <w14:schemeClr w14:val="tx1"/>
                  </w14:solidFill>
                </w14:textFill>
              </w:rPr>
              <w:t>个人便装与工作服分开放置。室内备有清洁防护服，与污染防护服分开储存，人员进出更换衣物并冲淋，避免将室内生物危险物质携带出室，并定期清洗更换防护服。</w:t>
            </w:r>
          </w:p>
          <w:p w14:paraId="2A7BE2E2">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w:t>
            </w:r>
            <w:r>
              <w:rPr>
                <w:color w:val="000000" w:themeColor="text1"/>
                <w:sz w:val="24"/>
                <w14:textFill>
                  <w14:solidFill>
                    <w14:schemeClr w14:val="tx1"/>
                  </w14:solidFill>
                </w14:textFill>
              </w:rPr>
              <w:t>菌种保管要求</w:t>
            </w:r>
          </w:p>
          <w:p w14:paraId="6DBBB3E4">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所涉微生物为大肠杆菌，根据《实验室生物安全通用要求》（GB19489-2008）。实验室菌种样本保存、使用管理，应依据国家生物安全的有关法规，制定选择、购买、采集、包装、运输、转运、接收、查验、使用、处置和保藏的政策和程序；实验室应具备菌样本适宜的保存区域和设备。保存区域应有消防、防盗、监控、报警、通风和温湿度监测与控制等设施；保存设备应有防盗和温度监测与控制措施。保存区域应有菌种样本检查、交接、包装的场所等设备。保存菌种样本容器的材质、质量应符合安全要求，不易破碎、爆裂、泄漏。保存容器上应有牢固的标签或标识，标明菌种样本的编号、日期等信息。菌种样本在使用过程中应有专人负责，入库、出库及销毁应记录并存档。</w:t>
            </w:r>
          </w:p>
          <w:p w14:paraId="54F13015">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菌种执行严格的菌毒种管理制度，双人双锁，建立台账，菌种使用过程中的领发均双人核对，质量管理部门监督，以确保菌株来源安全和实验室菌毒种无遗失。菌毒种通过陆路运输，并实施多人护送，承运单位与护送人采取措施确保病原微生物菌（毒）种的安全，严防发生被盗、被抢、丢失、泄漏事件。企业须建立健全安全保卫制度，采取安全保卫措施，严防高致病性病原微生物被盗、被抢、丢失、泄漏，保障实验室及其病原微生物的安全。在转运过程中严格按照《实验室生物安全通用要求》（GB19489-2008）进行转运，其余无特殊要求。</w:t>
            </w:r>
          </w:p>
          <w:p w14:paraId="43CE7204">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⑥生物危害标志、警告</w:t>
            </w:r>
          </w:p>
          <w:p w14:paraId="61F8DBDE">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A.生物危害标志的使用</w:t>
            </w:r>
          </w:p>
          <w:p w14:paraId="2317BA61">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要在车间入口的门上标记国际通用生物危害标志。车间门口标记生物种类、负责人的名单和电话号码，指明进入的特殊要求。</w:t>
            </w:r>
          </w:p>
          <w:p w14:paraId="6055CFD6">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使用期间，谢绝无关人员参观。如参观必须经过批准并在个体条件和防护达到要求时方能进入。</w:t>
            </w:r>
          </w:p>
          <w:p w14:paraId="57133236">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凡是盛装生物危害物质的容器、运输工具、进行生物危害物质操作的仪器和专用设备等都必须粘贴标有相应危害级别的生物危害标志。</w:t>
            </w:r>
          </w:p>
          <w:p w14:paraId="167A29EC">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B.生物危害警告的使用</w:t>
            </w:r>
          </w:p>
          <w:p w14:paraId="67A6F037">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车间门口张贴危害警告标志，对车间各种状态及设施全面设置监控报警点，构成完善的实验室安全报警系统。</w:t>
            </w:r>
          </w:p>
          <w:p w14:paraId="0A5A51A4">
            <w:pPr>
              <w:spacing w:line="480" w:lineRule="exact"/>
              <w:rPr>
                <w:b/>
                <w:bCs/>
                <w:color w:val="000000" w:themeColor="text1"/>
                <w:spacing w:val="-4"/>
                <w:sz w:val="24"/>
                <w14:textFill>
                  <w14:solidFill>
                    <w14:schemeClr w14:val="tx1"/>
                  </w14:solidFill>
                </w14:textFill>
              </w:rPr>
            </w:pPr>
            <w:r>
              <w:rPr>
                <w:b/>
                <w:bCs/>
                <w:color w:val="000000" w:themeColor="text1"/>
                <w:spacing w:val="-4"/>
                <w:sz w:val="24"/>
                <w14:textFill>
                  <w14:solidFill>
                    <w14:schemeClr w14:val="tx1"/>
                  </w14:solidFill>
                </w14:textFill>
              </w:rPr>
              <w:t>10、电磁辐射</w:t>
            </w:r>
          </w:p>
          <w:p w14:paraId="45FAA405">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本项目生产过程中不使用含放射性同位素和伴有电磁辐射的设施，无放射性同位素及电磁辐射产生。</w:t>
            </w:r>
          </w:p>
          <w:p w14:paraId="3B732A6F">
            <w:pPr>
              <w:spacing w:line="480" w:lineRule="exact"/>
              <w:ind w:firstLine="480" w:firstLineChars="200"/>
              <w:rPr>
                <w:color w:val="000000" w:themeColor="text1"/>
                <w:sz w:val="24"/>
                <w14:textFill>
                  <w14:solidFill>
                    <w14:schemeClr w14:val="tx1"/>
                  </w14:solidFill>
                </w14:textFill>
              </w:rPr>
            </w:pPr>
          </w:p>
        </w:tc>
      </w:tr>
    </w:tbl>
    <w:p w14:paraId="5E7CA47B">
      <w:pPr>
        <w:pStyle w:val="48"/>
        <w:rPr>
          <w:color w:val="000000" w:themeColor="text1"/>
          <w14:textFill>
            <w14:solidFill>
              <w14:schemeClr w14:val="tx1"/>
            </w14:solidFill>
          </w14:textFill>
        </w:rPr>
        <w:sectPr>
          <w:pgSz w:w="11907" w:h="16840"/>
          <w:pgMar w:top="1440" w:right="1080" w:bottom="1440" w:left="1080" w:header="851" w:footer="851" w:gutter="0"/>
          <w:cols w:space="720" w:num="1"/>
          <w:docGrid w:linePitch="312" w:charSpace="0"/>
        </w:sectPr>
      </w:pPr>
    </w:p>
    <w:p w14:paraId="6EBEE729">
      <w:pPr>
        <w:pStyle w:val="21"/>
        <w:spacing w:before="0" w:beforeAutospacing="0" w:after="0" w:afterAutospacing="0"/>
        <w:jc w:val="center"/>
        <w:outlineLvl w:val="0"/>
        <w:rPr>
          <w:rFonts w:ascii="Times New Roman" w:hAnsi="Times New Roman"/>
          <w:snapToGrid w:val="0"/>
          <w:color w:val="000000" w:themeColor="text1"/>
          <w:sz w:val="30"/>
          <w:szCs w:val="30"/>
          <w14:textFill>
            <w14:solidFill>
              <w14:schemeClr w14:val="tx1"/>
            </w14:solidFill>
          </w14:textFill>
        </w:rPr>
      </w:pPr>
      <w:bookmarkStart w:id="32" w:name="_Hlk54167917"/>
      <w:r>
        <w:rPr>
          <w:rFonts w:ascii="Times New Roman" w:hAnsi="Times New Roman"/>
          <w:snapToGrid w:val="0"/>
          <w:color w:val="000000" w:themeColor="text1"/>
          <w:sz w:val="30"/>
          <w:szCs w:val="30"/>
          <w14:textFill>
            <w14:solidFill>
              <w14:schemeClr w14:val="tx1"/>
            </w14:solidFill>
          </w14:textFill>
        </w:rPr>
        <w:t>五、环境保护措施监督检查清单</w:t>
      </w:r>
      <w:bookmarkEnd w:id="32"/>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860"/>
        <w:gridCol w:w="861"/>
        <w:gridCol w:w="1660"/>
        <w:gridCol w:w="1872"/>
        <w:gridCol w:w="3096"/>
      </w:tblGrid>
      <w:tr w14:paraId="330DD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tcBorders>
              <w:tl2br w:val="single" w:color="auto" w:sz="4" w:space="0"/>
            </w:tcBorders>
          </w:tcPr>
          <w:p w14:paraId="2CB6FFFD">
            <w:pPr>
              <w:adjustRightInd w:val="0"/>
              <w:snapToGrid w:val="0"/>
              <w:spacing w:line="320" w:lineRule="exact"/>
              <w:ind w:firstLine="723" w:firstLineChars="3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内容</w:t>
            </w:r>
          </w:p>
          <w:p w14:paraId="03875C90">
            <w:pPr>
              <w:adjustRightInd w:val="0"/>
              <w:snapToGrid w:val="0"/>
              <w:spacing w:line="320" w:lineRule="exact"/>
              <w:rPr>
                <w:b/>
                <w:bCs/>
                <w:color w:val="000000" w:themeColor="text1"/>
                <w:sz w:val="24"/>
                <w14:textFill>
                  <w14:solidFill>
                    <w14:schemeClr w14:val="tx1"/>
                  </w14:solidFill>
                </w14:textFill>
              </w:rPr>
            </w:pPr>
          </w:p>
          <w:p w14:paraId="7AF6B702">
            <w:pPr>
              <w:adjustRightInd w:val="0"/>
              <w:snapToGrid w:val="0"/>
              <w:spacing w:line="32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要素</w:t>
            </w:r>
          </w:p>
        </w:tc>
        <w:tc>
          <w:tcPr>
            <w:tcW w:w="1721" w:type="dxa"/>
            <w:gridSpan w:val="2"/>
            <w:vAlign w:val="center"/>
          </w:tcPr>
          <w:p w14:paraId="65D7B87E">
            <w:pPr>
              <w:adjustRightInd w:val="0"/>
              <w:snapToGrid w:val="0"/>
              <w:spacing w:line="32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排放口(编号、</w:t>
            </w:r>
          </w:p>
          <w:p w14:paraId="1FCDA1DA">
            <w:pPr>
              <w:adjustRightInd w:val="0"/>
              <w:snapToGrid w:val="0"/>
              <w:spacing w:line="32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名称)/污染源</w:t>
            </w:r>
          </w:p>
        </w:tc>
        <w:tc>
          <w:tcPr>
            <w:tcW w:w="1660" w:type="dxa"/>
            <w:vAlign w:val="center"/>
          </w:tcPr>
          <w:p w14:paraId="2EC6E723">
            <w:pPr>
              <w:adjustRightInd w:val="0"/>
              <w:snapToGrid w:val="0"/>
              <w:spacing w:line="32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污染物项目</w:t>
            </w:r>
          </w:p>
        </w:tc>
        <w:tc>
          <w:tcPr>
            <w:tcW w:w="1872" w:type="dxa"/>
            <w:vAlign w:val="center"/>
          </w:tcPr>
          <w:p w14:paraId="1F9DF35F">
            <w:pPr>
              <w:adjustRightInd w:val="0"/>
              <w:snapToGrid w:val="0"/>
              <w:spacing w:line="32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环境保护措施</w:t>
            </w:r>
          </w:p>
        </w:tc>
        <w:tc>
          <w:tcPr>
            <w:tcW w:w="3096" w:type="dxa"/>
            <w:vAlign w:val="center"/>
          </w:tcPr>
          <w:p w14:paraId="098E4C32">
            <w:pPr>
              <w:adjustRightInd w:val="0"/>
              <w:snapToGrid w:val="0"/>
              <w:spacing w:line="320" w:lineRule="exact"/>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执行标准</w:t>
            </w:r>
          </w:p>
        </w:tc>
      </w:tr>
      <w:tr w14:paraId="25207A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restart"/>
            <w:vAlign w:val="center"/>
          </w:tcPr>
          <w:p w14:paraId="34B09194">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大气环境</w:t>
            </w:r>
          </w:p>
        </w:tc>
        <w:tc>
          <w:tcPr>
            <w:tcW w:w="860" w:type="dxa"/>
            <w:vMerge w:val="restart"/>
            <w:vAlign w:val="center"/>
          </w:tcPr>
          <w:p w14:paraId="74CD9FEC">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无组织排放</w:t>
            </w:r>
          </w:p>
        </w:tc>
        <w:tc>
          <w:tcPr>
            <w:tcW w:w="861" w:type="dxa"/>
            <w:vMerge w:val="restart"/>
            <w:vAlign w:val="center"/>
          </w:tcPr>
          <w:p w14:paraId="0F7D13AD">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厂界</w:t>
            </w:r>
          </w:p>
        </w:tc>
        <w:tc>
          <w:tcPr>
            <w:tcW w:w="1660" w:type="dxa"/>
            <w:vAlign w:val="center"/>
          </w:tcPr>
          <w:p w14:paraId="4C689FE6">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非甲烷总烃</w:t>
            </w:r>
          </w:p>
        </w:tc>
        <w:tc>
          <w:tcPr>
            <w:tcW w:w="1872" w:type="dxa"/>
            <w:vMerge w:val="restart"/>
            <w:vAlign w:val="center"/>
          </w:tcPr>
          <w:p w14:paraId="64CB2267">
            <w:pPr>
              <w:spacing w:line="30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经通风橱/万向罩收集后通过活性炭吸附装置处理，车间无组织排放</w:t>
            </w:r>
          </w:p>
        </w:tc>
        <w:tc>
          <w:tcPr>
            <w:tcW w:w="3096" w:type="dxa"/>
            <w:vMerge w:val="restart"/>
            <w:vAlign w:val="center"/>
          </w:tcPr>
          <w:p w14:paraId="5FF3C02D">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《大气污染物综合排放标准》（DB32/4042-2021）</w:t>
            </w:r>
            <w:r>
              <w:rPr>
                <w:rFonts w:hint="eastAsia"/>
                <w:color w:val="000000" w:themeColor="text1"/>
                <w:sz w:val="24"/>
                <w14:textFill>
                  <w14:solidFill>
                    <w14:schemeClr w14:val="tx1"/>
                  </w14:solidFill>
                </w14:textFill>
              </w:rPr>
              <w:t>表3</w:t>
            </w:r>
          </w:p>
        </w:tc>
      </w:tr>
      <w:tr w14:paraId="5408A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continue"/>
            <w:vAlign w:val="center"/>
          </w:tcPr>
          <w:p w14:paraId="6A111F7D">
            <w:pPr>
              <w:adjustRightInd w:val="0"/>
              <w:snapToGrid w:val="0"/>
              <w:spacing w:line="320" w:lineRule="exact"/>
              <w:jc w:val="center"/>
              <w:rPr>
                <w:color w:val="000000" w:themeColor="text1"/>
                <w:sz w:val="24"/>
                <w14:textFill>
                  <w14:solidFill>
                    <w14:schemeClr w14:val="tx1"/>
                  </w14:solidFill>
                </w14:textFill>
              </w:rPr>
            </w:pPr>
          </w:p>
        </w:tc>
        <w:tc>
          <w:tcPr>
            <w:tcW w:w="860" w:type="dxa"/>
            <w:vMerge w:val="continue"/>
            <w:vAlign w:val="center"/>
          </w:tcPr>
          <w:p w14:paraId="2DF1EA29">
            <w:pPr>
              <w:adjustRightInd w:val="0"/>
              <w:snapToGrid w:val="0"/>
              <w:spacing w:line="320" w:lineRule="exact"/>
              <w:jc w:val="center"/>
              <w:rPr>
                <w:color w:val="000000" w:themeColor="text1"/>
                <w:sz w:val="24"/>
                <w14:textFill>
                  <w14:solidFill>
                    <w14:schemeClr w14:val="tx1"/>
                  </w14:solidFill>
                </w14:textFill>
              </w:rPr>
            </w:pPr>
          </w:p>
        </w:tc>
        <w:tc>
          <w:tcPr>
            <w:tcW w:w="861" w:type="dxa"/>
            <w:vMerge w:val="continue"/>
            <w:vAlign w:val="center"/>
          </w:tcPr>
          <w:p w14:paraId="34B0E204">
            <w:pPr>
              <w:adjustRightInd w:val="0"/>
              <w:snapToGrid w:val="0"/>
              <w:spacing w:line="320" w:lineRule="exact"/>
              <w:jc w:val="center"/>
              <w:rPr>
                <w:color w:val="000000" w:themeColor="text1"/>
                <w:sz w:val="24"/>
                <w14:textFill>
                  <w14:solidFill>
                    <w14:schemeClr w14:val="tx1"/>
                  </w14:solidFill>
                </w14:textFill>
              </w:rPr>
            </w:pPr>
          </w:p>
        </w:tc>
        <w:tc>
          <w:tcPr>
            <w:tcW w:w="1660" w:type="dxa"/>
            <w:vAlign w:val="center"/>
          </w:tcPr>
          <w:p w14:paraId="00DB72FF">
            <w:pPr>
              <w:adjustRightInd w:val="0"/>
              <w:snapToGrid w:val="0"/>
              <w:spacing w:line="32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甲醇</w:t>
            </w:r>
          </w:p>
        </w:tc>
        <w:tc>
          <w:tcPr>
            <w:tcW w:w="1872" w:type="dxa"/>
            <w:vMerge w:val="continue"/>
            <w:vAlign w:val="center"/>
          </w:tcPr>
          <w:p w14:paraId="7DD7554F">
            <w:pPr>
              <w:spacing w:line="300" w:lineRule="exact"/>
              <w:jc w:val="center"/>
              <w:rPr>
                <w:color w:val="000000" w:themeColor="text1"/>
                <w:sz w:val="24"/>
                <w14:textFill>
                  <w14:solidFill>
                    <w14:schemeClr w14:val="tx1"/>
                  </w14:solidFill>
                </w14:textFill>
              </w:rPr>
            </w:pPr>
          </w:p>
        </w:tc>
        <w:tc>
          <w:tcPr>
            <w:tcW w:w="3096" w:type="dxa"/>
            <w:vMerge w:val="continue"/>
            <w:vAlign w:val="center"/>
          </w:tcPr>
          <w:p w14:paraId="48F0AC24">
            <w:pPr>
              <w:adjustRightInd w:val="0"/>
              <w:snapToGrid w:val="0"/>
              <w:spacing w:line="320" w:lineRule="exact"/>
              <w:jc w:val="center"/>
              <w:rPr>
                <w:color w:val="000000" w:themeColor="text1"/>
                <w:sz w:val="24"/>
                <w14:textFill>
                  <w14:solidFill>
                    <w14:schemeClr w14:val="tx1"/>
                  </w14:solidFill>
                </w14:textFill>
              </w:rPr>
            </w:pPr>
          </w:p>
        </w:tc>
      </w:tr>
      <w:tr w14:paraId="0DFE44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continue"/>
            <w:vAlign w:val="center"/>
          </w:tcPr>
          <w:p w14:paraId="6B7F377E">
            <w:pPr>
              <w:adjustRightInd w:val="0"/>
              <w:snapToGrid w:val="0"/>
              <w:spacing w:line="320" w:lineRule="exact"/>
              <w:jc w:val="center"/>
              <w:rPr>
                <w:color w:val="000000" w:themeColor="text1"/>
                <w:sz w:val="24"/>
                <w14:textFill>
                  <w14:solidFill>
                    <w14:schemeClr w14:val="tx1"/>
                  </w14:solidFill>
                </w14:textFill>
              </w:rPr>
            </w:pPr>
          </w:p>
        </w:tc>
        <w:tc>
          <w:tcPr>
            <w:tcW w:w="860" w:type="dxa"/>
            <w:vMerge w:val="continue"/>
            <w:vAlign w:val="center"/>
          </w:tcPr>
          <w:p w14:paraId="0A80CE71">
            <w:pPr>
              <w:adjustRightInd w:val="0"/>
              <w:snapToGrid w:val="0"/>
              <w:spacing w:line="320" w:lineRule="exact"/>
              <w:jc w:val="center"/>
              <w:rPr>
                <w:color w:val="000000" w:themeColor="text1"/>
                <w:sz w:val="24"/>
                <w14:textFill>
                  <w14:solidFill>
                    <w14:schemeClr w14:val="tx1"/>
                  </w14:solidFill>
                </w14:textFill>
              </w:rPr>
            </w:pPr>
          </w:p>
        </w:tc>
        <w:tc>
          <w:tcPr>
            <w:tcW w:w="861" w:type="dxa"/>
            <w:vMerge w:val="continue"/>
            <w:vAlign w:val="center"/>
          </w:tcPr>
          <w:p w14:paraId="0A7C8DA9">
            <w:pPr>
              <w:adjustRightInd w:val="0"/>
              <w:snapToGrid w:val="0"/>
              <w:spacing w:line="320" w:lineRule="exact"/>
              <w:jc w:val="center"/>
              <w:rPr>
                <w:color w:val="000000" w:themeColor="text1"/>
                <w:sz w:val="24"/>
                <w14:textFill>
                  <w14:solidFill>
                    <w14:schemeClr w14:val="tx1"/>
                  </w14:solidFill>
                </w14:textFill>
              </w:rPr>
            </w:pPr>
          </w:p>
        </w:tc>
        <w:tc>
          <w:tcPr>
            <w:tcW w:w="1660" w:type="dxa"/>
            <w:vAlign w:val="center"/>
          </w:tcPr>
          <w:p w14:paraId="6753403E">
            <w:pPr>
              <w:adjustRightInd w:val="0"/>
              <w:snapToGrid w:val="0"/>
              <w:spacing w:line="32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颗粒物</w:t>
            </w:r>
          </w:p>
        </w:tc>
        <w:tc>
          <w:tcPr>
            <w:tcW w:w="1872" w:type="dxa"/>
            <w:vMerge w:val="continue"/>
            <w:vAlign w:val="center"/>
          </w:tcPr>
          <w:p w14:paraId="7FD47F09">
            <w:pPr>
              <w:adjustRightInd w:val="0"/>
              <w:snapToGrid w:val="0"/>
              <w:spacing w:line="320" w:lineRule="exact"/>
              <w:jc w:val="center"/>
              <w:rPr>
                <w:color w:val="000000" w:themeColor="text1"/>
                <w:sz w:val="24"/>
                <w14:textFill>
                  <w14:solidFill>
                    <w14:schemeClr w14:val="tx1"/>
                  </w14:solidFill>
                </w14:textFill>
              </w:rPr>
            </w:pPr>
          </w:p>
        </w:tc>
        <w:tc>
          <w:tcPr>
            <w:tcW w:w="3096" w:type="dxa"/>
            <w:vMerge w:val="continue"/>
            <w:vAlign w:val="center"/>
          </w:tcPr>
          <w:p w14:paraId="161A676B">
            <w:pPr>
              <w:adjustRightInd w:val="0"/>
              <w:snapToGrid w:val="0"/>
              <w:spacing w:line="300" w:lineRule="exact"/>
              <w:jc w:val="center"/>
              <w:rPr>
                <w:color w:val="000000" w:themeColor="text1"/>
                <w:sz w:val="24"/>
                <w14:textFill>
                  <w14:solidFill>
                    <w14:schemeClr w14:val="tx1"/>
                  </w14:solidFill>
                </w14:textFill>
              </w:rPr>
            </w:pPr>
          </w:p>
        </w:tc>
      </w:tr>
      <w:tr w14:paraId="7CDE6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continue"/>
            <w:vAlign w:val="center"/>
          </w:tcPr>
          <w:p w14:paraId="6E882157">
            <w:pPr>
              <w:adjustRightInd w:val="0"/>
              <w:snapToGrid w:val="0"/>
              <w:spacing w:line="320" w:lineRule="exact"/>
              <w:jc w:val="center"/>
              <w:rPr>
                <w:color w:val="000000" w:themeColor="text1"/>
                <w:sz w:val="24"/>
                <w14:textFill>
                  <w14:solidFill>
                    <w14:schemeClr w14:val="tx1"/>
                  </w14:solidFill>
                </w14:textFill>
              </w:rPr>
            </w:pPr>
          </w:p>
        </w:tc>
        <w:tc>
          <w:tcPr>
            <w:tcW w:w="860" w:type="dxa"/>
            <w:vMerge w:val="continue"/>
            <w:vAlign w:val="center"/>
          </w:tcPr>
          <w:p w14:paraId="7773FCC4">
            <w:pPr>
              <w:adjustRightInd w:val="0"/>
              <w:snapToGrid w:val="0"/>
              <w:spacing w:line="320" w:lineRule="exact"/>
              <w:jc w:val="center"/>
              <w:rPr>
                <w:color w:val="000000" w:themeColor="text1"/>
                <w:sz w:val="24"/>
                <w14:textFill>
                  <w14:solidFill>
                    <w14:schemeClr w14:val="tx1"/>
                  </w14:solidFill>
                </w14:textFill>
              </w:rPr>
            </w:pPr>
          </w:p>
        </w:tc>
        <w:tc>
          <w:tcPr>
            <w:tcW w:w="861" w:type="dxa"/>
            <w:vMerge w:val="continue"/>
            <w:vAlign w:val="center"/>
          </w:tcPr>
          <w:p w14:paraId="37B4D647">
            <w:pPr>
              <w:adjustRightInd w:val="0"/>
              <w:snapToGrid w:val="0"/>
              <w:spacing w:line="320" w:lineRule="exact"/>
              <w:jc w:val="center"/>
              <w:rPr>
                <w:color w:val="000000" w:themeColor="text1"/>
                <w:sz w:val="24"/>
                <w14:textFill>
                  <w14:solidFill>
                    <w14:schemeClr w14:val="tx1"/>
                  </w14:solidFill>
                </w14:textFill>
              </w:rPr>
            </w:pPr>
          </w:p>
        </w:tc>
        <w:tc>
          <w:tcPr>
            <w:tcW w:w="1660" w:type="dxa"/>
            <w:vAlign w:val="center"/>
          </w:tcPr>
          <w:p w14:paraId="2F8D2B00">
            <w:pPr>
              <w:adjustRightInd w:val="0"/>
              <w:snapToGrid w:val="0"/>
              <w:spacing w:line="32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氨</w:t>
            </w:r>
          </w:p>
        </w:tc>
        <w:tc>
          <w:tcPr>
            <w:tcW w:w="1872" w:type="dxa"/>
            <w:vMerge w:val="continue"/>
            <w:vAlign w:val="center"/>
          </w:tcPr>
          <w:p w14:paraId="55B7643C">
            <w:pPr>
              <w:adjustRightInd w:val="0"/>
              <w:snapToGrid w:val="0"/>
              <w:spacing w:line="320" w:lineRule="exact"/>
              <w:jc w:val="center"/>
              <w:rPr>
                <w:color w:val="000000" w:themeColor="text1"/>
                <w:sz w:val="24"/>
                <w14:textFill>
                  <w14:solidFill>
                    <w14:schemeClr w14:val="tx1"/>
                  </w14:solidFill>
                </w14:textFill>
              </w:rPr>
            </w:pPr>
          </w:p>
        </w:tc>
        <w:tc>
          <w:tcPr>
            <w:tcW w:w="3096" w:type="dxa"/>
            <w:vMerge w:val="restart"/>
            <w:vAlign w:val="center"/>
          </w:tcPr>
          <w:p w14:paraId="778D2557">
            <w:pPr>
              <w:adjustRightInd w:val="0"/>
              <w:snapToGrid w:val="0"/>
              <w:spacing w:line="30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《恶臭污染物排放标准》（GB14554-93）表1</w:t>
            </w:r>
          </w:p>
        </w:tc>
      </w:tr>
      <w:tr w14:paraId="344014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continue"/>
            <w:vAlign w:val="center"/>
          </w:tcPr>
          <w:p w14:paraId="23980D1E">
            <w:pPr>
              <w:adjustRightInd w:val="0"/>
              <w:snapToGrid w:val="0"/>
              <w:spacing w:line="320" w:lineRule="exact"/>
              <w:jc w:val="center"/>
              <w:rPr>
                <w:color w:val="000000" w:themeColor="text1"/>
                <w:sz w:val="24"/>
                <w14:textFill>
                  <w14:solidFill>
                    <w14:schemeClr w14:val="tx1"/>
                  </w14:solidFill>
                </w14:textFill>
              </w:rPr>
            </w:pPr>
          </w:p>
        </w:tc>
        <w:tc>
          <w:tcPr>
            <w:tcW w:w="860" w:type="dxa"/>
            <w:vMerge w:val="continue"/>
            <w:vAlign w:val="center"/>
          </w:tcPr>
          <w:p w14:paraId="6F915BAC">
            <w:pPr>
              <w:adjustRightInd w:val="0"/>
              <w:snapToGrid w:val="0"/>
              <w:spacing w:line="320" w:lineRule="exact"/>
              <w:jc w:val="center"/>
              <w:rPr>
                <w:color w:val="000000" w:themeColor="text1"/>
                <w:sz w:val="24"/>
                <w14:textFill>
                  <w14:solidFill>
                    <w14:schemeClr w14:val="tx1"/>
                  </w14:solidFill>
                </w14:textFill>
              </w:rPr>
            </w:pPr>
          </w:p>
        </w:tc>
        <w:tc>
          <w:tcPr>
            <w:tcW w:w="861" w:type="dxa"/>
            <w:vMerge w:val="continue"/>
            <w:vAlign w:val="center"/>
          </w:tcPr>
          <w:p w14:paraId="60D634A9">
            <w:pPr>
              <w:adjustRightInd w:val="0"/>
              <w:snapToGrid w:val="0"/>
              <w:spacing w:line="320" w:lineRule="exact"/>
              <w:jc w:val="center"/>
              <w:rPr>
                <w:color w:val="000000" w:themeColor="text1"/>
                <w:sz w:val="24"/>
                <w14:textFill>
                  <w14:solidFill>
                    <w14:schemeClr w14:val="tx1"/>
                  </w14:solidFill>
                </w14:textFill>
              </w:rPr>
            </w:pPr>
          </w:p>
        </w:tc>
        <w:tc>
          <w:tcPr>
            <w:tcW w:w="1660" w:type="dxa"/>
            <w:vAlign w:val="center"/>
          </w:tcPr>
          <w:p w14:paraId="23DF3834">
            <w:pPr>
              <w:adjustRightInd w:val="0"/>
              <w:snapToGrid w:val="0"/>
              <w:spacing w:line="320" w:lineRule="exact"/>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硫化氢</w:t>
            </w:r>
          </w:p>
        </w:tc>
        <w:tc>
          <w:tcPr>
            <w:tcW w:w="1872" w:type="dxa"/>
            <w:vMerge w:val="continue"/>
            <w:vAlign w:val="center"/>
          </w:tcPr>
          <w:p w14:paraId="2E77B349">
            <w:pPr>
              <w:adjustRightInd w:val="0"/>
              <w:snapToGrid w:val="0"/>
              <w:spacing w:line="320" w:lineRule="exact"/>
              <w:jc w:val="center"/>
              <w:rPr>
                <w:color w:val="000000" w:themeColor="text1"/>
                <w:sz w:val="24"/>
                <w14:textFill>
                  <w14:solidFill>
                    <w14:schemeClr w14:val="tx1"/>
                  </w14:solidFill>
                </w14:textFill>
              </w:rPr>
            </w:pPr>
          </w:p>
        </w:tc>
        <w:tc>
          <w:tcPr>
            <w:tcW w:w="3096" w:type="dxa"/>
            <w:vMerge w:val="continue"/>
            <w:vAlign w:val="center"/>
          </w:tcPr>
          <w:p w14:paraId="55425AA8">
            <w:pPr>
              <w:adjustRightInd w:val="0"/>
              <w:snapToGrid w:val="0"/>
              <w:spacing w:line="300" w:lineRule="exact"/>
              <w:jc w:val="center"/>
              <w:rPr>
                <w:color w:val="000000" w:themeColor="text1"/>
                <w:sz w:val="24"/>
                <w14:textFill>
                  <w14:solidFill>
                    <w14:schemeClr w14:val="tx1"/>
                  </w14:solidFill>
                </w14:textFill>
              </w:rPr>
            </w:pPr>
          </w:p>
        </w:tc>
      </w:tr>
      <w:tr w14:paraId="6D5701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continue"/>
            <w:vAlign w:val="center"/>
          </w:tcPr>
          <w:p w14:paraId="6656C8C3">
            <w:pPr>
              <w:adjustRightInd w:val="0"/>
              <w:snapToGrid w:val="0"/>
              <w:spacing w:line="320" w:lineRule="exact"/>
              <w:jc w:val="center"/>
              <w:rPr>
                <w:color w:val="000000" w:themeColor="text1"/>
                <w:sz w:val="24"/>
                <w14:textFill>
                  <w14:solidFill>
                    <w14:schemeClr w14:val="tx1"/>
                  </w14:solidFill>
                </w14:textFill>
              </w:rPr>
            </w:pPr>
          </w:p>
        </w:tc>
        <w:tc>
          <w:tcPr>
            <w:tcW w:w="860" w:type="dxa"/>
            <w:vMerge w:val="continue"/>
            <w:vAlign w:val="center"/>
          </w:tcPr>
          <w:p w14:paraId="7C5ADC90">
            <w:pPr>
              <w:adjustRightInd w:val="0"/>
              <w:snapToGrid w:val="0"/>
              <w:spacing w:line="320" w:lineRule="exact"/>
              <w:jc w:val="center"/>
              <w:rPr>
                <w:color w:val="000000" w:themeColor="text1"/>
                <w:sz w:val="24"/>
                <w14:textFill>
                  <w14:solidFill>
                    <w14:schemeClr w14:val="tx1"/>
                  </w14:solidFill>
                </w14:textFill>
              </w:rPr>
            </w:pPr>
          </w:p>
        </w:tc>
        <w:tc>
          <w:tcPr>
            <w:tcW w:w="861" w:type="dxa"/>
            <w:vMerge w:val="continue"/>
            <w:vAlign w:val="center"/>
          </w:tcPr>
          <w:p w14:paraId="44CC8C81">
            <w:pPr>
              <w:adjustRightInd w:val="0"/>
              <w:snapToGrid w:val="0"/>
              <w:spacing w:line="320" w:lineRule="exact"/>
              <w:jc w:val="center"/>
              <w:rPr>
                <w:color w:val="000000" w:themeColor="text1"/>
                <w:sz w:val="24"/>
                <w14:textFill>
                  <w14:solidFill>
                    <w14:schemeClr w14:val="tx1"/>
                  </w14:solidFill>
                </w14:textFill>
              </w:rPr>
            </w:pPr>
          </w:p>
        </w:tc>
        <w:tc>
          <w:tcPr>
            <w:tcW w:w="1660" w:type="dxa"/>
            <w:vAlign w:val="center"/>
          </w:tcPr>
          <w:p w14:paraId="76370501">
            <w:pPr>
              <w:adjustRightInd w:val="0"/>
              <w:snapToGrid w:val="0"/>
              <w:spacing w:line="320" w:lineRule="exact"/>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臭气浓度</w:t>
            </w:r>
          </w:p>
        </w:tc>
        <w:tc>
          <w:tcPr>
            <w:tcW w:w="1872" w:type="dxa"/>
            <w:vMerge w:val="continue"/>
            <w:vAlign w:val="center"/>
          </w:tcPr>
          <w:p w14:paraId="37C7F6E4">
            <w:pPr>
              <w:adjustRightInd w:val="0"/>
              <w:snapToGrid w:val="0"/>
              <w:spacing w:line="320" w:lineRule="exact"/>
              <w:jc w:val="center"/>
              <w:rPr>
                <w:color w:val="000000" w:themeColor="text1"/>
                <w:sz w:val="24"/>
                <w14:textFill>
                  <w14:solidFill>
                    <w14:schemeClr w14:val="tx1"/>
                  </w14:solidFill>
                </w14:textFill>
              </w:rPr>
            </w:pPr>
          </w:p>
        </w:tc>
        <w:tc>
          <w:tcPr>
            <w:tcW w:w="3096" w:type="dxa"/>
            <w:vMerge w:val="continue"/>
            <w:vAlign w:val="center"/>
          </w:tcPr>
          <w:p w14:paraId="0D5768AA">
            <w:pPr>
              <w:adjustRightInd w:val="0"/>
              <w:snapToGrid w:val="0"/>
              <w:spacing w:line="300" w:lineRule="exact"/>
              <w:jc w:val="center"/>
              <w:rPr>
                <w:color w:val="000000" w:themeColor="text1"/>
                <w:sz w:val="24"/>
                <w14:textFill>
                  <w14:solidFill>
                    <w14:schemeClr w14:val="tx1"/>
                  </w14:solidFill>
                </w14:textFill>
              </w:rPr>
            </w:pPr>
          </w:p>
        </w:tc>
      </w:tr>
      <w:tr w14:paraId="636A7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continue"/>
            <w:vAlign w:val="center"/>
          </w:tcPr>
          <w:p w14:paraId="3DDF5B64">
            <w:pPr>
              <w:adjustRightInd w:val="0"/>
              <w:snapToGrid w:val="0"/>
              <w:spacing w:line="320" w:lineRule="exact"/>
              <w:jc w:val="center"/>
              <w:rPr>
                <w:color w:val="000000" w:themeColor="text1"/>
                <w:sz w:val="24"/>
                <w14:textFill>
                  <w14:solidFill>
                    <w14:schemeClr w14:val="tx1"/>
                  </w14:solidFill>
                </w14:textFill>
              </w:rPr>
            </w:pPr>
          </w:p>
        </w:tc>
        <w:tc>
          <w:tcPr>
            <w:tcW w:w="860" w:type="dxa"/>
            <w:vMerge w:val="continue"/>
            <w:vAlign w:val="center"/>
          </w:tcPr>
          <w:p w14:paraId="3CC1D13D">
            <w:pPr>
              <w:adjustRightInd w:val="0"/>
              <w:snapToGrid w:val="0"/>
              <w:spacing w:line="320" w:lineRule="exact"/>
              <w:jc w:val="center"/>
              <w:rPr>
                <w:color w:val="000000" w:themeColor="text1"/>
                <w:sz w:val="24"/>
                <w14:textFill>
                  <w14:solidFill>
                    <w14:schemeClr w14:val="tx1"/>
                  </w14:solidFill>
                </w14:textFill>
              </w:rPr>
            </w:pPr>
          </w:p>
        </w:tc>
        <w:tc>
          <w:tcPr>
            <w:tcW w:w="861" w:type="dxa"/>
            <w:vAlign w:val="center"/>
          </w:tcPr>
          <w:p w14:paraId="7284D6B1">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车间内</w:t>
            </w:r>
          </w:p>
        </w:tc>
        <w:tc>
          <w:tcPr>
            <w:tcW w:w="1660" w:type="dxa"/>
            <w:vAlign w:val="center"/>
          </w:tcPr>
          <w:p w14:paraId="6D2D33B7">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非甲烷总烃</w:t>
            </w:r>
          </w:p>
        </w:tc>
        <w:tc>
          <w:tcPr>
            <w:tcW w:w="1872" w:type="dxa"/>
            <w:vMerge w:val="continue"/>
            <w:vAlign w:val="center"/>
          </w:tcPr>
          <w:p w14:paraId="7A25F793">
            <w:pPr>
              <w:adjustRightInd w:val="0"/>
              <w:snapToGrid w:val="0"/>
              <w:spacing w:line="320" w:lineRule="exact"/>
              <w:jc w:val="center"/>
              <w:rPr>
                <w:color w:val="000000" w:themeColor="text1"/>
                <w:sz w:val="24"/>
                <w14:textFill>
                  <w14:solidFill>
                    <w14:schemeClr w14:val="tx1"/>
                  </w14:solidFill>
                </w14:textFill>
              </w:rPr>
            </w:pPr>
          </w:p>
        </w:tc>
        <w:tc>
          <w:tcPr>
            <w:tcW w:w="3096" w:type="dxa"/>
            <w:vAlign w:val="center"/>
          </w:tcPr>
          <w:p w14:paraId="1D97CB99">
            <w:pPr>
              <w:adjustRightInd w:val="0"/>
              <w:snapToGrid w:val="0"/>
              <w:spacing w:line="320" w:lineRule="exact"/>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《大气污染物综合排放标准》（DB32/4042-2021）表2</w:t>
            </w:r>
          </w:p>
        </w:tc>
      </w:tr>
      <w:tr w14:paraId="675EC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restart"/>
            <w:vAlign w:val="center"/>
          </w:tcPr>
          <w:p w14:paraId="06524A54">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地表水环境</w:t>
            </w:r>
          </w:p>
        </w:tc>
        <w:tc>
          <w:tcPr>
            <w:tcW w:w="1721" w:type="dxa"/>
            <w:gridSpan w:val="2"/>
            <w:vMerge w:val="restart"/>
            <w:vAlign w:val="center"/>
          </w:tcPr>
          <w:p w14:paraId="1DFA22DA">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生活污水</w:t>
            </w:r>
          </w:p>
        </w:tc>
        <w:tc>
          <w:tcPr>
            <w:tcW w:w="1660" w:type="dxa"/>
            <w:vAlign w:val="center"/>
          </w:tcPr>
          <w:p w14:paraId="2017D0BA">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pH</w:t>
            </w:r>
          </w:p>
        </w:tc>
        <w:tc>
          <w:tcPr>
            <w:tcW w:w="1872" w:type="dxa"/>
            <w:vMerge w:val="restart"/>
            <w:vAlign w:val="center"/>
          </w:tcPr>
          <w:p w14:paraId="4CAF26A4">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接入市政污水管网进入常州金坛区第二污水处理有限公司处理</w:t>
            </w:r>
          </w:p>
        </w:tc>
        <w:tc>
          <w:tcPr>
            <w:tcW w:w="3096" w:type="dxa"/>
            <w:vMerge w:val="restart"/>
            <w:vAlign w:val="center"/>
          </w:tcPr>
          <w:p w14:paraId="766A4ED2">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常州金坛区第二污水处理有限公司污水接管标准</w:t>
            </w:r>
          </w:p>
        </w:tc>
      </w:tr>
      <w:tr w14:paraId="5905B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continue"/>
            <w:vAlign w:val="center"/>
          </w:tcPr>
          <w:p w14:paraId="3A2D54A5">
            <w:pPr>
              <w:adjustRightInd w:val="0"/>
              <w:snapToGrid w:val="0"/>
              <w:spacing w:line="320" w:lineRule="exact"/>
              <w:jc w:val="center"/>
              <w:rPr>
                <w:color w:val="000000" w:themeColor="text1"/>
                <w:sz w:val="24"/>
                <w14:textFill>
                  <w14:solidFill>
                    <w14:schemeClr w14:val="tx1"/>
                  </w14:solidFill>
                </w14:textFill>
              </w:rPr>
            </w:pPr>
          </w:p>
        </w:tc>
        <w:tc>
          <w:tcPr>
            <w:tcW w:w="1721" w:type="dxa"/>
            <w:gridSpan w:val="2"/>
            <w:vMerge w:val="continue"/>
            <w:vAlign w:val="center"/>
          </w:tcPr>
          <w:p w14:paraId="78150113">
            <w:pPr>
              <w:adjustRightInd w:val="0"/>
              <w:snapToGrid w:val="0"/>
              <w:spacing w:line="320" w:lineRule="exact"/>
              <w:jc w:val="center"/>
              <w:rPr>
                <w:color w:val="000000" w:themeColor="text1"/>
                <w:sz w:val="24"/>
                <w14:textFill>
                  <w14:solidFill>
                    <w14:schemeClr w14:val="tx1"/>
                  </w14:solidFill>
                </w14:textFill>
              </w:rPr>
            </w:pPr>
          </w:p>
        </w:tc>
        <w:tc>
          <w:tcPr>
            <w:tcW w:w="1660" w:type="dxa"/>
            <w:vAlign w:val="center"/>
          </w:tcPr>
          <w:p w14:paraId="58D72C83">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COD</w:t>
            </w:r>
          </w:p>
        </w:tc>
        <w:tc>
          <w:tcPr>
            <w:tcW w:w="1872" w:type="dxa"/>
            <w:vMerge w:val="continue"/>
            <w:vAlign w:val="center"/>
          </w:tcPr>
          <w:p w14:paraId="51D38C1C">
            <w:pPr>
              <w:adjustRightInd w:val="0"/>
              <w:snapToGrid w:val="0"/>
              <w:spacing w:line="320" w:lineRule="exact"/>
              <w:jc w:val="center"/>
              <w:rPr>
                <w:color w:val="000000" w:themeColor="text1"/>
                <w:sz w:val="24"/>
                <w14:textFill>
                  <w14:solidFill>
                    <w14:schemeClr w14:val="tx1"/>
                  </w14:solidFill>
                </w14:textFill>
              </w:rPr>
            </w:pPr>
          </w:p>
        </w:tc>
        <w:tc>
          <w:tcPr>
            <w:tcW w:w="3096" w:type="dxa"/>
            <w:vMerge w:val="continue"/>
            <w:vAlign w:val="center"/>
          </w:tcPr>
          <w:p w14:paraId="3BB2E4F0">
            <w:pPr>
              <w:adjustRightInd w:val="0"/>
              <w:snapToGrid w:val="0"/>
              <w:spacing w:line="320" w:lineRule="exact"/>
              <w:jc w:val="center"/>
              <w:rPr>
                <w:color w:val="000000" w:themeColor="text1"/>
                <w:sz w:val="24"/>
                <w14:textFill>
                  <w14:solidFill>
                    <w14:schemeClr w14:val="tx1"/>
                  </w14:solidFill>
                </w14:textFill>
              </w:rPr>
            </w:pPr>
          </w:p>
        </w:tc>
      </w:tr>
      <w:tr w14:paraId="6C3370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continue"/>
            <w:vAlign w:val="center"/>
          </w:tcPr>
          <w:p w14:paraId="4A8CF8B6">
            <w:pPr>
              <w:adjustRightInd w:val="0"/>
              <w:snapToGrid w:val="0"/>
              <w:spacing w:line="320" w:lineRule="exact"/>
              <w:jc w:val="center"/>
              <w:rPr>
                <w:color w:val="000000" w:themeColor="text1"/>
                <w:sz w:val="24"/>
                <w14:textFill>
                  <w14:solidFill>
                    <w14:schemeClr w14:val="tx1"/>
                  </w14:solidFill>
                </w14:textFill>
              </w:rPr>
            </w:pPr>
          </w:p>
        </w:tc>
        <w:tc>
          <w:tcPr>
            <w:tcW w:w="1721" w:type="dxa"/>
            <w:gridSpan w:val="2"/>
            <w:vMerge w:val="continue"/>
            <w:vAlign w:val="center"/>
          </w:tcPr>
          <w:p w14:paraId="1D2E4359">
            <w:pPr>
              <w:adjustRightInd w:val="0"/>
              <w:snapToGrid w:val="0"/>
              <w:spacing w:line="320" w:lineRule="exact"/>
              <w:jc w:val="center"/>
              <w:rPr>
                <w:color w:val="000000" w:themeColor="text1"/>
                <w:sz w:val="24"/>
                <w14:textFill>
                  <w14:solidFill>
                    <w14:schemeClr w14:val="tx1"/>
                  </w14:solidFill>
                </w14:textFill>
              </w:rPr>
            </w:pPr>
          </w:p>
        </w:tc>
        <w:tc>
          <w:tcPr>
            <w:tcW w:w="1660" w:type="dxa"/>
            <w:vAlign w:val="center"/>
          </w:tcPr>
          <w:p w14:paraId="12DA7005">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SS</w:t>
            </w:r>
          </w:p>
        </w:tc>
        <w:tc>
          <w:tcPr>
            <w:tcW w:w="1872" w:type="dxa"/>
            <w:vMerge w:val="continue"/>
            <w:vAlign w:val="center"/>
          </w:tcPr>
          <w:p w14:paraId="61083C9E">
            <w:pPr>
              <w:adjustRightInd w:val="0"/>
              <w:snapToGrid w:val="0"/>
              <w:spacing w:line="320" w:lineRule="exact"/>
              <w:jc w:val="center"/>
              <w:rPr>
                <w:color w:val="000000" w:themeColor="text1"/>
                <w:sz w:val="24"/>
                <w14:textFill>
                  <w14:solidFill>
                    <w14:schemeClr w14:val="tx1"/>
                  </w14:solidFill>
                </w14:textFill>
              </w:rPr>
            </w:pPr>
          </w:p>
        </w:tc>
        <w:tc>
          <w:tcPr>
            <w:tcW w:w="3096" w:type="dxa"/>
            <w:vMerge w:val="continue"/>
            <w:vAlign w:val="center"/>
          </w:tcPr>
          <w:p w14:paraId="140A5A35">
            <w:pPr>
              <w:adjustRightInd w:val="0"/>
              <w:snapToGrid w:val="0"/>
              <w:spacing w:line="320" w:lineRule="exact"/>
              <w:jc w:val="center"/>
              <w:rPr>
                <w:color w:val="000000" w:themeColor="text1"/>
                <w:sz w:val="24"/>
                <w14:textFill>
                  <w14:solidFill>
                    <w14:schemeClr w14:val="tx1"/>
                  </w14:solidFill>
                </w14:textFill>
              </w:rPr>
            </w:pPr>
          </w:p>
        </w:tc>
      </w:tr>
      <w:tr w14:paraId="407928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continue"/>
            <w:vAlign w:val="center"/>
          </w:tcPr>
          <w:p w14:paraId="0C7B689B">
            <w:pPr>
              <w:adjustRightInd w:val="0"/>
              <w:snapToGrid w:val="0"/>
              <w:spacing w:line="320" w:lineRule="exact"/>
              <w:jc w:val="center"/>
              <w:rPr>
                <w:color w:val="000000" w:themeColor="text1"/>
                <w:sz w:val="24"/>
                <w14:textFill>
                  <w14:solidFill>
                    <w14:schemeClr w14:val="tx1"/>
                  </w14:solidFill>
                </w14:textFill>
              </w:rPr>
            </w:pPr>
          </w:p>
        </w:tc>
        <w:tc>
          <w:tcPr>
            <w:tcW w:w="1721" w:type="dxa"/>
            <w:gridSpan w:val="2"/>
            <w:vMerge w:val="continue"/>
            <w:vAlign w:val="center"/>
          </w:tcPr>
          <w:p w14:paraId="7568A6CC">
            <w:pPr>
              <w:adjustRightInd w:val="0"/>
              <w:snapToGrid w:val="0"/>
              <w:spacing w:line="320" w:lineRule="exact"/>
              <w:jc w:val="center"/>
              <w:rPr>
                <w:color w:val="000000" w:themeColor="text1"/>
                <w:sz w:val="24"/>
                <w14:textFill>
                  <w14:solidFill>
                    <w14:schemeClr w14:val="tx1"/>
                  </w14:solidFill>
                </w14:textFill>
              </w:rPr>
            </w:pPr>
          </w:p>
        </w:tc>
        <w:tc>
          <w:tcPr>
            <w:tcW w:w="1660" w:type="dxa"/>
            <w:vAlign w:val="center"/>
          </w:tcPr>
          <w:p w14:paraId="4AD3CB8E">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w:t>
            </w:r>
          </w:p>
        </w:tc>
        <w:tc>
          <w:tcPr>
            <w:tcW w:w="1872" w:type="dxa"/>
            <w:vMerge w:val="continue"/>
            <w:vAlign w:val="center"/>
          </w:tcPr>
          <w:p w14:paraId="3A34F2B5">
            <w:pPr>
              <w:adjustRightInd w:val="0"/>
              <w:snapToGrid w:val="0"/>
              <w:spacing w:line="320" w:lineRule="exact"/>
              <w:jc w:val="center"/>
              <w:rPr>
                <w:color w:val="000000" w:themeColor="text1"/>
                <w:sz w:val="24"/>
                <w14:textFill>
                  <w14:solidFill>
                    <w14:schemeClr w14:val="tx1"/>
                  </w14:solidFill>
                </w14:textFill>
              </w:rPr>
            </w:pPr>
          </w:p>
        </w:tc>
        <w:tc>
          <w:tcPr>
            <w:tcW w:w="3096" w:type="dxa"/>
            <w:vMerge w:val="continue"/>
            <w:vAlign w:val="center"/>
          </w:tcPr>
          <w:p w14:paraId="1C4FE7B7">
            <w:pPr>
              <w:adjustRightInd w:val="0"/>
              <w:snapToGrid w:val="0"/>
              <w:spacing w:line="320" w:lineRule="exact"/>
              <w:jc w:val="center"/>
              <w:rPr>
                <w:color w:val="000000" w:themeColor="text1"/>
                <w:sz w:val="24"/>
                <w14:textFill>
                  <w14:solidFill>
                    <w14:schemeClr w14:val="tx1"/>
                  </w14:solidFill>
                </w14:textFill>
              </w:rPr>
            </w:pPr>
          </w:p>
        </w:tc>
      </w:tr>
      <w:tr w14:paraId="5688E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continue"/>
            <w:vAlign w:val="center"/>
          </w:tcPr>
          <w:p w14:paraId="031E3735">
            <w:pPr>
              <w:adjustRightInd w:val="0"/>
              <w:snapToGrid w:val="0"/>
              <w:spacing w:line="320" w:lineRule="exact"/>
              <w:jc w:val="center"/>
              <w:rPr>
                <w:color w:val="000000" w:themeColor="text1"/>
                <w:sz w:val="24"/>
                <w14:textFill>
                  <w14:solidFill>
                    <w14:schemeClr w14:val="tx1"/>
                  </w14:solidFill>
                </w14:textFill>
              </w:rPr>
            </w:pPr>
          </w:p>
        </w:tc>
        <w:tc>
          <w:tcPr>
            <w:tcW w:w="1721" w:type="dxa"/>
            <w:gridSpan w:val="2"/>
            <w:vMerge w:val="continue"/>
            <w:vAlign w:val="center"/>
          </w:tcPr>
          <w:p w14:paraId="3938A8B9">
            <w:pPr>
              <w:adjustRightInd w:val="0"/>
              <w:snapToGrid w:val="0"/>
              <w:spacing w:line="320" w:lineRule="exact"/>
              <w:jc w:val="center"/>
              <w:rPr>
                <w:color w:val="000000" w:themeColor="text1"/>
                <w:sz w:val="24"/>
                <w14:textFill>
                  <w14:solidFill>
                    <w14:schemeClr w14:val="tx1"/>
                  </w14:solidFill>
                </w14:textFill>
              </w:rPr>
            </w:pPr>
          </w:p>
        </w:tc>
        <w:tc>
          <w:tcPr>
            <w:tcW w:w="1660" w:type="dxa"/>
            <w:vAlign w:val="center"/>
          </w:tcPr>
          <w:p w14:paraId="4DAD8B17">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TP</w:t>
            </w:r>
          </w:p>
        </w:tc>
        <w:tc>
          <w:tcPr>
            <w:tcW w:w="1872" w:type="dxa"/>
            <w:vMerge w:val="continue"/>
            <w:vAlign w:val="center"/>
          </w:tcPr>
          <w:p w14:paraId="15BDBF95">
            <w:pPr>
              <w:adjustRightInd w:val="0"/>
              <w:snapToGrid w:val="0"/>
              <w:spacing w:line="320" w:lineRule="exact"/>
              <w:jc w:val="center"/>
              <w:rPr>
                <w:color w:val="000000" w:themeColor="text1"/>
                <w:sz w:val="24"/>
                <w14:textFill>
                  <w14:solidFill>
                    <w14:schemeClr w14:val="tx1"/>
                  </w14:solidFill>
                </w14:textFill>
              </w:rPr>
            </w:pPr>
          </w:p>
        </w:tc>
        <w:tc>
          <w:tcPr>
            <w:tcW w:w="3096" w:type="dxa"/>
            <w:vMerge w:val="continue"/>
            <w:vAlign w:val="center"/>
          </w:tcPr>
          <w:p w14:paraId="2B6B82E2">
            <w:pPr>
              <w:adjustRightInd w:val="0"/>
              <w:snapToGrid w:val="0"/>
              <w:spacing w:line="320" w:lineRule="exact"/>
              <w:jc w:val="center"/>
              <w:rPr>
                <w:color w:val="000000" w:themeColor="text1"/>
                <w:sz w:val="24"/>
                <w14:textFill>
                  <w14:solidFill>
                    <w14:schemeClr w14:val="tx1"/>
                  </w14:solidFill>
                </w14:textFill>
              </w:rPr>
            </w:pPr>
          </w:p>
        </w:tc>
      </w:tr>
      <w:tr w14:paraId="2FFC9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continue"/>
            <w:vAlign w:val="center"/>
          </w:tcPr>
          <w:p w14:paraId="5CA2B425">
            <w:pPr>
              <w:adjustRightInd w:val="0"/>
              <w:snapToGrid w:val="0"/>
              <w:spacing w:line="320" w:lineRule="exact"/>
              <w:jc w:val="center"/>
              <w:rPr>
                <w:color w:val="000000" w:themeColor="text1"/>
                <w:sz w:val="24"/>
                <w14:textFill>
                  <w14:solidFill>
                    <w14:schemeClr w14:val="tx1"/>
                  </w14:solidFill>
                </w14:textFill>
              </w:rPr>
            </w:pPr>
          </w:p>
        </w:tc>
        <w:tc>
          <w:tcPr>
            <w:tcW w:w="1721" w:type="dxa"/>
            <w:gridSpan w:val="2"/>
            <w:vMerge w:val="continue"/>
            <w:vAlign w:val="center"/>
          </w:tcPr>
          <w:p w14:paraId="68E5EA52">
            <w:pPr>
              <w:adjustRightInd w:val="0"/>
              <w:snapToGrid w:val="0"/>
              <w:spacing w:line="320" w:lineRule="exact"/>
              <w:jc w:val="center"/>
              <w:rPr>
                <w:color w:val="000000" w:themeColor="text1"/>
                <w:sz w:val="24"/>
                <w14:textFill>
                  <w14:solidFill>
                    <w14:schemeClr w14:val="tx1"/>
                  </w14:solidFill>
                </w14:textFill>
              </w:rPr>
            </w:pPr>
          </w:p>
        </w:tc>
        <w:tc>
          <w:tcPr>
            <w:tcW w:w="1660" w:type="dxa"/>
            <w:vAlign w:val="center"/>
          </w:tcPr>
          <w:p w14:paraId="575B47CB">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TN</w:t>
            </w:r>
          </w:p>
        </w:tc>
        <w:tc>
          <w:tcPr>
            <w:tcW w:w="1872" w:type="dxa"/>
            <w:vMerge w:val="continue"/>
            <w:vAlign w:val="center"/>
          </w:tcPr>
          <w:p w14:paraId="63DE2830">
            <w:pPr>
              <w:adjustRightInd w:val="0"/>
              <w:snapToGrid w:val="0"/>
              <w:spacing w:line="320" w:lineRule="exact"/>
              <w:jc w:val="center"/>
              <w:rPr>
                <w:color w:val="000000" w:themeColor="text1"/>
                <w:sz w:val="24"/>
                <w14:textFill>
                  <w14:solidFill>
                    <w14:schemeClr w14:val="tx1"/>
                  </w14:solidFill>
                </w14:textFill>
              </w:rPr>
            </w:pPr>
          </w:p>
        </w:tc>
        <w:tc>
          <w:tcPr>
            <w:tcW w:w="3096" w:type="dxa"/>
            <w:vMerge w:val="continue"/>
            <w:vAlign w:val="center"/>
          </w:tcPr>
          <w:p w14:paraId="5CB8936D">
            <w:pPr>
              <w:adjustRightInd w:val="0"/>
              <w:snapToGrid w:val="0"/>
              <w:spacing w:line="320" w:lineRule="exact"/>
              <w:jc w:val="center"/>
              <w:rPr>
                <w:color w:val="000000" w:themeColor="text1"/>
                <w:sz w:val="24"/>
                <w14:textFill>
                  <w14:solidFill>
                    <w14:schemeClr w14:val="tx1"/>
                  </w14:solidFill>
                </w14:textFill>
              </w:rPr>
            </w:pPr>
          </w:p>
        </w:tc>
      </w:tr>
      <w:tr w14:paraId="032685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Align w:val="center"/>
          </w:tcPr>
          <w:p w14:paraId="09016E68">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1721" w:type="dxa"/>
            <w:gridSpan w:val="2"/>
            <w:vAlign w:val="center"/>
          </w:tcPr>
          <w:p w14:paraId="16F53465">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生产车间</w:t>
            </w:r>
          </w:p>
        </w:tc>
        <w:tc>
          <w:tcPr>
            <w:tcW w:w="1660" w:type="dxa"/>
            <w:vAlign w:val="center"/>
          </w:tcPr>
          <w:p w14:paraId="57E7CB66">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噪声</w:t>
            </w:r>
          </w:p>
        </w:tc>
        <w:tc>
          <w:tcPr>
            <w:tcW w:w="1872" w:type="dxa"/>
            <w:vAlign w:val="center"/>
          </w:tcPr>
          <w:p w14:paraId="7272F78C">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隔声、减振</w:t>
            </w:r>
          </w:p>
        </w:tc>
        <w:tc>
          <w:tcPr>
            <w:tcW w:w="3096" w:type="dxa"/>
            <w:vAlign w:val="center"/>
          </w:tcPr>
          <w:p w14:paraId="3F8F9A7D">
            <w:pPr>
              <w:adjustRightInd w:val="0"/>
              <w:snapToGrid w:val="0"/>
              <w:spacing w:line="320" w:lineRule="exact"/>
              <w:jc w:val="center"/>
              <w:rPr>
                <w:color w:val="000000" w:themeColor="text1"/>
                <w:sz w:val="24"/>
                <w14:textFill>
                  <w14:solidFill>
                    <w14:schemeClr w14:val="tx1"/>
                  </w14:solidFill>
                </w14:textFill>
              </w:rPr>
            </w:pPr>
            <w:r>
              <w:rPr>
                <w:color w:val="000000" w:themeColor="text1"/>
                <w:spacing w:val="-11"/>
                <w:sz w:val="24"/>
                <w14:textFill>
                  <w14:solidFill>
                    <w14:schemeClr w14:val="tx1"/>
                  </w14:solidFill>
                </w14:textFill>
              </w:rPr>
              <w:t>《工业企业厂界环境噪声排放标准(GB12348-2008)3类</w:t>
            </w:r>
          </w:p>
        </w:tc>
      </w:tr>
      <w:tr w14:paraId="1CFF31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Align w:val="center"/>
          </w:tcPr>
          <w:p w14:paraId="77CEF78A">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电磁辐射</w:t>
            </w:r>
          </w:p>
        </w:tc>
        <w:tc>
          <w:tcPr>
            <w:tcW w:w="8349" w:type="dxa"/>
            <w:gridSpan w:val="5"/>
            <w:vAlign w:val="center"/>
          </w:tcPr>
          <w:p w14:paraId="59FB6930">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本项目生产过程中不使用含放射性同位素和伴有电磁辐射的设施，无放射性同位素及电磁辐射产生</w:t>
            </w:r>
          </w:p>
        </w:tc>
      </w:tr>
      <w:tr w14:paraId="0AF967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Align w:val="center"/>
          </w:tcPr>
          <w:p w14:paraId="050E63EB">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w:t>
            </w:r>
          </w:p>
        </w:tc>
        <w:tc>
          <w:tcPr>
            <w:tcW w:w="8349" w:type="dxa"/>
            <w:gridSpan w:val="5"/>
            <w:vAlign w:val="center"/>
          </w:tcPr>
          <w:p w14:paraId="141BD650">
            <w:pPr>
              <w:pStyle w:val="9"/>
              <w:numPr>
                <w:ilvl w:val="0"/>
                <w:numId w:val="0"/>
              </w:numPr>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一般工业固废暂存于</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的一般工业固废暂存间，定期综合利用；危险废物暂存于</w:t>
            </w:r>
            <w:r>
              <w:rPr>
                <w:rFonts w:hint="eastAsia"/>
                <w:color w:val="000000" w:themeColor="text1"/>
                <w:sz w:val="24"/>
                <w14:textFill>
                  <w14:solidFill>
                    <w14:schemeClr w14:val="tx1"/>
                  </w14:solidFill>
                </w14:textFill>
              </w:rPr>
              <w:t>3.75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危废</w:t>
            </w:r>
            <w:r>
              <w:rPr>
                <w:rFonts w:hint="eastAsia"/>
                <w:color w:val="000000" w:themeColor="text1"/>
                <w:sz w:val="24"/>
                <w14:textFill>
                  <w14:solidFill>
                    <w14:schemeClr w14:val="tx1"/>
                  </w14:solidFill>
                </w14:textFill>
              </w:rPr>
              <w:t>仓库以及1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的废液储罐</w:t>
            </w:r>
            <w:r>
              <w:rPr>
                <w:color w:val="000000" w:themeColor="text1"/>
                <w:sz w:val="24"/>
                <w14:textFill>
                  <w14:solidFill>
                    <w14:schemeClr w14:val="tx1"/>
                  </w14:solidFill>
                </w14:textFill>
              </w:rPr>
              <w:t>，危废</w:t>
            </w:r>
            <w:r>
              <w:rPr>
                <w:rFonts w:hint="eastAsia"/>
                <w:color w:val="000000" w:themeColor="text1"/>
                <w:sz w:val="24"/>
                <w14:textFill>
                  <w14:solidFill>
                    <w14:schemeClr w14:val="tx1"/>
                  </w14:solidFill>
                </w14:textFill>
              </w:rPr>
              <w:t>仓库及废液储罐</w:t>
            </w:r>
            <w:r>
              <w:rPr>
                <w:color w:val="000000" w:themeColor="text1"/>
                <w:sz w:val="24"/>
                <w14:textFill>
                  <w14:solidFill>
                    <w14:schemeClr w14:val="tx1"/>
                  </w14:solidFill>
                </w14:textFill>
              </w:rPr>
              <w:t>设置防雨、防火、防雷、防渗漏、防扬散装置，配置监控设施、通讯设备、照明设施、消防设施等，并按规定设置相应标志、标牌及标识，危废定期交由资质单位处置；生活垃圾交由环卫部门统一清运处理。</w:t>
            </w:r>
          </w:p>
        </w:tc>
      </w:tr>
      <w:tr w14:paraId="45D471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Align w:val="center"/>
          </w:tcPr>
          <w:p w14:paraId="1D016218">
            <w:pPr>
              <w:adjustRightInd w:val="0"/>
              <w:snapToGrid w:val="0"/>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土壤及地下水污染防治措施</w:t>
            </w:r>
          </w:p>
        </w:tc>
        <w:tc>
          <w:tcPr>
            <w:tcW w:w="8349" w:type="dxa"/>
            <w:gridSpan w:val="5"/>
            <w:vAlign w:val="center"/>
          </w:tcPr>
          <w:p w14:paraId="591CED9C">
            <w:pPr>
              <w:pStyle w:val="9"/>
              <w:numPr>
                <w:ilvl w:val="0"/>
                <w:numId w:val="0"/>
              </w:numPr>
              <w:spacing w:line="3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项目利用现有空置厂房进行生产，生活污水接管市政污水厂处理，</w:t>
            </w:r>
            <w:r>
              <w:rPr>
                <w:rFonts w:hint="eastAsia"/>
                <w:color w:val="000000" w:themeColor="text1"/>
                <w:sz w:val="24"/>
                <w14:textFill>
                  <w14:solidFill>
                    <w14:schemeClr w14:val="tx1"/>
                  </w14:solidFill>
                </w14:textFill>
              </w:rPr>
              <w:t>实验室</w:t>
            </w:r>
            <w:r>
              <w:rPr>
                <w:color w:val="000000" w:themeColor="text1"/>
                <w:sz w:val="24"/>
                <w14:textFill>
                  <w14:solidFill>
                    <w14:schemeClr w14:val="tx1"/>
                  </w14:solidFill>
                </w14:textFill>
              </w:rPr>
              <w:t>、试剂间、危废</w:t>
            </w:r>
            <w:r>
              <w:rPr>
                <w:rFonts w:hint="eastAsia"/>
                <w:color w:val="000000" w:themeColor="text1"/>
                <w:sz w:val="24"/>
                <w14:textFill>
                  <w14:solidFill>
                    <w14:schemeClr w14:val="tx1"/>
                  </w14:solidFill>
                </w14:textFill>
              </w:rPr>
              <w:t>仓库及废液储罐</w:t>
            </w:r>
            <w:r>
              <w:rPr>
                <w:color w:val="000000" w:themeColor="text1"/>
                <w:sz w:val="24"/>
                <w14:textFill>
                  <w14:solidFill>
                    <w14:schemeClr w14:val="tx1"/>
                  </w14:solidFill>
                </w14:textFill>
              </w:rPr>
              <w:t>均采取防渗措施，不会对土壤及地下水环境产生影响。</w:t>
            </w:r>
          </w:p>
        </w:tc>
      </w:tr>
      <w:tr w14:paraId="3DB1C0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Align w:val="center"/>
          </w:tcPr>
          <w:p w14:paraId="02012750">
            <w:pPr>
              <w:adjustRightInd w:val="0"/>
              <w:snapToGrid w:val="0"/>
              <w:spacing w:line="32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生态保护</w:t>
            </w:r>
          </w:p>
          <w:p w14:paraId="014DCEA8">
            <w:pPr>
              <w:adjustRightInd w:val="0"/>
              <w:snapToGrid w:val="0"/>
              <w:spacing w:line="32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措施</w:t>
            </w:r>
          </w:p>
        </w:tc>
        <w:tc>
          <w:tcPr>
            <w:tcW w:w="8349" w:type="dxa"/>
            <w:gridSpan w:val="5"/>
            <w:vAlign w:val="center"/>
          </w:tcPr>
          <w:p w14:paraId="20FDA50E">
            <w:pPr>
              <w:adjustRightInd w:val="0"/>
              <w:snapToGrid w:val="0"/>
              <w:spacing w:line="32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对照《江苏省生态红线区域保护规划》、《江苏省国家级生态保护红线规划》，本项目不处于禁止及限制开发范围内，而本项目产生的生活污水接管进金坛第二污水处理厂处理，不直接排入外环境水体。因此，本项目对生态无影响。</w:t>
            </w:r>
          </w:p>
        </w:tc>
      </w:tr>
      <w:tr w14:paraId="35EEDA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Align w:val="center"/>
          </w:tcPr>
          <w:p w14:paraId="6720B135">
            <w:pPr>
              <w:adjustRightInd w:val="0"/>
              <w:snapToGrid w:val="0"/>
              <w:spacing w:line="320" w:lineRule="exact"/>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环境风险</w:t>
            </w:r>
          </w:p>
          <w:p w14:paraId="6C3B2C8C">
            <w:pPr>
              <w:adjustRightInd w:val="0"/>
              <w:snapToGrid w:val="0"/>
              <w:spacing w:line="320" w:lineRule="exact"/>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防范措施</w:t>
            </w:r>
          </w:p>
        </w:tc>
        <w:tc>
          <w:tcPr>
            <w:tcW w:w="8349" w:type="dxa"/>
            <w:gridSpan w:val="5"/>
            <w:vAlign w:val="center"/>
          </w:tcPr>
          <w:p w14:paraId="3528DF16">
            <w:pPr>
              <w:adjustRightInd w:val="0"/>
              <w:snapToGrid w:val="0"/>
              <w:spacing w:line="32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（1）本项目要进行合理设计和规划，各相关设施的布置应符合相关防火距离的要求，投产前要检查厂区的消防设施，原料仓库等应设有较完善的消防系统及火灾报警系统；</w:t>
            </w:r>
          </w:p>
          <w:p w14:paraId="7C031BF1">
            <w:pPr>
              <w:adjustRightInd w:val="0"/>
              <w:snapToGrid w:val="0"/>
              <w:spacing w:line="32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（2）严格岗位管理，确保废气处理设施正常运行，加强废气处理设施的运行管理和日常维护，若发现废气处理设施运行异常应立即检修，必要情况下停止生产；</w:t>
            </w:r>
          </w:p>
          <w:p w14:paraId="1E53DB4C">
            <w:pPr>
              <w:adjustRightInd w:val="0"/>
              <w:snapToGrid w:val="0"/>
              <w:spacing w:line="32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试剂间、</w:t>
            </w:r>
            <w:r>
              <w:rPr>
                <w:color w:val="000000" w:themeColor="text1"/>
                <w:sz w:val="24"/>
                <w14:textFill>
                  <w14:solidFill>
                    <w14:schemeClr w14:val="tx1"/>
                  </w14:solidFill>
                </w14:textFill>
              </w:rPr>
              <w:t>危废</w:t>
            </w:r>
            <w:r>
              <w:rPr>
                <w:rFonts w:hint="eastAsia"/>
                <w:color w:val="000000" w:themeColor="text1"/>
                <w:sz w:val="24"/>
                <w14:textFill>
                  <w14:solidFill>
                    <w14:schemeClr w14:val="tx1"/>
                  </w14:solidFill>
                </w14:textFill>
              </w:rPr>
              <w:t>仓库及废液储罐</w:t>
            </w:r>
            <w:r>
              <w:rPr>
                <w:color w:val="000000" w:themeColor="text1"/>
                <w:sz w:val="24"/>
                <w14:textFill>
                  <w14:solidFill>
                    <w14:schemeClr w14:val="tx1"/>
                  </w14:solidFill>
                </w14:textFill>
              </w:rPr>
              <w:t>等有可能发生原辅料泄漏的区域，应储备所需应急物资，将扩散物质固定、回收，避免物质泄漏扩散进入雨水和污水系统，防止进入外界水环境；</w:t>
            </w:r>
          </w:p>
          <w:p w14:paraId="1210B812">
            <w:pPr>
              <w:adjustRightInd w:val="0"/>
              <w:snapToGrid w:val="0"/>
              <w:spacing w:line="32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（4）危险废物暂存间按照《危险废物贮存污染控制标准》（GB18597-2023）中“危险废物贮存设施的选址与设计原则”，确认在厂区的平面位置及防渗设计。</w:t>
            </w:r>
          </w:p>
          <w:p w14:paraId="26724CA1">
            <w:pPr>
              <w:adjustRightInd w:val="0"/>
              <w:snapToGrid w:val="0"/>
              <w:spacing w:line="32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（5）依托</w:t>
            </w:r>
            <w:r>
              <w:rPr>
                <w:rFonts w:hint="eastAsia"/>
                <w:color w:val="000000" w:themeColor="text1"/>
                <w:sz w:val="24"/>
                <w14:textFill>
                  <w14:solidFill>
                    <w14:schemeClr w14:val="tx1"/>
                  </w14:solidFill>
                </w14:textFill>
              </w:rPr>
              <w:t>园区8</w:t>
            </w:r>
            <w:r>
              <w:rPr>
                <w:color w:val="000000" w:themeColor="text1"/>
                <w:sz w:val="24"/>
                <w14:textFill>
                  <w14:solidFill>
                    <w14:schemeClr w14:val="tx1"/>
                  </w14:solidFill>
                </w14:textFill>
              </w:rPr>
              <w:t>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的应急事故池</w:t>
            </w:r>
            <w:r>
              <w:rPr>
                <w:rFonts w:hint="eastAsia"/>
                <w:color w:val="000000" w:themeColor="text1"/>
                <w:sz w:val="24"/>
                <w14:textFill>
                  <w14:solidFill>
                    <w14:schemeClr w14:val="tx1"/>
                  </w14:solidFill>
                </w14:textFill>
              </w:rPr>
              <w:t>及雨水排放口阀门</w:t>
            </w:r>
            <w:r>
              <w:rPr>
                <w:color w:val="000000" w:themeColor="text1"/>
                <w:sz w:val="24"/>
                <w14:textFill>
                  <w14:solidFill>
                    <w14:schemeClr w14:val="tx1"/>
                  </w14:solidFill>
                </w14:textFill>
              </w:rPr>
              <w:t>。</w:t>
            </w:r>
          </w:p>
          <w:p w14:paraId="09F277E9">
            <w:pPr>
              <w:adjustRightInd w:val="0"/>
              <w:snapToGrid w:val="0"/>
              <w:spacing w:line="32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综上，本项目风险可防控。</w:t>
            </w:r>
          </w:p>
        </w:tc>
      </w:tr>
      <w:tr w14:paraId="7E511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Align w:val="center"/>
          </w:tcPr>
          <w:p w14:paraId="2748A938">
            <w:pPr>
              <w:adjustRightInd w:val="0"/>
              <w:snapToGrid w:val="0"/>
              <w:spacing w:line="320" w:lineRule="exact"/>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其他环境</w:t>
            </w:r>
          </w:p>
          <w:p w14:paraId="299098EB">
            <w:pPr>
              <w:adjustRightInd w:val="0"/>
              <w:snapToGrid w:val="0"/>
              <w:spacing w:line="320" w:lineRule="exact"/>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管理要求</w:t>
            </w:r>
          </w:p>
        </w:tc>
        <w:tc>
          <w:tcPr>
            <w:tcW w:w="8349" w:type="dxa"/>
            <w:gridSpan w:val="5"/>
            <w:vAlign w:val="center"/>
          </w:tcPr>
          <w:p w14:paraId="2B474577">
            <w:pPr>
              <w:adjustRightInd w:val="0"/>
              <w:snapToGrid w:val="0"/>
              <w:spacing w:line="32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1）保持与环境保护主管机构的密切联系，及时了解国家、地方对本项目的有关环境保护的法律法规和其他要求，及时向环境保护主管机构反映与项目有关的污染因素、存在的问题、采取的污染控制对策等环境保护方面的内容，听取环境保护主管机构的批示意见；</w:t>
            </w:r>
          </w:p>
          <w:p w14:paraId="6840B4C1">
            <w:pPr>
              <w:adjustRightInd w:val="0"/>
              <w:snapToGrid w:val="0"/>
              <w:spacing w:line="32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（2）及时将国家、地方与本项目环境保护有关的法律法规和其他要求向单位负责人汇报，及时向本单位有关机构、人员进行通报，组织职工进行环境保护方面的教育、培训，增强环保意识；</w:t>
            </w:r>
          </w:p>
          <w:p w14:paraId="156337BE">
            <w:pPr>
              <w:adjustRightInd w:val="0"/>
              <w:snapToGrid w:val="0"/>
              <w:spacing w:line="32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（3）及时向单位负责人汇报与本项目有关的污染因素、存在问题、采取的污染控制对策、实施情况等，提出改进建议；</w:t>
            </w:r>
          </w:p>
          <w:p w14:paraId="1A5E2F85">
            <w:pPr>
              <w:adjustRightInd w:val="0"/>
              <w:snapToGrid w:val="0"/>
              <w:spacing w:line="32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（4）负责制定、监督实施本单位的有关环境保护管理规章制度，负责实施污染控制措施、管理污染治理设施，并进行详细记录，以备检查；</w:t>
            </w:r>
          </w:p>
          <w:p w14:paraId="2A51BD56">
            <w:pPr>
              <w:adjustRightInd w:val="0"/>
              <w:snapToGrid w:val="0"/>
              <w:spacing w:line="32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5）按照本报告提出的各项环境保护措施，编制详细的环境保护措施落实计划，明确各污染源位置、环境影响、环境保护措施、落实责任机构（人）等，并将该环境保护计划以书面形式发放给相关人员，以便于各项措施的有效落实；</w:t>
            </w:r>
          </w:p>
          <w:p w14:paraId="1CD952AD">
            <w:pPr>
              <w:adjustRightInd w:val="0"/>
              <w:snapToGrid w:val="0"/>
              <w:spacing w:line="32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（6）按《江苏省排污口设置及规范化整治管理办法》（苏环控[97]122号）要求，对废气排口、固定噪声污染源、固废临时堆场进行规范化设置；</w:t>
            </w:r>
          </w:p>
          <w:p w14:paraId="584586CC">
            <w:pPr>
              <w:adjustRightInd w:val="0"/>
              <w:snapToGrid w:val="0"/>
              <w:spacing w:line="32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（7）根据《企业环境信息依法披露管理办法》（部令第24号）要求，向社会公开信息。</w:t>
            </w:r>
          </w:p>
        </w:tc>
      </w:tr>
    </w:tbl>
    <w:p w14:paraId="07467D7F">
      <w:pPr>
        <w:pStyle w:val="21"/>
        <w:spacing w:before="0" w:beforeAutospacing="0" w:after="0" w:afterAutospacing="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r>
        <w:rPr>
          <w:rFonts w:ascii="Times New Roman" w:hAnsi="Times New Roman"/>
          <w:snapToGrid w:val="0"/>
          <w:color w:val="000000" w:themeColor="text1"/>
          <w:sz w:val="30"/>
          <w:szCs w:val="30"/>
          <w14:textFill>
            <w14:solidFill>
              <w14:schemeClr w14:val="tx1"/>
            </w14:solidFill>
          </w14:textFill>
        </w:rPr>
        <w:t>六、结论</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71DD4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2" w:hRule="atLeast"/>
          <w:jc w:val="center"/>
        </w:trPr>
        <w:tc>
          <w:tcPr>
            <w:tcW w:w="8865" w:type="dxa"/>
            <w:vAlign w:val="center"/>
          </w:tcPr>
          <w:p w14:paraId="36493459">
            <w:pPr>
              <w:spacing w:line="480" w:lineRule="exact"/>
              <w:ind w:firstLine="456" w:firstLineChars="200"/>
              <w:rPr>
                <w:color w:val="000000" w:themeColor="text1"/>
                <w:spacing w:val="-6"/>
                <w:sz w:val="24"/>
                <w:lang w:val="zh-CN"/>
                <w14:textFill>
                  <w14:solidFill>
                    <w14:schemeClr w14:val="tx1"/>
                  </w14:solidFill>
                </w14:textFill>
              </w:rPr>
            </w:pPr>
          </w:p>
          <w:p w14:paraId="316A118D">
            <w:pPr>
              <w:spacing w:line="480" w:lineRule="exact"/>
              <w:ind w:firstLine="456" w:firstLineChars="200"/>
              <w:rPr>
                <w:color w:val="000000" w:themeColor="text1"/>
                <w:spacing w:val="-6"/>
                <w:sz w:val="24"/>
                <w:lang w:val="zh-CN"/>
                <w14:textFill>
                  <w14:solidFill>
                    <w14:schemeClr w14:val="tx1"/>
                  </w14:solidFill>
                </w14:textFill>
              </w:rPr>
            </w:pPr>
          </w:p>
          <w:p w14:paraId="4D30122F">
            <w:pPr>
              <w:spacing w:line="480" w:lineRule="exact"/>
              <w:ind w:firstLine="456" w:firstLineChars="200"/>
              <w:rPr>
                <w:color w:val="000000" w:themeColor="text1"/>
                <w:spacing w:val="-6"/>
                <w:sz w:val="24"/>
                <w:lang w:val="zh-CN"/>
                <w14:textFill>
                  <w14:solidFill>
                    <w14:schemeClr w14:val="tx1"/>
                  </w14:solidFill>
                </w14:textFill>
              </w:rPr>
            </w:pPr>
            <w:r>
              <w:rPr>
                <w:color w:val="000000" w:themeColor="text1"/>
                <w:spacing w:val="-6"/>
                <w:sz w:val="24"/>
                <w:lang w:val="zh-CN"/>
                <w14:textFill>
                  <w14:solidFill>
                    <w14:schemeClr w14:val="tx1"/>
                  </w14:solidFill>
                </w14:textFill>
              </w:rPr>
              <w:t>本项目</w:t>
            </w:r>
            <w:r>
              <w:rPr>
                <w:color w:val="000000" w:themeColor="text1"/>
                <w:spacing w:val="-2"/>
                <w:sz w:val="24"/>
                <w14:textFill>
                  <w14:solidFill>
                    <w14:schemeClr w14:val="tx1"/>
                  </w14:solidFill>
                </w14:textFill>
              </w:rPr>
              <w:t>利用现有厂房</w:t>
            </w:r>
            <w:r>
              <w:rPr>
                <w:color w:val="000000" w:themeColor="text1"/>
                <w:spacing w:val="-6"/>
                <w:sz w:val="24"/>
                <w14:textFill>
                  <w14:solidFill>
                    <w14:schemeClr w14:val="tx1"/>
                  </w14:solidFill>
                </w14:textFill>
              </w:rPr>
              <w:t>进行实验，</w:t>
            </w:r>
            <w:r>
              <w:rPr>
                <w:color w:val="000000" w:themeColor="text1"/>
                <w:spacing w:val="-6"/>
                <w:sz w:val="24"/>
                <w:lang w:val="zh-CN"/>
                <w14:textFill>
                  <w14:solidFill>
                    <w14:schemeClr w14:val="tx1"/>
                  </w14:solidFill>
                </w14:textFill>
              </w:rPr>
              <w:t>总投资3000万元，符合《建设项目环境保护管理条例》（2017修订版）的相关要求；基本符合国家及地方有关产业政策；基本符合城市总体规划及用地规划要求，选址较合理；采取各项污染防治措施后污染物实现达标排放，所在地的现有环境功能不下降；建成后排放的各类污染物可以在区域内实现平衡；在做好各项风险防范及应急措施的前提下本项目的环境风险在可接受水平内。</w:t>
            </w:r>
          </w:p>
          <w:p w14:paraId="4836653F">
            <w:pPr>
              <w:spacing w:line="480" w:lineRule="exact"/>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因此，落实本报告表提出的各项环保措施要求、严格执行环保“三同时”的前提下，从环保角度分析，本项目建设具有环境可行性。</w:t>
            </w:r>
          </w:p>
          <w:p w14:paraId="69D7095C">
            <w:pPr>
              <w:spacing w:line="480" w:lineRule="exact"/>
              <w:ind w:firstLine="480" w:firstLineChars="200"/>
              <w:rPr>
                <w:color w:val="000000" w:themeColor="text1"/>
                <w:sz w:val="24"/>
                <w:lang w:val="zh-CN"/>
                <w14:textFill>
                  <w14:solidFill>
                    <w14:schemeClr w14:val="tx1"/>
                  </w14:solidFill>
                </w14:textFill>
              </w:rPr>
            </w:pPr>
          </w:p>
          <w:p w14:paraId="798F08B4">
            <w:pPr>
              <w:spacing w:line="480" w:lineRule="exact"/>
              <w:ind w:firstLine="480" w:firstLineChars="200"/>
              <w:rPr>
                <w:color w:val="000000" w:themeColor="text1"/>
                <w:sz w:val="24"/>
                <w:lang w:val="zh-CN"/>
                <w14:textFill>
                  <w14:solidFill>
                    <w14:schemeClr w14:val="tx1"/>
                  </w14:solidFill>
                </w14:textFill>
              </w:rPr>
            </w:pPr>
          </w:p>
          <w:p w14:paraId="7F4DCC03">
            <w:pPr>
              <w:spacing w:line="480" w:lineRule="exact"/>
              <w:ind w:firstLine="480" w:firstLineChars="200"/>
              <w:rPr>
                <w:color w:val="000000" w:themeColor="text1"/>
                <w:sz w:val="24"/>
                <w:lang w:val="zh-CN"/>
                <w14:textFill>
                  <w14:solidFill>
                    <w14:schemeClr w14:val="tx1"/>
                  </w14:solidFill>
                </w14:textFill>
              </w:rPr>
            </w:pPr>
          </w:p>
          <w:p w14:paraId="66987B36">
            <w:pPr>
              <w:spacing w:line="480" w:lineRule="exact"/>
              <w:ind w:firstLine="480" w:firstLineChars="200"/>
              <w:rPr>
                <w:color w:val="000000" w:themeColor="text1"/>
                <w:sz w:val="24"/>
                <w:lang w:val="zh-CN"/>
                <w14:textFill>
                  <w14:solidFill>
                    <w14:schemeClr w14:val="tx1"/>
                  </w14:solidFill>
                </w14:textFill>
              </w:rPr>
            </w:pPr>
          </w:p>
          <w:p w14:paraId="02BBA4A8">
            <w:pPr>
              <w:spacing w:line="480" w:lineRule="exact"/>
              <w:ind w:firstLine="480" w:firstLineChars="200"/>
              <w:rPr>
                <w:color w:val="000000" w:themeColor="text1"/>
                <w:sz w:val="24"/>
                <w:lang w:val="zh-CN"/>
                <w14:textFill>
                  <w14:solidFill>
                    <w14:schemeClr w14:val="tx1"/>
                  </w14:solidFill>
                </w14:textFill>
              </w:rPr>
            </w:pPr>
          </w:p>
          <w:p w14:paraId="73A872EE">
            <w:pPr>
              <w:spacing w:line="480" w:lineRule="exact"/>
              <w:ind w:firstLine="480" w:firstLineChars="200"/>
              <w:rPr>
                <w:color w:val="000000" w:themeColor="text1"/>
                <w:sz w:val="24"/>
                <w:lang w:val="zh-CN"/>
                <w14:textFill>
                  <w14:solidFill>
                    <w14:schemeClr w14:val="tx1"/>
                  </w14:solidFill>
                </w14:textFill>
              </w:rPr>
            </w:pPr>
          </w:p>
          <w:p w14:paraId="204E139E">
            <w:pPr>
              <w:spacing w:line="480" w:lineRule="exact"/>
              <w:ind w:firstLine="480" w:firstLineChars="200"/>
              <w:rPr>
                <w:color w:val="000000" w:themeColor="text1"/>
                <w:sz w:val="24"/>
                <w:lang w:val="zh-CN"/>
                <w14:textFill>
                  <w14:solidFill>
                    <w14:schemeClr w14:val="tx1"/>
                  </w14:solidFill>
                </w14:textFill>
              </w:rPr>
            </w:pPr>
          </w:p>
          <w:p w14:paraId="6E53683E">
            <w:pPr>
              <w:spacing w:line="480" w:lineRule="exact"/>
              <w:ind w:firstLine="480" w:firstLineChars="200"/>
              <w:rPr>
                <w:color w:val="000000" w:themeColor="text1"/>
                <w:sz w:val="24"/>
                <w:lang w:val="zh-CN"/>
                <w14:textFill>
                  <w14:solidFill>
                    <w14:schemeClr w14:val="tx1"/>
                  </w14:solidFill>
                </w14:textFill>
              </w:rPr>
            </w:pPr>
          </w:p>
          <w:p w14:paraId="10D2F62E">
            <w:pPr>
              <w:spacing w:line="480" w:lineRule="exact"/>
              <w:ind w:firstLine="480" w:firstLineChars="200"/>
              <w:rPr>
                <w:color w:val="000000" w:themeColor="text1"/>
                <w:sz w:val="24"/>
                <w:lang w:val="zh-CN"/>
                <w14:textFill>
                  <w14:solidFill>
                    <w14:schemeClr w14:val="tx1"/>
                  </w14:solidFill>
                </w14:textFill>
              </w:rPr>
            </w:pPr>
          </w:p>
          <w:p w14:paraId="083B0CAB">
            <w:pPr>
              <w:spacing w:line="480" w:lineRule="exact"/>
              <w:ind w:firstLine="480" w:firstLineChars="200"/>
              <w:rPr>
                <w:color w:val="000000" w:themeColor="text1"/>
                <w:sz w:val="24"/>
                <w:lang w:val="zh-CN"/>
                <w14:textFill>
                  <w14:solidFill>
                    <w14:schemeClr w14:val="tx1"/>
                  </w14:solidFill>
                </w14:textFill>
              </w:rPr>
            </w:pPr>
          </w:p>
          <w:p w14:paraId="5C61BA4F">
            <w:pPr>
              <w:spacing w:line="480" w:lineRule="exact"/>
              <w:ind w:firstLine="480" w:firstLineChars="200"/>
              <w:rPr>
                <w:color w:val="000000" w:themeColor="text1"/>
                <w:sz w:val="24"/>
                <w:lang w:val="zh-CN"/>
                <w14:textFill>
                  <w14:solidFill>
                    <w14:schemeClr w14:val="tx1"/>
                  </w14:solidFill>
                </w14:textFill>
              </w:rPr>
            </w:pPr>
          </w:p>
          <w:p w14:paraId="2C355FC3">
            <w:pPr>
              <w:spacing w:line="480" w:lineRule="exact"/>
              <w:ind w:firstLine="480" w:firstLineChars="200"/>
              <w:rPr>
                <w:color w:val="000000" w:themeColor="text1"/>
                <w:sz w:val="24"/>
                <w:lang w:val="zh-CN"/>
                <w14:textFill>
                  <w14:solidFill>
                    <w14:schemeClr w14:val="tx1"/>
                  </w14:solidFill>
                </w14:textFill>
              </w:rPr>
            </w:pPr>
          </w:p>
          <w:p w14:paraId="16A7875F">
            <w:pPr>
              <w:spacing w:line="480" w:lineRule="exact"/>
              <w:ind w:firstLine="480" w:firstLineChars="200"/>
              <w:rPr>
                <w:color w:val="000000" w:themeColor="text1"/>
                <w:sz w:val="24"/>
                <w:lang w:val="zh-CN"/>
                <w14:textFill>
                  <w14:solidFill>
                    <w14:schemeClr w14:val="tx1"/>
                  </w14:solidFill>
                </w14:textFill>
              </w:rPr>
            </w:pPr>
          </w:p>
          <w:p w14:paraId="3400FE96">
            <w:pPr>
              <w:spacing w:line="480" w:lineRule="exact"/>
              <w:ind w:firstLine="480" w:firstLineChars="200"/>
              <w:rPr>
                <w:color w:val="000000" w:themeColor="text1"/>
                <w:sz w:val="24"/>
                <w:lang w:val="zh-CN"/>
                <w14:textFill>
                  <w14:solidFill>
                    <w14:schemeClr w14:val="tx1"/>
                  </w14:solidFill>
                </w14:textFill>
              </w:rPr>
            </w:pPr>
          </w:p>
          <w:p w14:paraId="25338760">
            <w:pPr>
              <w:spacing w:line="480" w:lineRule="exact"/>
              <w:ind w:firstLine="480" w:firstLineChars="200"/>
              <w:rPr>
                <w:color w:val="000000" w:themeColor="text1"/>
                <w:sz w:val="24"/>
                <w:lang w:val="zh-CN"/>
                <w14:textFill>
                  <w14:solidFill>
                    <w14:schemeClr w14:val="tx1"/>
                  </w14:solidFill>
                </w14:textFill>
              </w:rPr>
            </w:pPr>
          </w:p>
          <w:p w14:paraId="44DD4145">
            <w:pPr>
              <w:spacing w:line="480" w:lineRule="exact"/>
              <w:rPr>
                <w:color w:val="000000" w:themeColor="text1"/>
                <w:sz w:val="24"/>
                <w:lang w:val="zh-CN"/>
                <w14:textFill>
                  <w14:solidFill>
                    <w14:schemeClr w14:val="tx1"/>
                  </w14:solidFill>
                </w14:textFill>
              </w:rPr>
            </w:pPr>
          </w:p>
        </w:tc>
      </w:tr>
    </w:tbl>
    <w:p w14:paraId="4E6563F6">
      <w:pPr>
        <w:rPr>
          <w:color w:val="000000" w:themeColor="text1"/>
          <w14:textFill>
            <w14:solidFill>
              <w14:schemeClr w14:val="tx1"/>
            </w14:solidFill>
          </w14:textFill>
        </w:rPr>
        <w:sectPr>
          <w:pgSz w:w="11906" w:h="16838"/>
          <w:pgMar w:top="1440" w:right="1080" w:bottom="1440" w:left="1080" w:header="851" w:footer="851" w:gutter="0"/>
          <w:cols w:space="720" w:num="1"/>
          <w:docGrid w:linePitch="312" w:charSpace="0"/>
        </w:sectPr>
      </w:pPr>
    </w:p>
    <w:p w14:paraId="22B8A8D0">
      <w:pPr>
        <w:pStyle w:val="21"/>
        <w:adjustRightInd w:val="0"/>
        <w:snapToGrid w:val="0"/>
        <w:spacing w:before="0" w:beforeAutospacing="0" w:after="0" w:afterAutospacing="0" w:line="360" w:lineRule="auto"/>
        <w:outlineLvl w:val="0"/>
        <w:rPr>
          <w:rFonts w:ascii="Times New Roman" w:hAnsi="Times New Roman"/>
          <w:snapToGrid w:val="0"/>
          <w:color w:val="000000" w:themeColor="text1"/>
          <w:sz w:val="32"/>
          <w:szCs w:val="32"/>
          <w14:textFill>
            <w14:solidFill>
              <w14:schemeClr w14:val="tx1"/>
            </w14:solidFill>
          </w14:textFill>
        </w:rPr>
      </w:pPr>
      <w:r>
        <w:rPr>
          <w:rFonts w:ascii="Times New Roman" w:hAnsi="Times New Roman"/>
          <w:snapToGrid w:val="0"/>
          <w:color w:val="000000" w:themeColor="text1"/>
          <w:sz w:val="32"/>
          <w:szCs w:val="32"/>
          <w14:textFill>
            <w14:solidFill>
              <w14:schemeClr w14:val="tx1"/>
            </w14:solidFill>
          </w14:textFill>
        </w:rPr>
        <w:t>附表</w:t>
      </w:r>
    </w:p>
    <w:p w14:paraId="2131023D">
      <w:pPr>
        <w:pStyle w:val="21"/>
        <w:adjustRightInd w:val="0"/>
        <w:snapToGrid w:val="0"/>
        <w:spacing w:before="0" w:beforeAutospacing="0" w:after="0" w:afterAutospacing="0"/>
        <w:jc w:val="center"/>
        <w:outlineLvl w:val="0"/>
        <w:rPr>
          <w:rFonts w:ascii="Times New Roman" w:hAnsi="Times New Roman"/>
          <w:snapToGrid w:val="0"/>
          <w:color w:val="000000" w:themeColor="text1"/>
          <w:sz w:val="38"/>
          <w:szCs w:val="38"/>
          <w14:textFill>
            <w14:solidFill>
              <w14:schemeClr w14:val="tx1"/>
            </w14:solidFill>
          </w14:textFill>
        </w:rPr>
      </w:pPr>
      <w:r>
        <w:rPr>
          <w:rFonts w:ascii="Times New Roman" w:hAnsi="Times New Roman"/>
          <w:snapToGrid w:val="0"/>
          <w:color w:val="000000" w:themeColor="text1"/>
          <w:sz w:val="38"/>
          <w:szCs w:val="38"/>
          <w14:textFill>
            <w14:solidFill>
              <w14:schemeClr w14:val="tx1"/>
            </w14:solidFill>
          </w14:textFill>
        </w:rPr>
        <w:t>建设项目污染物排放量汇总表</w:t>
      </w:r>
    </w:p>
    <w:tbl>
      <w:tblPr>
        <w:tblStyle w:val="25"/>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418"/>
        <w:gridCol w:w="963"/>
        <w:gridCol w:w="1784"/>
        <w:gridCol w:w="1346"/>
        <w:gridCol w:w="1860"/>
        <w:gridCol w:w="1620"/>
        <w:gridCol w:w="1590"/>
        <w:gridCol w:w="1995"/>
        <w:gridCol w:w="1149"/>
      </w:tblGrid>
      <w:tr w14:paraId="4B019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tcBorders>
              <w:tl2br w:val="single" w:color="auto" w:sz="4" w:space="0"/>
            </w:tcBorders>
            <w:tcMar>
              <w:left w:w="28" w:type="dxa"/>
              <w:right w:w="28" w:type="dxa"/>
            </w:tcMar>
            <w:vAlign w:val="center"/>
          </w:tcPr>
          <w:p w14:paraId="702FAD5B">
            <w:pPr>
              <w:pStyle w:val="53"/>
              <w:spacing w:beforeLines="0" w:afterLines="0" w:line="320" w:lineRule="exact"/>
              <w:jc w:val="right"/>
              <w:rPr>
                <w:rFonts w:ascii="Times New Roman"/>
                <w:b/>
                <w:bCs/>
                <w:snapToGrid w:val="0"/>
                <w:color w:val="000000" w:themeColor="text1"/>
                <w:spacing w:val="-6"/>
                <w:kern w:val="21"/>
                <w:sz w:val="21"/>
                <w:szCs w:val="21"/>
                <w14:textFill>
                  <w14:solidFill>
                    <w14:schemeClr w14:val="tx1"/>
                  </w14:solidFill>
                </w14:textFill>
              </w:rPr>
            </w:pPr>
            <w:r>
              <w:rPr>
                <w:rFonts w:ascii="Times New Roman"/>
                <w:b/>
                <w:bCs/>
                <w:snapToGrid w:val="0"/>
                <w:color w:val="000000" w:themeColor="text1"/>
                <w:spacing w:val="-6"/>
                <w:kern w:val="21"/>
                <w:sz w:val="21"/>
                <w:szCs w:val="21"/>
                <w14:textFill>
                  <w14:solidFill>
                    <w14:schemeClr w14:val="tx1"/>
                  </w14:solidFill>
                </w14:textFill>
              </w:rPr>
              <w:t>项目</w:t>
            </w:r>
          </w:p>
          <w:p w14:paraId="701A7C09">
            <w:pPr>
              <w:pStyle w:val="53"/>
              <w:spacing w:beforeLines="0" w:afterLines="0" w:line="320" w:lineRule="exact"/>
              <w:jc w:val="left"/>
              <w:rPr>
                <w:rFonts w:ascii="Times New Roman"/>
                <w:b/>
                <w:bCs/>
                <w:snapToGrid w:val="0"/>
                <w:color w:val="000000" w:themeColor="text1"/>
                <w:spacing w:val="-6"/>
                <w:kern w:val="21"/>
                <w:sz w:val="21"/>
                <w:szCs w:val="21"/>
                <w14:textFill>
                  <w14:solidFill>
                    <w14:schemeClr w14:val="tx1"/>
                  </w14:solidFill>
                </w14:textFill>
              </w:rPr>
            </w:pPr>
            <w:r>
              <w:rPr>
                <w:rFonts w:ascii="Times New Roman"/>
                <w:b/>
                <w:bCs/>
                <w:snapToGrid w:val="0"/>
                <w:color w:val="000000" w:themeColor="text1"/>
                <w:spacing w:val="-6"/>
                <w:kern w:val="21"/>
                <w:sz w:val="21"/>
                <w:szCs w:val="21"/>
                <w14:textFill>
                  <w14:solidFill>
                    <w14:schemeClr w14:val="tx1"/>
                  </w14:solidFill>
                </w14:textFill>
              </w:rPr>
              <w:t>分类</w:t>
            </w:r>
          </w:p>
        </w:tc>
        <w:tc>
          <w:tcPr>
            <w:tcW w:w="1381" w:type="dxa"/>
            <w:gridSpan w:val="2"/>
            <w:tcMar>
              <w:left w:w="28" w:type="dxa"/>
              <w:right w:w="28" w:type="dxa"/>
            </w:tcMar>
            <w:vAlign w:val="center"/>
          </w:tcPr>
          <w:p w14:paraId="43154866">
            <w:pPr>
              <w:pStyle w:val="53"/>
              <w:spacing w:beforeLines="0" w:afterLines="0" w:line="320" w:lineRule="exact"/>
              <w:rPr>
                <w:rFonts w:ascii="Times New Roman"/>
                <w:b/>
                <w:bCs/>
                <w:snapToGrid w:val="0"/>
                <w:color w:val="000000" w:themeColor="text1"/>
                <w:spacing w:val="-6"/>
                <w:kern w:val="21"/>
                <w:sz w:val="21"/>
                <w:szCs w:val="21"/>
                <w14:textFill>
                  <w14:solidFill>
                    <w14:schemeClr w14:val="tx1"/>
                  </w14:solidFill>
                </w14:textFill>
              </w:rPr>
            </w:pPr>
            <w:r>
              <w:rPr>
                <w:rFonts w:ascii="Times New Roman"/>
                <w:b/>
                <w:bCs/>
                <w:snapToGrid w:val="0"/>
                <w:color w:val="000000" w:themeColor="text1"/>
                <w:spacing w:val="-6"/>
                <w:kern w:val="21"/>
                <w:sz w:val="21"/>
                <w:szCs w:val="21"/>
                <w14:textFill>
                  <w14:solidFill>
                    <w14:schemeClr w14:val="tx1"/>
                  </w14:solidFill>
                </w14:textFill>
              </w:rPr>
              <w:t>污染物名称</w:t>
            </w:r>
          </w:p>
        </w:tc>
        <w:tc>
          <w:tcPr>
            <w:tcW w:w="1784" w:type="dxa"/>
            <w:tcMar>
              <w:left w:w="28" w:type="dxa"/>
              <w:right w:w="28" w:type="dxa"/>
            </w:tcMar>
            <w:vAlign w:val="center"/>
          </w:tcPr>
          <w:p w14:paraId="228756E2">
            <w:pPr>
              <w:pStyle w:val="53"/>
              <w:spacing w:beforeLines="0" w:afterLines="0" w:line="320" w:lineRule="exact"/>
              <w:rPr>
                <w:rFonts w:ascii="Times New Roman"/>
                <w:b/>
                <w:bCs/>
                <w:snapToGrid w:val="0"/>
                <w:color w:val="000000" w:themeColor="text1"/>
                <w:spacing w:val="-6"/>
                <w:kern w:val="21"/>
                <w:sz w:val="21"/>
                <w:szCs w:val="21"/>
                <w14:textFill>
                  <w14:solidFill>
                    <w14:schemeClr w14:val="tx1"/>
                  </w14:solidFill>
                </w14:textFill>
              </w:rPr>
            </w:pPr>
            <w:r>
              <w:rPr>
                <w:rFonts w:ascii="Times New Roman"/>
                <w:b/>
                <w:bCs/>
                <w:snapToGrid w:val="0"/>
                <w:color w:val="000000" w:themeColor="text1"/>
                <w:spacing w:val="-6"/>
                <w:kern w:val="21"/>
                <w:sz w:val="21"/>
                <w:szCs w:val="21"/>
                <w14:textFill>
                  <w14:solidFill>
                    <w14:schemeClr w14:val="tx1"/>
                  </w14:solidFill>
                </w14:textFill>
              </w:rPr>
              <w:t>现有工程排放量（固体废物产生量）</w:t>
            </w:r>
            <w:r>
              <w:rPr>
                <w:rFonts w:ascii="Times New Roman"/>
                <w:b/>
                <w:bCs/>
                <w:snapToGrid w:val="0"/>
                <w:color w:val="000000" w:themeColor="text1"/>
                <w:spacing w:val="-6"/>
                <w:kern w:val="21"/>
                <w:sz w:val="21"/>
                <w:szCs w:val="21"/>
                <w14:textFill>
                  <w14:solidFill>
                    <w14:schemeClr w14:val="tx1"/>
                  </w14:solidFill>
                </w14:textFill>
              </w:rPr>
              <w:fldChar w:fldCharType="begin"/>
            </w:r>
            <w:r>
              <w:rPr>
                <w:rFonts w:ascii="Times New Roman"/>
                <w:b/>
                <w:bCs/>
                <w:snapToGrid w:val="0"/>
                <w:color w:val="000000" w:themeColor="text1"/>
                <w:spacing w:val="-6"/>
                <w:kern w:val="21"/>
                <w:sz w:val="21"/>
                <w:szCs w:val="21"/>
                <w14:textFill>
                  <w14:solidFill>
                    <w14:schemeClr w14:val="tx1"/>
                  </w14:solidFill>
                </w14:textFill>
              </w:rPr>
              <w:instrText xml:space="preserve"> = 1 \* GB3 \* MERGEFORMAT </w:instrText>
            </w:r>
            <w:r>
              <w:rPr>
                <w:rFonts w:ascii="Times New Roman"/>
                <w:b/>
                <w:bCs/>
                <w:snapToGrid w:val="0"/>
                <w:color w:val="000000" w:themeColor="text1"/>
                <w:spacing w:val="-6"/>
                <w:kern w:val="21"/>
                <w:sz w:val="21"/>
                <w:szCs w:val="21"/>
                <w14:textFill>
                  <w14:solidFill>
                    <w14:schemeClr w14:val="tx1"/>
                  </w14:solidFill>
                </w14:textFill>
              </w:rPr>
              <w:fldChar w:fldCharType="separate"/>
            </w:r>
            <w:r>
              <w:rPr>
                <w:rFonts w:ascii="Times New Roman"/>
                <w:b/>
                <w:bCs/>
                <w:color w:val="000000" w:themeColor="text1"/>
                <w:kern w:val="2"/>
                <w:sz w:val="21"/>
                <w:szCs w:val="21"/>
                <w14:textFill>
                  <w14:solidFill>
                    <w14:schemeClr w14:val="tx1"/>
                  </w14:solidFill>
                </w14:textFill>
              </w:rPr>
              <w:t>①</w:t>
            </w:r>
            <w:r>
              <w:rPr>
                <w:rFonts w:ascii="Times New Roman"/>
                <w:b/>
                <w:bCs/>
                <w:snapToGrid w:val="0"/>
                <w:color w:val="000000" w:themeColor="text1"/>
                <w:spacing w:val="-6"/>
                <w:kern w:val="21"/>
                <w:sz w:val="21"/>
                <w:szCs w:val="21"/>
                <w14:textFill>
                  <w14:solidFill>
                    <w14:schemeClr w14:val="tx1"/>
                  </w14:solidFill>
                </w14:textFill>
              </w:rPr>
              <w:fldChar w:fldCharType="end"/>
            </w:r>
          </w:p>
        </w:tc>
        <w:tc>
          <w:tcPr>
            <w:tcW w:w="1346" w:type="dxa"/>
            <w:tcMar>
              <w:left w:w="28" w:type="dxa"/>
              <w:right w:w="28" w:type="dxa"/>
            </w:tcMar>
            <w:vAlign w:val="center"/>
          </w:tcPr>
          <w:p w14:paraId="3D1CF02C">
            <w:pPr>
              <w:pStyle w:val="53"/>
              <w:spacing w:beforeLines="0" w:afterLines="0" w:line="320" w:lineRule="exact"/>
              <w:rPr>
                <w:rFonts w:ascii="Times New Roman"/>
                <w:b/>
                <w:bCs/>
                <w:snapToGrid w:val="0"/>
                <w:color w:val="000000" w:themeColor="text1"/>
                <w:spacing w:val="-6"/>
                <w:kern w:val="21"/>
                <w:sz w:val="21"/>
                <w:szCs w:val="21"/>
                <w14:textFill>
                  <w14:solidFill>
                    <w14:schemeClr w14:val="tx1"/>
                  </w14:solidFill>
                </w14:textFill>
              </w:rPr>
            </w:pPr>
            <w:r>
              <w:rPr>
                <w:rFonts w:ascii="Times New Roman"/>
                <w:b/>
                <w:bCs/>
                <w:snapToGrid w:val="0"/>
                <w:color w:val="000000" w:themeColor="text1"/>
                <w:spacing w:val="-6"/>
                <w:kern w:val="21"/>
                <w:sz w:val="21"/>
                <w:szCs w:val="21"/>
                <w14:textFill>
                  <w14:solidFill>
                    <w14:schemeClr w14:val="tx1"/>
                  </w14:solidFill>
                </w14:textFill>
              </w:rPr>
              <w:t>现有工程许可排放量</w:t>
            </w:r>
            <w:r>
              <w:rPr>
                <w:rFonts w:ascii="Times New Roman"/>
                <w:b/>
                <w:bCs/>
                <w:snapToGrid w:val="0"/>
                <w:color w:val="000000" w:themeColor="text1"/>
                <w:spacing w:val="-6"/>
                <w:kern w:val="21"/>
                <w:sz w:val="21"/>
                <w:szCs w:val="21"/>
                <w14:textFill>
                  <w14:solidFill>
                    <w14:schemeClr w14:val="tx1"/>
                  </w14:solidFill>
                </w14:textFill>
              </w:rPr>
              <w:fldChar w:fldCharType="begin"/>
            </w:r>
            <w:r>
              <w:rPr>
                <w:rFonts w:ascii="Times New Roman"/>
                <w:b/>
                <w:bCs/>
                <w:snapToGrid w:val="0"/>
                <w:color w:val="000000" w:themeColor="text1"/>
                <w:spacing w:val="-6"/>
                <w:kern w:val="21"/>
                <w:sz w:val="21"/>
                <w:szCs w:val="21"/>
                <w14:textFill>
                  <w14:solidFill>
                    <w14:schemeClr w14:val="tx1"/>
                  </w14:solidFill>
                </w14:textFill>
              </w:rPr>
              <w:instrText xml:space="preserve"> = 2 \* GB3 \* MERGEFORMAT </w:instrText>
            </w:r>
            <w:r>
              <w:rPr>
                <w:rFonts w:ascii="Times New Roman"/>
                <w:b/>
                <w:bCs/>
                <w:snapToGrid w:val="0"/>
                <w:color w:val="000000" w:themeColor="text1"/>
                <w:spacing w:val="-6"/>
                <w:kern w:val="21"/>
                <w:sz w:val="21"/>
                <w:szCs w:val="21"/>
                <w14:textFill>
                  <w14:solidFill>
                    <w14:schemeClr w14:val="tx1"/>
                  </w14:solidFill>
                </w14:textFill>
              </w:rPr>
              <w:fldChar w:fldCharType="separate"/>
            </w:r>
            <w:r>
              <w:rPr>
                <w:rFonts w:ascii="Times New Roman"/>
                <w:b/>
                <w:bCs/>
                <w:snapToGrid w:val="0"/>
                <w:color w:val="000000" w:themeColor="text1"/>
                <w:spacing w:val="-6"/>
                <w:kern w:val="21"/>
                <w:sz w:val="21"/>
                <w:szCs w:val="21"/>
                <w14:textFill>
                  <w14:solidFill>
                    <w14:schemeClr w14:val="tx1"/>
                  </w14:solidFill>
                </w14:textFill>
              </w:rPr>
              <w:t>②</w:t>
            </w:r>
            <w:r>
              <w:rPr>
                <w:rFonts w:ascii="Times New Roman"/>
                <w:b/>
                <w:bCs/>
                <w:snapToGrid w:val="0"/>
                <w:color w:val="000000" w:themeColor="text1"/>
                <w:spacing w:val="-6"/>
                <w:kern w:val="21"/>
                <w:sz w:val="21"/>
                <w:szCs w:val="21"/>
                <w14:textFill>
                  <w14:solidFill>
                    <w14:schemeClr w14:val="tx1"/>
                  </w14:solidFill>
                </w14:textFill>
              </w:rPr>
              <w:fldChar w:fldCharType="end"/>
            </w:r>
          </w:p>
        </w:tc>
        <w:tc>
          <w:tcPr>
            <w:tcW w:w="1860" w:type="dxa"/>
            <w:tcMar>
              <w:left w:w="28" w:type="dxa"/>
              <w:right w:w="28" w:type="dxa"/>
            </w:tcMar>
            <w:vAlign w:val="center"/>
          </w:tcPr>
          <w:p w14:paraId="1A369A2F">
            <w:pPr>
              <w:pStyle w:val="53"/>
              <w:spacing w:beforeLines="0" w:afterLines="0" w:line="320" w:lineRule="exact"/>
              <w:rPr>
                <w:rFonts w:ascii="Times New Roman"/>
                <w:b/>
                <w:bCs/>
                <w:snapToGrid w:val="0"/>
                <w:color w:val="000000" w:themeColor="text1"/>
                <w:spacing w:val="-6"/>
                <w:kern w:val="21"/>
                <w:sz w:val="21"/>
                <w:szCs w:val="21"/>
                <w14:textFill>
                  <w14:solidFill>
                    <w14:schemeClr w14:val="tx1"/>
                  </w14:solidFill>
                </w14:textFill>
              </w:rPr>
            </w:pPr>
            <w:r>
              <w:rPr>
                <w:rFonts w:ascii="Times New Roman"/>
                <w:b/>
                <w:bCs/>
                <w:snapToGrid w:val="0"/>
                <w:color w:val="000000" w:themeColor="text1"/>
                <w:spacing w:val="-6"/>
                <w:kern w:val="21"/>
                <w:sz w:val="21"/>
                <w:szCs w:val="21"/>
                <w14:textFill>
                  <w14:solidFill>
                    <w14:schemeClr w14:val="tx1"/>
                  </w14:solidFill>
                </w14:textFill>
              </w:rPr>
              <w:t>在建工程排放量（固体废物产生量）</w:t>
            </w:r>
            <w:r>
              <w:rPr>
                <w:rFonts w:ascii="Times New Roman"/>
                <w:b/>
                <w:bCs/>
                <w:snapToGrid w:val="0"/>
                <w:color w:val="000000" w:themeColor="text1"/>
                <w:spacing w:val="-6"/>
                <w:kern w:val="21"/>
                <w:sz w:val="21"/>
                <w:szCs w:val="21"/>
                <w14:textFill>
                  <w14:solidFill>
                    <w14:schemeClr w14:val="tx1"/>
                  </w14:solidFill>
                </w14:textFill>
              </w:rPr>
              <w:fldChar w:fldCharType="begin"/>
            </w:r>
            <w:r>
              <w:rPr>
                <w:rFonts w:ascii="Times New Roman"/>
                <w:b/>
                <w:bCs/>
                <w:snapToGrid w:val="0"/>
                <w:color w:val="000000" w:themeColor="text1"/>
                <w:spacing w:val="-6"/>
                <w:kern w:val="21"/>
                <w:sz w:val="21"/>
                <w:szCs w:val="21"/>
                <w14:textFill>
                  <w14:solidFill>
                    <w14:schemeClr w14:val="tx1"/>
                  </w14:solidFill>
                </w14:textFill>
              </w:rPr>
              <w:instrText xml:space="preserve"> = 3 \* GB3 \* MERGEFORMAT </w:instrText>
            </w:r>
            <w:r>
              <w:rPr>
                <w:rFonts w:ascii="Times New Roman"/>
                <w:b/>
                <w:bCs/>
                <w:snapToGrid w:val="0"/>
                <w:color w:val="000000" w:themeColor="text1"/>
                <w:spacing w:val="-6"/>
                <w:kern w:val="21"/>
                <w:sz w:val="21"/>
                <w:szCs w:val="21"/>
                <w14:textFill>
                  <w14:solidFill>
                    <w14:schemeClr w14:val="tx1"/>
                  </w14:solidFill>
                </w14:textFill>
              </w:rPr>
              <w:fldChar w:fldCharType="separate"/>
            </w:r>
            <w:r>
              <w:rPr>
                <w:rFonts w:ascii="Times New Roman"/>
                <w:b/>
                <w:bCs/>
                <w:color w:val="000000" w:themeColor="text1"/>
                <w:kern w:val="2"/>
                <w:sz w:val="21"/>
                <w:szCs w:val="21"/>
                <w14:textFill>
                  <w14:solidFill>
                    <w14:schemeClr w14:val="tx1"/>
                  </w14:solidFill>
                </w14:textFill>
              </w:rPr>
              <w:t>③</w:t>
            </w:r>
            <w:r>
              <w:rPr>
                <w:rFonts w:ascii="Times New Roman"/>
                <w:b/>
                <w:bCs/>
                <w:snapToGrid w:val="0"/>
                <w:color w:val="000000" w:themeColor="text1"/>
                <w:spacing w:val="-6"/>
                <w:kern w:val="21"/>
                <w:sz w:val="21"/>
                <w:szCs w:val="21"/>
                <w14:textFill>
                  <w14:solidFill>
                    <w14:schemeClr w14:val="tx1"/>
                  </w14:solidFill>
                </w14:textFill>
              </w:rPr>
              <w:fldChar w:fldCharType="end"/>
            </w:r>
          </w:p>
        </w:tc>
        <w:tc>
          <w:tcPr>
            <w:tcW w:w="1620" w:type="dxa"/>
            <w:tcMar>
              <w:left w:w="28" w:type="dxa"/>
              <w:right w:w="28" w:type="dxa"/>
            </w:tcMar>
            <w:vAlign w:val="center"/>
          </w:tcPr>
          <w:p w14:paraId="3BC5BA84">
            <w:pPr>
              <w:pStyle w:val="53"/>
              <w:spacing w:beforeLines="0" w:afterLines="0" w:line="320" w:lineRule="exact"/>
              <w:rPr>
                <w:rFonts w:ascii="Times New Roman"/>
                <w:b/>
                <w:bCs/>
                <w:snapToGrid w:val="0"/>
                <w:color w:val="000000" w:themeColor="text1"/>
                <w:spacing w:val="-6"/>
                <w:kern w:val="21"/>
                <w:sz w:val="21"/>
                <w:szCs w:val="21"/>
                <w14:textFill>
                  <w14:solidFill>
                    <w14:schemeClr w14:val="tx1"/>
                  </w14:solidFill>
                </w14:textFill>
              </w:rPr>
            </w:pPr>
            <w:r>
              <w:rPr>
                <w:rFonts w:ascii="Times New Roman"/>
                <w:b/>
                <w:bCs/>
                <w:snapToGrid w:val="0"/>
                <w:color w:val="000000" w:themeColor="text1"/>
                <w:spacing w:val="-6"/>
                <w:kern w:val="21"/>
                <w:sz w:val="21"/>
                <w:szCs w:val="21"/>
                <w14:textFill>
                  <w14:solidFill>
                    <w14:schemeClr w14:val="tx1"/>
                  </w14:solidFill>
                </w14:textFill>
              </w:rPr>
              <w:t>本项目排放量（固体废物产生量）</w:t>
            </w:r>
            <w:r>
              <w:rPr>
                <w:rFonts w:ascii="Times New Roman"/>
                <w:b/>
                <w:bCs/>
                <w:snapToGrid w:val="0"/>
                <w:color w:val="000000" w:themeColor="text1"/>
                <w:spacing w:val="-6"/>
                <w:kern w:val="21"/>
                <w:sz w:val="21"/>
                <w:szCs w:val="21"/>
                <w14:textFill>
                  <w14:solidFill>
                    <w14:schemeClr w14:val="tx1"/>
                  </w14:solidFill>
                </w14:textFill>
              </w:rPr>
              <w:fldChar w:fldCharType="begin"/>
            </w:r>
            <w:r>
              <w:rPr>
                <w:rFonts w:ascii="Times New Roman"/>
                <w:b/>
                <w:bCs/>
                <w:snapToGrid w:val="0"/>
                <w:color w:val="000000" w:themeColor="text1"/>
                <w:spacing w:val="-6"/>
                <w:kern w:val="21"/>
                <w:sz w:val="21"/>
                <w:szCs w:val="21"/>
                <w14:textFill>
                  <w14:solidFill>
                    <w14:schemeClr w14:val="tx1"/>
                  </w14:solidFill>
                </w14:textFill>
              </w:rPr>
              <w:instrText xml:space="preserve"> = 4 \* GB3 \* MERGEFORMAT </w:instrText>
            </w:r>
            <w:r>
              <w:rPr>
                <w:rFonts w:ascii="Times New Roman"/>
                <w:b/>
                <w:bCs/>
                <w:snapToGrid w:val="0"/>
                <w:color w:val="000000" w:themeColor="text1"/>
                <w:spacing w:val="-6"/>
                <w:kern w:val="21"/>
                <w:sz w:val="21"/>
                <w:szCs w:val="21"/>
                <w14:textFill>
                  <w14:solidFill>
                    <w14:schemeClr w14:val="tx1"/>
                  </w14:solidFill>
                </w14:textFill>
              </w:rPr>
              <w:fldChar w:fldCharType="separate"/>
            </w:r>
            <w:r>
              <w:rPr>
                <w:rFonts w:ascii="Times New Roman"/>
                <w:b/>
                <w:bCs/>
                <w:color w:val="000000" w:themeColor="text1"/>
                <w:kern w:val="2"/>
                <w:sz w:val="21"/>
                <w:szCs w:val="21"/>
                <w14:textFill>
                  <w14:solidFill>
                    <w14:schemeClr w14:val="tx1"/>
                  </w14:solidFill>
                </w14:textFill>
              </w:rPr>
              <w:t>④</w:t>
            </w:r>
            <w:r>
              <w:rPr>
                <w:rFonts w:ascii="Times New Roman"/>
                <w:b/>
                <w:bCs/>
                <w:snapToGrid w:val="0"/>
                <w:color w:val="000000" w:themeColor="text1"/>
                <w:spacing w:val="-6"/>
                <w:kern w:val="21"/>
                <w:sz w:val="21"/>
                <w:szCs w:val="21"/>
                <w14:textFill>
                  <w14:solidFill>
                    <w14:schemeClr w14:val="tx1"/>
                  </w14:solidFill>
                </w14:textFill>
              </w:rPr>
              <w:fldChar w:fldCharType="end"/>
            </w:r>
          </w:p>
        </w:tc>
        <w:tc>
          <w:tcPr>
            <w:tcW w:w="1590" w:type="dxa"/>
            <w:tcMar>
              <w:left w:w="28" w:type="dxa"/>
              <w:right w:w="28" w:type="dxa"/>
            </w:tcMar>
            <w:vAlign w:val="center"/>
          </w:tcPr>
          <w:p w14:paraId="2B9131B2">
            <w:pPr>
              <w:pStyle w:val="53"/>
              <w:spacing w:beforeLines="0" w:afterLines="0" w:line="320" w:lineRule="exact"/>
              <w:rPr>
                <w:rFonts w:ascii="Times New Roman"/>
                <w:b/>
                <w:bCs/>
                <w:snapToGrid w:val="0"/>
                <w:color w:val="000000" w:themeColor="text1"/>
                <w:spacing w:val="-16"/>
                <w:kern w:val="21"/>
                <w:sz w:val="21"/>
                <w:szCs w:val="21"/>
                <w14:textFill>
                  <w14:solidFill>
                    <w14:schemeClr w14:val="tx1"/>
                  </w14:solidFill>
                </w14:textFill>
              </w:rPr>
            </w:pPr>
            <w:r>
              <w:rPr>
                <w:rFonts w:ascii="Times New Roman"/>
                <w:b/>
                <w:bCs/>
                <w:snapToGrid w:val="0"/>
                <w:color w:val="000000" w:themeColor="text1"/>
                <w:spacing w:val="-16"/>
                <w:kern w:val="21"/>
                <w:sz w:val="21"/>
                <w:szCs w:val="21"/>
                <w14:textFill>
                  <w14:solidFill>
                    <w14:schemeClr w14:val="tx1"/>
                  </w14:solidFill>
                </w14:textFill>
              </w:rPr>
              <w:t>以新带老削减量</w:t>
            </w:r>
          </w:p>
          <w:p w14:paraId="7C2C4809">
            <w:pPr>
              <w:pStyle w:val="53"/>
              <w:spacing w:beforeLines="0" w:afterLines="0" w:line="320" w:lineRule="exact"/>
              <w:rPr>
                <w:rFonts w:ascii="Times New Roman"/>
                <w:b/>
                <w:bCs/>
                <w:snapToGrid w:val="0"/>
                <w:color w:val="000000" w:themeColor="text1"/>
                <w:spacing w:val="-16"/>
                <w:kern w:val="21"/>
                <w:sz w:val="21"/>
                <w:szCs w:val="21"/>
                <w14:textFill>
                  <w14:solidFill>
                    <w14:schemeClr w14:val="tx1"/>
                  </w14:solidFill>
                </w14:textFill>
              </w:rPr>
            </w:pPr>
            <w:r>
              <w:rPr>
                <w:rFonts w:ascii="Times New Roman"/>
                <w:b/>
                <w:bCs/>
                <w:snapToGrid w:val="0"/>
                <w:color w:val="000000" w:themeColor="text1"/>
                <w:spacing w:val="-16"/>
                <w:kern w:val="21"/>
                <w:sz w:val="21"/>
                <w:szCs w:val="21"/>
                <w14:textFill>
                  <w14:solidFill>
                    <w14:schemeClr w14:val="tx1"/>
                  </w14:solidFill>
                </w14:textFill>
              </w:rPr>
              <w:t>（新建项目不填）</w:t>
            </w:r>
            <w:r>
              <w:rPr>
                <w:rFonts w:ascii="Times New Roman"/>
                <w:b/>
                <w:bCs/>
                <w:snapToGrid w:val="0"/>
                <w:color w:val="000000" w:themeColor="text1"/>
                <w:spacing w:val="-16"/>
                <w:kern w:val="21"/>
                <w:sz w:val="21"/>
                <w:szCs w:val="21"/>
                <w14:textFill>
                  <w14:solidFill>
                    <w14:schemeClr w14:val="tx1"/>
                  </w14:solidFill>
                </w14:textFill>
              </w:rPr>
              <w:fldChar w:fldCharType="begin"/>
            </w:r>
            <w:r>
              <w:rPr>
                <w:rFonts w:ascii="Times New Roman"/>
                <w:b/>
                <w:bCs/>
                <w:snapToGrid w:val="0"/>
                <w:color w:val="000000" w:themeColor="text1"/>
                <w:spacing w:val="-16"/>
                <w:kern w:val="21"/>
                <w:sz w:val="21"/>
                <w:szCs w:val="21"/>
                <w14:textFill>
                  <w14:solidFill>
                    <w14:schemeClr w14:val="tx1"/>
                  </w14:solidFill>
                </w14:textFill>
              </w:rPr>
              <w:instrText xml:space="preserve"> = 5 \* GB3 \* MERGEFORMAT </w:instrText>
            </w:r>
            <w:r>
              <w:rPr>
                <w:rFonts w:ascii="Times New Roman"/>
                <w:b/>
                <w:bCs/>
                <w:snapToGrid w:val="0"/>
                <w:color w:val="000000" w:themeColor="text1"/>
                <w:spacing w:val="-16"/>
                <w:kern w:val="21"/>
                <w:sz w:val="21"/>
                <w:szCs w:val="21"/>
                <w14:textFill>
                  <w14:solidFill>
                    <w14:schemeClr w14:val="tx1"/>
                  </w14:solidFill>
                </w14:textFill>
              </w:rPr>
              <w:fldChar w:fldCharType="separate"/>
            </w:r>
            <w:r>
              <w:rPr>
                <w:rFonts w:ascii="Times New Roman"/>
                <w:b/>
                <w:bCs/>
                <w:color w:val="000000" w:themeColor="text1"/>
                <w:kern w:val="2"/>
                <w:sz w:val="21"/>
                <w:szCs w:val="21"/>
                <w14:textFill>
                  <w14:solidFill>
                    <w14:schemeClr w14:val="tx1"/>
                  </w14:solidFill>
                </w14:textFill>
              </w:rPr>
              <w:t>⑤</w:t>
            </w:r>
            <w:r>
              <w:rPr>
                <w:rFonts w:ascii="Times New Roman"/>
                <w:b/>
                <w:bCs/>
                <w:snapToGrid w:val="0"/>
                <w:color w:val="000000" w:themeColor="text1"/>
                <w:spacing w:val="-16"/>
                <w:kern w:val="21"/>
                <w:sz w:val="21"/>
                <w:szCs w:val="21"/>
                <w14:textFill>
                  <w14:solidFill>
                    <w14:schemeClr w14:val="tx1"/>
                  </w14:solidFill>
                </w14:textFill>
              </w:rPr>
              <w:fldChar w:fldCharType="end"/>
            </w:r>
          </w:p>
        </w:tc>
        <w:tc>
          <w:tcPr>
            <w:tcW w:w="1995" w:type="dxa"/>
            <w:tcMar>
              <w:left w:w="28" w:type="dxa"/>
              <w:right w:w="28" w:type="dxa"/>
            </w:tcMar>
            <w:vAlign w:val="center"/>
          </w:tcPr>
          <w:p w14:paraId="49D48152">
            <w:pPr>
              <w:pStyle w:val="53"/>
              <w:spacing w:beforeLines="0" w:afterLines="0" w:line="320" w:lineRule="exact"/>
              <w:rPr>
                <w:rFonts w:ascii="Times New Roman"/>
                <w:b/>
                <w:bCs/>
                <w:snapToGrid w:val="0"/>
                <w:color w:val="000000" w:themeColor="text1"/>
                <w:spacing w:val="-16"/>
                <w:kern w:val="21"/>
                <w:sz w:val="21"/>
                <w:szCs w:val="21"/>
                <w14:textFill>
                  <w14:solidFill>
                    <w14:schemeClr w14:val="tx1"/>
                  </w14:solidFill>
                </w14:textFill>
              </w:rPr>
            </w:pPr>
            <w:r>
              <w:rPr>
                <w:rFonts w:ascii="Times New Roman"/>
                <w:b/>
                <w:bCs/>
                <w:snapToGrid w:val="0"/>
                <w:color w:val="000000" w:themeColor="text1"/>
                <w:spacing w:val="-16"/>
                <w:kern w:val="21"/>
                <w:sz w:val="21"/>
                <w:szCs w:val="21"/>
                <w14:textFill>
                  <w14:solidFill>
                    <w14:schemeClr w14:val="tx1"/>
                  </w14:solidFill>
                </w14:textFill>
              </w:rPr>
              <w:t>本项目建成后全厂排放量（固体废物产生量）</w:t>
            </w:r>
            <w:r>
              <w:rPr>
                <w:rFonts w:ascii="Times New Roman"/>
                <w:b/>
                <w:bCs/>
                <w:snapToGrid w:val="0"/>
                <w:color w:val="000000" w:themeColor="text1"/>
                <w:spacing w:val="-16"/>
                <w:kern w:val="21"/>
                <w:sz w:val="21"/>
                <w:szCs w:val="21"/>
                <w14:textFill>
                  <w14:solidFill>
                    <w14:schemeClr w14:val="tx1"/>
                  </w14:solidFill>
                </w14:textFill>
              </w:rPr>
              <w:fldChar w:fldCharType="begin"/>
            </w:r>
            <w:r>
              <w:rPr>
                <w:rFonts w:ascii="Times New Roman"/>
                <w:b/>
                <w:bCs/>
                <w:snapToGrid w:val="0"/>
                <w:color w:val="000000" w:themeColor="text1"/>
                <w:spacing w:val="-16"/>
                <w:kern w:val="21"/>
                <w:sz w:val="21"/>
                <w:szCs w:val="21"/>
                <w14:textFill>
                  <w14:solidFill>
                    <w14:schemeClr w14:val="tx1"/>
                  </w14:solidFill>
                </w14:textFill>
              </w:rPr>
              <w:instrText xml:space="preserve"> = 6 \* GB3 \* MERGEFORMAT </w:instrText>
            </w:r>
            <w:r>
              <w:rPr>
                <w:rFonts w:ascii="Times New Roman"/>
                <w:b/>
                <w:bCs/>
                <w:snapToGrid w:val="0"/>
                <w:color w:val="000000" w:themeColor="text1"/>
                <w:spacing w:val="-16"/>
                <w:kern w:val="21"/>
                <w:sz w:val="21"/>
                <w:szCs w:val="21"/>
                <w14:textFill>
                  <w14:solidFill>
                    <w14:schemeClr w14:val="tx1"/>
                  </w14:solidFill>
                </w14:textFill>
              </w:rPr>
              <w:fldChar w:fldCharType="separate"/>
            </w:r>
            <w:r>
              <w:rPr>
                <w:rFonts w:ascii="Times New Roman"/>
                <w:b/>
                <w:bCs/>
                <w:color w:val="000000" w:themeColor="text1"/>
                <w:kern w:val="2"/>
                <w:sz w:val="21"/>
                <w:szCs w:val="21"/>
                <w14:textFill>
                  <w14:solidFill>
                    <w14:schemeClr w14:val="tx1"/>
                  </w14:solidFill>
                </w14:textFill>
              </w:rPr>
              <w:t>⑥</w:t>
            </w:r>
            <w:r>
              <w:rPr>
                <w:rFonts w:ascii="Times New Roman"/>
                <w:b/>
                <w:bCs/>
                <w:snapToGrid w:val="0"/>
                <w:color w:val="000000" w:themeColor="text1"/>
                <w:spacing w:val="-16"/>
                <w:kern w:val="21"/>
                <w:sz w:val="21"/>
                <w:szCs w:val="21"/>
                <w14:textFill>
                  <w14:solidFill>
                    <w14:schemeClr w14:val="tx1"/>
                  </w14:solidFill>
                </w14:textFill>
              </w:rPr>
              <w:fldChar w:fldCharType="end"/>
            </w:r>
          </w:p>
        </w:tc>
        <w:tc>
          <w:tcPr>
            <w:tcW w:w="1149" w:type="dxa"/>
            <w:tcMar>
              <w:left w:w="28" w:type="dxa"/>
              <w:right w:w="28" w:type="dxa"/>
            </w:tcMar>
            <w:vAlign w:val="center"/>
          </w:tcPr>
          <w:p w14:paraId="787210F6">
            <w:pPr>
              <w:pStyle w:val="53"/>
              <w:spacing w:beforeLines="0" w:afterLines="0" w:line="320" w:lineRule="exact"/>
              <w:rPr>
                <w:rFonts w:ascii="Times New Roman"/>
                <w:b/>
                <w:bCs/>
                <w:snapToGrid w:val="0"/>
                <w:color w:val="000000" w:themeColor="text1"/>
                <w:spacing w:val="-6"/>
                <w:kern w:val="21"/>
                <w:sz w:val="21"/>
                <w:szCs w:val="21"/>
                <w14:textFill>
                  <w14:solidFill>
                    <w14:schemeClr w14:val="tx1"/>
                  </w14:solidFill>
                </w14:textFill>
              </w:rPr>
            </w:pPr>
            <w:r>
              <w:rPr>
                <w:rFonts w:ascii="Times New Roman"/>
                <w:b/>
                <w:bCs/>
                <w:snapToGrid w:val="0"/>
                <w:color w:val="000000" w:themeColor="text1"/>
                <w:spacing w:val="-6"/>
                <w:kern w:val="21"/>
                <w:sz w:val="21"/>
                <w:szCs w:val="21"/>
                <w14:textFill>
                  <w14:solidFill>
                    <w14:schemeClr w14:val="tx1"/>
                  </w14:solidFill>
                </w14:textFill>
              </w:rPr>
              <w:t>变化量</w:t>
            </w:r>
            <w:r>
              <w:rPr>
                <w:rFonts w:ascii="Times New Roman"/>
                <w:b/>
                <w:bCs/>
                <w:snapToGrid w:val="0"/>
                <w:color w:val="000000" w:themeColor="text1"/>
                <w:spacing w:val="-6"/>
                <w:kern w:val="21"/>
                <w:sz w:val="21"/>
                <w:szCs w:val="21"/>
                <w14:textFill>
                  <w14:solidFill>
                    <w14:schemeClr w14:val="tx1"/>
                  </w14:solidFill>
                </w14:textFill>
              </w:rPr>
              <w:fldChar w:fldCharType="begin"/>
            </w:r>
            <w:r>
              <w:rPr>
                <w:rFonts w:ascii="Times New Roman"/>
                <w:b/>
                <w:bCs/>
                <w:snapToGrid w:val="0"/>
                <w:color w:val="000000" w:themeColor="text1"/>
                <w:spacing w:val="-6"/>
                <w:kern w:val="21"/>
                <w:sz w:val="21"/>
                <w:szCs w:val="21"/>
                <w14:textFill>
                  <w14:solidFill>
                    <w14:schemeClr w14:val="tx1"/>
                  </w14:solidFill>
                </w14:textFill>
              </w:rPr>
              <w:instrText xml:space="preserve"> = 7 \* GB3 \* MERGEFORMAT </w:instrText>
            </w:r>
            <w:r>
              <w:rPr>
                <w:rFonts w:ascii="Times New Roman"/>
                <w:b/>
                <w:bCs/>
                <w:snapToGrid w:val="0"/>
                <w:color w:val="000000" w:themeColor="text1"/>
                <w:spacing w:val="-6"/>
                <w:kern w:val="21"/>
                <w:sz w:val="21"/>
                <w:szCs w:val="21"/>
                <w14:textFill>
                  <w14:solidFill>
                    <w14:schemeClr w14:val="tx1"/>
                  </w14:solidFill>
                </w14:textFill>
              </w:rPr>
              <w:fldChar w:fldCharType="separate"/>
            </w:r>
            <w:r>
              <w:rPr>
                <w:rFonts w:ascii="Times New Roman"/>
                <w:b/>
                <w:bCs/>
                <w:color w:val="000000" w:themeColor="text1"/>
                <w:kern w:val="2"/>
                <w:sz w:val="21"/>
                <w:szCs w:val="21"/>
                <w14:textFill>
                  <w14:solidFill>
                    <w14:schemeClr w14:val="tx1"/>
                  </w14:solidFill>
                </w14:textFill>
              </w:rPr>
              <w:t>⑦</w:t>
            </w:r>
            <w:r>
              <w:rPr>
                <w:rFonts w:ascii="Times New Roman"/>
                <w:b/>
                <w:bCs/>
                <w:snapToGrid w:val="0"/>
                <w:color w:val="000000" w:themeColor="text1"/>
                <w:spacing w:val="-6"/>
                <w:kern w:val="21"/>
                <w:sz w:val="21"/>
                <w:szCs w:val="21"/>
                <w14:textFill>
                  <w14:solidFill>
                    <w14:schemeClr w14:val="tx1"/>
                  </w14:solidFill>
                </w14:textFill>
              </w:rPr>
              <w:fldChar w:fldCharType="end"/>
            </w:r>
          </w:p>
        </w:tc>
      </w:tr>
      <w:tr w14:paraId="0331C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Merge w:val="restart"/>
            <w:vAlign w:val="center"/>
          </w:tcPr>
          <w:p w14:paraId="16E31474">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废气</w:t>
            </w:r>
          </w:p>
        </w:tc>
        <w:tc>
          <w:tcPr>
            <w:tcW w:w="418" w:type="dxa"/>
            <w:vMerge w:val="restart"/>
            <w:vAlign w:val="center"/>
          </w:tcPr>
          <w:p w14:paraId="209452F3">
            <w:pPr>
              <w:widowControl/>
              <w:spacing w:line="310" w:lineRule="exact"/>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无组织</w:t>
            </w:r>
          </w:p>
        </w:tc>
        <w:tc>
          <w:tcPr>
            <w:tcW w:w="963" w:type="dxa"/>
            <w:vAlign w:val="center"/>
          </w:tcPr>
          <w:p w14:paraId="753EFF94">
            <w:pPr>
              <w:widowControl/>
              <w:spacing w:line="310" w:lineRule="exact"/>
              <w:jc w:val="center"/>
              <w:rPr>
                <w:rFonts w:hint="eastAsia" w:eastAsia="宋体"/>
                <w:color w:val="000000" w:themeColor="text1"/>
                <w:kern w:val="0"/>
                <w:sz w:val="21"/>
                <w:szCs w:val="21"/>
                <w:lang w:eastAsia="zh-CN"/>
                <w14:textFill>
                  <w14:solidFill>
                    <w14:schemeClr w14:val="tx1"/>
                  </w14:solidFill>
                </w14:textFill>
              </w:rPr>
            </w:pPr>
            <w:r>
              <w:rPr>
                <w:color w:val="000000" w:themeColor="text1"/>
                <w:kern w:val="0"/>
                <w:sz w:val="21"/>
                <w:szCs w:val="21"/>
                <w14:textFill>
                  <w14:solidFill>
                    <w14:schemeClr w14:val="tx1"/>
                  </w14:solidFill>
                </w14:textFill>
              </w:rPr>
              <w:t>非甲烷总烃</w:t>
            </w:r>
            <w:r>
              <w:rPr>
                <w:rFonts w:hint="eastAsia"/>
                <w:color w:val="000000" w:themeColor="text1"/>
                <w:kern w:val="0"/>
                <w:sz w:val="21"/>
                <w:szCs w:val="21"/>
                <w:lang w:eastAsia="zh-CN"/>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含甲醇</w:t>
            </w:r>
            <w:r>
              <w:rPr>
                <w:rFonts w:hint="eastAsia"/>
                <w:color w:val="000000" w:themeColor="text1"/>
                <w:kern w:val="0"/>
                <w:sz w:val="21"/>
                <w:szCs w:val="21"/>
                <w:lang w:eastAsia="zh-CN"/>
                <w14:textFill>
                  <w14:solidFill>
                    <w14:schemeClr w14:val="tx1"/>
                  </w14:solidFill>
                </w14:textFill>
              </w:rPr>
              <w:t>）</w:t>
            </w:r>
          </w:p>
        </w:tc>
        <w:tc>
          <w:tcPr>
            <w:tcW w:w="1784" w:type="dxa"/>
            <w:vAlign w:val="center"/>
          </w:tcPr>
          <w:p w14:paraId="0CDFBFAA">
            <w:pPr>
              <w:pStyle w:val="53"/>
              <w:spacing w:beforeLines="0" w:afterLines="0" w:line="320" w:lineRule="exact"/>
              <w:rPr>
                <w:rFonts w:hint="default"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0.008</w:t>
            </w:r>
          </w:p>
        </w:tc>
        <w:tc>
          <w:tcPr>
            <w:tcW w:w="1346" w:type="dxa"/>
            <w:vAlign w:val="center"/>
          </w:tcPr>
          <w:p w14:paraId="7EC889A3">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0.008</w:t>
            </w:r>
          </w:p>
        </w:tc>
        <w:tc>
          <w:tcPr>
            <w:tcW w:w="1860" w:type="dxa"/>
            <w:vAlign w:val="center"/>
          </w:tcPr>
          <w:p w14:paraId="6E552AD9">
            <w:pPr>
              <w:spacing w:line="31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620" w:type="dxa"/>
            <w:vAlign w:val="center"/>
          </w:tcPr>
          <w:p w14:paraId="5459B1C1">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0.0052</w:t>
            </w:r>
          </w:p>
        </w:tc>
        <w:tc>
          <w:tcPr>
            <w:tcW w:w="1590" w:type="dxa"/>
            <w:vAlign w:val="center"/>
          </w:tcPr>
          <w:p w14:paraId="10051AC0">
            <w:pPr>
              <w:pStyle w:val="53"/>
              <w:spacing w:beforeLines="0" w:afterLines="0" w:line="320" w:lineRule="exact"/>
              <w:rPr>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0.008</w:t>
            </w:r>
          </w:p>
        </w:tc>
        <w:tc>
          <w:tcPr>
            <w:tcW w:w="1995" w:type="dxa"/>
            <w:vAlign w:val="center"/>
          </w:tcPr>
          <w:p w14:paraId="2EDFDEDD">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0.0052</w:t>
            </w:r>
          </w:p>
        </w:tc>
        <w:tc>
          <w:tcPr>
            <w:tcW w:w="1149" w:type="dxa"/>
            <w:vAlign w:val="center"/>
          </w:tcPr>
          <w:p w14:paraId="5D759714">
            <w:pPr>
              <w:widowControl/>
              <w:jc w:val="center"/>
              <w:textAlignment w:val="center"/>
              <w:rPr>
                <w:rFonts w:hint="default" w:eastAsia="宋体"/>
                <w:color w:val="000000" w:themeColor="text1"/>
                <w:kern w:val="0"/>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-0.0028</w:t>
            </w:r>
          </w:p>
        </w:tc>
      </w:tr>
      <w:tr w14:paraId="26DBF0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Merge w:val="continue"/>
            <w:vAlign w:val="center"/>
          </w:tcPr>
          <w:p w14:paraId="28F07247">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p>
        </w:tc>
        <w:tc>
          <w:tcPr>
            <w:tcW w:w="418" w:type="dxa"/>
            <w:vMerge w:val="continue"/>
            <w:vAlign w:val="center"/>
          </w:tcPr>
          <w:p w14:paraId="2B5CDF2B">
            <w:pPr>
              <w:widowControl/>
              <w:spacing w:line="310" w:lineRule="exact"/>
              <w:jc w:val="center"/>
              <w:rPr>
                <w:color w:val="000000" w:themeColor="text1"/>
                <w:kern w:val="0"/>
                <w:sz w:val="21"/>
                <w:szCs w:val="21"/>
                <w14:textFill>
                  <w14:solidFill>
                    <w14:schemeClr w14:val="tx1"/>
                  </w14:solidFill>
                </w14:textFill>
              </w:rPr>
            </w:pPr>
          </w:p>
        </w:tc>
        <w:tc>
          <w:tcPr>
            <w:tcW w:w="963" w:type="dxa"/>
            <w:vAlign w:val="center"/>
          </w:tcPr>
          <w:p w14:paraId="24EA4924">
            <w:pPr>
              <w:widowControl/>
              <w:spacing w:line="310" w:lineRule="exact"/>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甲醇</w:t>
            </w:r>
          </w:p>
        </w:tc>
        <w:tc>
          <w:tcPr>
            <w:tcW w:w="1784" w:type="dxa"/>
            <w:vAlign w:val="center"/>
          </w:tcPr>
          <w:p w14:paraId="4B04BFB9">
            <w:pPr>
              <w:pStyle w:val="53"/>
              <w:spacing w:beforeLines="0" w:afterLines="0" w:line="320" w:lineRule="exact"/>
              <w:rPr>
                <w:rFonts w:ascii="Times New Roman"/>
                <w:color w:val="000000" w:themeColor="text1"/>
                <w:kern w:val="2"/>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346" w:type="dxa"/>
            <w:vAlign w:val="center"/>
          </w:tcPr>
          <w:p w14:paraId="103BE74A">
            <w:pPr>
              <w:pStyle w:val="53"/>
              <w:spacing w:beforeLines="0" w:afterLines="0" w:line="320" w:lineRule="exact"/>
              <w:rPr>
                <w:rFonts w:ascii="Times New Roman"/>
                <w:color w:val="000000" w:themeColor="text1"/>
                <w:kern w:val="2"/>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860" w:type="dxa"/>
            <w:vAlign w:val="center"/>
          </w:tcPr>
          <w:p w14:paraId="6524B582">
            <w:pPr>
              <w:spacing w:line="310" w:lineRule="exact"/>
              <w:jc w:val="center"/>
              <w:rPr>
                <w:snapToGrid w:val="0"/>
                <w:color w:val="000000" w:themeColor="text1"/>
                <w:kern w:val="2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620" w:type="dxa"/>
            <w:vAlign w:val="center"/>
          </w:tcPr>
          <w:p w14:paraId="4C541BD6">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002</w:t>
            </w:r>
          </w:p>
        </w:tc>
        <w:tc>
          <w:tcPr>
            <w:tcW w:w="1590" w:type="dxa"/>
            <w:vAlign w:val="center"/>
          </w:tcPr>
          <w:p w14:paraId="51BCB1E4">
            <w:pPr>
              <w:pStyle w:val="53"/>
              <w:spacing w:beforeLines="0" w:afterLines="0" w:line="320" w:lineRule="exact"/>
              <w:rPr>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995" w:type="dxa"/>
            <w:vAlign w:val="center"/>
          </w:tcPr>
          <w:p w14:paraId="4F0146CD">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002</w:t>
            </w:r>
          </w:p>
        </w:tc>
        <w:tc>
          <w:tcPr>
            <w:tcW w:w="1149" w:type="dxa"/>
            <w:vAlign w:val="center"/>
          </w:tcPr>
          <w:p w14:paraId="7F06118B">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002</w:t>
            </w:r>
          </w:p>
        </w:tc>
      </w:tr>
      <w:tr w14:paraId="60B1D8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Merge w:val="restart"/>
            <w:vAlign w:val="center"/>
          </w:tcPr>
          <w:p w14:paraId="5EB8FE8A">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废水</w:t>
            </w:r>
          </w:p>
        </w:tc>
        <w:tc>
          <w:tcPr>
            <w:tcW w:w="1381" w:type="dxa"/>
            <w:gridSpan w:val="2"/>
            <w:vAlign w:val="center"/>
          </w:tcPr>
          <w:p w14:paraId="7A09CBCC">
            <w:pPr>
              <w:widowControl/>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废水量</w:t>
            </w:r>
          </w:p>
        </w:tc>
        <w:tc>
          <w:tcPr>
            <w:tcW w:w="1784" w:type="dxa"/>
            <w:shd w:val="clear" w:color="auto" w:fill="auto"/>
            <w:vAlign w:val="center"/>
          </w:tcPr>
          <w:p w14:paraId="64DC3EE1">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120</w:t>
            </w:r>
          </w:p>
        </w:tc>
        <w:tc>
          <w:tcPr>
            <w:tcW w:w="1346" w:type="dxa"/>
            <w:vAlign w:val="center"/>
          </w:tcPr>
          <w:p w14:paraId="70651B9F">
            <w:pPr>
              <w:jc w:val="center"/>
              <w:rPr>
                <w:rFonts w:ascii="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120</w:t>
            </w:r>
          </w:p>
        </w:tc>
        <w:tc>
          <w:tcPr>
            <w:tcW w:w="1860" w:type="dxa"/>
            <w:vAlign w:val="center"/>
          </w:tcPr>
          <w:p w14:paraId="71E19373">
            <w:pPr>
              <w:spacing w:line="31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620" w:type="dxa"/>
            <w:vAlign w:val="center"/>
          </w:tcPr>
          <w:p w14:paraId="75E2AA2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120</w:t>
            </w:r>
          </w:p>
        </w:tc>
        <w:tc>
          <w:tcPr>
            <w:tcW w:w="1590" w:type="dxa"/>
            <w:vAlign w:val="center"/>
          </w:tcPr>
          <w:p w14:paraId="13A73C8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120</w:t>
            </w:r>
          </w:p>
        </w:tc>
        <w:tc>
          <w:tcPr>
            <w:tcW w:w="1995" w:type="dxa"/>
            <w:vAlign w:val="center"/>
          </w:tcPr>
          <w:p w14:paraId="11C9686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120</w:t>
            </w:r>
          </w:p>
        </w:tc>
        <w:tc>
          <w:tcPr>
            <w:tcW w:w="1149" w:type="dxa"/>
            <w:vAlign w:val="center"/>
          </w:tcPr>
          <w:p w14:paraId="76B6DFBA">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3846B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Merge w:val="continue"/>
            <w:vAlign w:val="center"/>
          </w:tcPr>
          <w:p w14:paraId="21BD6A0B">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p>
        </w:tc>
        <w:tc>
          <w:tcPr>
            <w:tcW w:w="1381" w:type="dxa"/>
            <w:gridSpan w:val="2"/>
            <w:vAlign w:val="center"/>
          </w:tcPr>
          <w:p w14:paraId="7A99EBBA">
            <w:pPr>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1784" w:type="dxa"/>
            <w:shd w:val="clear" w:color="auto" w:fill="auto"/>
            <w:vAlign w:val="center"/>
          </w:tcPr>
          <w:p w14:paraId="7DF54690">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0.048</w:t>
            </w:r>
          </w:p>
        </w:tc>
        <w:tc>
          <w:tcPr>
            <w:tcW w:w="1346" w:type="dxa"/>
            <w:vAlign w:val="center"/>
          </w:tcPr>
          <w:p w14:paraId="45A0F63A">
            <w:pPr>
              <w:jc w:val="center"/>
              <w:rPr>
                <w:rFonts w:ascii="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0.048</w:t>
            </w:r>
          </w:p>
        </w:tc>
        <w:tc>
          <w:tcPr>
            <w:tcW w:w="1860" w:type="dxa"/>
            <w:vAlign w:val="center"/>
          </w:tcPr>
          <w:p w14:paraId="4B12E8E9">
            <w:pPr>
              <w:spacing w:line="31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620" w:type="dxa"/>
            <w:vAlign w:val="center"/>
          </w:tcPr>
          <w:p w14:paraId="2F7E045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0.048</w:t>
            </w:r>
          </w:p>
        </w:tc>
        <w:tc>
          <w:tcPr>
            <w:tcW w:w="1590" w:type="dxa"/>
            <w:vAlign w:val="center"/>
          </w:tcPr>
          <w:p w14:paraId="107870D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0.048</w:t>
            </w:r>
          </w:p>
        </w:tc>
        <w:tc>
          <w:tcPr>
            <w:tcW w:w="1995" w:type="dxa"/>
            <w:vAlign w:val="center"/>
          </w:tcPr>
          <w:p w14:paraId="778CD02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0.048</w:t>
            </w:r>
          </w:p>
        </w:tc>
        <w:tc>
          <w:tcPr>
            <w:tcW w:w="1149" w:type="dxa"/>
            <w:vAlign w:val="center"/>
          </w:tcPr>
          <w:p w14:paraId="701A33EB">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4BC8D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Merge w:val="continue"/>
            <w:vAlign w:val="center"/>
          </w:tcPr>
          <w:p w14:paraId="0AF8F6F3">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p>
        </w:tc>
        <w:tc>
          <w:tcPr>
            <w:tcW w:w="1381" w:type="dxa"/>
            <w:gridSpan w:val="2"/>
            <w:vAlign w:val="center"/>
          </w:tcPr>
          <w:p w14:paraId="0C267949">
            <w:pPr>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tc>
        <w:tc>
          <w:tcPr>
            <w:tcW w:w="1784" w:type="dxa"/>
            <w:shd w:val="clear" w:color="auto" w:fill="auto"/>
            <w:vAlign w:val="center"/>
          </w:tcPr>
          <w:p w14:paraId="3B07910E">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0.03</w:t>
            </w:r>
          </w:p>
        </w:tc>
        <w:tc>
          <w:tcPr>
            <w:tcW w:w="1346" w:type="dxa"/>
            <w:vAlign w:val="center"/>
          </w:tcPr>
          <w:p w14:paraId="2C548E05">
            <w:pPr>
              <w:jc w:val="center"/>
              <w:rPr>
                <w:rFonts w:ascii="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0.03</w:t>
            </w:r>
          </w:p>
        </w:tc>
        <w:tc>
          <w:tcPr>
            <w:tcW w:w="1860" w:type="dxa"/>
            <w:vAlign w:val="center"/>
          </w:tcPr>
          <w:p w14:paraId="42D917AE">
            <w:pPr>
              <w:spacing w:line="31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620" w:type="dxa"/>
            <w:vAlign w:val="center"/>
          </w:tcPr>
          <w:p w14:paraId="1D6E3B1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0.03</w:t>
            </w:r>
          </w:p>
        </w:tc>
        <w:tc>
          <w:tcPr>
            <w:tcW w:w="1590" w:type="dxa"/>
            <w:vAlign w:val="center"/>
          </w:tcPr>
          <w:p w14:paraId="28DDA2C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0.03</w:t>
            </w:r>
          </w:p>
        </w:tc>
        <w:tc>
          <w:tcPr>
            <w:tcW w:w="1995" w:type="dxa"/>
            <w:vAlign w:val="center"/>
          </w:tcPr>
          <w:p w14:paraId="59BA28F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0.03</w:t>
            </w:r>
          </w:p>
        </w:tc>
        <w:tc>
          <w:tcPr>
            <w:tcW w:w="1149" w:type="dxa"/>
            <w:vAlign w:val="center"/>
          </w:tcPr>
          <w:p w14:paraId="55C398C6">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43D390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Merge w:val="continue"/>
            <w:vAlign w:val="center"/>
          </w:tcPr>
          <w:p w14:paraId="7218FE39">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p>
        </w:tc>
        <w:tc>
          <w:tcPr>
            <w:tcW w:w="1381" w:type="dxa"/>
            <w:gridSpan w:val="2"/>
            <w:vAlign w:val="center"/>
          </w:tcPr>
          <w:p w14:paraId="43DDC6CB">
            <w:pPr>
              <w:widowControl/>
              <w:adjustRightInd w:val="0"/>
              <w:snapToGrid w:val="0"/>
              <w:spacing w:line="280" w:lineRule="exact"/>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-N</w:t>
            </w:r>
          </w:p>
        </w:tc>
        <w:tc>
          <w:tcPr>
            <w:tcW w:w="1784" w:type="dxa"/>
            <w:shd w:val="clear" w:color="auto" w:fill="auto"/>
            <w:vAlign w:val="center"/>
          </w:tcPr>
          <w:p w14:paraId="2E203DC7">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0.003</w:t>
            </w:r>
          </w:p>
        </w:tc>
        <w:tc>
          <w:tcPr>
            <w:tcW w:w="1346" w:type="dxa"/>
            <w:vAlign w:val="center"/>
          </w:tcPr>
          <w:p w14:paraId="25EEC194">
            <w:pPr>
              <w:jc w:val="center"/>
              <w:rPr>
                <w:rFonts w:ascii="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0.003</w:t>
            </w:r>
          </w:p>
        </w:tc>
        <w:tc>
          <w:tcPr>
            <w:tcW w:w="1860" w:type="dxa"/>
            <w:vAlign w:val="center"/>
          </w:tcPr>
          <w:p w14:paraId="53850CC7">
            <w:pPr>
              <w:spacing w:line="31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620" w:type="dxa"/>
            <w:vAlign w:val="center"/>
          </w:tcPr>
          <w:p w14:paraId="3248091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0.003</w:t>
            </w:r>
          </w:p>
        </w:tc>
        <w:tc>
          <w:tcPr>
            <w:tcW w:w="1590" w:type="dxa"/>
            <w:vAlign w:val="center"/>
          </w:tcPr>
          <w:p w14:paraId="1092305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0.003</w:t>
            </w:r>
          </w:p>
        </w:tc>
        <w:tc>
          <w:tcPr>
            <w:tcW w:w="1995" w:type="dxa"/>
            <w:vAlign w:val="center"/>
          </w:tcPr>
          <w:p w14:paraId="53556A2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0.003</w:t>
            </w:r>
          </w:p>
        </w:tc>
        <w:tc>
          <w:tcPr>
            <w:tcW w:w="1149" w:type="dxa"/>
            <w:vAlign w:val="center"/>
          </w:tcPr>
          <w:p w14:paraId="0ED606E7">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2FECD3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Merge w:val="continue"/>
            <w:vAlign w:val="center"/>
          </w:tcPr>
          <w:p w14:paraId="2651DA44">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p>
        </w:tc>
        <w:tc>
          <w:tcPr>
            <w:tcW w:w="1381" w:type="dxa"/>
            <w:gridSpan w:val="2"/>
            <w:vAlign w:val="center"/>
          </w:tcPr>
          <w:p w14:paraId="2D2F3593">
            <w:pPr>
              <w:widowControl/>
              <w:adjustRightInd w:val="0"/>
              <w:snapToGrid w:val="0"/>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TN</w:t>
            </w:r>
          </w:p>
        </w:tc>
        <w:tc>
          <w:tcPr>
            <w:tcW w:w="1784" w:type="dxa"/>
            <w:shd w:val="clear" w:color="auto" w:fill="auto"/>
            <w:vAlign w:val="center"/>
          </w:tcPr>
          <w:p w14:paraId="07271E33">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0.00036</w:t>
            </w:r>
          </w:p>
        </w:tc>
        <w:tc>
          <w:tcPr>
            <w:tcW w:w="1346" w:type="dxa"/>
            <w:vAlign w:val="center"/>
          </w:tcPr>
          <w:p w14:paraId="02BE3D2F">
            <w:pPr>
              <w:jc w:val="center"/>
              <w:rPr>
                <w:rFonts w:ascii="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0.00036</w:t>
            </w:r>
          </w:p>
        </w:tc>
        <w:tc>
          <w:tcPr>
            <w:tcW w:w="1860" w:type="dxa"/>
            <w:vAlign w:val="center"/>
          </w:tcPr>
          <w:p w14:paraId="573DDF75">
            <w:pPr>
              <w:spacing w:line="31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620" w:type="dxa"/>
            <w:vAlign w:val="center"/>
          </w:tcPr>
          <w:p w14:paraId="7BB26BD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0.00036</w:t>
            </w:r>
          </w:p>
        </w:tc>
        <w:tc>
          <w:tcPr>
            <w:tcW w:w="1590" w:type="dxa"/>
            <w:vAlign w:val="center"/>
          </w:tcPr>
          <w:p w14:paraId="06E0DE6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0.00036</w:t>
            </w:r>
          </w:p>
        </w:tc>
        <w:tc>
          <w:tcPr>
            <w:tcW w:w="1995" w:type="dxa"/>
            <w:vAlign w:val="center"/>
          </w:tcPr>
          <w:p w14:paraId="7BC08BC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0.00036</w:t>
            </w:r>
          </w:p>
        </w:tc>
        <w:tc>
          <w:tcPr>
            <w:tcW w:w="1149" w:type="dxa"/>
            <w:vAlign w:val="center"/>
          </w:tcPr>
          <w:p w14:paraId="24BE3465">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28E54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Merge w:val="continue"/>
            <w:vAlign w:val="center"/>
          </w:tcPr>
          <w:p w14:paraId="2B692A5C">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p>
        </w:tc>
        <w:tc>
          <w:tcPr>
            <w:tcW w:w="1381" w:type="dxa"/>
            <w:gridSpan w:val="2"/>
            <w:vAlign w:val="center"/>
          </w:tcPr>
          <w:p w14:paraId="7C8ACB55">
            <w:pPr>
              <w:widowControl/>
              <w:adjustRightInd w:val="0"/>
              <w:snapToGrid w:val="0"/>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TP</w:t>
            </w:r>
          </w:p>
        </w:tc>
        <w:tc>
          <w:tcPr>
            <w:tcW w:w="1784" w:type="dxa"/>
            <w:shd w:val="clear" w:color="auto" w:fill="auto"/>
            <w:vAlign w:val="center"/>
          </w:tcPr>
          <w:p w14:paraId="73A779C1">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0.0048</w:t>
            </w:r>
          </w:p>
        </w:tc>
        <w:tc>
          <w:tcPr>
            <w:tcW w:w="1346" w:type="dxa"/>
            <w:vAlign w:val="center"/>
          </w:tcPr>
          <w:p w14:paraId="7AF6E74E">
            <w:pPr>
              <w:jc w:val="center"/>
              <w:rPr>
                <w:rFonts w:ascii="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0.0048</w:t>
            </w:r>
          </w:p>
        </w:tc>
        <w:tc>
          <w:tcPr>
            <w:tcW w:w="1860" w:type="dxa"/>
            <w:vAlign w:val="center"/>
          </w:tcPr>
          <w:p w14:paraId="6D14A7D3">
            <w:pPr>
              <w:spacing w:line="31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620" w:type="dxa"/>
            <w:vAlign w:val="center"/>
          </w:tcPr>
          <w:p w14:paraId="4C7739A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0.0048</w:t>
            </w:r>
          </w:p>
        </w:tc>
        <w:tc>
          <w:tcPr>
            <w:tcW w:w="1590" w:type="dxa"/>
            <w:vAlign w:val="center"/>
          </w:tcPr>
          <w:p w14:paraId="14EC443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0.0048</w:t>
            </w:r>
          </w:p>
        </w:tc>
        <w:tc>
          <w:tcPr>
            <w:tcW w:w="1995" w:type="dxa"/>
            <w:vAlign w:val="center"/>
          </w:tcPr>
          <w:p w14:paraId="4702C04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0.0048</w:t>
            </w:r>
          </w:p>
        </w:tc>
        <w:tc>
          <w:tcPr>
            <w:tcW w:w="1149" w:type="dxa"/>
            <w:vAlign w:val="center"/>
          </w:tcPr>
          <w:p w14:paraId="4F9882F8">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12427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Merge w:val="restart"/>
            <w:vAlign w:val="center"/>
          </w:tcPr>
          <w:p w14:paraId="003A8C55">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固废</w:t>
            </w:r>
          </w:p>
        </w:tc>
        <w:tc>
          <w:tcPr>
            <w:tcW w:w="1381" w:type="dxa"/>
            <w:gridSpan w:val="2"/>
            <w:vAlign w:val="center"/>
          </w:tcPr>
          <w:p w14:paraId="6126502D">
            <w:pPr>
              <w:spacing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生活垃圾</w:t>
            </w:r>
          </w:p>
        </w:tc>
        <w:tc>
          <w:tcPr>
            <w:tcW w:w="1784" w:type="dxa"/>
            <w:vAlign w:val="center"/>
          </w:tcPr>
          <w:p w14:paraId="15DEAA24">
            <w:pPr>
              <w:pStyle w:val="53"/>
              <w:spacing w:beforeLines="0" w:afterLines="0" w:line="320" w:lineRule="exact"/>
              <w:rPr>
                <w:rFonts w:hint="default"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1.5</w:t>
            </w:r>
          </w:p>
        </w:tc>
        <w:tc>
          <w:tcPr>
            <w:tcW w:w="1346" w:type="dxa"/>
            <w:vAlign w:val="center"/>
          </w:tcPr>
          <w:p w14:paraId="1A31D623">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860" w:type="dxa"/>
            <w:vAlign w:val="center"/>
          </w:tcPr>
          <w:p w14:paraId="04F0B2E4">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620" w:type="dxa"/>
            <w:vAlign w:val="center"/>
          </w:tcPr>
          <w:p w14:paraId="210B94D2">
            <w:pPr>
              <w:spacing w:line="320" w:lineRule="exact"/>
              <w:jc w:val="center"/>
              <w:rPr>
                <w:color w:val="000000" w:themeColor="text1"/>
                <w:spacing w:val="-11"/>
                <w:sz w:val="21"/>
                <w:szCs w:val="21"/>
                <w14:textFill>
                  <w14:solidFill>
                    <w14:schemeClr w14:val="tx1"/>
                  </w14:solidFill>
                </w14:textFill>
              </w:rPr>
            </w:pPr>
            <w:r>
              <w:rPr>
                <w:rFonts w:hint="eastAsia"/>
                <w:color w:val="000000" w:themeColor="text1"/>
                <w:spacing w:val="-11"/>
                <w:sz w:val="21"/>
                <w:szCs w:val="21"/>
                <w14:textFill>
                  <w14:solidFill>
                    <w14:schemeClr w14:val="tx1"/>
                  </w14:solidFill>
                </w14:textFill>
              </w:rPr>
              <w:t>1.5</w:t>
            </w:r>
          </w:p>
        </w:tc>
        <w:tc>
          <w:tcPr>
            <w:tcW w:w="1590" w:type="dxa"/>
            <w:vAlign w:val="center"/>
          </w:tcPr>
          <w:p w14:paraId="5458F469">
            <w:pPr>
              <w:pStyle w:val="53"/>
              <w:spacing w:beforeLines="0" w:afterLines="0" w:line="320" w:lineRule="exact"/>
              <w:rPr>
                <w:color w:val="000000" w:themeColor="text1"/>
                <w:sz w:val="21"/>
                <w:szCs w:val="21"/>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1.5</w:t>
            </w:r>
          </w:p>
        </w:tc>
        <w:tc>
          <w:tcPr>
            <w:tcW w:w="1995" w:type="dxa"/>
            <w:vAlign w:val="center"/>
          </w:tcPr>
          <w:p w14:paraId="73A53BDB">
            <w:pPr>
              <w:spacing w:line="320" w:lineRule="exact"/>
              <w:jc w:val="center"/>
              <w:rPr>
                <w:color w:val="000000" w:themeColor="text1"/>
                <w:sz w:val="21"/>
                <w:szCs w:val="21"/>
                <w14:textFill>
                  <w14:solidFill>
                    <w14:schemeClr w14:val="tx1"/>
                  </w14:solidFill>
                </w14:textFill>
              </w:rPr>
            </w:pPr>
            <w:r>
              <w:rPr>
                <w:rFonts w:hint="eastAsia"/>
                <w:color w:val="000000" w:themeColor="text1"/>
                <w:spacing w:val="-11"/>
                <w:sz w:val="21"/>
                <w:szCs w:val="21"/>
                <w14:textFill>
                  <w14:solidFill>
                    <w14:schemeClr w14:val="tx1"/>
                  </w14:solidFill>
                </w14:textFill>
              </w:rPr>
              <w:t>1.5</w:t>
            </w:r>
          </w:p>
        </w:tc>
        <w:tc>
          <w:tcPr>
            <w:tcW w:w="1149" w:type="dxa"/>
            <w:vAlign w:val="center"/>
          </w:tcPr>
          <w:p w14:paraId="24F626FD">
            <w:pPr>
              <w:spacing w:line="320" w:lineRule="exact"/>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pacing w:val="-11"/>
                <w:sz w:val="21"/>
                <w:szCs w:val="21"/>
                <w:lang w:val="en-US" w:eastAsia="zh-CN"/>
                <w14:textFill>
                  <w14:solidFill>
                    <w14:schemeClr w14:val="tx1"/>
                  </w14:solidFill>
                </w14:textFill>
              </w:rPr>
              <w:t>0</w:t>
            </w:r>
          </w:p>
        </w:tc>
      </w:tr>
      <w:tr w14:paraId="50E28C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Merge w:val="continue"/>
            <w:vAlign w:val="center"/>
          </w:tcPr>
          <w:p w14:paraId="1ADEF277">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p>
        </w:tc>
        <w:tc>
          <w:tcPr>
            <w:tcW w:w="1381" w:type="dxa"/>
            <w:gridSpan w:val="2"/>
            <w:vAlign w:val="center"/>
          </w:tcPr>
          <w:p w14:paraId="76087B8B">
            <w:pPr>
              <w:spacing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一般固废</w:t>
            </w:r>
          </w:p>
        </w:tc>
        <w:tc>
          <w:tcPr>
            <w:tcW w:w="1784" w:type="dxa"/>
            <w:vAlign w:val="center"/>
          </w:tcPr>
          <w:p w14:paraId="3E788C2A">
            <w:pPr>
              <w:pStyle w:val="53"/>
              <w:spacing w:beforeLines="0" w:afterLines="0" w:line="320" w:lineRule="exact"/>
              <w:rPr>
                <w:rFonts w:hint="default"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0.007</w:t>
            </w:r>
          </w:p>
        </w:tc>
        <w:tc>
          <w:tcPr>
            <w:tcW w:w="1346" w:type="dxa"/>
            <w:vAlign w:val="center"/>
          </w:tcPr>
          <w:p w14:paraId="31A60D16">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860" w:type="dxa"/>
            <w:vAlign w:val="center"/>
          </w:tcPr>
          <w:p w14:paraId="4A50D910">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0</w:t>
            </w:r>
          </w:p>
        </w:tc>
        <w:tc>
          <w:tcPr>
            <w:tcW w:w="1620" w:type="dxa"/>
            <w:vAlign w:val="center"/>
          </w:tcPr>
          <w:p w14:paraId="1AA40D03">
            <w:pPr>
              <w:pStyle w:val="53"/>
              <w:spacing w:beforeLines="0" w:afterLines="0" w:line="320" w:lineRule="exact"/>
              <w:rPr>
                <w:rFonts w:hint="default" w:ascii="Times New Roman"/>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0.05</w:t>
            </w:r>
          </w:p>
        </w:tc>
        <w:tc>
          <w:tcPr>
            <w:tcW w:w="1590" w:type="dxa"/>
            <w:vAlign w:val="center"/>
          </w:tcPr>
          <w:p w14:paraId="2293E988">
            <w:pPr>
              <w:pStyle w:val="53"/>
              <w:spacing w:beforeLines="0" w:afterLines="0" w:line="320" w:lineRule="exact"/>
              <w:rPr>
                <w:rFonts w:hint="eastAsia" w:ascii="Times New Roman"/>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0.007</w:t>
            </w:r>
          </w:p>
        </w:tc>
        <w:tc>
          <w:tcPr>
            <w:tcW w:w="1995" w:type="dxa"/>
            <w:vAlign w:val="center"/>
          </w:tcPr>
          <w:p w14:paraId="1F72DE26">
            <w:pPr>
              <w:pStyle w:val="53"/>
              <w:spacing w:beforeLines="0" w:afterLines="0" w:line="320" w:lineRule="exact"/>
              <w:rPr>
                <w:rFonts w:hint="eastAsia" w:ascii="Times New Roman"/>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0.05</w:t>
            </w:r>
          </w:p>
        </w:tc>
        <w:tc>
          <w:tcPr>
            <w:tcW w:w="1149" w:type="dxa"/>
            <w:vAlign w:val="center"/>
          </w:tcPr>
          <w:p w14:paraId="14C1262F">
            <w:pPr>
              <w:pStyle w:val="53"/>
              <w:spacing w:beforeLines="0" w:afterLines="0" w:line="320" w:lineRule="exact"/>
              <w:rPr>
                <w:rFonts w:hint="default" w:ascii="Times New Roman"/>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+0.043</w:t>
            </w:r>
          </w:p>
        </w:tc>
      </w:tr>
      <w:tr w14:paraId="054A15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Merge w:val="continue"/>
            <w:vAlign w:val="center"/>
          </w:tcPr>
          <w:p w14:paraId="1E310F28">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p>
        </w:tc>
        <w:tc>
          <w:tcPr>
            <w:tcW w:w="1381" w:type="dxa"/>
            <w:gridSpan w:val="2"/>
            <w:vAlign w:val="center"/>
          </w:tcPr>
          <w:p w14:paraId="5B1F2CCC">
            <w:pPr>
              <w:spacing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危险废物</w:t>
            </w:r>
          </w:p>
        </w:tc>
        <w:tc>
          <w:tcPr>
            <w:tcW w:w="1784" w:type="dxa"/>
            <w:vAlign w:val="center"/>
          </w:tcPr>
          <w:p w14:paraId="560681F3">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8.479</w:t>
            </w:r>
          </w:p>
        </w:tc>
        <w:tc>
          <w:tcPr>
            <w:tcW w:w="1346" w:type="dxa"/>
            <w:vAlign w:val="center"/>
          </w:tcPr>
          <w:p w14:paraId="52B41A13">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860" w:type="dxa"/>
            <w:vAlign w:val="center"/>
          </w:tcPr>
          <w:p w14:paraId="625919BA">
            <w:pPr>
              <w:pStyle w:val="53"/>
              <w:spacing w:beforeLines="0" w:afterLines="0" w:line="320" w:lineRule="exact"/>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0</w:t>
            </w:r>
          </w:p>
        </w:tc>
        <w:tc>
          <w:tcPr>
            <w:tcW w:w="1620" w:type="dxa"/>
            <w:vAlign w:val="center"/>
          </w:tcPr>
          <w:p w14:paraId="0F3CD1B6">
            <w:pPr>
              <w:spacing w:line="320" w:lineRule="exact"/>
              <w:jc w:val="center"/>
              <w:rPr>
                <w:rFonts w:hint="eastAsia" w:eastAsia="宋体"/>
                <w:color w:val="000000" w:themeColor="text1"/>
                <w:spacing w:val="-11"/>
                <w:sz w:val="21"/>
                <w:szCs w:val="21"/>
                <w:lang w:eastAsia="zh-CN"/>
                <w14:textFill>
                  <w14:solidFill>
                    <w14:schemeClr w14:val="tx1"/>
                  </w14:solidFill>
                </w14:textFill>
              </w:rPr>
            </w:pPr>
            <w:r>
              <w:rPr>
                <w:rFonts w:hint="eastAsia"/>
                <w:color w:val="000000" w:themeColor="text1"/>
                <w:spacing w:val="-11"/>
                <w:sz w:val="21"/>
                <w:szCs w:val="21"/>
                <w:lang w:eastAsia="zh-CN"/>
                <w14:textFill>
                  <w14:solidFill>
                    <w14:schemeClr w14:val="tx1"/>
                  </w14:solidFill>
                </w14:textFill>
              </w:rPr>
              <w:t>9.735</w:t>
            </w:r>
          </w:p>
        </w:tc>
        <w:tc>
          <w:tcPr>
            <w:tcW w:w="1590" w:type="dxa"/>
            <w:vAlign w:val="center"/>
          </w:tcPr>
          <w:p w14:paraId="2B45DE21">
            <w:pPr>
              <w:pStyle w:val="53"/>
              <w:spacing w:beforeLines="0" w:afterLines="0" w:line="320" w:lineRule="exact"/>
              <w:rPr>
                <w:color w:val="000000" w:themeColor="text1"/>
                <w:spacing w:val="-1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8.479</w:t>
            </w:r>
          </w:p>
        </w:tc>
        <w:tc>
          <w:tcPr>
            <w:tcW w:w="1995" w:type="dxa"/>
            <w:vAlign w:val="center"/>
          </w:tcPr>
          <w:p w14:paraId="32675581">
            <w:pPr>
              <w:spacing w:line="320" w:lineRule="exact"/>
              <w:jc w:val="center"/>
              <w:rPr>
                <w:rFonts w:hint="eastAsia" w:eastAsia="宋体"/>
                <w:color w:val="000000" w:themeColor="text1"/>
                <w:spacing w:val="-11"/>
                <w:sz w:val="21"/>
                <w:szCs w:val="21"/>
                <w:lang w:eastAsia="zh-CN"/>
                <w14:textFill>
                  <w14:solidFill>
                    <w14:schemeClr w14:val="tx1"/>
                  </w14:solidFill>
                </w14:textFill>
              </w:rPr>
            </w:pPr>
            <w:r>
              <w:rPr>
                <w:rFonts w:hint="eastAsia"/>
                <w:color w:val="000000" w:themeColor="text1"/>
                <w:spacing w:val="-11"/>
                <w:sz w:val="21"/>
                <w:szCs w:val="21"/>
                <w:lang w:eastAsia="zh-CN"/>
                <w14:textFill>
                  <w14:solidFill>
                    <w14:schemeClr w14:val="tx1"/>
                  </w14:solidFill>
                </w14:textFill>
              </w:rPr>
              <w:t>9.735</w:t>
            </w:r>
          </w:p>
        </w:tc>
        <w:tc>
          <w:tcPr>
            <w:tcW w:w="1149" w:type="dxa"/>
            <w:vAlign w:val="center"/>
          </w:tcPr>
          <w:p w14:paraId="41481493">
            <w:pPr>
              <w:spacing w:line="320" w:lineRule="exact"/>
              <w:jc w:val="center"/>
              <w:rPr>
                <w:rFonts w:hint="default" w:eastAsia="宋体"/>
                <w:color w:val="000000" w:themeColor="text1"/>
                <w:spacing w:val="-11"/>
                <w:sz w:val="21"/>
                <w:szCs w:val="21"/>
                <w:lang w:val="en-US" w:eastAsia="zh-CN"/>
                <w14:textFill>
                  <w14:solidFill>
                    <w14:schemeClr w14:val="tx1"/>
                  </w14:solidFill>
                </w14:textFill>
              </w:rPr>
            </w:pPr>
            <w:r>
              <w:rPr>
                <w:rFonts w:hint="eastAsia"/>
                <w:color w:val="000000" w:themeColor="text1"/>
                <w:spacing w:val="-11"/>
                <w:sz w:val="21"/>
                <w:szCs w:val="21"/>
                <w14:textFill>
                  <w14:solidFill>
                    <w14:schemeClr w14:val="tx1"/>
                  </w14:solidFill>
                </w14:textFill>
              </w:rPr>
              <w:t>+</w:t>
            </w:r>
            <w:r>
              <w:rPr>
                <w:rFonts w:hint="eastAsia"/>
                <w:color w:val="000000" w:themeColor="text1"/>
                <w:spacing w:val="-11"/>
                <w:sz w:val="21"/>
                <w:szCs w:val="21"/>
                <w:lang w:val="en-US" w:eastAsia="zh-CN"/>
                <w14:textFill>
                  <w14:solidFill>
                    <w14:schemeClr w14:val="tx1"/>
                  </w14:solidFill>
                </w14:textFill>
              </w:rPr>
              <w:t>1.256</w:t>
            </w:r>
          </w:p>
        </w:tc>
      </w:tr>
    </w:tbl>
    <w:p w14:paraId="45A27BC1">
      <w:pPr>
        <w:pStyle w:val="53"/>
        <w:spacing w:beforeLines="0" w:afterLines="0" w:line="240" w:lineRule="auto"/>
        <w:jc w:val="lef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注：</w:t>
      </w:r>
      <w:r>
        <w:rPr>
          <w:rFonts w:ascii="Times New Roman"/>
          <w:color w:val="000000" w:themeColor="text1"/>
          <w:szCs w:val="21"/>
          <w14:textFill>
            <w14:solidFill>
              <w14:schemeClr w14:val="tx1"/>
            </w14:solidFill>
          </w14:textFill>
        </w:rPr>
        <w:fldChar w:fldCharType="begin"/>
      </w:r>
      <w:r>
        <w:rPr>
          <w:rFonts w:ascii="Times New Roman"/>
          <w:color w:val="000000" w:themeColor="text1"/>
          <w:szCs w:val="21"/>
          <w14:textFill>
            <w14:solidFill>
              <w14:schemeClr w14:val="tx1"/>
            </w14:solidFill>
          </w14:textFill>
        </w:rPr>
        <w:instrText xml:space="preserve"> = 6 \* GB3 \* MERGEFORMAT </w:instrText>
      </w:r>
      <w:r>
        <w:rPr>
          <w:rFonts w:ascii="Times New Roman"/>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color w:val="000000" w:themeColor="text1"/>
          <w:szCs w:val="21"/>
          <w14:textFill>
            <w14:solidFill>
              <w14:schemeClr w14:val="tx1"/>
            </w14:solidFill>
          </w14:textFill>
        </w:rPr>
        <w:fldChar w:fldCharType="end"/>
      </w:r>
      <w:r>
        <w:rPr>
          <w:rFonts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fldChar w:fldCharType="begin"/>
      </w:r>
      <w:r>
        <w:rPr>
          <w:rFonts w:ascii="Times New Roman"/>
          <w:color w:val="000000" w:themeColor="text1"/>
          <w:szCs w:val="21"/>
          <w14:textFill>
            <w14:solidFill>
              <w14:schemeClr w14:val="tx1"/>
            </w14:solidFill>
          </w14:textFill>
        </w:rPr>
        <w:instrText xml:space="preserve"> = 1 \* GB3 \* MERGEFORMAT </w:instrText>
      </w:r>
      <w:r>
        <w:rPr>
          <w:rFonts w:ascii="Times New Roman"/>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color w:val="000000" w:themeColor="text1"/>
          <w:szCs w:val="21"/>
          <w14:textFill>
            <w14:solidFill>
              <w14:schemeClr w14:val="tx1"/>
            </w14:solidFill>
          </w14:textFill>
        </w:rPr>
        <w:fldChar w:fldCharType="end"/>
      </w:r>
      <w:r>
        <w:rPr>
          <w:rFonts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fldChar w:fldCharType="begin"/>
      </w:r>
      <w:r>
        <w:rPr>
          <w:rFonts w:ascii="Times New Roman"/>
          <w:color w:val="000000" w:themeColor="text1"/>
          <w:szCs w:val="21"/>
          <w14:textFill>
            <w14:solidFill>
              <w14:schemeClr w14:val="tx1"/>
            </w14:solidFill>
          </w14:textFill>
        </w:rPr>
        <w:instrText xml:space="preserve"> = 3 \* GB3 \* MERGEFORMAT </w:instrText>
      </w:r>
      <w:r>
        <w:rPr>
          <w:rFonts w:ascii="Times New Roman"/>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③</w:t>
      </w:r>
      <w:r>
        <w:rPr>
          <w:rFonts w:ascii="Times New Roman"/>
          <w:color w:val="000000" w:themeColor="text1"/>
          <w:szCs w:val="21"/>
          <w14:textFill>
            <w14:solidFill>
              <w14:schemeClr w14:val="tx1"/>
            </w14:solidFill>
          </w14:textFill>
        </w:rPr>
        <w:fldChar w:fldCharType="end"/>
      </w:r>
      <w:r>
        <w:rPr>
          <w:rFonts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fldChar w:fldCharType="begin"/>
      </w:r>
      <w:r>
        <w:rPr>
          <w:rFonts w:ascii="Times New Roman"/>
          <w:color w:val="000000" w:themeColor="text1"/>
          <w:szCs w:val="21"/>
          <w14:textFill>
            <w14:solidFill>
              <w14:schemeClr w14:val="tx1"/>
            </w14:solidFill>
          </w14:textFill>
        </w:rPr>
        <w:instrText xml:space="preserve"> = 4 \* GB3 \* MERGEFORMAT </w:instrText>
      </w:r>
      <w:r>
        <w:rPr>
          <w:rFonts w:ascii="Times New Roman"/>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④</w:t>
      </w:r>
      <w:r>
        <w:rPr>
          <w:rFonts w:ascii="Times New Roman"/>
          <w:color w:val="000000" w:themeColor="text1"/>
          <w:szCs w:val="21"/>
          <w14:textFill>
            <w14:solidFill>
              <w14:schemeClr w14:val="tx1"/>
            </w14:solidFill>
          </w14:textFill>
        </w:rPr>
        <w:fldChar w:fldCharType="end"/>
      </w:r>
      <w:r>
        <w:rPr>
          <w:rFonts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fldChar w:fldCharType="begin"/>
      </w:r>
      <w:r>
        <w:rPr>
          <w:rFonts w:ascii="Times New Roman"/>
          <w:color w:val="000000" w:themeColor="text1"/>
          <w:szCs w:val="21"/>
          <w14:textFill>
            <w14:solidFill>
              <w14:schemeClr w14:val="tx1"/>
            </w14:solidFill>
          </w14:textFill>
        </w:rPr>
        <w:instrText xml:space="preserve"> = 5 \* GB3 \* MERGEFORMAT </w:instrText>
      </w:r>
      <w:r>
        <w:rPr>
          <w:rFonts w:ascii="Times New Roman"/>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⑤</w:t>
      </w:r>
      <w:r>
        <w:rPr>
          <w:rFonts w:ascii="Times New Roman"/>
          <w:color w:val="000000" w:themeColor="text1"/>
          <w:szCs w:val="21"/>
          <w14:textFill>
            <w14:solidFill>
              <w14:schemeClr w14:val="tx1"/>
            </w14:solidFill>
          </w14:textFill>
        </w:rPr>
        <w:fldChar w:fldCharType="end"/>
      </w:r>
      <w:r>
        <w:rPr>
          <w:rFonts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fldChar w:fldCharType="begin"/>
      </w:r>
      <w:r>
        <w:rPr>
          <w:rFonts w:ascii="Times New Roman"/>
          <w:color w:val="000000" w:themeColor="text1"/>
          <w:szCs w:val="21"/>
          <w14:textFill>
            <w14:solidFill>
              <w14:schemeClr w14:val="tx1"/>
            </w14:solidFill>
          </w14:textFill>
        </w:rPr>
        <w:instrText xml:space="preserve"> = 7 \* GB3 \* MERGEFORMAT </w:instrText>
      </w:r>
      <w:r>
        <w:rPr>
          <w:rFonts w:ascii="Times New Roman"/>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⑦</w:t>
      </w:r>
      <w:r>
        <w:rPr>
          <w:rFonts w:ascii="Times New Roman"/>
          <w:color w:val="000000" w:themeColor="text1"/>
          <w:szCs w:val="21"/>
          <w14:textFill>
            <w14:solidFill>
              <w14:schemeClr w14:val="tx1"/>
            </w14:solidFill>
          </w14:textFill>
        </w:rPr>
        <w:fldChar w:fldCharType="end"/>
      </w:r>
      <w:r>
        <w:rPr>
          <w:rFonts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fldChar w:fldCharType="begin"/>
      </w:r>
      <w:r>
        <w:rPr>
          <w:rFonts w:ascii="Times New Roman"/>
          <w:color w:val="000000" w:themeColor="text1"/>
          <w:szCs w:val="21"/>
          <w14:textFill>
            <w14:solidFill>
              <w14:schemeClr w14:val="tx1"/>
            </w14:solidFill>
          </w14:textFill>
        </w:rPr>
        <w:instrText xml:space="preserve"> = 6 \* GB3 \* MERGEFORMAT </w:instrText>
      </w:r>
      <w:r>
        <w:rPr>
          <w:rFonts w:ascii="Times New Roman"/>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color w:val="000000" w:themeColor="text1"/>
          <w:szCs w:val="21"/>
          <w14:textFill>
            <w14:solidFill>
              <w14:schemeClr w14:val="tx1"/>
            </w14:solidFill>
          </w14:textFill>
        </w:rPr>
        <w:fldChar w:fldCharType="end"/>
      </w:r>
      <w:r>
        <w:rPr>
          <w:rFonts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fldChar w:fldCharType="begin"/>
      </w:r>
      <w:r>
        <w:rPr>
          <w:rFonts w:ascii="Times New Roman"/>
          <w:color w:val="000000" w:themeColor="text1"/>
          <w:szCs w:val="21"/>
          <w14:textFill>
            <w14:solidFill>
              <w14:schemeClr w14:val="tx1"/>
            </w14:solidFill>
          </w14:textFill>
        </w:rPr>
        <w:instrText xml:space="preserve"> = 1 \* GB3 \* MERGEFORMAT </w:instrText>
      </w:r>
      <w:r>
        <w:rPr>
          <w:rFonts w:ascii="Times New Roman"/>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color w:val="000000" w:themeColor="text1"/>
          <w:szCs w:val="21"/>
          <w14:textFill>
            <w14:solidFill>
              <w14:schemeClr w14:val="tx1"/>
            </w14:solidFill>
          </w14:textFill>
        </w:rPr>
        <w:fldChar w:fldCharType="end"/>
      </w:r>
      <w:r>
        <w:rPr>
          <w:rFonts w:ascii="Times New Roman"/>
          <w:color w:val="000000" w:themeColor="text1"/>
          <w:szCs w:val="21"/>
          <w14:textFill>
            <w14:solidFill>
              <w14:schemeClr w14:val="tx1"/>
            </w14:solidFill>
          </w14:textFill>
        </w:rPr>
        <w:t xml:space="preserve">     </w:t>
      </w:r>
    </w:p>
    <w:sectPr>
      <w:footerReference r:id="rId7"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F8DDC">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BF7A3">
    <w:pPr>
      <w:pStyle w:val="16"/>
      <w:framePr w:wrap="around" w:vAnchor="text" w:hAnchor="margin" w:xAlign="center" w:y="1"/>
      <w:rPr>
        <w:rStyle w:val="29"/>
      </w:rPr>
    </w:pPr>
    <w:r>
      <w:fldChar w:fldCharType="begin"/>
    </w:r>
    <w:r>
      <w:rPr>
        <w:rStyle w:val="29"/>
      </w:rPr>
      <w:instrText xml:space="preserve">PAGE  </w:instrText>
    </w:r>
    <w:r>
      <w:fldChar w:fldCharType="end"/>
    </w:r>
  </w:p>
  <w:p w14:paraId="6987F876">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5EEE5">
    <w:pPr>
      <w:pStyle w:val="1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C87D8">
    <w:pPr>
      <w:pStyle w:val="16"/>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EA893C">
                          <w:pPr>
                            <w:pStyle w:val="16"/>
                            <w:jc w:val="right"/>
                            <w:rPr>
                              <w:rStyle w:val="29"/>
                              <w:rFonts w:hint="eastAsia"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sz w:val="21"/>
                              <w:szCs w:val="21"/>
                            </w:rPr>
                            <w:fldChar w:fldCharType="begin"/>
                          </w:r>
                          <w:r>
                            <w:rPr>
                              <w:rStyle w:val="29"/>
                              <w:sz w:val="21"/>
                              <w:szCs w:val="21"/>
                            </w:rPr>
                            <w:instrText xml:space="preserve">PAGE  </w:instrText>
                          </w:r>
                          <w:r>
                            <w:rPr>
                              <w:sz w:val="21"/>
                              <w:szCs w:val="21"/>
                            </w:rPr>
                            <w:fldChar w:fldCharType="separate"/>
                          </w:r>
                          <w:r>
                            <w:rPr>
                              <w:rStyle w:val="29"/>
                              <w:sz w:val="21"/>
                              <w:szCs w:val="21"/>
                            </w:rPr>
                            <w:t>92</w:t>
                          </w:r>
                          <w:r>
                            <w:rPr>
                              <w:sz w:val="21"/>
                              <w:szCs w:val="21"/>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wrap="none" lIns="0" tIns="0" rIns="0" bIns="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BuM87hxgEAAJEDAAAOAAAAAAAAAAEAIAAAAB4BAABkcnMvZTJvRG9jLnht&#10;bFBLBQYAAAAABgAGAFkBAABWBQAAAAA=&#10;">
              <v:fill on="f" focussize="0,0"/>
              <v:stroke on="f"/>
              <v:imagedata o:title=""/>
              <o:lock v:ext="edit" aspectratio="f"/>
              <v:textbox inset="0mm,0mm,0mm,0mm" style="mso-fit-shape-to-text:t;">
                <w:txbxContent>
                  <w:p w14:paraId="22EA893C">
                    <w:pPr>
                      <w:pStyle w:val="16"/>
                      <w:jc w:val="right"/>
                      <w:rPr>
                        <w:rStyle w:val="29"/>
                        <w:rFonts w:hint="eastAsia"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sz w:val="21"/>
                        <w:szCs w:val="21"/>
                      </w:rPr>
                      <w:fldChar w:fldCharType="begin"/>
                    </w:r>
                    <w:r>
                      <w:rPr>
                        <w:rStyle w:val="29"/>
                        <w:sz w:val="21"/>
                        <w:szCs w:val="21"/>
                      </w:rPr>
                      <w:instrText xml:space="preserve">PAGE  </w:instrText>
                    </w:r>
                    <w:r>
                      <w:rPr>
                        <w:sz w:val="21"/>
                        <w:szCs w:val="21"/>
                      </w:rPr>
                      <w:fldChar w:fldCharType="separate"/>
                    </w:r>
                    <w:r>
                      <w:rPr>
                        <w:rStyle w:val="29"/>
                        <w:sz w:val="21"/>
                        <w:szCs w:val="21"/>
                      </w:rPr>
                      <w:t>92</w:t>
                    </w:r>
                    <w:r>
                      <w:rPr>
                        <w:sz w:val="21"/>
                        <w:szCs w:val="21"/>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AF91B">
    <w:pPr>
      <w:pStyle w:val="16"/>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C58A62">
                          <w:pPr>
                            <w:pStyle w:val="16"/>
                            <w:rPr>
                              <w:rStyle w:val="29"/>
                              <w:rFonts w:hint="eastAsia"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sz w:val="21"/>
                              <w:szCs w:val="21"/>
                            </w:rPr>
                            <w:fldChar w:fldCharType="begin"/>
                          </w:r>
                          <w:r>
                            <w:rPr>
                              <w:rStyle w:val="29"/>
                              <w:sz w:val="21"/>
                              <w:szCs w:val="21"/>
                            </w:rPr>
                            <w:instrText xml:space="preserve">PAGE  </w:instrText>
                          </w:r>
                          <w:r>
                            <w:rPr>
                              <w:sz w:val="21"/>
                              <w:szCs w:val="21"/>
                            </w:rPr>
                            <w:fldChar w:fldCharType="separate"/>
                          </w:r>
                          <w:r>
                            <w:rPr>
                              <w:rStyle w:val="29"/>
                              <w:sz w:val="21"/>
                              <w:szCs w:val="21"/>
                            </w:rPr>
                            <w:t>153</w:t>
                          </w:r>
                          <w:r>
                            <w:rPr>
                              <w:sz w:val="21"/>
                              <w:szCs w:val="21"/>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wrap="none" lIns="0" tIns="0" rIns="0" bIns="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eV3fcUBAACR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lxS4rjFiV++f7v8+HX5+ZWs&#10;qlfLLFEfoMbMu4C5aXjrB1yc2Q/ozMwHFW3+IieCcRT4fBVYDomI/Gi9Wq8rDAmMzRfEZw/PQ4T0&#10;TnpLstHQiBMswvLTB0hj6pySqzl/q40pUzTuLwdiZg/LvY89ZisN+2EitPftGfn0OPyGOtx1Ssx7&#10;h9rmPZmNOBv7ycg1ILw5Jixc+smoI9RUDCdVGE1blVfhz3vJeviTt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IXld33FAQAAkQMAAA4AAAAAAAAAAQAgAAAAHgEAAGRycy9lMm9Eb2MueG1s&#10;UEsFBgAAAAAGAAYAWQEAAFUFAAAAAA==&#10;">
              <v:fill on="f" focussize="0,0"/>
              <v:stroke on="f"/>
              <v:imagedata o:title=""/>
              <o:lock v:ext="edit" aspectratio="f"/>
              <v:textbox inset="0mm,0mm,0mm,0mm" style="mso-fit-shape-to-text:t;">
                <w:txbxContent>
                  <w:p w14:paraId="72C58A62">
                    <w:pPr>
                      <w:pStyle w:val="16"/>
                      <w:rPr>
                        <w:rStyle w:val="29"/>
                        <w:rFonts w:hint="eastAsia"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sz w:val="21"/>
                        <w:szCs w:val="21"/>
                      </w:rPr>
                      <w:fldChar w:fldCharType="begin"/>
                    </w:r>
                    <w:r>
                      <w:rPr>
                        <w:rStyle w:val="29"/>
                        <w:sz w:val="21"/>
                        <w:szCs w:val="21"/>
                      </w:rPr>
                      <w:instrText xml:space="preserve">PAGE  </w:instrText>
                    </w:r>
                    <w:r>
                      <w:rPr>
                        <w:sz w:val="21"/>
                        <w:szCs w:val="21"/>
                      </w:rPr>
                      <w:fldChar w:fldCharType="separate"/>
                    </w:r>
                    <w:r>
                      <w:rPr>
                        <w:rStyle w:val="29"/>
                        <w:sz w:val="21"/>
                        <w:szCs w:val="21"/>
                      </w:rPr>
                      <w:t>153</w:t>
                    </w:r>
                    <w:r>
                      <w:rPr>
                        <w:sz w:val="21"/>
                        <w:szCs w:val="21"/>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A45553"/>
    <w:multiLevelType w:val="multilevel"/>
    <w:tmpl w:val="D4A45553"/>
    <w:lvl w:ilvl="0" w:tentative="0">
      <w:start w:val="1"/>
      <w:numFmt w:val="decimal"/>
      <w:suff w:val="space"/>
      <w:lvlText w:val="%1"/>
      <w:lvlJc w:val="left"/>
      <w:pPr>
        <w:tabs>
          <w:tab w:val="left" w:pos="0"/>
        </w:tabs>
        <w:ind w:left="567" w:hanging="567"/>
      </w:pPr>
      <w:rPr>
        <w:rFonts w:hint="default" w:ascii="宋体" w:hAnsi="宋体" w:eastAsia="宋体" w:cs="宋体"/>
        <w:b/>
        <w:i w:val="0"/>
        <w:sz w:val="36"/>
        <w:szCs w:val="36"/>
      </w:rPr>
    </w:lvl>
    <w:lvl w:ilvl="1" w:tentative="0">
      <w:start w:val="1"/>
      <w:numFmt w:val="decimal"/>
      <w:suff w:val="space"/>
      <w:lvlText w:val="%1.%2"/>
      <w:lvlJc w:val="left"/>
      <w:pPr>
        <w:tabs>
          <w:tab w:val="left" w:pos="0"/>
        </w:tabs>
        <w:ind w:left="567" w:hanging="567"/>
      </w:pPr>
      <w:rPr>
        <w:rFonts w:hint="default" w:ascii="Times New Roman" w:hAnsi="Times New Roman" w:eastAsia="宋体" w:cs="宋体"/>
        <w:b/>
        <w:i w:val="0"/>
        <w:sz w:val="32"/>
      </w:rPr>
    </w:lvl>
    <w:lvl w:ilvl="2" w:tentative="0">
      <w:start w:val="1"/>
      <w:numFmt w:val="decimal"/>
      <w:suff w:val="space"/>
      <w:lvlText w:val="%1.%2.%3"/>
      <w:lvlJc w:val="left"/>
      <w:pPr>
        <w:tabs>
          <w:tab w:val="left" w:pos="0"/>
        </w:tabs>
        <w:ind w:left="1047" w:hanging="567"/>
      </w:pPr>
      <w:rPr>
        <w:rFonts w:hint="default" w:ascii="Times New Roman" w:hAnsi="Times New Roman" w:eastAsia="宋体" w:cs="宋体"/>
        <w:b/>
        <w:bCs/>
        <w:i w:val="0"/>
        <w:sz w:val="30"/>
        <w:szCs w:val="24"/>
      </w:rPr>
    </w:lvl>
    <w:lvl w:ilvl="3" w:tentative="0">
      <w:start w:val="1"/>
      <w:numFmt w:val="decimal"/>
      <w:suff w:val="space"/>
      <w:lvlText w:val="%1.%2.%3.%4"/>
      <w:lvlJc w:val="left"/>
      <w:pPr>
        <w:tabs>
          <w:tab w:val="left" w:pos="0"/>
        </w:tabs>
        <w:ind w:left="1047" w:hanging="567"/>
      </w:pPr>
      <w:rPr>
        <w:rFonts w:hint="default" w:ascii="Times New Roman" w:hAnsi="Times New Roman" w:eastAsia="宋体" w:cs="宋体"/>
        <w:b/>
        <w:bCs/>
        <w:i w:val="0"/>
        <w:spacing w:val="0"/>
        <w:w w:val="100"/>
        <w:position w:val="0"/>
        <w:sz w:val="28"/>
        <w:szCs w:val="28"/>
        <w:vertAlign w:val="baseline"/>
      </w:rPr>
    </w:lvl>
    <w:lvl w:ilvl="4" w:tentative="0">
      <w:start w:val="1"/>
      <w:numFmt w:val="decimal"/>
      <w:lvlRestart w:val="2"/>
      <w:pStyle w:val="4"/>
      <w:suff w:val="space"/>
      <w:lvlText w:val="表%1.%2-%5"/>
      <w:lvlJc w:val="left"/>
      <w:pPr>
        <w:tabs>
          <w:tab w:val="left" w:pos="0"/>
        </w:tabs>
        <w:ind w:left="567" w:hanging="567"/>
      </w:pPr>
      <w:rPr>
        <w:rFonts w:hint="default" w:ascii="Times New Roman" w:hAnsi="Times New Roman" w:eastAsia="宋体" w:cs="宋体"/>
        <w:b/>
        <w:bCs/>
        <w:i w:val="0"/>
        <w:sz w:val="21"/>
        <w:szCs w:val="28"/>
        <w:vertAlign w:val="baseline"/>
      </w:rPr>
    </w:lvl>
    <w:lvl w:ilvl="5" w:tentative="0">
      <w:start w:val="1"/>
      <w:numFmt w:val="decimal"/>
      <w:lvlRestart w:val="2"/>
      <w:suff w:val="space"/>
      <w:lvlText w:val="图%1.%2-%6"/>
      <w:lvlJc w:val="left"/>
      <w:pPr>
        <w:tabs>
          <w:tab w:val="left" w:pos="0"/>
        </w:tabs>
        <w:ind w:left="567" w:hanging="567"/>
      </w:pPr>
      <w:rPr>
        <w:rFonts w:hint="default" w:ascii="Times New Roman" w:hAnsi="Times New Roman" w:eastAsia="宋体" w:cs="宋体"/>
        <w:b/>
        <w:sz w:val="21"/>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06E04630"/>
    <w:multiLevelType w:val="singleLevel"/>
    <w:tmpl w:val="06E04630"/>
    <w:lvl w:ilvl="0" w:tentative="0">
      <w:start w:val="2"/>
      <w:numFmt w:val="chineseCounting"/>
      <w:suff w:val="nothing"/>
      <w:lvlText w:val="%1、"/>
      <w:lvlJc w:val="left"/>
      <w:rPr>
        <w:rFonts w:hint="eastAsia"/>
      </w:rPr>
    </w:lvl>
  </w:abstractNum>
  <w:abstractNum w:abstractNumId="2">
    <w:nsid w:val="0D2E2BB0"/>
    <w:multiLevelType w:val="singleLevel"/>
    <w:tmpl w:val="0D2E2BB0"/>
    <w:lvl w:ilvl="0" w:tentative="0">
      <w:start w:val="1"/>
      <w:numFmt w:val="decimal"/>
      <w:suff w:val="nothing"/>
      <w:lvlText w:val="（%1）"/>
      <w:lvlJc w:val="left"/>
    </w:lvl>
  </w:abstractNum>
  <w:abstractNum w:abstractNumId="3">
    <w:nsid w:val="3C6D74DC"/>
    <w:multiLevelType w:val="multilevel"/>
    <w:tmpl w:val="3C6D74DC"/>
    <w:lvl w:ilvl="0" w:tentative="0">
      <w:start w:val="1"/>
      <w:numFmt w:val="decimal"/>
      <w:lvlText w:val="%1"/>
      <w:lvlJc w:val="left"/>
      <w:pPr>
        <w:tabs>
          <w:tab w:val="left" w:pos="432"/>
        </w:tabs>
        <w:ind w:left="432" w:hanging="432"/>
      </w:pPr>
      <w:rPr>
        <w:rFonts w:hint="default" w:ascii="Times New Roman" w:hAnsi="Times New Roman" w:cs="Times New Roman"/>
        <w:b w:val="0"/>
        <w:sz w:val="36"/>
        <w:szCs w:val="36"/>
      </w:rPr>
    </w:lvl>
    <w:lvl w:ilvl="1" w:tentative="0">
      <w:start w:val="1"/>
      <w:numFmt w:val="decimal"/>
      <w:lvlText w:val="%1.%2"/>
      <w:lvlJc w:val="left"/>
      <w:pPr>
        <w:tabs>
          <w:tab w:val="left" w:pos="576"/>
        </w:tabs>
        <w:ind w:left="576" w:hanging="576"/>
      </w:pPr>
      <w:rPr>
        <w:rFonts w:hint="default" w:ascii="Times New Roman" w:hAnsi="Times New Roman" w:cs="Times New Roman"/>
        <w:b w:val="0"/>
        <w:sz w:val="32"/>
        <w:szCs w:val="32"/>
      </w:rPr>
    </w:lvl>
    <w:lvl w:ilvl="2" w:tentative="0">
      <w:start w:val="1"/>
      <w:numFmt w:val="decimal"/>
      <w:pStyle w:val="3"/>
      <w:lvlText w:val="%1.%2.%3"/>
      <w:lvlJc w:val="left"/>
      <w:pPr>
        <w:tabs>
          <w:tab w:val="left" w:pos="1146"/>
        </w:tabs>
        <w:ind w:left="1146" w:hanging="720"/>
      </w:pPr>
      <w:rPr>
        <w:rFonts w:hint="default" w:ascii="Times New Roman" w:hAnsi="Times New Roman" w:cs="Times New Roman"/>
        <w:b w:val="0"/>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56F710A7"/>
    <w:multiLevelType w:val="singleLevel"/>
    <w:tmpl w:val="56F710A7"/>
    <w:lvl w:ilvl="0" w:tentative="0">
      <w:start w:val="1"/>
      <w:numFmt w:val="lowerLetter"/>
      <w:suff w:val="space"/>
      <w:lvlText w:val="%1."/>
      <w:lvlJc w:val="left"/>
    </w:lvl>
  </w:abstractNum>
  <w:abstractNum w:abstractNumId="5">
    <w:nsid w:val="7636A3FA"/>
    <w:multiLevelType w:val="multilevel"/>
    <w:tmpl w:val="7636A3FA"/>
    <w:lvl w:ilvl="0" w:tentative="0">
      <w:start w:val="1"/>
      <w:numFmt w:val="bullet"/>
      <w:pStyle w:val="9"/>
      <w:lvlText w:val=""/>
      <w:lvlJc w:val="left"/>
      <w:pPr>
        <w:tabs>
          <w:tab w:val="left" w:pos="2040"/>
        </w:tabs>
        <w:ind w:left="2040" w:hanging="360"/>
      </w:pPr>
      <w:rPr>
        <w:rFonts w:hint="default" w:ascii="Wingdings" w:hAnsi="Wingdings"/>
      </w:rPr>
    </w:lvl>
    <w:lvl w:ilvl="1" w:tentative="0">
      <w:start w:val="1"/>
      <w:numFmt w:val="decimal"/>
      <w:lvlText w:val=""/>
      <w:lvlJc w:val="left"/>
      <w:rPr>
        <w:rFonts w:hint="default"/>
        <w:u w:val="none"/>
      </w:rPr>
    </w:lvl>
    <w:lvl w:ilvl="2" w:tentative="0">
      <w:start w:val="1"/>
      <w:numFmt w:val="decimal"/>
      <w:lvlText w:val=""/>
      <w:lvlJc w:val="left"/>
      <w:rPr>
        <w:rFonts w:hint="default"/>
        <w:u w:val="none"/>
      </w:rPr>
    </w:lvl>
    <w:lvl w:ilvl="3" w:tentative="0">
      <w:start w:val="1"/>
      <w:numFmt w:val="decimal"/>
      <w:lvlText w:val=""/>
      <w:lvlJc w:val="left"/>
      <w:rPr>
        <w:rFonts w:hint="default"/>
        <w:u w:val="none"/>
      </w:rPr>
    </w:lvl>
    <w:lvl w:ilvl="4" w:tentative="0">
      <w:start w:val="1"/>
      <w:numFmt w:val="decimal"/>
      <w:lvlText w:val=""/>
      <w:lvlJc w:val="left"/>
      <w:rPr>
        <w:rFonts w:hint="default"/>
        <w:u w:val="none"/>
      </w:rPr>
    </w:lvl>
    <w:lvl w:ilvl="5" w:tentative="0">
      <w:start w:val="1"/>
      <w:numFmt w:val="decimal"/>
      <w:lvlText w:val=""/>
      <w:lvlJc w:val="left"/>
      <w:rPr>
        <w:rFonts w:hint="default"/>
        <w:u w:val="none"/>
      </w:rPr>
    </w:lvl>
    <w:lvl w:ilvl="6" w:tentative="0">
      <w:start w:val="1"/>
      <w:numFmt w:val="decimal"/>
      <w:lvlText w:val=""/>
      <w:lvlJc w:val="left"/>
      <w:rPr>
        <w:rFonts w:hint="default"/>
        <w:u w:val="none"/>
      </w:rPr>
    </w:lvl>
    <w:lvl w:ilvl="7" w:tentative="0">
      <w:start w:val="1"/>
      <w:numFmt w:val="decimal"/>
      <w:lvlText w:val=""/>
      <w:lvlJc w:val="left"/>
      <w:rPr>
        <w:rFonts w:hint="default"/>
        <w:u w:val="none"/>
      </w:rPr>
    </w:lvl>
    <w:lvl w:ilvl="8" w:tentative="0">
      <w:start w:val="1"/>
      <w:numFmt w:val="decimal"/>
      <w:lvlText w:val=""/>
      <w:lvlJc w:val="left"/>
      <w:rPr>
        <w:rFonts w:hint="default"/>
        <w:u w:val="none"/>
      </w:rPr>
    </w:lvl>
  </w:abstractNum>
  <w:abstractNum w:abstractNumId="6">
    <w:nsid w:val="7E57173C"/>
    <w:multiLevelType w:val="multilevel"/>
    <w:tmpl w:val="7E57173C"/>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5"/>
  </w:num>
  <w:num w:numId="4">
    <w:abstractNumId w:val="2"/>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Y5NzIzMDFlZjAyY2Q4Njk5ODkyYjFjNzBiNTQifQ=="/>
  </w:docVars>
  <w:rsids>
    <w:rsidRoot w:val="00172A27"/>
    <w:rsid w:val="000034B3"/>
    <w:rsid w:val="000036F6"/>
    <w:rsid w:val="000038C3"/>
    <w:rsid w:val="00003D37"/>
    <w:rsid w:val="000060B3"/>
    <w:rsid w:val="000062EB"/>
    <w:rsid w:val="000075F0"/>
    <w:rsid w:val="00007810"/>
    <w:rsid w:val="0000795F"/>
    <w:rsid w:val="00007D23"/>
    <w:rsid w:val="00010087"/>
    <w:rsid w:val="00010C9E"/>
    <w:rsid w:val="00012141"/>
    <w:rsid w:val="000125DA"/>
    <w:rsid w:val="00013A6E"/>
    <w:rsid w:val="00016065"/>
    <w:rsid w:val="000168A4"/>
    <w:rsid w:val="00016E07"/>
    <w:rsid w:val="0002396F"/>
    <w:rsid w:val="00031204"/>
    <w:rsid w:val="00033C21"/>
    <w:rsid w:val="000364FC"/>
    <w:rsid w:val="00036F7D"/>
    <w:rsid w:val="00042D0E"/>
    <w:rsid w:val="00042E36"/>
    <w:rsid w:val="000435FE"/>
    <w:rsid w:val="0004364B"/>
    <w:rsid w:val="000457F1"/>
    <w:rsid w:val="00045A72"/>
    <w:rsid w:val="00053D76"/>
    <w:rsid w:val="00054048"/>
    <w:rsid w:val="00055251"/>
    <w:rsid w:val="000566C3"/>
    <w:rsid w:val="00057188"/>
    <w:rsid w:val="000572F2"/>
    <w:rsid w:val="000577B9"/>
    <w:rsid w:val="000609FA"/>
    <w:rsid w:val="00060A1B"/>
    <w:rsid w:val="00061B1F"/>
    <w:rsid w:val="00061F0E"/>
    <w:rsid w:val="00062775"/>
    <w:rsid w:val="00062E18"/>
    <w:rsid w:val="00062E26"/>
    <w:rsid w:val="0006414F"/>
    <w:rsid w:val="00065A2C"/>
    <w:rsid w:val="00066107"/>
    <w:rsid w:val="000674E8"/>
    <w:rsid w:val="00067743"/>
    <w:rsid w:val="00070803"/>
    <w:rsid w:val="00070A92"/>
    <w:rsid w:val="00070B49"/>
    <w:rsid w:val="00070F07"/>
    <w:rsid w:val="000729CA"/>
    <w:rsid w:val="00072A54"/>
    <w:rsid w:val="000733C4"/>
    <w:rsid w:val="00074783"/>
    <w:rsid w:val="00075323"/>
    <w:rsid w:val="00075343"/>
    <w:rsid w:val="0008070B"/>
    <w:rsid w:val="000810AC"/>
    <w:rsid w:val="00081A02"/>
    <w:rsid w:val="00082231"/>
    <w:rsid w:val="00083E7A"/>
    <w:rsid w:val="00083F05"/>
    <w:rsid w:val="0008424C"/>
    <w:rsid w:val="000869CF"/>
    <w:rsid w:val="00087072"/>
    <w:rsid w:val="00090B0C"/>
    <w:rsid w:val="00091731"/>
    <w:rsid w:val="0009176D"/>
    <w:rsid w:val="00092D38"/>
    <w:rsid w:val="00093034"/>
    <w:rsid w:val="0009306D"/>
    <w:rsid w:val="0009377B"/>
    <w:rsid w:val="00093DA0"/>
    <w:rsid w:val="0009472F"/>
    <w:rsid w:val="0009496F"/>
    <w:rsid w:val="000949D9"/>
    <w:rsid w:val="0009517B"/>
    <w:rsid w:val="000966DA"/>
    <w:rsid w:val="00097503"/>
    <w:rsid w:val="000A209D"/>
    <w:rsid w:val="000A20C9"/>
    <w:rsid w:val="000A2D2C"/>
    <w:rsid w:val="000A34DC"/>
    <w:rsid w:val="000A3CD8"/>
    <w:rsid w:val="000A4E3B"/>
    <w:rsid w:val="000A66E1"/>
    <w:rsid w:val="000A6B0B"/>
    <w:rsid w:val="000A6DAB"/>
    <w:rsid w:val="000A6E8E"/>
    <w:rsid w:val="000A6F97"/>
    <w:rsid w:val="000A7BF1"/>
    <w:rsid w:val="000B01D4"/>
    <w:rsid w:val="000B058F"/>
    <w:rsid w:val="000B4112"/>
    <w:rsid w:val="000B4467"/>
    <w:rsid w:val="000B4DB9"/>
    <w:rsid w:val="000B64AC"/>
    <w:rsid w:val="000B7A0E"/>
    <w:rsid w:val="000C044C"/>
    <w:rsid w:val="000C09AC"/>
    <w:rsid w:val="000C4312"/>
    <w:rsid w:val="000C59DC"/>
    <w:rsid w:val="000C6698"/>
    <w:rsid w:val="000C6838"/>
    <w:rsid w:val="000C767F"/>
    <w:rsid w:val="000C7A79"/>
    <w:rsid w:val="000D0533"/>
    <w:rsid w:val="000D1AA3"/>
    <w:rsid w:val="000D2510"/>
    <w:rsid w:val="000D3EA6"/>
    <w:rsid w:val="000D4A47"/>
    <w:rsid w:val="000D52C8"/>
    <w:rsid w:val="000D5A44"/>
    <w:rsid w:val="000D5D26"/>
    <w:rsid w:val="000D5E8D"/>
    <w:rsid w:val="000D622B"/>
    <w:rsid w:val="000D6625"/>
    <w:rsid w:val="000D6777"/>
    <w:rsid w:val="000D6FC3"/>
    <w:rsid w:val="000E0269"/>
    <w:rsid w:val="000E142E"/>
    <w:rsid w:val="000E1C23"/>
    <w:rsid w:val="000E39F8"/>
    <w:rsid w:val="000E3ED2"/>
    <w:rsid w:val="000E581F"/>
    <w:rsid w:val="000E6121"/>
    <w:rsid w:val="000E696A"/>
    <w:rsid w:val="000E720E"/>
    <w:rsid w:val="000F185B"/>
    <w:rsid w:val="000F1BD6"/>
    <w:rsid w:val="000F205F"/>
    <w:rsid w:val="000F2200"/>
    <w:rsid w:val="000F28BE"/>
    <w:rsid w:val="000F3222"/>
    <w:rsid w:val="000F4AB5"/>
    <w:rsid w:val="000F6CC0"/>
    <w:rsid w:val="000F6D9B"/>
    <w:rsid w:val="000F7556"/>
    <w:rsid w:val="0010061C"/>
    <w:rsid w:val="00100FED"/>
    <w:rsid w:val="00105908"/>
    <w:rsid w:val="00105ADC"/>
    <w:rsid w:val="00105FC2"/>
    <w:rsid w:val="00107CD9"/>
    <w:rsid w:val="00110E95"/>
    <w:rsid w:val="0011125C"/>
    <w:rsid w:val="00112721"/>
    <w:rsid w:val="00114F0A"/>
    <w:rsid w:val="00115E28"/>
    <w:rsid w:val="00116887"/>
    <w:rsid w:val="00116F4B"/>
    <w:rsid w:val="00121D96"/>
    <w:rsid w:val="00122B04"/>
    <w:rsid w:val="00123540"/>
    <w:rsid w:val="00124D0C"/>
    <w:rsid w:val="00125C25"/>
    <w:rsid w:val="0012773F"/>
    <w:rsid w:val="00127789"/>
    <w:rsid w:val="00127ED6"/>
    <w:rsid w:val="00131F42"/>
    <w:rsid w:val="00132AB0"/>
    <w:rsid w:val="001357F1"/>
    <w:rsid w:val="001362AE"/>
    <w:rsid w:val="00137DBD"/>
    <w:rsid w:val="001404A5"/>
    <w:rsid w:val="00140FA8"/>
    <w:rsid w:val="00142013"/>
    <w:rsid w:val="00142033"/>
    <w:rsid w:val="00142FD8"/>
    <w:rsid w:val="00142FEB"/>
    <w:rsid w:val="00143A2D"/>
    <w:rsid w:val="00143B80"/>
    <w:rsid w:val="00145A41"/>
    <w:rsid w:val="00146468"/>
    <w:rsid w:val="0014745D"/>
    <w:rsid w:val="00151675"/>
    <w:rsid w:val="00151FE6"/>
    <w:rsid w:val="00152612"/>
    <w:rsid w:val="0015372E"/>
    <w:rsid w:val="001542A6"/>
    <w:rsid w:val="00154615"/>
    <w:rsid w:val="00155001"/>
    <w:rsid w:val="0015556D"/>
    <w:rsid w:val="00156B49"/>
    <w:rsid w:val="001572B9"/>
    <w:rsid w:val="00157435"/>
    <w:rsid w:val="00157CE9"/>
    <w:rsid w:val="0016013B"/>
    <w:rsid w:val="001611EF"/>
    <w:rsid w:val="00161B87"/>
    <w:rsid w:val="00163754"/>
    <w:rsid w:val="00163CD2"/>
    <w:rsid w:val="001656C1"/>
    <w:rsid w:val="001661FD"/>
    <w:rsid w:val="0016705A"/>
    <w:rsid w:val="00172A27"/>
    <w:rsid w:val="00173BBA"/>
    <w:rsid w:val="0017504D"/>
    <w:rsid w:val="001756C4"/>
    <w:rsid w:val="0017599E"/>
    <w:rsid w:val="00175ACB"/>
    <w:rsid w:val="00175B53"/>
    <w:rsid w:val="0017671A"/>
    <w:rsid w:val="001773AB"/>
    <w:rsid w:val="00177422"/>
    <w:rsid w:val="001776C9"/>
    <w:rsid w:val="00177DD9"/>
    <w:rsid w:val="001801B4"/>
    <w:rsid w:val="00180ABA"/>
    <w:rsid w:val="001815FF"/>
    <w:rsid w:val="00184590"/>
    <w:rsid w:val="001858BB"/>
    <w:rsid w:val="001859A7"/>
    <w:rsid w:val="001861D5"/>
    <w:rsid w:val="001870D1"/>
    <w:rsid w:val="0018781E"/>
    <w:rsid w:val="00190039"/>
    <w:rsid w:val="001904A4"/>
    <w:rsid w:val="00190A25"/>
    <w:rsid w:val="0019262D"/>
    <w:rsid w:val="00195240"/>
    <w:rsid w:val="0019584C"/>
    <w:rsid w:val="001958A6"/>
    <w:rsid w:val="001959F5"/>
    <w:rsid w:val="00195A92"/>
    <w:rsid w:val="001967A0"/>
    <w:rsid w:val="00196C02"/>
    <w:rsid w:val="00197FBF"/>
    <w:rsid w:val="001A1B35"/>
    <w:rsid w:val="001A28D6"/>
    <w:rsid w:val="001A3DE0"/>
    <w:rsid w:val="001A48A2"/>
    <w:rsid w:val="001A53F8"/>
    <w:rsid w:val="001A5A61"/>
    <w:rsid w:val="001A6F0A"/>
    <w:rsid w:val="001A6F61"/>
    <w:rsid w:val="001B10A1"/>
    <w:rsid w:val="001B1CEB"/>
    <w:rsid w:val="001B6485"/>
    <w:rsid w:val="001B72B8"/>
    <w:rsid w:val="001B764A"/>
    <w:rsid w:val="001C0C60"/>
    <w:rsid w:val="001C28B6"/>
    <w:rsid w:val="001C2A84"/>
    <w:rsid w:val="001C4CB6"/>
    <w:rsid w:val="001C4D5C"/>
    <w:rsid w:val="001C4F98"/>
    <w:rsid w:val="001C546E"/>
    <w:rsid w:val="001C69B3"/>
    <w:rsid w:val="001D0BB6"/>
    <w:rsid w:val="001D15B1"/>
    <w:rsid w:val="001D2556"/>
    <w:rsid w:val="001D2667"/>
    <w:rsid w:val="001D2E59"/>
    <w:rsid w:val="001D2FA2"/>
    <w:rsid w:val="001D3779"/>
    <w:rsid w:val="001D527C"/>
    <w:rsid w:val="001D5595"/>
    <w:rsid w:val="001D5B65"/>
    <w:rsid w:val="001D646C"/>
    <w:rsid w:val="001D7874"/>
    <w:rsid w:val="001D7F22"/>
    <w:rsid w:val="001E17BE"/>
    <w:rsid w:val="001E1CF6"/>
    <w:rsid w:val="001E2638"/>
    <w:rsid w:val="001E2E71"/>
    <w:rsid w:val="001E2F2E"/>
    <w:rsid w:val="001E304A"/>
    <w:rsid w:val="001E30C3"/>
    <w:rsid w:val="001E3A7C"/>
    <w:rsid w:val="001E64AF"/>
    <w:rsid w:val="001E6531"/>
    <w:rsid w:val="001E6F7E"/>
    <w:rsid w:val="001F0529"/>
    <w:rsid w:val="001F065B"/>
    <w:rsid w:val="001F0B99"/>
    <w:rsid w:val="001F0F17"/>
    <w:rsid w:val="001F19F8"/>
    <w:rsid w:val="001F3347"/>
    <w:rsid w:val="001F5557"/>
    <w:rsid w:val="001F65BE"/>
    <w:rsid w:val="001F6782"/>
    <w:rsid w:val="001F69E4"/>
    <w:rsid w:val="001F6C61"/>
    <w:rsid w:val="00202BA4"/>
    <w:rsid w:val="00202DB7"/>
    <w:rsid w:val="0020359E"/>
    <w:rsid w:val="00204159"/>
    <w:rsid w:val="00204649"/>
    <w:rsid w:val="00207077"/>
    <w:rsid w:val="00210C15"/>
    <w:rsid w:val="002120C3"/>
    <w:rsid w:val="002121E8"/>
    <w:rsid w:val="002125B4"/>
    <w:rsid w:val="002142D8"/>
    <w:rsid w:val="002149F0"/>
    <w:rsid w:val="002155B8"/>
    <w:rsid w:val="00215E0D"/>
    <w:rsid w:val="00215EC4"/>
    <w:rsid w:val="002165BA"/>
    <w:rsid w:val="00216E74"/>
    <w:rsid w:val="002170A0"/>
    <w:rsid w:val="0021712E"/>
    <w:rsid w:val="00217F8D"/>
    <w:rsid w:val="002202C9"/>
    <w:rsid w:val="002206E9"/>
    <w:rsid w:val="00220FF5"/>
    <w:rsid w:val="002219CF"/>
    <w:rsid w:val="00221FCB"/>
    <w:rsid w:val="00222969"/>
    <w:rsid w:val="0022370A"/>
    <w:rsid w:val="00223B95"/>
    <w:rsid w:val="0022428E"/>
    <w:rsid w:val="0022475E"/>
    <w:rsid w:val="00224839"/>
    <w:rsid w:val="00224947"/>
    <w:rsid w:val="002249A7"/>
    <w:rsid w:val="002249B2"/>
    <w:rsid w:val="00226574"/>
    <w:rsid w:val="002278EC"/>
    <w:rsid w:val="00231B96"/>
    <w:rsid w:val="00232144"/>
    <w:rsid w:val="0023280E"/>
    <w:rsid w:val="002333AE"/>
    <w:rsid w:val="00233839"/>
    <w:rsid w:val="00235052"/>
    <w:rsid w:val="00235DD0"/>
    <w:rsid w:val="00236038"/>
    <w:rsid w:val="0023672A"/>
    <w:rsid w:val="00236757"/>
    <w:rsid w:val="00237617"/>
    <w:rsid w:val="002377D1"/>
    <w:rsid w:val="00240237"/>
    <w:rsid w:val="00240DA9"/>
    <w:rsid w:val="002415C6"/>
    <w:rsid w:val="00242815"/>
    <w:rsid w:val="0024289C"/>
    <w:rsid w:val="002438E8"/>
    <w:rsid w:val="00244A39"/>
    <w:rsid w:val="00246D23"/>
    <w:rsid w:val="00246F44"/>
    <w:rsid w:val="0024763E"/>
    <w:rsid w:val="0024789F"/>
    <w:rsid w:val="00247996"/>
    <w:rsid w:val="002506BC"/>
    <w:rsid w:val="00250F82"/>
    <w:rsid w:val="00251145"/>
    <w:rsid w:val="00251C02"/>
    <w:rsid w:val="00254345"/>
    <w:rsid w:val="002543A2"/>
    <w:rsid w:val="00254561"/>
    <w:rsid w:val="00254DA3"/>
    <w:rsid w:val="002558BE"/>
    <w:rsid w:val="0025624E"/>
    <w:rsid w:val="00256A5B"/>
    <w:rsid w:val="00256F15"/>
    <w:rsid w:val="00257861"/>
    <w:rsid w:val="00257C4F"/>
    <w:rsid w:val="0026009A"/>
    <w:rsid w:val="00260FD0"/>
    <w:rsid w:val="00263E80"/>
    <w:rsid w:val="00264557"/>
    <w:rsid w:val="0026763A"/>
    <w:rsid w:val="00273446"/>
    <w:rsid w:val="00273C9C"/>
    <w:rsid w:val="0027433E"/>
    <w:rsid w:val="00275172"/>
    <w:rsid w:val="0027583A"/>
    <w:rsid w:val="0027749E"/>
    <w:rsid w:val="002801A8"/>
    <w:rsid w:val="002805AB"/>
    <w:rsid w:val="0028075A"/>
    <w:rsid w:val="002822C7"/>
    <w:rsid w:val="0028255A"/>
    <w:rsid w:val="00282700"/>
    <w:rsid w:val="00282A99"/>
    <w:rsid w:val="00283341"/>
    <w:rsid w:val="00283A23"/>
    <w:rsid w:val="00284204"/>
    <w:rsid w:val="00284B47"/>
    <w:rsid w:val="00285E75"/>
    <w:rsid w:val="00286D25"/>
    <w:rsid w:val="0028739A"/>
    <w:rsid w:val="0028743A"/>
    <w:rsid w:val="0028797D"/>
    <w:rsid w:val="002911CA"/>
    <w:rsid w:val="002913BC"/>
    <w:rsid w:val="00291773"/>
    <w:rsid w:val="002919C6"/>
    <w:rsid w:val="002935FC"/>
    <w:rsid w:val="0029765B"/>
    <w:rsid w:val="002A0B45"/>
    <w:rsid w:val="002A168C"/>
    <w:rsid w:val="002A24A2"/>
    <w:rsid w:val="002A3232"/>
    <w:rsid w:val="002A3C81"/>
    <w:rsid w:val="002A3DC7"/>
    <w:rsid w:val="002A5235"/>
    <w:rsid w:val="002A559F"/>
    <w:rsid w:val="002A61B8"/>
    <w:rsid w:val="002A6A4A"/>
    <w:rsid w:val="002A6BD0"/>
    <w:rsid w:val="002A70C6"/>
    <w:rsid w:val="002A73C5"/>
    <w:rsid w:val="002B0460"/>
    <w:rsid w:val="002B065A"/>
    <w:rsid w:val="002B0BBB"/>
    <w:rsid w:val="002B114D"/>
    <w:rsid w:val="002B11CB"/>
    <w:rsid w:val="002B366E"/>
    <w:rsid w:val="002B49E2"/>
    <w:rsid w:val="002B5D53"/>
    <w:rsid w:val="002B5E13"/>
    <w:rsid w:val="002B7477"/>
    <w:rsid w:val="002B7B00"/>
    <w:rsid w:val="002B7C44"/>
    <w:rsid w:val="002C0240"/>
    <w:rsid w:val="002C0783"/>
    <w:rsid w:val="002C0887"/>
    <w:rsid w:val="002C2AC5"/>
    <w:rsid w:val="002C2B17"/>
    <w:rsid w:val="002C3476"/>
    <w:rsid w:val="002C3C13"/>
    <w:rsid w:val="002C3CFA"/>
    <w:rsid w:val="002C49E0"/>
    <w:rsid w:val="002C4F10"/>
    <w:rsid w:val="002C4FE5"/>
    <w:rsid w:val="002C52B4"/>
    <w:rsid w:val="002C606C"/>
    <w:rsid w:val="002C6391"/>
    <w:rsid w:val="002C6A9E"/>
    <w:rsid w:val="002C779F"/>
    <w:rsid w:val="002C7FBC"/>
    <w:rsid w:val="002D1378"/>
    <w:rsid w:val="002D20E4"/>
    <w:rsid w:val="002D2581"/>
    <w:rsid w:val="002D3DD0"/>
    <w:rsid w:val="002D419B"/>
    <w:rsid w:val="002D428A"/>
    <w:rsid w:val="002D42A6"/>
    <w:rsid w:val="002D6530"/>
    <w:rsid w:val="002E00E8"/>
    <w:rsid w:val="002E1636"/>
    <w:rsid w:val="002E1AC0"/>
    <w:rsid w:val="002E1F3A"/>
    <w:rsid w:val="002E274D"/>
    <w:rsid w:val="002E298A"/>
    <w:rsid w:val="002E2C12"/>
    <w:rsid w:val="002E42BF"/>
    <w:rsid w:val="002E46A2"/>
    <w:rsid w:val="002E6FE6"/>
    <w:rsid w:val="002E72ED"/>
    <w:rsid w:val="002F01BB"/>
    <w:rsid w:val="002F0D26"/>
    <w:rsid w:val="002F0F3F"/>
    <w:rsid w:val="002F1881"/>
    <w:rsid w:val="002F18D9"/>
    <w:rsid w:val="002F2E25"/>
    <w:rsid w:val="002F356B"/>
    <w:rsid w:val="002F43D1"/>
    <w:rsid w:val="002F486B"/>
    <w:rsid w:val="002F62F7"/>
    <w:rsid w:val="002F77DE"/>
    <w:rsid w:val="00301978"/>
    <w:rsid w:val="00301999"/>
    <w:rsid w:val="00301DEB"/>
    <w:rsid w:val="0030329B"/>
    <w:rsid w:val="0030332C"/>
    <w:rsid w:val="00303713"/>
    <w:rsid w:val="003051C2"/>
    <w:rsid w:val="00305BCD"/>
    <w:rsid w:val="00305BE6"/>
    <w:rsid w:val="00306E3F"/>
    <w:rsid w:val="00306F5A"/>
    <w:rsid w:val="00307562"/>
    <w:rsid w:val="003079EC"/>
    <w:rsid w:val="00307AB7"/>
    <w:rsid w:val="00310A17"/>
    <w:rsid w:val="00310EA9"/>
    <w:rsid w:val="003111B8"/>
    <w:rsid w:val="00312296"/>
    <w:rsid w:val="00314F0E"/>
    <w:rsid w:val="003155BE"/>
    <w:rsid w:val="00316874"/>
    <w:rsid w:val="00316BFE"/>
    <w:rsid w:val="00316EAA"/>
    <w:rsid w:val="0031731E"/>
    <w:rsid w:val="003206F2"/>
    <w:rsid w:val="00321D8E"/>
    <w:rsid w:val="00322A36"/>
    <w:rsid w:val="00323B9A"/>
    <w:rsid w:val="00325928"/>
    <w:rsid w:val="0032713D"/>
    <w:rsid w:val="0032724D"/>
    <w:rsid w:val="00327F54"/>
    <w:rsid w:val="003312BE"/>
    <w:rsid w:val="003317ED"/>
    <w:rsid w:val="00331C09"/>
    <w:rsid w:val="00332863"/>
    <w:rsid w:val="00332FDF"/>
    <w:rsid w:val="00333367"/>
    <w:rsid w:val="00334405"/>
    <w:rsid w:val="003349B9"/>
    <w:rsid w:val="00334AA8"/>
    <w:rsid w:val="00334AE7"/>
    <w:rsid w:val="00334D11"/>
    <w:rsid w:val="0033557E"/>
    <w:rsid w:val="0033684D"/>
    <w:rsid w:val="00336DC2"/>
    <w:rsid w:val="00337754"/>
    <w:rsid w:val="00337B42"/>
    <w:rsid w:val="0034032A"/>
    <w:rsid w:val="00341A3C"/>
    <w:rsid w:val="00341B42"/>
    <w:rsid w:val="00342B35"/>
    <w:rsid w:val="0034348F"/>
    <w:rsid w:val="00343F68"/>
    <w:rsid w:val="003440EE"/>
    <w:rsid w:val="003467DD"/>
    <w:rsid w:val="00346F7A"/>
    <w:rsid w:val="00350E8A"/>
    <w:rsid w:val="003517FC"/>
    <w:rsid w:val="00352E2D"/>
    <w:rsid w:val="003537A9"/>
    <w:rsid w:val="00353EA4"/>
    <w:rsid w:val="003549E9"/>
    <w:rsid w:val="003555A0"/>
    <w:rsid w:val="00355DB4"/>
    <w:rsid w:val="00356653"/>
    <w:rsid w:val="00356C48"/>
    <w:rsid w:val="00356E42"/>
    <w:rsid w:val="0035743F"/>
    <w:rsid w:val="00357BE2"/>
    <w:rsid w:val="00361688"/>
    <w:rsid w:val="0036170C"/>
    <w:rsid w:val="00363FF9"/>
    <w:rsid w:val="00365482"/>
    <w:rsid w:val="003662F8"/>
    <w:rsid w:val="00366E0F"/>
    <w:rsid w:val="003675D6"/>
    <w:rsid w:val="00372F73"/>
    <w:rsid w:val="0037304C"/>
    <w:rsid w:val="00374D0E"/>
    <w:rsid w:val="00375110"/>
    <w:rsid w:val="003753D7"/>
    <w:rsid w:val="00375A69"/>
    <w:rsid w:val="00375D27"/>
    <w:rsid w:val="00380C1D"/>
    <w:rsid w:val="00381A72"/>
    <w:rsid w:val="00381CE0"/>
    <w:rsid w:val="003833C5"/>
    <w:rsid w:val="00383760"/>
    <w:rsid w:val="00383BA4"/>
    <w:rsid w:val="00384676"/>
    <w:rsid w:val="00384CDF"/>
    <w:rsid w:val="00384E37"/>
    <w:rsid w:val="0038500C"/>
    <w:rsid w:val="0038619D"/>
    <w:rsid w:val="003869F8"/>
    <w:rsid w:val="00387D6C"/>
    <w:rsid w:val="00390857"/>
    <w:rsid w:val="00392BBA"/>
    <w:rsid w:val="00393777"/>
    <w:rsid w:val="003943C6"/>
    <w:rsid w:val="003960F5"/>
    <w:rsid w:val="0039676D"/>
    <w:rsid w:val="003A0113"/>
    <w:rsid w:val="003A2BEA"/>
    <w:rsid w:val="003A2D2D"/>
    <w:rsid w:val="003A2E1D"/>
    <w:rsid w:val="003A3A19"/>
    <w:rsid w:val="003A4BF3"/>
    <w:rsid w:val="003A744E"/>
    <w:rsid w:val="003A7DAF"/>
    <w:rsid w:val="003B1011"/>
    <w:rsid w:val="003B14F8"/>
    <w:rsid w:val="003B292D"/>
    <w:rsid w:val="003B3922"/>
    <w:rsid w:val="003B420D"/>
    <w:rsid w:val="003B494D"/>
    <w:rsid w:val="003B56A3"/>
    <w:rsid w:val="003B5873"/>
    <w:rsid w:val="003B7795"/>
    <w:rsid w:val="003C28DE"/>
    <w:rsid w:val="003C3CB9"/>
    <w:rsid w:val="003C40D9"/>
    <w:rsid w:val="003C6C16"/>
    <w:rsid w:val="003C7465"/>
    <w:rsid w:val="003D0722"/>
    <w:rsid w:val="003D2AB6"/>
    <w:rsid w:val="003D3C5B"/>
    <w:rsid w:val="003D4503"/>
    <w:rsid w:val="003D4C0B"/>
    <w:rsid w:val="003D6278"/>
    <w:rsid w:val="003D656F"/>
    <w:rsid w:val="003D707E"/>
    <w:rsid w:val="003D7088"/>
    <w:rsid w:val="003D794D"/>
    <w:rsid w:val="003E1620"/>
    <w:rsid w:val="003E2BAF"/>
    <w:rsid w:val="003E3058"/>
    <w:rsid w:val="003E5045"/>
    <w:rsid w:val="003E57C2"/>
    <w:rsid w:val="003E66F7"/>
    <w:rsid w:val="003E76A9"/>
    <w:rsid w:val="003E7D26"/>
    <w:rsid w:val="003F0809"/>
    <w:rsid w:val="003F1EED"/>
    <w:rsid w:val="003F2955"/>
    <w:rsid w:val="003F6A8C"/>
    <w:rsid w:val="003F755C"/>
    <w:rsid w:val="003F7BF7"/>
    <w:rsid w:val="003F7C32"/>
    <w:rsid w:val="004009A1"/>
    <w:rsid w:val="00400A82"/>
    <w:rsid w:val="00400C27"/>
    <w:rsid w:val="004011A2"/>
    <w:rsid w:val="00402D4F"/>
    <w:rsid w:val="0040404E"/>
    <w:rsid w:val="00404536"/>
    <w:rsid w:val="00404651"/>
    <w:rsid w:val="0040632C"/>
    <w:rsid w:val="00406F01"/>
    <w:rsid w:val="004076B9"/>
    <w:rsid w:val="00411FD5"/>
    <w:rsid w:val="004123A0"/>
    <w:rsid w:val="00412731"/>
    <w:rsid w:val="00412F6C"/>
    <w:rsid w:val="00413109"/>
    <w:rsid w:val="0041478C"/>
    <w:rsid w:val="00414CFD"/>
    <w:rsid w:val="00416D50"/>
    <w:rsid w:val="00416FD5"/>
    <w:rsid w:val="00417375"/>
    <w:rsid w:val="00417772"/>
    <w:rsid w:val="004209D7"/>
    <w:rsid w:val="00420E6A"/>
    <w:rsid w:val="004218A0"/>
    <w:rsid w:val="004238E8"/>
    <w:rsid w:val="00423E88"/>
    <w:rsid w:val="00424014"/>
    <w:rsid w:val="00424E6E"/>
    <w:rsid w:val="00425520"/>
    <w:rsid w:val="00425A9E"/>
    <w:rsid w:val="00426D6B"/>
    <w:rsid w:val="00427803"/>
    <w:rsid w:val="00431E6C"/>
    <w:rsid w:val="00432D85"/>
    <w:rsid w:val="00433742"/>
    <w:rsid w:val="00433CE7"/>
    <w:rsid w:val="00434076"/>
    <w:rsid w:val="00434190"/>
    <w:rsid w:val="0043467E"/>
    <w:rsid w:val="00434695"/>
    <w:rsid w:val="0044195F"/>
    <w:rsid w:val="00442CCE"/>
    <w:rsid w:val="004440F1"/>
    <w:rsid w:val="0044681A"/>
    <w:rsid w:val="00446E88"/>
    <w:rsid w:val="00446FDD"/>
    <w:rsid w:val="0044701B"/>
    <w:rsid w:val="00451186"/>
    <w:rsid w:val="00452738"/>
    <w:rsid w:val="00452796"/>
    <w:rsid w:val="0045293E"/>
    <w:rsid w:val="0045295D"/>
    <w:rsid w:val="004529C9"/>
    <w:rsid w:val="00454329"/>
    <w:rsid w:val="00454A48"/>
    <w:rsid w:val="004557E0"/>
    <w:rsid w:val="00456091"/>
    <w:rsid w:val="00456614"/>
    <w:rsid w:val="00456E10"/>
    <w:rsid w:val="004603C7"/>
    <w:rsid w:val="00460A0C"/>
    <w:rsid w:val="00461CB7"/>
    <w:rsid w:val="0046393C"/>
    <w:rsid w:val="0046417F"/>
    <w:rsid w:val="0046484E"/>
    <w:rsid w:val="0046503F"/>
    <w:rsid w:val="0046548E"/>
    <w:rsid w:val="00465CB8"/>
    <w:rsid w:val="00466321"/>
    <w:rsid w:val="0046789B"/>
    <w:rsid w:val="00471241"/>
    <w:rsid w:val="00471DE8"/>
    <w:rsid w:val="00472595"/>
    <w:rsid w:val="00477A28"/>
    <w:rsid w:val="004809B4"/>
    <w:rsid w:val="00481B6A"/>
    <w:rsid w:val="0048345F"/>
    <w:rsid w:val="004834FA"/>
    <w:rsid w:val="00484B9B"/>
    <w:rsid w:val="004855F6"/>
    <w:rsid w:val="0048661E"/>
    <w:rsid w:val="00486B74"/>
    <w:rsid w:val="00486F36"/>
    <w:rsid w:val="00487897"/>
    <w:rsid w:val="004921AB"/>
    <w:rsid w:val="00493985"/>
    <w:rsid w:val="00493DE5"/>
    <w:rsid w:val="00493FB0"/>
    <w:rsid w:val="004942E6"/>
    <w:rsid w:val="00494670"/>
    <w:rsid w:val="00494B49"/>
    <w:rsid w:val="00495F0B"/>
    <w:rsid w:val="004A0309"/>
    <w:rsid w:val="004A0A07"/>
    <w:rsid w:val="004A107B"/>
    <w:rsid w:val="004A188A"/>
    <w:rsid w:val="004A1A2A"/>
    <w:rsid w:val="004A3386"/>
    <w:rsid w:val="004A3823"/>
    <w:rsid w:val="004A476F"/>
    <w:rsid w:val="004A4C46"/>
    <w:rsid w:val="004A4EFF"/>
    <w:rsid w:val="004A6A03"/>
    <w:rsid w:val="004B081C"/>
    <w:rsid w:val="004B0F4C"/>
    <w:rsid w:val="004B1279"/>
    <w:rsid w:val="004B213B"/>
    <w:rsid w:val="004B257B"/>
    <w:rsid w:val="004B2792"/>
    <w:rsid w:val="004B5A63"/>
    <w:rsid w:val="004B6EA6"/>
    <w:rsid w:val="004B7253"/>
    <w:rsid w:val="004C0AFA"/>
    <w:rsid w:val="004C0C26"/>
    <w:rsid w:val="004C3D33"/>
    <w:rsid w:val="004C5CC2"/>
    <w:rsid w:val="004C6F16"/>
    <w:rsid w:val="004C7A0B"/>
    <w:rsid w:val="004D1A42"/>
    <w:rsid w:val="004D1AEE"/>
    <w:rsid w:val="004D1FD0"/>
    <w:rsid w:val="004D275E"/>
    <w:rsid w:val="004D2F12"/>
    <w:rsid w:val="004D523C"/>
    <w:rsid w:val="004D75F1"/>
    <w:rsid w:val="004E054E"/>
    <w:rsid w:val="004E07B2"/>
    <w:rsid w:val="004E0E5F"/>
    <w:rsid w:val="004E1A5C"/>
    <w:rsid w:val="004E2281"/>
    <w:rsid w:val="004E2CDA"/>
    <w:rsid w:val="004E4B7D"/>
    <w:rsid w:val="004E58D6"/>
    <w:rsid w:val="004E65DB"/>
    <w:rsid w:val="004E668C"/>
    <w:rsid w:val="004E6897"/>
    <w:rsid w:val="004E6946"/>
    <w:rsid w:val="004E69E4"/>
    <w:rsid w:val="004E6A0F"/>
    <w:rsid w:val="004E70C4"/>
    <w:rsid w:val="004F1AD8"/>
    <w:rsid w:val="004F2575"/>
    <w:rsid w:val="004F26CF"/>
    <w:rsid w:val="004F297A"/>
    <w:rsid w:val="004F331C"/>
    <w:rsid w:val="004F37AD"/>
    <w:rsid w:val="004F4F09"/>
    <w:rsid w:val="004F50E8"/>
    <w:rsid w:val="004F69ED"/>
    <w:rsid w:val="00501DA0"/>
    <w:rsid w:val="005039CB"/>
    <w:rsid w:val="00503BD1"/>
    <w:rsid w:val="00504EDC"/>
    <w:rsid w:val="0050558F"/>
    <w:rsid w:val="00506286"/>
    <w:rsid w:val="00507200"/>
    <w:rsid w:val="00507B3F"/>
    <w:rsid w:val="00507D8D"/>
    <w:rsid w:val="00510813"/>
    <w:rsid w:val="00510B86"/>
    <w:rsid w:val="005110A3"/>
    <w:rsid w:val="00511990"/>
    <w:rsid w:val="00511DE0"/>
    <w:rsid w:val="005121E0"/>
    <w:rsid w:val="005139D3"/>
    <w:rsid w:val="005145B4"/>
    <w:rsid w:val="00514870"/>
    <w:rsid w:val="00514B9B"/>
    <w:rsid w:val="00517F02"/>
    <w:rsid w:val="00517F73"/>
    <w:rsid w:val="00520215"/>
    <w:rsid w:val="005221C2"/>
    <w:rsid w:val="00523BBF"/>
    <w:rsid w:val="00524303"/>
    <w:rsid w:val="005258A2"/>
    <w:rsid w:val="005275D3"/>
    <w:rsid w:val="00527DCB"/>
    <w:rsid w:val="00527F1E"/>
    <w:rsid w:val="00533868"/>
    <w:rsid w:val="00534907"/>
    <w:rsid w:val="00534917"/>
    <w:rsid w:val="00534E8F"/>
    <w:rsid w:val="00536B26"/>
    <w:rsid w:val="00537EF3"/>
    <w:rsid w:val="005401AE"/>
    <w:rsid w:val="00542BC5"/>
    <w:rsid w:val="00542E07"/>
    <w:rsid w:val="00544194"/>
    <w:rsid w:val="005451DD"/>
    <w:rsid w:val="00545424"/>
    <w:rsid w:val="00545B5F"/>
    <w:rsid w:val="005464A0"/>
    <w:rsid w:val="0054683C"/>
    <w:rsid w:val="00546E4F"/>
    <w:rsid w:val="00547B8F"/>
    <w:rsid w:val="005503EA"/>
    <w:rsid w:val="00550841"/>
    <w:rsid w:val="00551224"/>
    <w:rsid w:val="00554A4F"/>
    <w:rsid w:val="00554A7B"/>
    <w:rsid w:val="00554EDF"/>
    <w:rsid w:val="0055572C"/>
    <w:rsid w:val="0056106A"/>
    <w:rsid w:val="005636AA"/>
    <w:rsid w:val="00564203"/>
    <w:rsid w:val="005647FA"/>
    <w:rsid w:val="00564A6C"/>
    <w:rsid w:val="005657F0"/>
    <w:rsid w:val="0056592E"/>
    <w:rsid w:val="00567064"/>
    <w:rsid w:val="00567AA7"/>
    <w:rsid w:val="00571A78"/>
    <w:rsid w:val="005720AE"/>
    <w:rsid w:val="005735E2"/>
    <w:rsid w:val="00573CA6"/>
    <w:rsid w:val="00573CBE"/>
    <w:rsid w:val="005745D2"/>
    <w:rsid w:val="005756C5"/>
    <w:rsid w:val="005758A8"/>
    <w:rsid w:val="00576298"/>
    <w:rsid w:val="00576C6F"/>
    <w:rsid w:val="00577517"/>
    <w:rsid w:val="00577973"/>
    <w:rsid w:val="00577A6E"/>
    <w:rsid w:val="00583099"/>
    <w:rsid w:val="005838C0"/>
    <w:rsid w:val="0058559A"/>
    <w:rsid w:val="00585693"/>
    <w:rsid w:val="00586048"/>
    <w:rsid w:val="00586AA8"/>
    <w:rsid w:val="00587E05"/>
    <w:rsid w:val="00590692"/>
    <w:rsid w:val="005930BF"/>
    <w:rsid w:val="00594D77"/>
    <w:rsid w:val="00595735"/>
    <w:rsid w:val="00595FBF"/>
    <w:rsid w:val="005969E4"/>
    <w:rsid w:val="00597129"/>
    <w:rsid w:val="005A0223"/>
    <w:rsid w:val="005A04CF"/>
    <w:rsid w:val="005A06B7"/>
    <w:rsid w:val="005A161F"/>
    <w:rsid w:val="005A1759"/>
    <w:rsid w:val="005A2860"/>
    <w:rsid w:val="005A43A4"/>
    <w:rsid w:val="005A4549"/>
    <w:rsid w:val="005A4BB7"/>
    <w:rsid w:val="005A68A7"/>
    <w:rsid w:val="005A759C"/>
    <w:rsid w:val="005A79FC"/>
    <w:rsid w:val="005A7D5D"/>
    <w:rsid w:val="005A7DF8"/>
    <w:rsid w:val="005B1BA0"/>
    <w:rsid w:val="005B261D"/>
    <w:rsid w:val="005B3F39"/>
    <w:rsid w:val="005B792A"/>
    <w:rsid w:val="005C27CA"/>
    <w:rsid w:val="005C37A3"/>
    <w:rsid w:val="005C3E4A"/>
    <w:rsid w:val="005C4C78"/>
    <w:rsid w:val="005C61EE"/>
    <w:rsid w:val="005C626E"/>
    <w:rsid w:val="005D11E8"/>
    <w:rsid w:val="005D12E2"/>
    <w:rsid w:val="005D1301"/>
    <w:rsid w:val="005D1BAA"/>
    <w:rsid w:val="005D3138"/>
    <w:rsid w:val="005D36AB"/>
    <w:rsid w:val="005D3BD9"/>
    <w:rsid w:val="005D3EA1"/>
    <w:rsid w:val="005D444C"/>
    <w:rsid w:val="005D4E46"/>
    <w:rsid w:val="005E03BD"/>
    <w:rsid w:val="005E2FCE"/>
    <w:rsid w:val="005E3439"/>
    <w:rsid w:val="005E61C4"/>
    <w:rsid w:val="005E67D2"/>
    <w:rsid w:val="005F026B"/>
    <w:rsid w:val="005F099F"/>
    <w:rsid w:val="005F1020"/>
    <w:rsid w:val="005F20E8"/>
    <w:rsid w:val="005F2A16"/>
    <w:rsid w:val="005F3D9E"/>
    <w:rsid w:val="005F433A"/>
    <w:rsid w:val="005F592D"/>
    <w:rsid w:val="005F5C12"/>
    <w:rsid w:val="005F6011"/>
    <w:rsid w:val="005F6209"/>
    <w:rsid w:val="005F657B"/>
    <w:rsid w:val="005F771E"/>
    <w:rsid w:val="005F7E94"/>
    <w:rsid w:val="006007D9"/>
    <w:rsid w:val="00602224"/>
    <w:rsid w:val="00602A4C"/>
    <w:rsid w:val="00604974"/>
    <w:rsid w:val="00604E99"/>
    <w:rsid w:val="00606F26"/>
    <w:rsid w:val="00607E40"/>
    <w:rsid w:val="00610DD1"/>
    <w:rsid w:val="00610E71"/>
    <w:rsid w:val="00611841"/>
    <w:rsid w:val="0061355B"/>
    <w:rsid w:val="00613DD6"/>
    <w:rsid w:val="00615A0B"/>
    <w:rsid w:val="0061654A"/>
    <w:rsid w:val="00616FA0"/>
    <w:rsid w:val="006176F1"/>
    <w:rsid w:val="00617AC3"/>
    <w:rsid w:val="00617CC3"/>
    <w:rsid w:val="00617FC8"/>
    <w:rsid w:val="00620B7E"/>
    <w:rsid w:val="00622EE8"/>
    <w:rsid w:val="0062631C"/>
    <w:rsid w:val="0062645C"/>
    <w:rsid w:val="0062660E"/>
    <w:rsid w:val="00627A3E"/>
    <w:rsid w:val="00627BB5"/>
    <w:rsid w:val="0063034B"/>
    <w:rsid w:val="00630514"/>
    <w:rsid w:val="00630F8E"/>
    <w:rsid w:val="006313C6"/>
    <w:rsid w:val="00633AC5"/>
    <w:rsid w:val="00634A71"/>
    <w:rsid w:val="00634BF1"/>
    <w:rsid w:val="00636BE8"/>
    <w:rsid w:val="006377A6"/>
    <w:rsid w:val="00637A3D"/>
    <w:rsid w:val="00637DBA"/>
    <w:rsid w:val="006411EF"/>
    <w:rsid w:val="006413FA"/>
    <w:rsid w:val="00642161"/>
    <w:rsid w:val="00643BFB"/>
    <w:rsid w:val="00644917"/>
    <w:rsid w:val="00644F38"/>
    <w:rsid w:val="00647476"/>
    <w:rsid w:val="00651B1F"/>
    <w:rsid w:val="00652B8C"/>
    <w:rsid w:val="00652D46"/>
    <w:rsid w:val="006537F3"/>
    <w:rsid w:val="00654462"/>
    <w:rsid w:val="00654E06"/>
    <w:rsid w:val="00655E05"/>
    <w:rsid w:val="006577CD"/>
    <w:rsid w:val="00660DB2"/>
    <w:rsid w:val="006630C4"/>
    <w:rsid w:val="00663160"/>
    <w:rsid w:val="00667D75"/>
    <w:rsid w:val="006730B5"/>
    <w:rsid w:val="006734AE"/>
    <w:rsid w:val="00673650"/>
    <w:rsid w:val="00673E46"/>
    <w:rsid w:val="006748B8"/>
    <w:rsid w:val="0067545D"/>
    <w:rsid w:val="0067602D"/>
    <w:rsid w:val="00676A96"/>
    <w:rsid w:val="00676DC3"/>
    <w:rsid w:val="006775C3"/>
    <w:rsid w:val="00682722"/>
    <w:rsid w:val="00682EAD"/>
    <w:rsid w:val="006833DF"/>
    <w:rsid w:val="00684418"/>
    <w:rsid w:val="00684762"/>
    <w:rsid w:val="00684793"/>
    <w:rsid w:val="0068541D"/>
    <w:rsid w:val="006859C7"/>
    <w:rsid w:val="00686AA9"/>
    <w:rsid w:val="00687FD6"/>
    <w:rsid w:val="0069095B"/>
    <w:rsid w:val="0069097F"/>
    <w:rsid w:val="00690ABA"/>
    <w:rsid w:val="00692243"/>
    <w:rsid w:val="0069255E"/>
    <w:rsid w:val="00692852"/>
    <w:rsid w:val="0069290A"/>
    <w:rsid w:val="0069328C"/>
    <w:rsid w:val="00694F90"/>
    <w:rsid w:val="00695FBA"/>
    <w:rsid w:val="006965E4"/>
    <w:rsid w:val="006965EA"/>
    <w:rsid w:val="00697207"/>
    <w:rsid w:val="006974BE"/>
    <w:rsid w:val="0069775A"/>
    <w:rsid w:val="00697813"/>
    <w:rsid w:val="006A0918"/>
    <w:rsid w:val="006A0A65"/>
    <w:rsid w:val="006A190E"/>
    <w:rsid w:val="006A35DE"/>
    <w:rsid w:val="006A3EE8"/>
    <w:rsid w:val="006A4B1D"/>
    <w:rsid w:val="006A4C8A"/>
    <w:rsid w:val="006A5EE2"/>
    <w:rsid w:val="006A6477"/>
    <w:rsid w:val="006A72BF"/>
    <w:rsid w:val="006A72FB"/>
    <w:rsid w:val="006B03F2"/>
    <w:rsid w:val="006B3212"/>
    <w:rsid w:val="006B37DC"/>
    <w:rsid w:val="006B48D9"/>
    <w:rsid w:val="006B4A55"/>
    <w:rsid w:val="006B4F68"/>
    <w:rsid w:val="006B5851"/>
    <w:rsid w:val="006B6420"/>
    <w:rsid w:val="006C0592"/>
    <w:rsid w:val="006C0CEA"/>
    <w:rsid w:val="006C1F8C"/>
    <w:rsid w:val="006C22DB"/>
    <w:rsid w:val="006C272E"/>
    <w:rsid w:val="006C366D"/>
    <w:rsid w:val="006C5479"/>
    <w:rsid w:val="006C67F0"/>
    <w:rsid w:val="006C6EC1"/>
    <w:rsid w:val="006C7093"/>
    <w:rsid w:val="006D0A9A"/>
    <w:rsid w:val="006D11DE"/>
    <w:rsid w:val="006D13B5"/>
    <w:rsid w:val="006D2CA5"/>
    <w:rsid w:val="006D36C7"/>
    <w:rsid w:val="006D4C3E"/>
    <w:rsid w:val="006D5054"/>
    <w:rsid w:val="006D533B"/>
    <w:rsid w:val="006D550E"/>
    <w:rsid w:val="006D5A86"/>
    <w:rsid w:val="006D7597"/>
    <w:rsid w:val="006D7C61"/>
    <w:rsid w:val="006E02D9"/>
    <w:rsid w:val="006E0E10"/>
    <w:rsid w:val="006E12FF"/>
    <w:rsid w:val="006E1640"/>
    <w:rsid w:val="006E1E82"/>
    <w:rsid w:val="006E1F38"/>
    <w:rsid w:val="006E24F8"/>
    <w:rsid w:val="006E31CE"/>
    <w:rsid w:val="006E322F"/>
    <w:rsid w:val="006E3241"/>
    <w:rsid w:val="006E3E30"/>
    <w:rsid w:val="006E579F"/>
    <w:rsid w:val="006E58D2"/>
    <w:rsid w:val="006E5C03"/>
    <w:rsid w:val="006E607E"/>
    <w:rsid w:val="006E6703"/>
    <w:rsid w:val="006F0782"/>
    <w:rsid w:val="006F2230"/>
    <w:rsid w:val="006F2A46"/>
    <w:rsid w:val="006F39D4"/>
    <w:rsid w:val="006F59CB"/>
    <w:rsid w:val="006F6842"/>
    <w:rsid w:val="006F71FD"/>
    <w:rsid w:val="006F7AFE"/>
    <w:rsid w:val="00701DDB"/>
    <w:rsid w:val="0070229B"/>
    <w:rsid w:val="00702ACE"/>
    <w:rsid w:val="00702C60"/>
    <w:rsid w:val="00704A16"/>
    <w:rsid w:val="00704C4C"/>
    <w:rsid w:val="00706C5D"/>
    <w:rsid w:val="0070746A"/>
    <w:rsid w:val="00710656"/>
    <w:rsid w:val="00710B33"/>
    <w:rsid w:val="007122A7"/>
    <w:rsid w:val="00712D5B"/>
    <w:rsid w:val="00713AD4"/>
    <w:rsid w:val="00713E0A"/>
    <w:rsid w:val="007144A1"/>
    <w:rsid w:val="0071714D"/>
    <w:rsid w:val="00717466"/>
    <w:rsid w:val="007176BB"/>
    <w:rsid w:val="00720E85"/>
    <w:rsid w:val="00720EBF"/>
    <w:rsid w:val="00720EE6"/>
    <w:rsid w:val="00724B83"/>
    <w:rsid w:val="00726350"/>
    <w:rsid w:val="007271E0"/>
    <w:rsid w:val="00727636"/>
    <w:rsid w:val="00730DEB"/>
    <w:rsid w:val="0073148D"/>
    <w:rsid w:val="0073229F"/>
    <w:rsid w:val="00732922"/>
    <w:rsid w:val="00732B2E"/>
    <w:rsid w:val="00733520"/>
    <w:rsid w:val="007342BE"/>
    <w:rsid w:val="00735F43"/>
    <w:rsid w:val="00736586"/>
    <w:rsid w:val="0073715C"/>
    <w:rsid w:val="007371B0"/>
    <w:rsid w:val="00737E66"/>
    <w:rsid w:val="007410B3"/>
    <w:rsid w:val="0074176D"/>
    <w:rsid w:val="007432CC"/>
    <w:rsid w:val="00743CDE"/>
    <w:rsid w:val="00743DAF"/>
    <w:rsid w:val="0074408A"/>
    <w:rsid w:val="0074425A"/>
    <w:rsid w:val="00744623"/>
    <w:rsid w:val="00744964"/>
    <w:rsid w:val="00744F6F"/>
    <w:rsid w:val="00747266"/>
    <w:rsid w:val="0075087C"/>
    <w:rsid w:val="00751022"/>
    <w:rsid w:val="0075130B"/>
    <w:rsid w:val="0075162E"/>
    <w:rsid w:val="007527F3"/>
    <w:rsid w:val="00753CD6"/>
    <w:rsid w:val="00754034"/>
    <w:rsid w:val="00754D4C"/>
    <w:rsid w:val="00756556"/>
    <w:rsid w:val="007571F0"/>
    <w:rsid w:val="007573B1"/>
    <w:rsid w:val="00757B49"/>
    <w:rsid w:val="00760CE2"/>
    <w:rsid w:val="007618C4"/>
    <w:rsid w:val="00761960"/>
    <w:rsid w:val="007641A0"/>
    <w:rsid w:val="007641B9"/>
    <w:rsid w:val="00765A56"/>
    <w:rsid w:val="00767980"/>
    <w:rsid w:val="0077052E"/>
    <w:rsid w:val="00770A9B"/>
    <w:rsid w:val="00770B19"/>
    <w:rsid w:val="00770B50"/>
    <w:rsid w:val="00771BAF"/>
    <w:rsid w:val="0077270E"/>
    <w:rsid w:val="00772771"/>
    <w:rsid w:val="00772EF9"/>
    <w:rsid w:val="0077463F"/>
    <w:rsid w:val="00774E29"/>
    <w:rsid w:val="00775C96"/>
    <w:rsid w:val="0077757E"/>
    <w:rsid w:val="007821E4"/>
    <w:rsid w:val="007836EA"/>
    <w:rsid w:val="00784357"/>
    <w:rsid w:val="00784CDA"/>
    <w:rsid w:val="00785A62"/>
    <w:rsid w:val="00785C2A"/>
    <w:rsid w:val="0078654C"/>
    <w:rsid w:val="007875CB"/>
    <w:rsid w:val="00787E10"/>
    <w:rsid w:val="007906C4"/>
    <w:rsid w:val="00791845"/>
    <w:rsid w:val="0079309D"/>
    <w:rsid w:val="007940EA"/>
    <w:rsid w:val="00796036"/>
    <w:rsid w:val="0079613F"/>
    <w:rsid w:val="007967E8"/>
    <w:rsid w:val="00797109"/>
    <w:rsid w:val="00797915"/>
    <w:rsid w:val="00797B06"/>
    <w:rsid w:val="007A1C42"/>
    <w:rsid w:val="007A1F19"/>
    <w:rsid w:val="007A2170"/>
    <w:rsid w:val="007A22BF"/>
    <w:rsid w:val="007A2474"/>
    <w:rsid w:val="007A2CD1"/>
    <w:rsid w:val="007A3323"/>
    <w:rsid w:val="007A34A0"/>
    <w:rsid w:val="007A41F3"/>
    <w:rsid w:val="007A43E9"/>
    <w:rsid w:val="007A5051"/>
    <w:rsid w:val="007B0904"/>
    <w:rsid w:val="007B0DB9"/>
    <w:rsid w:val="007B17D1"/>
    <w:rsid w:val="007B1877"/>
    <w:rsid w:val="007B38DE"/>
    <w:rsid w:val="007B3A33"/>
    <w:rsid w:val="007B492A"/>
    <w:rsid w:val="007B5293"/>
    <w:rsid w:val="007B5C59"/>
    <w:rsid w:val="007B5E58"/>
    <w:rsid w:val="007B5FB3"/>
    <w:rsid w:val="007B6219"/>
    <w:rsid w:val="007B72B8"/>
    <w:rsid w:val="007B736E"/>
    <w:rsid w:val="007B7A58"/>
    <w:rsid w:val="007C124A"/>
    <w:rsid w:val="007C138F"/>
    <w:rsid w:val="007C21B5"/>
    <w:rsid w:val="007C3F10"/>
    <w:rsid w:val="007C5550"/>
    <w:rsid w:val="007C6200"/>
    <w:rsid w:val="007C6A17"/>
    <w:rsid w:val="007C6C67"/>
    <w:rsid w:val="007D116B"/>
    <w:rsid w:val="007D23E2"/>
    <w:rsid w:val="007D3AA5"/>
    <w:rsid w:val="007D40B2"/>
    <w:rsid w:val="007D5919"/>
    <w:rsid w:val="007D6089"/>
    <w:rsid w:val="007D6E59"/>
    <w:rsid w:val="007D75B2"/>
    <w:rsid w:val="007D76FD"/>
    <w:rsid w:val="007E11DD"/>
    <w:rsid w:val="007E223C"/>
    <w:rsid w:val="007E2314"/>
    <w:rsid w:val="007E3180"/>
    <w:rsid w:val="007E3671"/>
    <w:rsid w:val="007E42A4"/>
    <w:rsid w:val="007E49DF"/>
    <w:rsid w:val="007E4BD2"/>
    <w:rsid w:val="007E599A"/>
    <w:rsid w:val="007E5DED"/>
    <w:rsid w:val="007E605E"/>
    <w:rsid w:val="007E68F5"/>
    <w:rsid w:val="007E69B0"/>
    <w:rsid w:val="007F0259"/>
    <w:rsid w:val="007F1954"/>
    <w:rsid w:val="007F1CA7"/>
    <w:rsid w:val="007F2621"/>
    <w:rsid w:val="007F3567"/>
    <w:rsid w:val="007F363B"/>
    <w:rsid w:val="007F4DFD"/>
    <w:rsid w:val="007F5A1B"/>
    <w:rsid w:val="007F77C5"/>
    <w:rsid w:val="008008AF"/>
    <w:rsid w:val="00801393"/>
    <w:rsid w:val="00802F88"/>
    <w:rsid w:val="00804B82"/>
    <w:rsid w:val="00804D54"/>
    <w:rsid w:val="008056BA"/>
    <w:rsid w:val="00806FA1"/>
    <w:rsid w:val="00807B2E"/>
    <w:rsid w:val="00810E22"/>
    <w:rsid w:val="0081237A"/>
    <w:rsid w:val="0081293E"/>
    <w:rsid w:val="008132AC"/>
    <w:rsid w:val="00813C58"/>
    <w:rsid w:val="00815465"/>
    <w:rsid w:val="00816543"/>
    <w:rsid w:val="00817678"/>
    <w:rsid w:val="008178E7"/>
    <w:rsid w:val="00817C2D"/>
    <w:rsid w:val="00817E9A"/>
    <w:rsid w:val="008207B6"/>
    <w:rsid w:val="00820B9A"/>
    <w:rsid w:val="00822170"/>
    <w:rsid w:val="008234A0"/>
    <w:rsid w:val="00823508"/>
    <w:rsid w:val="00823617"/>
    <w:rsid w:val="0082454F"/>
    <w:rsid w:val="00824FC8"/>
    <w:rsid w:val="00826019"/>
    <w:rsid w:val="0082648C"/>
    <w:rsid w:val="00826E17"/>
    <w:rsid w:val="00827513"/>
    <w:rsid w:val="00830220"/>
    <w:rsid w:val="008306BD"/>
    <w:rsid w:val="008307E2"/>
    <w:rsid w:val="00830C31"/>
    <w:rsid w:val="00831A80"/>
    <w:rsid w:val="00833743"/>
    <w:rsid w:val="0083391E"/>
    <w:rsid w:val="008340A4"/>
    <w:rsid w:val="00834B74"/>
    <w:rsid w:val="00834EC1"/>
    <w:rsid w:val="00835296"/>
    <w:rsid w:val="00835400"/>
    <w:rsid w:val="0083577C"/>
    <w:rsid w:val="00835F3D"/>
    <w:rsid w:val="00836151"/>
    <w:rsid w:val="00837AAE"/>
    <w:rsid w:val="0084020B"/>
    <w:rsid w:val="008410A0"/>
    <w:rsid w:val="00841926"/>
    <w:rsid w:val="008425D9"/>
    <w:rsid w:val="008435B3"/>
    <w:rsid w:val="00843A3A"/>
    <w:rsid w:val="00843C9E"/>
    <w:rsid w:val="00845197"/>
    <w:rsid w:val="00845AF0"/>
    <w:rsid w:val="008460C0"/>
    <w:rsid w:val="00846842"/>
    <w:rsid w:val="00847079"/>
    <w:rsid w:val="00847B51"/>
    <w:rsid w:val="00851CDD"/>
    <w:rsid w:val="00851F7A"/>
    <w:rsid w:val="00853568"/>
    <w:rsid w:val="0085488B"/>
    <w:rsid w:val="00855833"/>
    <w:rsid w:val="008571EC"/>
    <w:rsid w:val="00857A4D"/>
    <w:rsid w:val="00857CCF"/>
    <w:rsid w:val="0086017D"/>
    <w:rsid w:val="0086332A"/>
    <w:rsid w:val="00864859"/>
    <w:rsid w:val="00865BE3"/>
    <w:rsid w:val="008666AF"/>
    <w:rsid w:val="00867A94"/>
    <w:rsid w:val="0087135F"/>
    <w:rsid w:val="00872386"/>
    <w:rsid w:val="00872A47"/>
    <w:rsid w:val="00872D94"/>
    <w:rsid w:val="00873561"/>
    <w:rsid w:val="00880364"/>
    <w:rsid w:val="00880392"/>
    <w:rsid w:val="00881316"/>
    <w:rsid w:val="00882E6A"/>
    <w:rsid w:val="008832AC"/>
    <w:rsid w:val="008834D5"/>
    <w:rsid w:val="00883B90"/>
    <w:rsid w:val="0088462C"/>
    <w:rsid w:val="00884AEE"/>
    <w:rsid w:val="00885AD3"/>
    <w:rsid w:val="00886244"/>
    <w:rsid w:val="008864A4"/>
    <w:rsid w:val="00887068"/>
    <w:rsid w:val="00891032"/>
    <w:rsid w:val="00891592"/>
    <w:rsid w:val="00891A5F"/>
    <w:rsid w:val="00891AAA"/>
    <w:rsid w:val="00891E9E"/>
    <w:rsid w:val="008921FC"/>
    <w:rsid w:val="008923AF"/>
    <w:rsid w:val="008925A3"/>
    <w:rsid w:val="0089429C"/>
    <w:rsid w:val="00896C24"/>
    <w:rsid w:val="008976EB"/>
    <w:rsid w:val="00897A71"/>
    <w:rsid w:val="008A13E3"/>
    <w:rsid w:val="008A2F68"/>
    <w:rsid w:val="008A410A"/>
    <w:rsid w:val="008A4D76"/>
    <w:rsid w:val="008A4EDA"/>
    <w:rsid w:val="008A58F0"/>
    <w:rsid w:val="008A629C"/>
    <w:rsid w:val="008A7D79"/>
    <w:rsid w:val="008B0203"/>
    <w:rsid w:val="008B0E8C"/>
    <w:rsid w:val="008B189C"/>
    <w:rsid w:val="008B2ADF"/>
    <w:rsid w:val="008B4FA6"/>
    <w:rsid w:val="008B5282"/>
    <w:rsid w:val="008B5694"/>
    <w:rsid w:val="008B657C"/>
    <w:rsid w:val="008B7C17"/>
    <w:rsid w:val="008C168C"/>
    <w:rsid w:val="008C2D01"/>
    <w:rsid w:val="008C30CD"/>
    <w:rsid w:val="008C328C"/>
    <w:rsid w:val="008C40E6"/>
    <w:rsid w:val="008C442D"/>
    <w:rsid w:val="008C4CCE"/>
    <w:rsid w:val="008C614C"/>
    <w:rsid w:val="008C722A"/>
    <w:rsid w:val="008C79C5"/>
    <w:rsid w:val="008D0774"/>
    <w:rsid w:val="008D0F7A"/>
    <w:rsid w:val="008D301F"/>
    <w:rsid w:val="008D318C"/>
    <w:rsid w:val="008D386B"/>
    <w:rsid w:val="008D3B5C"/>
    <w:rsid w:val="008D3FE3"/>
    <w:rsid w:val="008D63C4"/>
    <w:rsid w:val="008D68E4"/>
    <w:rsid w:val="008D6994"/>
    <w:rsid w:val="008D6E13"/>
    <w:rsid w:val="008E0506"/>
    <w:rsid w:val="008E0CFF"/>
    <w:rsid w:val="008E31E1"/>
    <w:rsid w:val="008E3C4B"/>
    <w:rsid w:val="008E5260"/>
    <w:rsid w:val="008E5D35"/>
    <w:rsid w:val="008E5D6B"/>
    <w:rsid w:val="008E743D"/>
    <w:rsid w:val="008E74D4"/>
    <w:rsid w:val="008E76F0"/>
    <w:rsid w:val="008F10C8"/>
    <w:rsid w:val="008F15FE"/>
    <w:rsid w:val="008F1D49"/>
    <w:rsid w:val="008F2D29"/>
    <w:rsid w:val="008F5187"/>
    <w:rsid w:val="008F549A"/>
    <w:rsid w:val="008F54F0"/>
    <w:rsid w:val="008F60D8"/>
    <w:rsid w:val="008F7F58"/>
    <w:rsid w:val="00901B42"/>
    <w:rsid w:val="00901DD9"/>
    <w:rsid w:val="00902727"/>
    <w:rsid w:val="00902823"/>
    <w:rsid w:val="0090312B"/>
    <w:rsid w:val="00907944"/>
    <w:rsid w:val="00913307"/>
    <w:rsid w:val="00914CBD"/>
    <w:rsid w:val="009170DF"/>
    <w:rsid w:val="0091736D"/>
    <w:rsid w:val="009203D2"/>
    <w:rsid w:val="00920689"/>
    <w:rsid w:val="00920BD2"/>
    <w:rsid w:val="00920F68"/>
    <w:rsid w:val="00920FBC"/>
    <w:rsid w:val="009223E7"/>
    <w:rsid w:val="0092253E"/>
    <w:rsid w:val="00922E85"/>
    <w:rsid w:val="0092524E"/>
    <w:rsid w:val="009264B2"/>
    <w:rsid w:val="00927835"/>
    <w:rsid w:val="00927C31"/>
    <w:rsid w:val="0093037A"/>
    <w:rsid w:val="009308E2"/>
    <w:rsid w:val="009309FB"/>
    <w:rsid w:val="00931BC3"/>
    <w:rsid w:val="00931E2C"/>
    <w:rsid w:val="00934E1E"/>
    <w:rsid w:val="0093612C"/>
    <w:rsid w:val="009366C6"/>
    <w:rsid w:val="00936D6A"/>
    <w:rsid w:val="0093729E"/>
    <w:rsid w:val="00937754"/>
    <w:rsid w:val="0093787A"/>
    <w:rsid w:val="00937E9E"/>
    <w:rsid w:val="00940EDA"/>
    <w:rsid w:val="00941540"/>
    <w:rsid w:val="0094154D"/>
    <w:rsid w:val="00942197"/>
    <w:rsid w:val="009455D9"/>
    <w:rsid w:val="00946B61"/>
    <w:rsid w:val="00947510"/>
    <w:rsid w:val="009475B0"/>
    <w:rsid w:val="0095155F"/>
    <w:rsid w:val="0095183C"/>
    <w:rsid w:val="00953332"/>
    <w:rsid w:val="00954429"/>
    <w:rsid w:val="009563CE"/>
    <w:rsid w:val="00957B70"/>
    <w:rsid w:val="00960791"/>
    <w:rsid w:val="00961966"/>
    <w:rsid w:val="0096299A"/>
    <w:rsid w:val="009630DC"/>
    <w:rsid w:val="00965B50"/>
    <w:rsid w:val="0096697E"/>
    <w:rsid w:val="00966B62"/>
    <w:rsid w:val="009722A8"/>
    <w:rsid w:val="009732CE"/>
    <w:rsid w:val="00973382"/>
    <w:rsid w:val="009739C2"/>
    <w:rsid w:val="00974993"/>
    <w:rsid w:val="00975D04"/>
    <w:rsid w:val="00976328"/>
    <w:rsid w:val="0097680D"/>
    <w:rsid w:val="009779CF"/>
    <w:rsid w:val="00977C26"/>
    <w:rsid w:val="009814F3"/>
    <w:rsid w:val="00982438"/>
    <w:rsid w:val="0098404C"/>
    <w:rsid w:val="009845E2"/>
    <w:rsid w:val="00984CDB"/>
    <w:rsid w:val="00985283"/>
    <w:rsid w:val="00985AE6"/>
    <w:rsid w:val="00985C07"/>
    <w:rsid w:val="009862F3"/>
    <w:rsid w:val="0098663E"/>
    <w:rsid w:val="009902FD"/>
    <w:rsid w:val="00990D73"/>
    <w:rsid w:val="009918B5"/>
    <w:rsid w:val="00992FEB"/>
    <w:rsid w:val="00993B89"/>
    <w:rsid w:val="00994626"/>
    <w:rsid w:val="009948E2"/>
    <w:rsid w:val="009951DF"/>
    <w:rsid w:val="009955A9"/>
    <w:rsid w:val="00995890"/>
    <w:rsid w:val="00995992"/>
    <w:rsid w:val="009971A2"/>
    <w:rsid w:val="00997AF2"/>
    <w:rsid w:val="00997FC4"/>
    <w:rsid w:val="009A03E5"/>
    <w:rsid w:val="009A09E1"/>
    <w:rsid w:val="009A0F3B"/>
    <w:rsid w:val="009A1BB4"/>
    <w:rsid w:val="009A1BEC"/>
    <w:rsid w:val="009A1E87"/>
    <w:rsid w:val="009A2628"/>
    <w:rsid w:val="009A2C4A"/>
    <w:rsid w:val="009A2E0F"/>
    <w:rsid w:val="009A3200"/>
    <w:rsid w:val="009A4959"/>
    <w:rsid w:val="009A4FE4"/>
    <w:rsid w:val="009A61A6"/>
    <w:rsid w:val="009A6FA5"/>
    <w:rsid w:val="009A7777"/>
    <w:rsid w:val="009B03C3"/>
    <w:rsid w:val="009B03E5"/>
    <w:rsid w:val="009B0897"/>
    <w:rsid w:val="009B0FD4"/>
    <w:rsid w:val="009B120F"/>
    <w:rsid w:val="009B1D23"/>
    <w:rsid w:val="009B216E"/>
    <w:rsid w:val="009B3204"/>
    <w:rsid w:val="009B4A73"/>
    <w:rsid w:val="009B4E35"/>
    <w:rsid w:val="009B6834"/>
    <w:rsid w:val="009B6D21"/>
    <w:rsid w:val="009B79E4"/>
    <w:rsid w:val="009B7B6D"/>
    <w:rsid w:val="009B7BD9"/>
    <w:rsid w:val="009B7ED6"/>
    <w:rsid w:val="009C0AD4"/>
    <w:rsid w:val="009C6528"/>
    <w:rsid w:val="009C7DD5"/>
    <w:rsid w:val="009D08A6"/>
    <w:rsid w:val="009D0F55"/>
    <w:rsid w:val="009D166A"/>
    <w:rsid w:val="009D1B3F"/>
    <w:rsid w:val="009D215B"/>
    <w:rsid w:val="009D3499"/>
    <w:rsid w:val="009D37B4"/>
    <w:rsid w:val="009D4BBE"/>
    <w:rsid w:val="009D6F1C"/>
    <w:rsid w:val="009D736A"/>
    <w:rsid w:val="009D7831"/>
    <w:rsid w:val="009D7BDA"/>
    <w:rsid w:val="009E1FB1"/>
    <w:rsid w:val="009E227D"/>
    <w:rsid w:val="009E2C24"/>
    <w:rsid w:val="009E4327"/>
    <w:rsid w:val="009E464C"/>
    <w:rsid w:val="009E5019"/>
    <w:rsid w:val="009E564F"/>
    <w:rsid w:val="009E6D3B"/>
    <w:rsid w:val="009E71C5"/>
    <w:rsid w:val="009E76BC"/>
    <w:rsid w:val="009F0A1A"/>
    <w:rsid w:val="009F36AB"/>
    <w:rsid w:val="009F5104"/>
    <w:rsid w:val="009F5448"/>
    <w:rsid w:val="009F5948"/>
    <w:rsid w:val="009F59FF"/>
    <w:rsid w:val="009F62DC"/>
    <w:rsid w:val="009F7355"/>
    <w:rsid w:val="009F73FC"/>
    <w:rsid w:val="009F74D5"/>
    <w:rsid w:val="00A019B1"/>
    <w:rsid w:val="00A02249"/>
    <w:rsid w:val="00A023F7"/>
    <w:rsid w:val="00A03C89"/>
    <w:rsid w:val="00A049F3"/>
    <w:rsid w:val="00A04C66"/>
    <w:rsid w:val="00A04F1B"/>
    <w:rsid w:val="00A0501B"/>
    <w:rsid w:val="00A05191"/>
    <w:rsid w:val="00A0560A"/>
    <w:rsid w:val="00A05C6D"/>
    <w:rsid w:val="00A10D6E"/>
    <w:rsid w:val="00A11840"/>
    <w:rsid w:val="00A12B82"/>
    <w:rsid w:val="00A132E3"/>
    <w:rsid w:val="00A14947"/>
    <w:rsid w:val="00A16777"/>
    <w:rsid w:val="00A16CDE"/>
    <w:rsid w:val="00A17F7A"/>
    <w:rsid w:val="00A21CB8"/>
    <w:rsid w:val="00A225D4"/>
    <w:rsid w:val="00A22C66"/>
    <w:rsid w:val="00A239EF"/>
    <w:rsid w:val="00A250B9"/>
    <w:rsid w:val="00A259A1"/>
    <w:rsid w:val="00A25DF7"/>
    <w:rsid w:val="00A262B4"/>
    <w:rsid w:val="00A3000A"/>
    <w:rsid w:val="00A301C8"/>
    <w:rsid w:val="00A31B26"/>
    <w:rsid w:val="00A32A83"/>
    <w:rsid w:val="00A332B5"/>
    <w:rsid w:val="00A338AE"/>
    <w:rsid w:val="00A33E24"/>
    <w:rsid w:val="00A35525"/>
    <w:rsid w:val="00A3626F"/>
    <w:rsid w:val="00A368DB"/>
    <w:rsid w:val="00A37135"/>
    <w:rsid w:val="00A37A17"/>
    <w:rsid w:val="00A37F69"/>
    <w:rsid w:val="00A420C4"/>
    <w:rsid w:val="00A423AA"/>
    <w:rsid w:val="00A438E7"/>
    <w:rsid w:val="00A45302"/>
    <w:rsid w:val="00A4631A"/>
    <w:rsid w:val="00A50F97"/>
    <w:rsid w:val="00A515E2"/>
    <w:rsid w:val="00A53435"/>
    <w:rsid w:val="00A53EC6"/>
    <w:rsid w:val="00A55C0F"/>
    <w:rsid w:val="00A56127"/>
    <w:rsid w:val="00A562B9"/>
    <w:rsid w:val="00A60544"/>
    <w:rsid w:val="00A6184C"/>
    <w:rsid w:val="00A62A2A"/>
    <w:rsid w:val="00A63BD7"/>
    <w:rsid w:val="00A641A0"/>
    <w:rsid w:val="00A64FF2"/>
    <w:rsid w:val="00A65887"/>
    <w:rsid w:val="00A66C85"/>
    <w:rsid w:val="00A67BB5"/>
    <w:rsid w:val="00A67EE2"/>
    <w:rsid w:val="00A70DF3"/>
    <w:rsid w:val="00A71C51"/>
    <w:rsid w:val="00A7257E"/>
    <w:rsid w:val="00A727B6"/>
    <w:rsid w:val="00A760E2"/>
    <w:rsid w:val="00A81B30"/>
    <w:rsid w:val="00A828FA"/>
    <w:rsid w:val="00A8306C"/>
    <w:rsid w:val="00A830B8"/>
    <w:rsid w:val="00A84BFE"/>
    <w:rsid w:val="00A856F4"/>
    <w:rsid w:val="00A8598F"/>
    <w:rsid w:val="00A86B81"/>
    <w:rsid w:val="00A86F1E"/>
    <w:rsid w:val="00A8713F"/>
    <w:rsid w:val="00A8759B"/>
    <w:rsid w:val="00A90BA1"/>
    <w:rsid w:val="00A92F51"/>
    <w:rsid w:val="00A95532"/>
    <w:rsid w:val="00A95F8E"/>
    <w:rsid w:val="00A964FD"/>
    <w:rsid w:val="00A96A61"/>
    <w:rsid w:val="00A96B2E"/>
    <w:rsid w:val="00A96C8B"/>
    <w:rsid w:val="00A978C3"/>
    <w:rsid w:val="00A9797A"/>
    <w:rsid w:val="00A97A9A"/>
    <w:rsid w:val="00AA0456"/>
    <w:rsid w:val="00AA057B"/>
    <w:rsid w:val="00AA0671"/>
    <w:rsid w:val="00AA19D4"/>
    <w:rsid w:val="00AA2531"/>
    <w:rsid w:val="00AA2B07"/>
    <w:rsid w:val="00AA31EF"/>
    <w:rsid w:val="00AA37C6"/>
    <w:rsid w:val="00AA3DC4"/>
    <w:rsid w:val="00AA423C"/>
    <w:rsid w:val="00AA46E7"/>
    <w:rsid w:val="00AA59D4"/>
    <w:rsid w:val="00AB0B11"/>
    <w:rsid w:val="00AB1486"/>
    <w:rsid w:val="00AB18F0"/>
    <w:rsid w:val="00AB1E09"/>
    <w:rsid w:val="00AB1F41"/>
    <w:rsid w:val="00AB31F5"/>
    <w:rsid w:val="00AB5052"/>
    <w:rsid w:val="00AB52F4"/>
    <w:rsid w:val="00AB5330"/>
    <w:rsid w:val="00AB6709"/>
    <w:rsid w:val="00AB7747"/>
    <w:rsid w:val="00AC14CE"/>
    <w:rsid w:val="00AC1C9A"/>
    <w:rsid w:val="00AC2A56"/>
    <w:rsid w:val="00AC2E61"/>
    <w:rsid w:val="00AC37F3"/>
    <w:rsid w:val="00AC4A61"/>
    <w:rsid w:val="00AC6AC7"/>
    <w:rsid w:val="00AC7294"/>
    <w:rsid w:val="00AD055E"/>
    <w:rsid w:val="00AD1CA2"/>
    <w:rsid w:val="00AD24B0"/>
    <w:rsid w:val="00AD2D16"/>
    <w:rsid w:val="00AD4215"/>
    <w:rsid w:val="00AD47A7"/>
    <w:rsid w:val="00AD5E36"/>
    <w:rsid w:val="00AE0F7C"/>
    <w:rsid w:val="00AE1A63"/>
    <w:rsid w:val="00AE76D8"/>
    <w:rsid w:val="00AF0986"/>
    <w:rsid w:val="00AF0CBF"/>
    <w:rsid w:val="00AF15BB"/>
    <w:rsid w:val="00AF257F"/>
    <w:rsid w:val="00AF33CF"/>
    <w:rsid w:val="00AF4D50"/>
    <w:rsid w:val="00AF6120"/>
    <w:rsid w:val="00AF6179"/>
    <w:rsid w:val="00AF72FB"/>
    <w:rsid w:val="00B01293"/>
    <w:rsid w:val="00B04F44"/>
    <w:rsid w:val="00B1295A"/>
    <w:rsid w:val="00B13331"/>
    <w:rsid w:val="00B1570F"/>
    <w:rsid w:val="00B16E6D"/>
    <w:rsid w:val="00B204A2"/>
    <w:rsid w:val="00B2083C"/>
    <w:rsid w:val="00B20A45"/>
    <w:rsid w:val="00B20F45"/>
    <w:rsid w:val="00B20F77"/>
    <w:rsid w:val="00B22B2E"/>
    <w:rsid w:val="00B22C5C"/>
    <w:rsid w:val="00B24F30"/>
    <w:rsid w:val="00B25479"/>
    <w:rsid w:val="00B2661C"/>
    <w:rsid w:val="00B26FF3"/>
    <w:rsid w:val="00B270E2"/>
    <w:rsid w:val="00B31ABF"/>
    <w:rsid w:val="00B33598"/>
    <w:rsid w:val="00B33BE3"/>
    <w:rsid w:val="00B34715"/>
    <w:rsid w:val="00B35D9F"/>
    <w:rsid w:val="00B370DF"/>
    <w:rsid w:val="00B37DE0"/>
    <w:rsid w:val="00B40BFD"/>
    <w:rsid w:val="00B418BD"/>
    <w:rsid w:val="00B418FA"/>
    <w:rsid w:val="00B42785"/>
    <w:rsid w:val="00B4300B"/>
    <w:rsid w:val="00B43192"/>
    <w:rsid w:val="00B4479F"/>
    <w:rsid w:val="00B449CD"/>
    <w:rsid w:val="00B46251"/>
    <w:rsid w:val="00B467F5"/>
    <w:rsid w:val="00B505C4"/>
    <w:rsid w:val="00B530D3"/>
    <w:rsid w:val="00B53842"/>
    <w:rsid w:val="00B539BF"/>
    <w:rsid w:val="00B53B5D"/>
    <w:rsid w:val="00B55075"/>
    <w:rsid w:val="00B554AB"/>
    <w:rsid w:val="00B57248"/>
    <w:rsid w:val="00B579DD"/>
    <w:rsid w:val="00B57BD7"/>
    <w:rsid w:val="00B57CF5"/>
    <w:rsid w:val="00B6055E"/>
    <w:rsid w:val="00B60C8E"/>
    <w:rsid w:val="00B60FBF"/>
    <w:rsid w:val="00B61629"/>
    <w:rsid w:val="00B623E7"/>
    <w:rsid w:val="00B6317D"/>
    <w:rsid w:val="00B64CFC"/>
    <w:rsid w:val="00B64D51"/>
    <w:rsid w:val="00B650E5"/>
    <w:rsid w:val="00B65EBD"/>
    <w:rsid w:val="00B661F2"/>
    <w:rsid w:val="00B66E82"/>
    <w:rsid w:val="00B67700"/>
    <w:rsid w:val="00B73CFD"/>
    <w:rsid w:val="00B74038"/>
    <w:rsid w:val="00B742A6"/>
    <w:rsid w:val="00B746CF"/>
    <w:rsid w:val="00B74856"/>
    <w:rsid w:val="00B74F8D"/>
    <w:rsid w:val="00B76020"/>
    <w:rsid w:val="00B7723F"/>
    <w:rsid w:val="00B80534"/>
    <w:rsid w:val="00B80592"/>
    <w:rsid w:val="00B80629"/>
    <w:rsid w:val="00B812FB"/>
    <w:rsid w:val="00B8169D"/>
    <w:rsid w:val="00B81B62"/>
    <w:rsid w:val="00B8277E"/>
    <w:rsid w:val="00B8433C"/>
    <w:rsid w:val="00B865FE"/>
    <w:rsid w:val="00B86665"/>
    <w:rsid w:val="00B87491"/>
    <w:rsid w:val="00B9030A"/>
    <w:rsid w:val="00B92E48"/>
    <w:rsid w:val="00B931F0"/>
    <w:rsid w:val="00B94DDF"/>
    <w:rsid w:val="00B95C5D"/>
    <w:rsid w:val="00B96CE4"/>
    <w:rsid w:val="00BA29E9"/>
    <w:rsid w:val="00BA2E9E"/>
    <w:rsid w:val="00BA3702"/>
    <w:rsid w:val="00BA3970"/>
    <w:rsid w:val="00BA47EC"/>
    <w:rsid w:val="00BA5D6F"/>
    <w:rsid w:val="00BA7142"/>
    <w:rsid w:val="00BA784F"/>
    <w:rsid w:val="00BB0856"/>
    <w:rsid w:val="00BB15A3"/>
    <w:rsid w:val="00BB15CC"/>
    <w:rsid w:val="00BB237C"/>
    <w:rsid w:val="00BB2414"/>
    <w:rsid w:val="00BB2CCF"/>
    <w:rsid w:val="00BB3290"/>
    <w:rsid w:val="00BB3632"/>
    <w:rsid w:val="00BB3ACC"/>
    <w:rsid w:val="00BB41A3"/>
    <w:rsid w:val="00BB49D4"/>
    <w:rsid w:val="00BB5667"/>
    <w:rsid w:val="00BB59E0"/>
    <w:rsid w:val="00BB5B92"/>
    <w:rsid w:val="00BB6721"/>
    <w:rsid w:val="00BB67EB"/>
    <w:rsid w:val="00BB6BCE"/>
    <w:rsid w:val="00BB73E1"/>
    <w:rsid w:val="00BB7525"/>
    <w:rsid w:val="00BB76C7"/>
    <w:rsid w:val="00BB7723"/>
    <w:rsid w:val="00BC1748"/>
    <w:rsid w:val="00BC17CB"/>
    <w:rsid w:val="00BC2881"/>
    <w:rsid w:val="00BC31E9"/>
    <w:rsid w:val="00BC32DC"/>
    <w:rsid w:val="00BC35B6"/>
    <w:rsid w:val="00BC6216"/>
    <w:rsid w:val="00BC6C81"/>
    <w:rsid w:val="00BC7082"/>
    <w:rsid w:val="00BC71FA"/>
    <w:rsid w:val="00BC7960"/>
    <w:rsid w:val="00BD1213"/>
    <w:rsid w:val="00BD1B51"/>
    <w:rsid w:val="00BD313A"/>
    <w:rsid w:val="00BD3B5A"/>
    <w:rsid w:val="00BD4016"/>
    <w:rsid w:val="00BD4596"/>
    <w:rsid w:val="00BE01D1"/>
    <w:rsid w:val="00BE1405"/>
    <w:rsid w:val="00BE18CD"/>
    <w:rsid w:val="00BE2CF9"/>
    <w:rsid w:val="00BE30C6"/>
    <w:rsid w:val="00BE312D"/>
    <w:rsid w:val="00BE41A9"/>
    <w:rsid w:val="00BF0B91"/>
    <w:rsid w:val="00BF112E"/>
    <w:rsid w:val="00BF163D"/>
    <w:rsid w:val="00BF1677"/>
    <w:rsid w:val="00BF1C1C"/>
    <w:rsid w:val="00BF1C20"/>
    <w:rsid w:val="00BF2DF8"/>
    <w:rsid w:val="00BF2E53"/>
    <w:rsid w:val="00BF37D1"/>
    <w:rsid w:val="00BF4505"/>
    <w:rsid w:val="00BF47FB"/>
    <w:rsid w:val="00BF4FA1"/>
    <w:rsid w:val="00BF7F7C"/>
    <w:rsid w:val="00C0146B"/>
    <w:rsid w:val="00C01AE1"/>
    <w:rsid w:val="00C037C6"/>
    <w:rsid w:val="00C03F9E"/>
    <w:rsid w:val="00C063F5"/>
    <w:rsid w:val="00C064DB"/>
    <w:rsid w:val="00C06C5E"/>
    <w:rsid w:val="00C10578"/>
    <w:rsid w:val="00C106F7"/>
    <w:rsid w:val="00C1102F"/>
    <w:rsid w:val="00C11F34"/>
    <w:rsid w:val="00C1203A"/>
    <w:rsid w:val="00C135BC"/>
    <w:rsid w:val="00C14776"/>
    <w:rsid w:val="00C15C95"/>
    <w:rsid w:val="00C168D2"/>
    <w:rsid w:val="00C16B69"/>
    <w:rsid w:val="00C16C09"/>
    <w:rsid w:val="00C1712F"/>
    <w:rsid w:val="00C17C41"/>
    <w:rsid w:val="00C2032E"/>
    <w:rsid w:val="00C20EFD"/>
    <w:rsid w:val="00C21812"/>
    <w:rsid w:val="00C21907"/>
    <w:rsid w:val="00C2386F"/>
    <w:rsid w:val="00C2465E"/>
    <w:rsid w:val="00C24B41"/>
    <w:rsid w:val="00C255B9"/>
    <w:rsid w:val="00C255DE"/>
    <w:rsid w:val="00C2596A"/>
    <w:rsid w:val="00C27537"/>
    <w:rsid w:val="00C328E4"/>
    <w:rsid w:val="00C328FE"/>
    <w:rsid w:val="00C33507"/>
    <w:rsid w:val="00C341D2"/>
    <w:rsid w:val="00C369AF"/>
    <w:rsid w:val="00C40663"/>
    <w:rsid w:val="00C413AF"/>
    <w:rsid w:val="00C417ED"/>
    <w:rsid w:val="00C42CA9"/>
    <w:rsid w:val="00C43057"/>
    <w:rsid w:val="00C43BB1"/>
    <w:rsid w:val="00C4409D"/>
    <w:rsid w:val="00C449D0"/>
    <w:rsid w:val="00C44D7C"/>
    <w:rsid w:val="00C44E19"/>
    <w:rsid w:val="00C44E72"/>
    <w:rsid w:val="00C45A06"/>
    <w:rsid w:val="00C464A2"/>
    <w:rsid w:val="00C465F9"/>
    <w:rsid w:val="00C47E5B"/>
    <w:rsid w:val="00C5087D"/>
    <w:rsid w:val="00C51565"/>
    <w:rsid w:val="00C51D6A"/>
    <w:rsid w:val="00C52654"/>
    <w:rsid w:val="00C52B18"/>
    <w:rsid w:val="00C52BEE"/>
    <w:rsid w:val="00C53476"/>
    <w:rsid w:val="00C53681"/>
    <w:rsid w:val="00C53989"/>
    <w:rsid w:val="00C5583A"/>
    <w:rsid w:val="00C56DBF"/>
    <w:rsid w:val="00C57E3A"/>
    <w:rsid w:val="00C60702"/>
    <w:rsid w:val="00C60836"/>
    <w:rsid w:val="00C60C72"/>
    <w:rsid w:val="00C6153A"/>
    <w:rsid w:val="00C61E4B"/>
    <w:rsid w:val="00C635CF"/>
    <w:rsid w:val="00C645A3"/>
    <w:rsid w:val="00C64BFF"/>
    <w:rsid w:val="00C653FF"/>
    <w:rsid w:val="00C704E9"/>
    <w:rsid w:val="00C71007"/>
    <w:rsid w:val="00C7116F"/>
    <w:rsid w:val="00C7184D"/>
    <w:rsid w:val="00C727A6"/>
    <w:rsid w:val="00C72807"/>
    <w:rsid w:val="00C728A8"/>
    <w:rsid w:val="00C72E02"/>
    <w:rsid w:val="00C74994"/>
    <w:rsid w:val="00C760AE"/>
    <w:rsid w:val="00C763C9"/>
    <w:rsid w:val="00C76669"/>
    <w:rsid w:val="00C767D6"/>
    <w:rsid w:val="00C76C74"/>
    <w:rsid w:val="00C76D07"/>
    <w:rsid w:val="00C76EC2"/>
    <w:rsid w:val="00C77330"/>
    <w:rsid w:val="00C80057"/>
    <w:rsid w:val="00C815B7"/>
    <w:rsid w:val="00C8165D"/>
    <w:rsid w:val="00C816D7"/>
    <w:rsid w:val="00C82232"/>
    <w:rsid w:val="00C82913"/>
    <w:rsid w:val="00C85621"/>
    <w:rsid w:val="00C872C4"/>
    <w:rsid w:val="00C90D12"/>
    <w:rsid w:val="00C91F03"/>
    <w:rsid w:val="00C92D29"/>
    <w:rsid w:val="00C93397"/>
    <w:rsid w:val="00C94FC1"/>
    <w:rsid w:val="00C95594"/>
    <w:rsid w:val="00C9647A"/>
    <w:rsid w:val="00C972B1"/>
    <w:rsid w:val="00CA148E"/>
    <w:rsid w:val="00CA1CD7"/>
    <w:rsid w:val="00CA2CCE"/>
    <w:rsid w:val="00CA2D57"/>
    <w:rsid w:val="00CA43FD"/>
    <w:rsid w:val="00CA49BC"/>
    <w:rsid w:val="00CA500C"/>
    <w:rsid w:val="00CA7EF8"/>
    <w:rsid w:val="00CB005F"/>
    <w:rsid w:val="00CB0C1E"/>
    <w:rsid w:val="00CB0DCA"/>
    <w:rsid w:val="00CB33AA"/>
    <w:rsid w:val="00CB396E"/>
    <w:rsid w:val="00CB43D0"/>
    <w:rsid w:val="00CB58C2"/>
    <w:rsid w:val="00CB59FC"/>
    <w:rsid w:val="00CB70F4"/>
    <w:rsid w:val="00CB7BFD"/>
    <w:rsid w:val="00CB7FCB"/>
    <w:rsid w:val="00CC09A2"/>
    <w:rsid w:val="00CC0A02"/>
    <w:rsid w:val="00CC13F9"/>
    <w:rsid w:val="00CC192D"/>
    <w:rsid w:val="00CC432B"/>
    <w:rsid w:val="00CC489B"/>
    <w:rsid w:val="00CC4FCF"/>
    <w:rsid w:val="00CC5E39"/>
    <w:rsid w:val="00CC5F4E"/>
    <w:rsid w:val="00CD2625"/>
    <w:rsid w:val="00CD2BCD"/>
    <w:rsid w:val="00CD361F"/>
    <w:rsid w:val="00CD3A4C"/>
    <w:rsid w:val="00CD4FBA"/>
    <w:rsid w:val="00CD539F"/>
    <w:rsid w:val="00CD5A4B"/>
    <w:rsid w:val="00CD5CE7"/>
    <w:rsid w:val="00CD71BF"/>
    <w:rsid w:val="00CE09EF"/>
    <w:rsid w:val="00CE0AEB"/>
    <w:rsid w:val="00CE0EDE"/>
    <w:rsid w:val="00CE10E9"/>
    <w:rsid w:val="00CE2910"/>
    <w:rsid w:val="00CE474E"/>
    <w:rsid w:val="00CE5393"/>
    <w:rsid w:val="00CE53F1"/>
    <w:rsid w:val="00CE6C03"/>
    <w:rsid w:val="00CE7291"/>
    <w:rsid w:val="00CF087C"/>
    <w:rsid w:val="00CF0B2B"/>
    <w:rsid w:val="00CF0C3E"/>
    <w:rsid w:val="00CF36BE"/>
    <w:rsid w:val="00CF3DD7"/>
    <w:rsid w:val="00CF3DD9"/>
    <w:rsid w:val="00CF4693"/>
    <w:rsid w:val="00CF4A7B"/>
    <w:rsid w:val="00CF530A"/>
    <w:rsid w:val="00CF6000"/>
    <w:rsid w:val="00CF6EEB"/>
    <w:rsid w:val="00D003F3"/>
    <w:rsid w:val="00D00ADB"/>
    <w:rsid w:val="00D01049"/>
    <w:rsid w:val="00D02809"/>
    <w:rsid w:val="00D02E51"/>
    <w:rsid w:val="00D0364F"/>
    <w:rsid w:val="00D04A3C"/>
    <w:rsid w:val="00D05438"/>
    <w:rsid w:val="00D06834"/>
    <w:rsid w:val="00D06C9B"/>
    <w:rsid w:val="00D07640"/>
    <w:rsid w:val="00D0779D"/>
    <w:rsid w:val="00D10DFD"/>
    <w:rsid w:val="00D11626"/>
    <w:rsid w:val="00D118F6"/>
    <w:rsid w:val="00D12B14"/>
    <w:rsid w:val="00D16075"/>
    <w:rsid w:val="00D16291"/>
    <w:rsid w:val="00D17E2B"/>
    <w:rsid w:val="00D20720"/>
    <w:rsid w:val="00D2089B"/>
    <w:rsid w:val="00D22758"/>
    <w:rsid w:val="00D229B8"/>
    <w:rsid w:val="00D2364C"/>
    <w:rsid w:val="00D24406"/>
    <w:rsid w:val="00D24B9D"/>
    <w:rsid w:val="00D258BC"/>
    <w:rsid w:val="00D259B1"/>
    <w:rsid w:val="00D27046"/>
    <w:rsid w:val="00D27164"/>
    <w:rsid w:val="00D2750A"/>
    <w:rsid w:val="00D27F3B"/>
    <w:rsid w:val="00D3038F"/>
    <w:rsid w:val="00D308ED"/>
    <w:rsid w:val="00D31683"/>
    <w:rsid w:val="00D317EB"/>
    <w:rsid w:val="00D31E38"/>
    <w:rsid w:val="00D327F9"/>
    <w:rsid w:val="00D355ED"/>
    <w:rsid w:val="00D357AD"/>
    <w:rsid w:val="00D35831"/>
    <w:rsid w:val="00D36D86"/>
    <w:rsid w:val="00D373D9"/>
    <w:rsid w:val="00D4051D"/>
    <w:rsid w:val="00D410F8"/>
    <w:rsid w:val="00D415CA"/>
    <w:rsid w:val="00D428AA"/>
    <w:rsid w:val="00D450FD"/>
    <w:rsid w:val="00D466E3"/>
    <w:rsid w:val="00D4727B"/>
    <w:rsid w:val="00D47C54"/>
    <w:rsid w:val="00D47EAB"/>
    <w:rsid w:val="00D50A34"/>
    <w:rsid w:val="00D51F8C"/>
    <w:rsid w:val="00D53EFA"/>
    <w:rsid w:val="00D57432"/>
    <w:rsid w:val="00D57966"/>
    <w:rsid w:val="00D6065E"/>
    <w:rsid w:val="00D60EA4"/>
    <w:rsid w:val="00D6141B"/>
    <w:rsid w:val="00D62F37"/>
    <w:rsid w:val="00D65461"/>
    <w:rsid w:val="00D66865"/>
    <w:rsid w:val="00D668C7"/>
    <w:rsid w:val="00D66B23"/>
    <w:rsid w:val="00D71D4E"/>
    <w:rsid w:val="00D72493"/>
    <w:rsid w:val="00D734F0"/>
    <w:rsid w:val="00D751D4"/>
    <w:rsid w:val="00D751EC"/>
    <w:rsid w:val="00D753D7"/>
    <w:rsid w:val="00D75A39"/>
    <w:rsid w:val="00D75F4F"/>
    <w:rsid w:val="00D7602F"/>
    <w:rsid w:val="00D7616E"/>
    <w:rsid w:val="00D76D01"/>
    <w:rsid w:val="00D80445"/>
    <w:rsid w:val="00D8084D"/>
    <w:rsid w:val="00D812F1"/>
    <w:rsid w:val="00D82DE2"/>
    <w:rsid w:val="00D83BEA"/>
    <w:rsid w:val="00D84EFE"/>
    <w:rsid w:val="00D8579F"/>
    <w:rsid w:val="00D85E47"/>
    <w:rsid w:val="00D86921"/>
    <w:rsid w:val="00D87497"/>
    <w:rsid w:val="00D87669"/>
    <w:rsid w:val="00D87ABC"/>
    <w:rsid w:val="00D90946"/>
    <w:rsid w:val="00D91439"/>
    <w:rsid w:val="00D91CC2"/>
    <w:rsid w:val="00D91EC2"/>
    <w:rsid w:val="00D920FA"/>
    <w:rsid w:val="00D923B4"/>
    <w:rsid w:val="00D92CE5"/>
    <w:rsid w:val="00D939AC"/>
    <w:rsid w:val="00D944EB"/>
    <w:rsid w:val="00D94A5C"/>
    <w:rsid w:val="00D94A7C"/>
    <w:rsid w:val="00D95896"/>
    <w:rsid w:val="00D96AD1"/>
    <w:rsid w:val="00DA1A95"/>
    <w:rsid w:val="00DA223A"/>
    <w:rsid w:val="00DA2771"/>
    <w:rsid w:val="00DA29CD"/>
    <w:rsid w:val="00DA465C"/>
    <w:rsid w:val="00DA4C53"/>
    <w:rsid w:val="00DA6A8D"/>
    <w:rsid w:val="00DA6E37"/>
    <w:rsid w:val="00DB1034"/>
    <w:rsid w:val="00DB195C"/>
    <w:rsid w:val="00DB1A93"/>
    <w:rsid w:val="00DB2758"/>
    <w:rsid w:val="00DB2983"/>
    <w:rsid w:val="00DB4287"/>
    <w:rsid w:val="00DB5558"/>
    <w:rsid w:val="00DB556E"/>
    <w:rsid w:val="00DB5C59"/>
    <w:rsid w:val="00DB7C92"/>
    <w:rsid w:val="00DC11E0"/>
    <w:rsid w:val="00DC1257"/>
    <w:rsid w:val="00DC2077"/>
    <w:rsid w:val="00DC2765"/>
    <w:rsid w:val="00DC2A9E"/>
    <w:rsid w:val="00DC3DC0"/>
    <w:rsid w:val="00DC48CF"/>
    <w:rsid w:val="00DC5B2B"/>
    <w:rsid w:val="00DC5D79"/>
    <w:rsid w:val="00DC72E1"/>
    <w:rsid w:val="00DD318D"/>
    <w:rsid w:val="00DD4141"/>
    <w:rsid w:val="00DD6319"/>
    <w:rsid w:val="00DD75D4"/>
    <w:rsid w:val="00DD7ECC"/>
    <w:rsid w:val="00DD7F5E"/>
    <w:rsid w:val="00DE0DBD"/>
    <w:rsid w:val="00DE103E"/>
    <w:rsid w:val="00DE10AF"/>
    <w:rsid w:val="00DE1F50"/>
    <w:rsid w:val="00DE1FF5"/>
    <w:rsid w:val="00DE2EA0"/>
    <w:rsid w:val="00DE39F0"/>
    <w:rsid w:val="00DE5470"/>
    <w:rsid w:val="00DE7791"/>
    <w:rsid w:val="00DF0052"/>
    <w:rsid w:val="00DF0337"/>
    <w:rsid w:val="00DF2C96"/>
    <w:rsid w:val="00DF2E12"/>
    <w:rsid w:val="00DF4346"/>
    <w:rsid w:val="00DF514A"/>
    <w:rsid w:val="00DF539B"/>
    <w:rsid w:val="00DF6690"/>
    <w:rsid w:val="00DF66B4"/>
    <w:rsid w:val="00DF6804"/>
    <w:rsid w:val="00E0166B"/>
    <w:rsid w:val="00E03090"/>
    <w:rsid w:val="00E032E5"/>
    <w:rsid w:val="00E0343F"/>
    <w:rsid w:val="00E0358D"/>
    <w:rsid w:val="00E03E41"/>
    <w:rsid w:val="00E04323"/>
    <w:rsid w:val="00E0459E"/>
    <w:rsid w:val="00E04D38"/>
    <w:rsid w:val="00E04E52"/>
    <w:rsid w:val="00E0648B"/>
    <w:rsid w:val="00E0675C"/>
    <w:rsid w:val="00E070A2"/>
    <w:rsid w:val="00E074A8"/>
    <w:rsid w:val="00E10570"/>
    <w:rsid w:val="00E10FCD"/>
    <w:rsid w:val="00E11031"/>
    <w:rsid w:val="00E12676"/>
    <w:rsid w:val="00E12AE8"/>
    <w:rsid w:val="00E12C6A"/>
    <w:rsid w:val="00E12FA7"/>
    <w:rsid w:val="00E136BD"/>
    <w:rsid w:val="00E13F54"/>
    <w:rsid w:val="00E13F95"/>
    <w:rsid w:val="00E14427"/>
    <w:rsid w:val="00E154B1"/>
    <w:rsid w:val="00E154C3"/>
    <w:rsid w:val="00E15847"/>
    <w:rsid w:val="00E158AD"/>
    <w:rsid w:val="00E15B4A"/>
    <w:rsid w:val="00E206AA"/>
    <w:rsid w:val="00E2071E"/>
    <w:rsid w:val="00E21238"/>
    <w:rsid w:val="00E21322"/>
    <w:rsid w:val="00E21E06"/>
    <w:rsid w:val="00E22603"/>
    <w:rsid w:val="00E22903"/>
    <w:rsid w:val="00E258F6"/>
    <w:rsid w:val="00E26026"/>
    <w:rsid w:val="00E262B6"/>
    <w:rsid w:val="00E2656A"/>
    <w:rsid w:val="00E26A04"/>
    <w:rsid w:val="00E26AA0"/>
    <w:rsid w:val="00E305C0"/>
    <w:rsid w:val="00E308BC"/>
    <w:rsid w:val="00E31691"/>
    <w:rsid w:val="00E321E4"/>
    <w:rsid w:val="00E32438"/>
    <w:rsid w:val="00E3296E"/>
    <w:rsid w:val="00E32C34"/>
    <w:rsid w:val="00E32D72"/>
    <w:rsid w:val="00E336F0"/>
    <w:rsid w:val="00E352E8"/>
    <w:rsid w:val="00E364CB"/>
    <w:rsid w:val="00E36C84"/>
    <w:rsid w:val="00E3756C"/>
    <w:rsid w:val="00E37F5D"/>
    <w:rsid w:val="00E40BE8"/>
    <w:rsid w:val="00E40D4A"/>
    <w:rsid w:val="00E412D0"/>
    <w:rsid w:val="00E42966"/>
    <w:rsid w:val="00E42D77"/>
    <w:rsid w:val="00E4420D"/>
    <w:rsid w:val="00E4547A"/>
    <w:rsid w:val="00E46422"/>
    <w:rsid w:val="00E46812"/>
    <w:rsid w:val="00E46FDD"/>
    <w:rsid w:val="00E472E5"/>
    <w:rsid w:val="00E47414"/>
    <w:rsid w:val="00E517D4"/>
    <w:rsid w:val="00E52AB9"/>
    <w:rsid w:val="00E53E2A"/>
    <w:rsid w:val="00E54C08"/>
    <w:rsid w:val="00E55D0E"/>
    <w:rsid w:val="00E56322"/>
    <w:rsid w:val="00E5639F"/>
    <w:rsid w:val="00E572F6"/>
    <w:rsid w:val="00E57498"/>
    <w:rsid w:val="00E60714"/>
    <w:rsid w:val="00E60982"/>
    <w:rsid w:val="00E609CF"/>
    <w:rsid w:val="00E60BF2"/>
    <w:rsid w:val="00E61ABA"/>
    <w:rsid w:val="00E61AF1"/>
    <w:rsid w:val="00E61D83"/>
    <w:rsid w:val="00E620AC"/>
    <w:rsid w:val="00E62541"/>
    <w:rsid w:val="00E62C62"/>
    <w:rsid w:val="00E64A56"/>
    <w:rsid w:val="00E654C1"/>
    <w:rsid w:val="00E654E5"/>
    <w:rsid w:val="00E659DB"/>
    <w:rsid w:val="00E65D97"/>
    <w:rsid w:val="00E65F8E"/>
    <w:rsid w:val="00E7028B"/>
    <w:rsid w:val="00E70709"/>
    <w:rsid w:val="00E7074A"/>
    <w:rsid w:val="00E71536"/>
    <w:rsid w:val="00E7154A"/>
    <w:rsid w:val="00E715AB"/>
    <w:rsid w:val="00E71D74"/>
    <w:rsid w:val="00E71E77"/>
    <w:rsid w:val="00E72A5A"/>
    <w:rsid w:val="00E72C09"/>
    <w:rsid w:val="00E73354"/>
    <w:rsid w:val="00E75332"/>
    <w:rsid w:val="00E75C4B"/>
    <w:rsid w:val="00E75E4A"/>
    <w:rsid w:val="00E76159"/>
    <w:rsid w:val="00E76470"/>
    <w:rsid w:val="00E768A1"/>
    <w:rsid w:val="00E7727B"/>
    <w:rsid w:val="00E808C4"/>
    <w:rsid w:val="00E81A86"/>
    <w:rsid w:val="00E8210F"/>
    <w:rsid w:val="00E821DE"/>
    <w:rsid w:val="00E84089"/>
    <w:rsid w:val="00E843A6"/>
    <w:rsid w:val="00E84D02"/>
    <w:rsid w:val="00E84E9A"/>
    <w:rsid w:val="00E8665C"/>
    <w:rsid w:val="00E8764D"/>
    <w:rsid w:val="00E91C2D"/>
    <w:rsid w:val="00E9242D"/>
    <w:rsid w:val="00E932AF"/>
    <w:rsid w:val="00E93DA3"/>
    <w:rsid w:val="00E967D9"/>
    <w:rsid w:val="00E9782D"/>
    <w:rsid w:val="00EA13EF"/>
    <w:rsid w:val="00EA30C7"/>
    <w:rsid w:val="00EA37A6"/>
    <w:rsid w:val="00EA3A54"/>
    <w:rsid w:val="00EA403B"/>
    <w:rsid w:val="00EA4DBD"/>
    <w:rsid w:val="00EA5CEE"/>
    <w:rsid w:val="00EA631C"/>
    <w:rsid w:val="00EA7939"/>
    <w:rsid w:val="00EB0B7B"/>
    <w:rsid w:val="00EB0CA7"/>
    <w:rsid w:val="00EB157E"/>
    <w:rsid w:val="00EB1651"/>
    <w:rsid w:val="00EB2404"/>
    <w:rsid w:val="00EB45C8"/>
    <w:rsid w:val="00EB5255"/>
    <w:rsid w:val="00EB5C47"/>
    <w:rsid w:val="00EB67F4"/>
    <w:rsid w:val="00EC0142"/>
    <w:rsid w:val="00EC075C"/>
    <w:rsid w:val="00EC15D0"/>
    <w:rsid w:val="00EC1AFB"/>
    <w:rsid w:val="00EC2682"/>
    <w:rsid w:val="00EC5274"/>
    <w:rsid w:val="00EC6111"/>
    <w:rsid w:val="00EC6BCB"/>
    <w:rsid w:val="00EC7D39"/>
    <w:rsid w:val="00ED0160"/>
    <w:rsid w:val="00ED0639"/>
    <w:rsid w:val="00ED1C30"/>
    <w:rsid w:val="00ED1D1D"/>
    <w:rsid w:val="00ED288B"/>
    <w:rsid w:val="00ED7280"/>
    <w:rsid w:val="00EE24DE"/>
    <w:rsid w:val="00EE2D95"/>
    <w:rsid w:val="00EE36C4"/>
    <w:rsid w:val="00EE4321"/>
    <w:rsid w:val="00EE546E"/>
    <w:rsid w:val="00EE5D0B"/>
    <w:rsid w:val="00EE72E5"/>
    <w:rsid w:val="00EF0756"/>
    <w:rsid w:val="00EF0800"/>
    <w:rsid w:val="00EF0DBA"/>
    <w:rsid w:val="00EF0EC5"/>
    <w:rsid w:val="00EF193F"/>
    <w:rsid w:val="00EF3FFE"/>
    <w:rsid w:val="00EF4755"/>
    <w:rsid w:val="00EF510E"/>
    <w:rsid w:val="00EF5309"/>
    <w:rsid w:val="00EF6F4B"/>
    <w:rsid w:val="00EF7135"/>
    <w:rsid w:val="00EF7226"/>
    <w:rsid w:val="00EF793E"/>
    <w:rsid w:val="00F01F0D"/>
    <w:rsid w:val="00F027DB"/>
    <w:rsid w:val="00F02F2F"/>
    <w:rsid w:val="00F0474D"/>
    <w:rsid w:val="00F06168"/>
    <w:rsid w:val="00F062D4"/>
    <w:rsid w:val="00F06A6C"/>
    <w:rsid w:val="00F06FDC"/>
    <w:rsid w:val="00F074CB"/>
    <w:rsid w:val="00F07D14"/>
    <w:rsid w:val="00F10496"/>
    <w:rsid w:val="00F11A64"/>
    <w:rsid w:val="00F14A7A"/>
    <w:rsid w:val="00F17505"/>
    <w:rsid w:val="00F17DB1"/>
    <w:rsid w:val="00F17DB4"/>
    <w:rsid w:val="00F214AD"/>
    <w:rsid w:val="00F21D6E"/>
    <w:rsid w:val="00F21F9C"/>
    <w:rsid w:val="00F21FF8"/>
    <w:rsid w:val="00F2275D"/>
    <w:rsid w:val="00F22985"/>
    <w:rsid w:val="00F23D2F"/>
    <w:rsid w:val="00F250F5"/>
    <w:rsid w:val="00F30DF0"/>
    <w:rsid w:val="00F31CC2"/>
    <w:rsid w:val="00F31ED0"/>
    <w:rsid w:val="00F3383E"/>
    <w:rsid w:val="00F3530F"/>
    <w:rsid w:val="00F35E5B"/>
    <w:rsid w:val="00F360FC"/>
    <w:rsid w:val="00F419B5"/>
    <w:rsid w:val="00F42756"/>
    <w:rsid w:val="00F42822"/>
    <w:rsid w:val="00F43F3D"/>
    <w:rsid w:val="00F4401F"/>
    <w:rsid w:val="00F445FB"/>
    <w:rsid w:val="00F446CD"/>
    <w:rsid w:val="00F447B3"/>
    <w:rsid w:val="00F44D08"/>
    <w:rsid w:val="00F45043"/>
    <w:rsid w:val="00F465A7"/>
    <w:rsid w:val="00F46851"/>
    <w:rsid w:val="00F47447"/>
    <w:rsid w:val="00F50B7C"/>
    <w:rsid w:val="00F5106C"/>
    <w:rsid w:val="00F51450"/>
    <w:rsid w:val="00F51AE4"/>
    <w:rsid w:val="00F51C1C"/>
    <w:rsid w:val="00F51EE2"/>
    <w:rsid w:val="00F52323"/>
    <w:rsid w:val="00F5285E"/>
    <w:rsid w:val="00F53A07"/>
    <w:rsid w:val="00F54D3A"/>
    <w:rsid w:val="00F54F63"/>
    <w:rsid w:val="00F550E6"/>
    <w:rsid w:val="00F56030"/>
    <w:rsid w:val="00F576FB"/>
    <w:rsid w:val="00F605C7"/>
    <w:rsid w:val="00F6111F"/>
    <w:rsid w:val="00F63F30"/>
    <w:rsid w:val="00F64F65"/>
    <w:rsid w:val="00F66060"/>
    <w:rsid w:val="00F6696A"/>
    <w:rsid w:val="00F71CE5"/>
    <w:rsid w:val="00F7251B"/>
    <w:rsid w:val="00F7288B"/>
    <w:rsid w:val="00F729AA"/>
    <w:rsid w:val="00F72C28"/>
    <w:rsid w:val="00F74345"/>
    <w:rsid w:val="00F76426"/>
    <w:rsid w:val="00F77E47"/>
    <w:rsid w:val="00F807A7"/>
    <w:rsid w:val="00F80A0A"/>
    <w:rsid w:val="00F822D5"/>
    <w:rsid w:val="00F827DE"/>
    <w:rsid w:val="00F82B19"/>
    <w:rsid w:val="00F83417"/>
    <w:rsid w:val="00F845F5"/>
    <w:rsid w:val="00F84C19"/>
    <w:rsid w:val="00F84F9E"/>
    <w:rsid w:val="00F866C3"/>
    <w:rsid w:val="00F86D56"/>
    <w:rsid w:val="00F90C87"/>
    <w:rsid w:val="00F9212D"/>
    <w:rsid w:val="00F92835"/>
    <w:rsid w:val="00F93360"/>
    <w:rsid w:val="00F9381E"/>
    <w:rsid w:val="00F943BD"/>
    <w:rsid w:val="00F94E7D"/>
    <w:rsid w:val="00F9557A"/>
    <w:rsid w:val="00F965DA"/>
    <w:rsid w:val="00F96F50"/>
    <w:rsid w:val="00FA0007"/>
    <w:rsid w:val="00FA02A4"/>
    <w:rsid w:val="00FA2957"/>
    <w:rsid w:val="00FA406A"/>
    <w:rsid w:val="00FA49A4"/>
    <w:rsid w:val="00FA505D"/>
    <w:rsid w:val="00FA513C"/>
    <w:rsid w:val="00FA53BE"/>
    <w:rsid w:val="00FA646F"/>
    <w:rsid w:val="00FA6ECE"/>
    <w:rsid w:val="00FA7171"/>
    <w:rsid w:val="00FB0145"/>
    <w:rsid w:val="00FB4CB8"/>
    <w:rsid w:val="00FB503A"/>
    <w:rsid w:val="00FB516C"/>
    <w:rsid w:val="00FB56CD"/>
    <w:rsid w:val="00FC0791"/>
    <w:rsid w:val="00FC0DCF"/>
    <w:rsid w:val="00FC1C52"/>
    <w:rsid w:val="00FC1FE1"/>
    <w:rsid w:val="00FC229F"/>
    <w:rsid w:val="00FC2984"/>
    <w:rsid w:val="00FC5EA2"/>
    <w:rsid w:val="00FC62C9"/>
    <w:rsid w:val="00FD0236"/>
    <w:rsid w:val="00FD14D6"/>
    <w:rsid w:val="00FD18F4"/>
    <w:rsid w:val="00FD2026"/>
    <w:rsid w:val="00FD2445"/>
    <w:rsid w:val="00FD2DC5"/>
    <w:rsid w:val="00FD54DB"/>
    <w:rsid w:val="00FD5669"/>
    <w:rsid w:val="00FD619F"/>
    <w:rsid w:val="00FE1671"/>
    <w:rsid w:val="00FE1F1B"/>
    <w:rsid w:val="00FE21C5"/>
    <w:rsid w:val="00FE3B1B"/>
    <w:rsid w:val="00FE3F92"/>
    <w:rsid w:val="00FE4C2A"/>
    <w:rsid w:val="00FE6B77"/>
    <w:rsid w:val="00FE7477"/>
    <w:rsid w:val="00FF01C4"/>
    <w:rsid w:val="00FF024F"/>
    <w:rsid w:val="00FF02DE"/>
    <w:rsid w:val="00FF0D2A"/>
    <w:rsid w:val="00FF4A44"/>
    <w:rsid w:val="00FF4BA7"/>
    <w:rsid w:val="00FF776F"/>
    <w:rsid w:val="00FF7806"/>
    <w:rsid w:val="01290F7E"/>
    <w:rsid w:val="013A7508"/>
    <w:rsid w:val="015D1E09"/>
    <w:rsid w:val="01BD5B5D"/>
    <w:rsid w:val="023342E3"/>
    <w:rsid w:val="025A388F"/>
    <w:rsid w:val="02697903"/>
    <w:rsid w:val="02D705E3"/>
    <w:rsid w:val="02E444BF"/>
    <w:rsid w:val="02F96569"/>
    <w:rsid w:val="030B6598"/>
    <w:rsid w:val="030D6B4E"/>
    <w:rsid w:val="036D7B71"/>
    <w:rsid w:val="03AA3837"/>
    <w:rsid w:val="03BF5B1F"/>
    <w:rsid w:val="03CE055B"/>
    <w:rsid w:val="03E25F57"/>
    <w:rsid w:val="03EA7B21"/>
    <w:rsid w:val="040B0D14"/>
    <w:rsid w:val="040E3D13"/>
    <w:rsid w:val="04160E19"/>
    <w:rsid w:val="04162720"/>
    <w:rsid w:val="04221DEB"/>
    <w:rsid w:val="043D4D5D"/>
    <w:rsid w:val="04457214"/>
    <w:rsid w:val="04667DE1"/>
    <w:rsid w:val="04783CB3"/>
    <w:rsid w:val="04AC7F7B"/>
    <w:rsid w:val="04C4204D"/>
    <w:rsid w:val="04FB1F9E"/>
    <w:rsid w:val="0528045E"/>
    <w:rsid w:val="05687CD1"/>
    <w:rsid w:val="056E35E4"/>
    <w:rsid w:val="05B178CA"/>
    <w:rsid w:val="05F83EAE"/>
    <w:rsid w:val="062A086E"/>
    <w:rsid w:val="06330C24"/>
    <w:rsid w:val="063E7D85"/>
    <w:rsid w:val="06567A33"/>
    <w:rsid w:val="06884B85"/>
    <w:rsid w:val="068E4EAD"/>
    <w:rsid w:val="06EA381B"/>
    <w:rsid w:val="06F21F49"/>
    <w:rsid w:val="07293586"/>
    <w:rsid w:val="07295285"/>
    <w:rsid w:val="07636392"/>
    <w:rsid w:val="07770C56"/>
    <w:rsid w:val="0778511C"/>
    <w:rsid w:val="0780281E"/>
    <w:rsid w:val="07991F77"/>
    <w:rsid w:val="07BD302C"/>
    <w:rsid w:val="07BF387E"/>
    <w:rsid w:val="08104BD7"/>
    <w:rsid w:val="082B2AAF"/>
    <w:rsid w:val="083157AF"/>
    <w:rsid w:val="08485614"/>
    <w:rsid w:val="0849392A"/>
    <w:rsid w:val="087D1CE6"/>
    <w:rsid w:val="08955AD0"/>
    <w:rsid w:val="08A549F1"/>
    <w:rsid w:val="08C161AC"/>
    <w:rsid w:val="08E81D8D"/>
    <w:rsid w:val="091D0DD3"/>
    <w:rsid w:val="092217DD"/>
    <w:rsid w:val="092F02C1"/>
    <w:rsid w:val="093A1B39"/>
    <w:rsid w:val="093A7294"/>
    <w:rsid w:val="09633D75"/>
    <w:rsid w:val="096473AA"/>
    <w:rsid w:val="0966746C"/>
    <w:rsid w:val="09727371"/>
    <w:rsid w:val="09903C9B"/>
    <w:rsid w:val="09E37CC7"/>
    <w:rsid w:val="09FE2FD0"/>
    <w:rsid w:val="0A263993"/>
    <w:rsid w:val="0A2D3AC2"/>
    <w:rsid w:val="0A2E30DF"/>
    <w:rsid w:val="0A501172"/>
    <w:rsid w:val="0A734F0F"/>
    <w:rsid w:val="0A79663D"/>
    <w:rsid w:val="0A8867FB"/>
    <w:rsid w:val="0A8A2498"/>
    <w:rsid w:val="0A9F78D3"/>
    <w:rsid w:val="0AA755DF"/>
    <w:rsid w:val="0AF304B0"/>
    <w:rsid w:val="0AF67B2D"/>
    <w:rsid w:val="0B120D44"/>
    <w:rsid w:val="0B2B04B1"/>
    <w:rsid w:val="0B2D7324"/>
    <w:rsid w:val="0B333751"/>
    <w:rsid w:val="0B3E4AF6"/>
    <w:rsid w:val="0B52745A"/>
    <w:rsid w:val="0B62773F"/>
    <w:rsid w:val="0B6E638C"/>
    <w:rsid w:val="0B957346"/>
    <w:rsid w:val="0BBD044F"/>
    <w:rsid w:val="0BC651AA"/>
    <w:rsid w:val="0BCF09E4"/>
    <w:rsid w:val="0BD27BF6"/>
    <w:rsid w:val="0BE14546"/>
    <w:rsid w:val="0BE4393B"/>
    <w:rsid w:val="0C192441"/>
    <w:rsid w:val="0C197F77"/>
    <w:rsid w:val="0C2E61BB"/>
    <w:rsid w:val="0C303DDF"/>
    <w:rsid w:val="0C3B3C7D"/>
    <w:rsid w:val="0C3D5C93"/>
    <w:rsid w:val="0C9910B8"/>
    <w:rsid w:val="0CAB2EAE"/>
    <w:rsid w:val="0CAF1838"/>
    <w:rsid w:val="0CE01F0B"/>
    <w:rsid w:val="0D1D1C73"/>
    <w:rsid w:val="0D3F2ADE"/>
    <w:rsid w:val="0D5B1396"/>
    <w:rsid w:val="0D621C7D"/>
    <w:rsid w:val="0D6C40D7"/>
    <w:rsid w:val="0D777F05"/>
    <w:rsid w:val="0DB10A51"/>
    <w:rsid w:val="0DB86859"/>
    <w:rsid w:val="0DDC29CF"/>
    <w:rsid w:val="0DE016F7"/>
    <w:rsid w:val="0DF51FE3"/>
    <w:rsid w:val="0E15041A"/>
    <w:rsid w:val="0E245887"/>
    <w:rsid w:val="0E453D42"/>
    <w:rsid w:val="0E73034D"/>
    <w:rsid w:val="0E7B4336"/>
    <w:rsid w:val="0E832E57"/>
    <w:rsid w:val="0E9C09EC"/>
    <w:rsid w:val="0EB93DFB"/>
    <w:rsid w:val="0ECD1F7D"/>
    <w:rsid w:val="0EF16C12"/>
    <w:rsid w:val="0F012B9B"/>
    <w:rsid w:val="0F016425"/>
    <w:rsid w:val="0F13775A"/>
    <w:rsid w:val="0F1A028E"/>
    <w:rsid w:val="0F1E33F9"/>
    <w:rsid w:val="0F330968"/>
    <w:rsid w:val="0F493B06"/>
    <w:rsid w:val="0F5B1796"/>
    <w:rsid w:val="0F5F45FE"/>
    <w:rsid w:val="0F822E6A"/>
    <w:rsid w:val="0F8712C2"/>
    <w:rsid w:val="0F9A112B"/>
    <w:rsid w:val="0FA47B58"/>
    <w:rsid w:val="0FE62487"/>
    <w:rsid w:val="100D1023"/>
    <w:rsid w:val="100F743E"/>
    <w:rsid w:val="102A7B27"/>
    <w:rsid w:val="1047721D"/>
    <w:rsid w:val="105E12DB"/>
    <w:rsid w:val="106D1753"/>
    <w:rsid w:val="106D2F64"/>
    <w:rsid w:val="10B63710"/>
    <w:rsid w:val="10E063A0"/>
    <w:rsid w:val="10F10820"/>
    <w:rsid w:val="10FA2C0C"/>
    <w:rsid w:val="11091B11"/>
    <w:rsid w:val="111C2F7A"/>
    <w:rsid w:val="112B3750"/>
    <w:rsid w:val="11373F0E"/>
    <w:rsid w:val="11665CA1"/>
    <w:rsid w:val="118B7310"/>
    <w:rsid w:val="11C048A3"/>
    <w:rsid w:val="11CF4E41"/>
    <w:rsid w:val="11D64C17"/>
    <w:rsid w:val="12044FAB"/>
    <w:rsid w:val="125B6C0C"/>
    <w:rsid w:val="127A7296"/>
    <w:rsid w:val="128B7C77"/>
    <w:rsid w:val="12B26709"/>
    <w:rsid w:val="132772E9"/>
    <w:rsid w:val="1337349D"/>
    <w:rsid w:val="133C28BD"/>
    <w:rsid w:val="133D55CE"/>
    <w:rsid w:val="13474CC3"/>
    <w:rsid w:val="134E6761"/>
    <w:rsid w:val="137666E0"/>
    <w:rsid w:val="138D1EF9"/>
    <w:rsid w:val="13951726"/>
    <w:rsid w:val="139A6B95"/>
    <w:rsid w:val="13FC61B5"/>
    <w:rsid w:val="14070E56"/>
    <w:rsid w:val="140B63F8"/>
    <w:rsid w:val="14167A5A"/>
    <w:rsid w:val="14396509"/>
    <w:rsid w:val="145B1315"/>
    <w:rsid w:val="14C667C2"/>
    <w:rsid w:val="14C83213"/>
    <w:rsid w:val="14DD2C3C"/>
    <w:rsid w:val="14E32AC2"/>
    <w:rsid w:val="14E43B15"/>
    <w:rsid w:val="150006F9"/>
    <w:rsid w:val="150F7187"/>
    <w:rsid w:val="152F3C74"/>
    <w:rsid w:val="15445EE3"/>
    <w:rsid w:val="154C316C"/>
    <w:rsid w:val="157F3A02"/>
    <w:rsid w:val="15A703A2"/>
    <w:rsid w:val="15B825AF"/>
    <w:rsid w:val="15E51D87"/>
    <w:rsid w:val="15FE3438"/>
    <w:rsid w:val="16030781"/>
    <w:rsid w:val="16087E1D"/>
    <w:rsid w:val="163953FC"/>
    <w:rsid w:val="16412CB1"/>
    <w:rsid w:val="16526DEE"/>
    <w:rsid w:val="16665BA1"/>
    <w:rsid w:val="167618E8"/>
    <w:rsid w:val="167D03D0"/>
    <w:rsid w:val="1697523C"/>
    <w:rsid w:val="17034E81"/>
    <w:rsid w:val="17125CEF"/>
    <w:rsid w:val="17701D14"/>
    <w:rsid w:val="17735226"/>
    <w:rsid w:val="177A45B1"/>
    <w:rsid w:val="177E0271"/>
    <w:rsid w:val="17921AB8"/>
    <w:rsid w:val="17CE30C4"/>
    <w:rsid w:val="17D87BA1"/>
    <w:rsid w:val="17D9363D"/>
    <w:rsid w:val="17E8062F"/>
    <w:rsid w:val="17EB698F"/>
    <w:rsid w:val="17EF4F49"/>
    <w:rsid w:val="189F624C"/>
    <w:rsid w:val="18B52FA9"/>
    <w:rsid w:val="19214221"/>
    <w:rsid w:val="19614D0C"/>
    <w:rsid w:val="19D1771F"/>
    <w:rsid w:val="19D41982"/>
    <w:rsid w:val="19D5742F"/>
    <w:rsid w:val="19DD7E74"/>
    <w:rsid w:val="19F52CAF"/>
    <w:rsid w:val="1A165AF6"/>
    <w:rsid w:val="1A1C66C0"/>
    <w:rsid w:val="1A3E3BAF"/>
    <w:rsid w:val="1A42393B"/>
    <w:rsid w:val="1A5C26E5"/>
    <w:rsid w:val="1AA3038A"/>
    <w:rsid w:val="1AAD45DE"/>
    <w:rsid w:val="1AD63654"/>
    <w:rsid w:val="1ADE34AA"/>
    <w:rsid w:val="1AF00425"/>
    <w:rsid w:val="1AFF2A2E"/>
    <w:rsid w:val="1B046F80"/>
    <w:rsid w:val="1B2D759B"/>
    <w:rsid w:val="1B3267B5"/>
    <w:rsid w:val="1B40161D"/>
    <w:rsid w:val="1B441859"/>
    <w:rsid w:val="1B63483B"/>
    <w:rsid w:val="1B6606B1"/>
    <w:rsid w:val="1B904708"/>
    <w:rsid w:val="1B950AAD"/>
    <w:rsid w:val="1BA6544E"/>
    <w:rsid w:val="1BAC40F2"/>
    <w:rsid w:val="1BC21019"/>
    <w:rsid w:val="1BE71D5D"/>
    <w:rsid w:val="1C153640"/>
    <w:rsid w:val="1C1A70C6"/>
    <w:rsid w:val="1C4C2F59"/>
    <w:rsid w:val="1C5E7925"/>
    <w:rsid w:val="1C632B49"/>
    <w:rsid w:val="1C6F14EE"/>
    <w:rsid w:val="1CA4789C"/>
    <w:rsid w:val="1CFD070F"/>
    <w:rsid w:val="1CFF73D1"/>
    <w:rsid w:val="1D2223BB"/>
    <w:rsid w:val="1D2C1A71"/>
    <w:rsid w:val="1D4C4116"/>
    <w:rsid w:val="1D4C443F"/>
    <w:rsid w:val="1D5F6196"/>
    <w:rsid w:val="1D6132A5"/>
    <w:rsid w:val="1D6C5A10"/>
    <w:rsid w:val="1D8658DB"/>
    <w:rsid w:val="1D8E56D5"/>
    <w:rsid w:val="1DB01AEA"/>
    <w:rsid w:val="1DB96EC4"/>
    <w:rsid w:val="1DC7657E"/>
    <w:rsid w:val="1E0370FB"/>
    <w:rsid w:val="1E210555"/>
    <w:rsid w:val="1E3F0536"/>
    <w:rsid w:val="1E6037E4"/>
    <w:rsid w:val="1E6432D4"/>
    <w:rsid w:val="1E7A43DA"/>
    <w:rsid w:val="1E8227AD"/>
    <w:rsid w:val="1E991488"/>
    <w:rsid w:val="1E9C4C8B"/>
    <w:rsid w:val="1ED57D2E"/>
    <w:rsid w:val="1EDE7747"/>
    <w:rsid w:val="1F3117D9"/>
    <w:rsid w:val="1F4051CF"/>
    <w:rsid w:val="1F5A2208"/>
    <w:rsid w:val="1F7156F7"/>
    <w:rsid w:val="1F836BC3"/>
    <w:rsid w:val="1FB96ABE"/>
    <w:rsid w:val="1FC16830"/>
    <w:rsid w:val="1FCC2F8A"/>
    <w:rsid w:val="1FD92024"/>
    <w:rsid w:val="1FE7539E"/>
    <w:rsid w:val="1FF35A9C"/>
    <w:rsid w:val="201C37F2"/>
    <w:rsid w:val="20671BE0"/>
    <w:rsid w:val="20963CB8"/>
    <w:rsid w:val="20A81A1B"/>
    <w:rsid w:val="20B07FB6"/>
    <w:rsid w:val="20B521B6"/>
    <w:rsid w:val="20B646FB"/>
    <w:rsid w:val="20C866F4"/>
    <w:rsid w:val="20D364EF"/>
    <w:rsid w:val="20E4667C"/>
    <w:rsid w:val="20E56222"/>
    <w:rsid w:val="20F279E4"/>
    <w:rsid w:val="210807DB"/>
    <w:rsid w:val="21100236"/>
    <w:rsid w:val="21350F58"/>
    <w:rsid w:val="213B74B1"/>
    <w:rsid w:val="21443B48"/>
    <w:rsid w:val="215A2310"/>
    <w:rsid w:val="216576F5"/>
    <w:rsid w:val="2181701B"/>
    <w:rsid w:val="218E7147"/>
    <w:rsid w:val="219B091A"/>
    <w:rsid w:val="21A326A4"/>
    <w:rsid w:val="21A838DA"/>
    <w:rsid w:val="21DE318A"/>
    <w:rsid w:val="21EF5B80"/>
    <w:rsid w:val="22032E04"/>
    <w:rsid w:val="22035C82"/>
    <w:rsid w:val="22423E39"/>
    <w:rsid w:val="22576990"/>
    <w:rsid w:val="228D1A12"/>
    <w:rsid w:val="229337BF"/>
    <w:rsid w:val="22AE6EB6"/>
    <w:rsid w:val="22D622C7"/>
    <w:rsid w:val="22F47480"/>
    <w:rsid w:val="23996427"/>
    <w:rsid w:val="23C860B3"/>
    <w:rsid w:val="23DE1C48"/>
    <w:rsid w:val="23F104A3"/>
    <w:rsid w:val="240210CD"/>
    <w:rsid w:val="241D2EBE"/>
    <w:rsid w:val="24417C14"/>
    <w:rsid w:val="246427CD"/>
    <w:rsid w:val="24692C9A"/>
    <w:rsid w:val="24993148"/>
    <w:rsid w:val="24A86B2E"/>
    <w:rsid w:val="24B53B64"/>
    <w:rsid w:val="24BF09F7"/>
    <w:rsid w:val="24EA2059"/>
    <w:rsid w:val="24F15531"/>
    <w:rsid w:val="24F83FA2"/>
    <w:rsid w:val="251F10C7"/>
    <w:rsid w:val="252D53FE"/>
    <w:rsid w:val="25457290"/>
    <w:rsid w:val="256F0049"/>
    <w:rsid w:val="257F1724"/>
    <w:rsid w:val="25EC2D81"/>
    <w:rsid w:val="25FF38E2"/>
    <w:rsid w:val="26115753"/>
    <w:rsid w:val="26137703"/>
    <w:rsid w:val="26396FB4"/>
    <w:rsid w:val="264A1001"/>
    <w:rsid w:val="264C30AD"/>
    <w:rsid w:val="26886EAB"/>
    <w:rsid w:val="26AA51CD"/>
    <w:rsid w:val="26E63D59"/>
    <w:rsid w:val="26EB3E67"/>
    <w:rsid w:val="27254C5E"/>
    <w:rsid w:val="272F2675"/>
    <w:rsid w:val="273448C7"/>
    <w:rsid w:val="273924B6"/>
    <w:rsid w:val="275102E5"/>
    <w:rsid w:val="277057A2"/>
    <w:rsid w:val="277718B8"/>
    <w:rsid w:val="27C34AE5"/>
    <w:rsid w:val="27CF75F8"/>
    <w:rsid w:val="27E06619"/>
    <w:rsid w:val="27F03E2A"/>
    <w:rsid w:val="27F83520"/>
    <w:rsid w:val="2854284F"/>
    <w:rsid w:val="289C4ED9"/>
    <w:rsid w:val="28D95648"/>
    <w:rsid w:val="28E87E39"/>
    <w:rsid w:val="290763A8"/>
    <w:rsid w:val="29206EB8"/>
    <w:rsid w:val="295259E3"/>
    <w:rsid w:val="29595666"/>
    <w:rsid w:val="296D1601"/>
    <w:rsid w:val="2973514F"/>
    <w:rsid w:val="29874881"/>
    <w:rsid w:val="298A7967"/>
    <w:rsid w:val="29B03871"/>
    <w:rsid w:val="29E325E0"/>
    <w:rsid w:val="2A036979"/>
    <w:rsid w:val="2A452503"/>
    <w:rsid w:val="2A595197"/>
    <w:rsid w:val="2A7103F0"/>
    <w:rsid w:val="2AC522CE"/>
    <w:rsid w:val="2AC62F20"/>
    <w:rsid w:val="2B1E0CAF"/>
    <w:rsid w:val="2B2A4CD8"/>
    <w:rsid w:val="2B832A70"/>
    <w:rsid w:val="2B8B5A60"/>
    <w:rsid w:val="2B936FA7"/>
    <w:rsid w:val="2BA936A8"/>
    <w:rsid w:val="2BE57233"/>
    <w:rsid w:val="2C002162"/>
    <w:rsid w:val="2C111BA1"/>
    <w:rsid w:val="2C315A5A"/>
    <w:rsid w:val="2C4B1C25"/>
    <w:rsid w:val="2C4F1B9F"/>
    <w:rsid w:val="2C6235AD"/>
    <w:rsid w:val="2C7C56D2"/>
    <w:rsid w:val="2C833CDD"/>
    <w:rsid w:val="2C8C558F"/>
    <w:rsid w:val="2C8F58F5"/>
    <w:rsid w:val="2C995D5E"/>
    <w:rsid w:val="2C9F3729"/>
    <w:rsid w:val="2CA349DC"/>
    <w:rsid w:val="2CAE7772"/>
    <w:rsid w:val="2CD67F39"/>
    <w:rsid w:val="2D0951FE"/>
    <w:rsid w:val="2D1C3E8C"/>
    <w:rsid w:val="2D2307FE"/>
    <w:rsid w:val="2D3B66A8"/>
    <w:rsid w:val="2D441F06"/>
    <w:rsid w:val="2D510490"/>
    <w:rsid w:val="2D7A01B7"/>
    <w:rsid w:val="2D856DC3"/>
    <w:rsid w:val="2D915768"/>
    <w:rsid w:val="2D9E56F5"/>
    <w:rsid w:val="2DC17BD8"/>
    <w:rsid w:val="2DC815E1"/>
    <w:rsid w:val="2DFA04B5"/>
    <w:rsid w:val="2E03471A"/>
    <w:rsid w:val="2E086E1B"/>
    <w:rsid w:val="2E101BF4"/>
    <w:rsid w:val="2E556EA4"/>
    <w:rsid w:val="2E567211"/>
    <w:rsid w:val="2E5977D4"/>
    <w:rsid w:val="2E6311D0"/>
    <w:rsid w:val="2E667F96"/>
    <w:rsid w:val="2E7110F5"/>
    <w:rsid w:val="2E8226AB"/>
    <w:rsid w:val="2EAB2F15"/>
    <w:rsid w:val="2EBE469D"/>
    <w:rsid w:val="2ED555DB"/>
    <w:rsid w:val="2F33480C"/>
    <w:rsid w:val="2F640B79"/>
    <w:rsid w:val="2F9A6CEB"/>
    <w:rsid w:val="2FD065E6"/>
    <w:rsid w:val="2FD96870"/>
    <w:rsid w:val="303E567B"/>
    <w:rsid w:val="304E7CC9"/>
    <w:rsid w:val="30580BC9"/>
    <w:rsid w:val="306D74E0"/>
    <w:rsid w:val="3083358B"/>
    <w:rsid w:val="30AB07C8"/>
    <w:rsid w:val="30BF3E1C"/>
    <w:rsid w:val="30CB71E3"/>
    <w:rsid w:val="30DC13F0"/>
    <w:rsid w:val="30DE4672"/>
    <w:rsid w:val="311E2ED7"/>
    <w:rsid w:val="31452518"/>
    <w:rsid w:val="31453E64"/>
    <w:rsid w:val="315619EE"/>
    <w:rsid w:val="315C449C"/>
    <w:rsid w:val="318E5797"/>
    <w:rsid w:val="318F040B"/>
    <w:rsid w:val="318F1FBE"/>
    <w:rsid w:val="31A00015"/>
    <w:rsid w:val="31B82709"/>
    <w:rsid w:val="31D05482"/>
    <w:rsid w:val="32186134"/>
    <w:rsid w:val="32195D2C"/>
    <w:rsid w:val="32400B34"/>
    <w:rsid w:val="324F39D5"/>
    <w:rsid w:val="325624F0"/>
    <w:rsid w:val="325677A6"/>
    <w:rsid w:val="325E1022"/>
    <w:rsid w:val="32601BAD"/>
    <w:rsid w:val="327B69E7"/>
    <w:rsid w:val="32891103"/>
    <w:rsid w:val="329E6876"/>
    <w:rsid w:val="32A04386"/>
    <w:rsid w:val="32B4017D"/>
    <w:rsid w:val="333015F2"/>
    <w:rsid w:val="334B6320"/>
    <w:rsid w:val="33925C3D"/>
    <w:rsid w:val="33947D60"/>
    <w:rsid w:val="33993702"/>
    <w:rsid w:val="33BE3BF0"/>
    <w:rsid w:val="33D44600"/>
    <w:rsid w:val="33D934D4"/>
    <w:rsid w:val="33E30F28"/>
    <w:rsid w:val="33FE2F6A"/>
    <w:rsid w:val="3404167E"/>
    <w:rsid w:val="340E07E5"/>
    <w:rsid w:val="34235BF7"/>
    <w:rsid w:val="34374741"/>
    <w:rsid w:val="346534AA"/>
    <w:rsid w:val="34E414F8"/>
    <w:rsid w:val="358C5FA8"/>
    <w:rsid w:val="359F2285"/>
    <w:rsid w:val="35C15DF1"/>
    <w:rsid w:val="36074A7F"/>
    <w:rsid w:val="361845E0"/>
    <w:rsid w:val="362464E4"/>
    <w:rsid w:val="368400BE"/>
    <w:rsid w:val="36923549"/>
    <w:rsid w:val="36B75FBF"/>
    <w:rsid w:val="36BD0C45"/>
    <w:rsid w:val="36EE608B"/>
    <w:rsid w:val="36F17277"/>
    <w:rsid w:val="37152977"/>
    <w:rsid w:val="371804F5"/>
    <w:rsid w:val="373B350A"/>
    <w:rsid w:val="3760442F"/>
    <w:rsid w:val="37E00298"/>
    <w:rsid w:val="37EF0C0E"/>
    <w:rsid w:val="381036D7"/>
    <w:rsid w:val="384D772E"/>
    <w:rsid w:val="385B0E4C"/>
    <w:rsid w:val="385E26EA"/>
    <w:rsid w:val="38663962"/>
    <w:rsid w:val="3873043E"/>
    <w:rsid w:val="3892387A"/>
    <w:rsid w:val="3895564A"/>
    <w:rsid w:val="38AD022B"/>
    <w:rsid w:val="38B302F9"/>
    <w:rsid w:val="38E5599A"/>
    <w:rsid w:val="38F12CD3"/>
    <w:rsid w:val="38F94775"/>
    <w:rsid w:val="390857DB"/>
    <w:rsid w:val="391060DB"/>
    <w:rsid w:val="392254C6"/>
    <w:rsid w:val="39266EAF"/>
    <w:rsid w:val="392971ED"/>
    <w:rsid w:val="39325651"/>
    <w:rsid w:val="39A425D1"/>
    <w:rsid w:val="39C048AB"/>
    <w:rsid w:val="39C54627"/>
    <w:rsid w:val="39F62503"/>
    <w:rsid w:val="3A0B68A2"/>
    <w:rsid w:val="3A4E65B2"/>
    <w:rsid w:val="3A6164C2"/>
    <w:rsid w:val="3A872856"/>
    <w:rsid w:val="3A9C1762"/>
    <w:rsid w:val="3AF018B9"/>
    <w:rsid w:val="3B230473"/>
    <w:rsid w:val="3B3763D1"/>
    <w:rsid w:val="3BF33A92"/>
    <w:rsid w:val="3BF97579"/>
    <w:rsid w:val="3C2F6E1E"/>
    <w:rsid w:val="3C4F64BA"/>
    <w:rsid w:val="3C62362B"/>
    <w:rsid w:val="3C8F6164"/>
    <w:rsid w:val="3C972F51"/>
    <w:rsid w:val="3CA41A0E"/>
    <w:rsid w:val="3CDA245A"/>
    <w:rsid w:val="3D1E06B7"/>
    <w:rsid w:val="3D3F1112"/>
    <w:rsid w:val="3D913DAB"/>
    <w:rsid w:val="3DDC62A4"/>
    <w:rsid w:val="3DE868F3"/>
    <w:rsid w:val="3E435F9D"/>
    <w:rsid w:val="3E6238BD"/>
    <w:rsid w:val="3E8C7C1C"/>
    <w:rsid w:val="3EA52C7A"/>
    <w:rsid w:val="3EA76E25"/>
    <w:rsid w:val="3EB02FC3"/>
    <w:rsid w:val="3EC939B1"/>
    <w:rsid w:val="3EDA0523"/>
    <w:rsid w:val="3F1562E6"/>
    <w:rsid w:val="3F656CDA"/>
    <w:rsid w:val="3F742314"/>
    <w:rsid w:val="3FDE5AE7"/>
    <w:rsid w:val="3FF1419F"/>
    <w:rsid w:val="3FFB06AA"/>
    <w:rsid w:val="4007415D"/>
    <w:rsid w:val="407A6407"/>
    <w:rsid w:val="40A767E3"/>
    <w:rsid w:val="40B55BE0"/>
    <w:rsid w:val="41067A28"/>
    <w:rsid w:val="411B6C2F"/>
    <w:rsid w:val="412A504D"/>
    <w:rsid w:val="41396295"/>
    <w:rsid w:val="41774B2D"/>
    <w:rsid w:val="41886A2A"/>
    <w:rsid w:val="418F7BE5"/>
    <w:rsid w:val="419572C7"/>
    <w:rsid w:val="41A53BAA"/>
    <w:rsid w:val="41C2393E"/>
    <w:rsid w:val="41D35F26"/>
    <w:rsid w:val="4200449D"/>
    <w:rsid w:val="423A3BCC"/>
    <w:rsid w:val="424E57D2"/>
    <w:rsid w:val="425F766F"/>
    <w:rsid w:val="426210ED"/>
    <w:rsid w:val="42802DC0"/>
    <w:rsid w:val="42880EAC"/>
    <w:rsid w:val="42B26C49"/>
    <w:rsid w:val="42E24939"/>
    <w:rsid w:val="42E63E00"/>
    <w:rsid w:val="42E84EF0"/>
    <w:rsid w:val="431A2344"/>
    <w:rsid w:val="43217976"/>
    <w:rsid w:val="433A6FE6"/>
    <w:rsid w:val="43480868"/>
    <w:rsid w:val="4350713C"/>
    <w:rsid w:val="436653E0"/>
    <w:rsid w:val="43770999"/>
    <w:rsid w:val="43AA46B1"/>
    <w:rsid w:val="43B71B72"/>
    <w:rsid w:val="43C4431A"/>
    <w:rsid w:val="43C770B6"/>
    <w:rsid w:val="43D23C67"/>
    <w:rsid w:val="43E00914"/>
    <w:rsid w:val="43E53A57"/>
    <w:rsid w:val="43EF3D80"/>
    <w:rsid w:val="440F6DEB"/>
    <w:rsid w:val="443A0675"/>
    <w:rsid w:val="447C21D5"/>
    <w:rsid w:val="44B951CC"/>
    <w:rsid w:val="44CD14E0"/>
    <w:rsid w:val="44DD3524"/>
    <w:rsid w:val="44F10582"/>
    <w:rsid w:val="44F20B0B"/>
    <w:rsid w:val="452E5F4C"/>
    <w:rsid w:val="45612018"/>
    <w:rsid w:val="45761C87"/>
    <w:rsid w:val="458946E9"/>
    <w:rsid w:val="45A47C0E"/>
    <w:rsid w:val="45C17590"/>
    <w:rsid w:val="45DC2FBC"/>
    <w:rsid w:val="460A1E2C"/>
    <w:rsid w:val="460F0C9B"/>
    <w:rsid w:val="4610144B"/>
    <w:rsid w:val="46253ED0"/>
    <w:rsid w:val="46532C26"/>
    <w:rsid w:val="46577FD6"/>
    <w:rsid w:val="467539CB"/>
    <w:rsid w:val="46757EC3"/>
    <w:rsid w:val="46790DB6"/>
    <w:rsid w:val="46832BC7"/>
    <w:rsid w:val="46B246B9"/>
    <w:rsid w:val="46D955A7"/>
    <w:rsid w:val="47133957"/>
    <w:rsid w:val="47557D06"/>
    <w:rsid w:val="47654E15"/>
    <w:rsid w:val="476B131A"/>
    <w:rsid w:val="476D688B"/>
    <w:rsid w:val="47786CD0"/>
    <w:rsid w:val="47A07E0C"/>
    <w:rsid w:val="47B67960"/>
    <w:rsid w:val="47BD685E"/>
    <w:rsid w:val="47C87B80"/>
    <w:rsid w:val="47E04740"/>
    <w:rsid w:val="4841626C"/>
    <w:rsid w:val="48521648"/>
    <w:rsid w:val="4870272E"/>
    <w:rsid w:val="48BA1F6E"/>
    <w:rsid w:val="48C01258"/>
    <w:rsid w:val="49564073"/>
    <w:rsid w:val="495C5686"/>
    <w:rsid w:val="497F6965"/>
    <w:rsid w:val="499A6821"/>
    <w:rsid w:val="49B23BA4"/>
    <w:rsid w:val="49C36851"/>
    <w:rsid w:val="49C90C9A"/>
    <w:rsid w:val="49DC7715"/>
    <w:rsid w:val="49F1506C"/>
    <w:rsid w:val="49FB6ADD"/>
    <w:rsid w:val="4A023139"/>
    <w:rsid w:val="4A035649"/>
    <w:rsid w:val="4A0529BC"/>
    <w:rsid w:val="4A0E7B55"/>
    <w:rsid w:val="4A1C1C8B"/>
    <w:rsid w:val="4A301A0D"/>
    <w:rsid w:val="4A3518BF"/>
    <w:rsid w:val="4A581582"/>
    <w:rsid w:val="4A5F6A3D"/>
    <w:rsid w:val="4A7B576F"/>
    <w:rsid w:val="4AB140CE"/>
    <w:rsid w:val="4AB819E1"/>
    <w:rsid w:val="4AC42881"/>
    <w:rsid w:val="4AC543A1"/>
    <w:rsid w:val="4AE44383"/>
    <w:rsid w:val="4AE64EED"/>
    <w:rsid w:val="4AF561A9"/>
    <w:rsid w:val="4B0A4692"/>
    <w:rsid w:val="4B270A60"/>
    <w:rsid w:val="4B3D2633"/>
    <w:rsid w:val="4B4212BF"/>
    <w:rsid w:val="4B511C11"/>
    <w:rsid w:val="4B55097D"/>
    <w:rsid w:val="4B647077"/>
    <w:rsid w:val="4B85255E"/>
    <w:rsid w:val="4BA84B1C"/>
    <w:rsid w:val="4BC33354"/>
    <w:rsid w:val="4BD05255"/>
    <w:rsid w:val="4BEA27BB"/>
    <w:rsid w:val="4BED451D"/>
    <w:rsid w:val="4C4A0649"/>
    <w:rsid w:val="4C7564F1"/>
    <w:rsid w:val="4C7E3C61"/>
    <w:rsid w:val="4C7E5ECA"/>
    <w:rsid w:val="4C876AA5"/>
    <w:rsid w:val="4C944958"/>
    <w:rsid w:val="4CE541DA"/>
    <w:rsid w:val="4D0E00FB"/>
    <w:rsid w:val="4D176606"/>
    <w:rsid w:val="4D1E18AA"/>
    <w:rsid w:val="4D2D32B1"/>
    <w:rsid w:val="4D357A66"/>
    <w:rsid w:val="4D5E5575"/>
    <w:rsid w:val="4D752874"/>
    <w:rsid w:val="4D7C6D74"/>
    <w:rsid w:val="4D9E4BF3"/>
    <w:rsid w:val="4DC4528E"/>
    <w:rsid w:val="4DD95AC2"/>
    <w:rsid w:val="4DDB7637"/>
    <w:rsid w:val="4DEC4FB0"/>
    <w:rsid w:val="4E075D8A"/>
    <w:rsid w:val="4E2B3A93"/>
    <w:rsid w:val="4E9C58C3"/>
    <w:rsid w:val="4EAC46BA"/>
    <w:rsid w:val="4EC00FAD"/>
    <w:rsid w:val="4EC32CAC"/>
    <w:rsid w:val="4EFE2872"/>
    <w:rsid w:val="4F0C7FA9"/>
    <w:rsid w:val="4F2002A2"/>
    <w:rsid w:val="4F9843DC"/>
    <w:rsid w:val="4FAB08DA"/>
    <w:rsid w:val="4FC62A8C"/>
    <w:rsid w:val="4FD4493A"/>
    <w:rsid w:val="4FDC066D"/>
    <w:rsid w:val="4FE20F0D"/>
    <w:rsid w:val="4FE51552"/>
    <w:rsid w:val="502A7A0B"/>
    <w:rsid w:val="50504C4B"/>
    <w:rsid w:val="50527F26"/>
    <w:rsid w:val="505779BC"/>
    <w:rsid w:val="505D4B05"/>
    <w:rsid w:val="50715259"/>
    <w:rsid w:val="509C6E7C"/>
    <w:rsid w:val="50AA076B"/>
    <w:rsid w:val="50AA195C"/>
    <w:rsid w:val="50B455BD"/>
    <w:rsid w:val="511469E4"/>
    <w:rsid w:val="5150714B"/>
    <w:rsid w:val="5162104E"/>
    <w:rsid w:val="517F2305"/>
    <w:rsid w:val="5190287A"/>
    <w:rsid w:val="51AE0F7B"/>
    <w:rsid w:val="52971029"/>
    <w:rsid w:val="52A76E76"/>
    <w:rsid w:val="52AA2CA4"/>
    <w:rsid w:val="52AE3BC4"/>
    <w:rsid w:val="52AF3E2F"/>
    <w:rsid w:val="52E15E82"/>
    <w:rsid w:val="52F54395"/>
    <w:rsid w:val="52FD1026"/>
    <w:rsid w:val="53052BED"/>
    <w:rsid w:val="534132A4"/>
    <w:rsid w:val="535D5631"/>
    <w:rsid w:val="536E2CA2"/>
    <w:rsid w:val="53976D35"/>
    <w:rsid w:val="53A039CC"/>
    <w:rsid w:val="53A1505A"/>
    <w:rsid w:val="53F64ED8"/>
    <w:rsid w:val="53F9421E"/>
    <w:rsid w:val="54063E08"/>
    <w:rsid w:val="540F2041"/>
    <w:rsid w:val="542F3072"/>
    <w:rsid w:val="543437E8"/>
    <w:rsid w:val="543B4194"/>
    <w:rsid w:val="544F3B03"/>
    <w:rsid w:val="54556112"/>
    <w:rsid w:val="54653C42"/>
    <w:rsid w:val="54762E41"/>
    <w:rsid w:val="54F73313"/>
    <w:rsid w:val="54F80955"/>
    <w:rsid w:val="551114EB"/>
    <w:rsid w:val="551D4FCF"/>
    <w:rsid w:val="554B6D60"/>
    <w:rsid w:val="555170A7"/>
    <w:rsid w:val="5563538C"/>
    <w:rsid w:val="55774424"/>
    <w:rsid w:val="557828BF"/>
    <w:rsid w:val="5587536D"/>
    <w:rsid w:val="559B174B"/>
    <w:rsid w:val="55CE0CF4"/>
    <w:rsid w:val="55F33BA2"/>
    <w:rsid w:val="560F5511"/>
    <w:rsid w:val="562C50A5"/>
    <w:rsid w:val="563A336C"/>
    <w:rsid w:val="56476C75"/>
    <w:rsid w:val="565D3B8A"/>
    <w:rsid w:val="56694513"/>
    <w:rsid w:val="56851FC1"/>
    <w:rsid w:val="56A80939"/>
    <w:rsid w:val="56B22A9C"/>
    <w:rsid w:val="56BD49CC"/>
    <w:rsid w:val="56FF57CA"/>
    <w:rsid w:val="57182145"/>
    <w:rsid w:val="5722092E"/>
    <w:rsid w:val="574E563A"/>
    <w:rsid w:val="57943658"/>
    <w:rsid w:val="579D6934"/>
    <w:rsid w:val="57AA0A80"/>
    <w:rsid w:val="57B72A76"/>
    <w:rsid w:val="57B878D7"/>
    <w:rsid w:val="57B96953"/>
    <w:rsid w:val="57C3426C"/>
    <w:rsid w:val="57CE1F93"/>
    <w:rsid w:val="57D0177D"/>
    <w:rsid w:val="582A365C"/>
    <w:rsid w:val="584D616C"/>
    <w:rsid w:val="588743D1"/>
    <w:rsid w:val="5887701A"/>
    <w:rsid w:val="58925070"/>
    <w:rsid w:val="58B67496"/>
    <w:rsid w:val="58C27B16"/>
    <w:rsid w:val="590B7824"/>
    <w:rsid w:val="592F73BF"/>
    <w:rsid w:val="595C79E9"/>
    <w:rsid w:val="59633BAD"/>
    <w:rsid w:val="59AE516F"/>
    <w:rsid w:val="59C0439F"/>
    <w:rsid w:val="5A1D6589"/>
    <w:rsid w:val="5A295543"/>
    <w:rsid w:val="5A2B0EBD"/>
    <w:rsid w:val="5A3B4946"/>
    <w:rsid w:val="5A44420E"/>
    <w:rsid w:val="5A607552"/>
    <w:rsid w:val="5A720BC4"/>
    <w:rsid w:val="5A847BB4"/>
    <w:rsid w:val="5AB87F28"/>
    <w:rsid w:val="5ABE2233"/>
    <w:rsid w:val="5ACA7612"/>
    <w:rsid w:val="5AD95FE2"/>
    <w:rsid w:val="5AE32D1C"/>
    <w:rsid w:val="5AEE28B7"/>
    <w:rsid w:val="5B084200"/>
    <w:rsid w:val="5B1F4698"/>
    <w:rsid w:val="5B4C2D28"/>
    <w:rsid w:val="5B541260"/>
    <w:rsid w:val="5B6A2D43"/>
    <w:rsid w:val="5B7D7233"/>
    <w:rsid w:val="5B8830EB"/>
    <w:rsid w:val="5B8A2650"/>
    <w:rsid w:val="5B902100"/>
    <w:rsid w:val="5BAD419F"/>
    <w:rsid w:val="5BD818EA"/>
    <w:rsid w:val="5BDF5D95"/>
    <w:rsid w:val="5BE63B09"/>
    <w:rsid w:val="5BFE7528"/>
    <w:rsid w:val="5C26551A"/>
    <w:rsid w:val="5CBF5DB0"/>
    <w:rsid w:val="5CFD571E"/>
    <w:rsid w:val="5D055F8D"/>
    <w:rsid w:val="5D5201C0"/>
    <w:rsid w:val="5D6B0331"/>
    <w:rsid w:val="5DCA76F7"/>
    <w:rsid w:val="5DD7631C"/>
    <w:rsid w:val="5E0A1CE6"/>
    <w:rsid w:val="5E2467F1"/>
    <w:rsid w:val="5E50427B"/>
    <w:rsid w:val="5E543924"/>
    <w:rsid w:val="5E685B79"/>
    <w:rsid w:val="5E781703"/>
    <w:rsid w:val="5E82554B"/>
    <w:rsid w:val="5EC811C2"/>
    <w:rsid w:val="5EFB65EB"/>
    <w:rsid w:val="5F1A2B43"/>
    <w:rsid w:val="5F1E3278"/>
    <w:rsid w:val="5F2A32FA"/>
    <w:rsid w:val="5F394913"/>
    <w:rsid w:val="5F7563E8"/>
    <w:rsid w:val="5F7A57AC"/>
    <w:rsid w:val="5F9A7BFD"/>
    <w:rsid w:val="5FAD306B"/>
    <w:rsid w:val="5FAE013D"/>
    <w:rsid w:val="5FB837BB"/>
    <w:rsid w:val="5FBE4115"/>
    <w:rsid w:val="600610A4"/>
    <w:rsid w:val="606149E9"/>
    <w:rsid w:val="60786E03"/>
    <w:rsid w:val="607E307A"/>
    <w:rsid w:val="60A800F7"/>
    <w:rsid w:val="60CC405A"/>
    <w:rsid w:val="60DC5A85"/>
    <w:rsid w:val="60F11E42"/>
    <w:rsid w:val="60F15F42"/>
    <w:rsid w:val="61031248"/>
    <w:rsid w:val="61682ECE"/>
    <w:rsid w:val="617D17A4"/>
    <w:rsid w:val="61823BAD"/>
    <w:rsid w:val="6187730A"/>
    <w:rsid w:val="61C81924"/>
    <w:rsid w:val="61DC5C3E"/>
    <w:rsid w:val="61E215D8"/>
    <w:rsid w:val="62075A9D"/>
    <w:rsid w:val="621B3775"/>
    <w:rsid w:val="621D108A"/>
    <w:rsid w:val="62364782"/>
    <w:rsid w:val="62711C59"/>
    <w:rsid w:val="62A3302E"/>
    <w:rsid w:val="62A84C5F"/>
    <w:rsid w:val="62AD6846"/>
    <w:rsid w:val="63170071"/>
    <w:rsid w:val="63431860"/>
    <w:rsid w:val="636649C5"/>
    <w:rsid w:val="638C0891"/>
    <w:rsid w:val="6394356A"/>
    <w:rsid w:val="63C13935"/>
    <w:rsid w:val="63C61B2C"/>
    <w:rsid w:val="63D40BE9"/>
    <w:rsid w:val="63E85902"/>
    <w:rsid w:val="64102431"/>
    <w:rsid w:val="6429260C"/>
    <w:rsid w:val="643E5896"/>
    <w:rsid w:val="64422A55"/>
    <w:rsid w:val="645D5C0E"/>
    <w:rsid w:val="64630F05"/>
    <w:rsid w:val="64810108"/>
    <w:rsid w:val="6497378B"/>
    <w:rsid w:val="649D588A"/>
    <w:rsid w:val="64A5243A"/>
    <w:rsid w:val="64BC7893"/>
    <w:rsid w:val="64CD176A"/>
    <w:rsid w:val="64F10045"/>
    <w:rsid w:val="64F15BCD"/>
    <w:rsid w:val="64F3532A"/>
    <w:rsid w:val="64F501B1"/>
    <w:rsid w:val="64F531DE"/>
    <w:rsid w:val="64FB7191"/>
    <w:rsid w:val="650C08DA"/>
    <w:rsid w:val="65373578"/>
    <w:rsid w:val="65413F44"/>
    <w:rsid w:val="65817895"/>
    <w:rsid w:val="65A4248C"/>
    <w:rsid w:val="65B155C8"/>
    <w:rsid w:val="65B408B6"/>
    <w:rsid w:val="65CC1584"/>
    <w:rsid w:val="65DE3F7A"/>
    <w:rsid w:val="65E67162"/>
    <w:rsid w:val="662330F4"/>
    <w:rsid w:val="66717017"/>
    <w:rsid w:val="66922C07"/>
    <w:rsid w:val="66972236"/>
    <w:rsid w:val="671F124A"/>
    <w:rsid w:val="67676A37"/>
    <w:rsid w:val="677A33C6"/>
    <w:rsid w:val="67F867E0"/>
    <w:rsid w:val="681F6961"/>
    <w:rsid w:val="68277446"/>
    <w:rsid w:val="682E182A"/>
    <w:rsid w:val="68610A2F"/>
    <w:rsid w:val="687221D0"/>
    <w:rsid w:val="68805514"/>
    <w:rsid w:val="68866F70"/>
    <w:rsid w:val="68B57855"/>
    <w:rsid w:val="68C6321F"/>
    <w:rsid w:val="68F771DC"/>
    <w:rsid w:val="69047A53"/>
    <w:rsid w:val="69095579"/>
    <w:rsid w:val="692135F9"/>
    <w:rsid w:val="69262583"/>
    <w:rsid w:val="69316E2F"/>
    <w:rsid w:val="694E2071"/>
    <w:rsid w:val="69766163"/>
    <w:rsid w:val="697A3B33"/>
    <w:rsid w:val="697B2CD9"/>
    <w:rsid w:val="69860835"/>
    <w:rsid w:val="69945B39"/>
    <w:rsid w:val="699D36FA"/>
    <w:rsid w:val="69BE1D8C"/>
    <w:rsid w:val="69D44760"/>
    <w:rsid w:val="6A4315BC"/>
    <w:rsid w:val="6A520EC7"/>
    <w:rsid w:val="6A531B93"/>
    <w:rsid w:val="6A554E4C"/>
    <w:rsid w:val="6A5D2AF8"/>
    <w:rsid w:val="6A7F3BC1"/>
    <w:rsid w:val="6AB94E66"/>
    <w:rsid w:val="6ADF17B4"/>
    <w:rsid w:val="6AE306AA"/>
    <w:rsid w:val="6AF87E20"/>
    <w:rsid w:val="6B1A3132"/>
    <w:rsid w:val="6B322639"/>
    <w:rsid w:val="6B754ED8"/>
    <w:rsid w:val="6B840687"/>
    <w:rsid w:val="6B852520"/>
    <w:rsid w:val="6BA8011A"/>
    <w:rsid w:val="6BB02C64"/>
    <w:rsid w:val="6C16685D"/>
    <w:rsid w:val="6C217E16"/>
    <w:rsid w:val="6C3118E9"/>
    <w:rsid w:val="6C400793"/>
    <w:rsid w:val="6C504EFF"/>
    <w:rsid w:val="6C532C31"/>
    <w:rsid w:val="6C636C38"/>
    <w:rsid w:val="6C8A131B"/>
    <w:rsid w:val="6C8B0885"/>
    <w:rsid w:val="6C8E0AE9"/>
    <w:rsid w:val="6C985C47"/>
    <w:rsid w:val="6CEF29EB"/>
    <w:rsid w:val="6D005AFE"/>
    <w:rsid w:val="6D2C3DDA"/>
    <w:rsid w:val="6D3E7C18"/>
    <w:rsid w:val="6D8E6C1E"/>
    <w:rsid w:val="6DB34098"/>
    <w:rsid w:val="6DB545B6"/>
    <w:rsid w:val="6DB77A02"/>
    <w:rsid w:val="6DE02FB4"/>
    <w:rsid w:val="6E0D71B4"/>
    <w:rsid w:val="6E140883"/>
    <w:rsid w:val="6E514CED"/>
    <w:rsid w:val="6E5C751F"/>
    <w:rsid w:val="6E66587A"/>
    <w:rsid w:val="6E833FDF"/>
    <w:rsid w:val="6E8A3647"/>
    <w:rsid w:val="6EAB02AC"/>
    <w:rsid w:val="6EB563D5"/>
    <w:rsid w:val="6EC110A0"/>
    <w:rsid w:val="6ED92677"/>
    <w:rsid w:val="6F07232D"/>
    <w:rsid w:val="6F225983"/>
    <w:rsid w:val="6F385E1D"/>
    <w:rsid w:val="6F4078DF"/>
    <w:rsid w:val="6F4209C6"/>
    <w:rsid w:val="6F5F4B7F"/>
    <w:rsid w:val="6F757D88"/>
    <w:rsid w:val="6F7A23E2"/>
    <w:rsid w:val="6F7D02DB"/>
    <w:rsid w:val="6FB81EA5"/>
    <w:rsid w:val="6FFC5590"/>
    <w:rsid w:val="6FFE28A3"/>
    <w:rsid w:val="70104BF1"/>
    <w:rsid w:val="701D3220"/>
    <w:rsid w:val="703B2D36"/>
    <w:rsid w:val="70446D77"/>
    <w:rsid w:val="706D1DD0"/>
    <w:rsid w:val="70856B87"/>
    <w:rsid w:val="709A2BA9"/>
    <w:rsid w:val="709F32C5"/>
    <w:rsid w:val="70C963E8"/>
    <w:rsid w:val="70D527EE"/>
    <w:rsid w:val="70F2437E"/>
    <w:rsid w:val="71116D7F"/>
    <w:rsid w:val="711324D0"/>
    <w:rsid w:val="71133784"/>
    <w:rsid w:val="711A294B"/>
    <w:rsid w:val="71531B3C"/>
    <w:rsid w:val="715859D7"/>
    <w:rsid w:val="715B5300"/>
    <w:rsid w:val="716D6F1F"/>
    <w:rsid w:val="71804EA4"/>
    <w:rsid w:val="71D27F8A"/>
    <w:rsid w:val="71EC73E2"/>
    <w:rsid w:val="7202673C"/>
    <w:rsid w:val="72190E55"/>
    <w:rsid w:val="723C0CD9"/>
    <w:rsid w:val="72407701"/>
    <w:rsid w:val="72553024"/>
    <w:rsid w:val="728A578C"/>
    <w:rsid w:val="73122968"/>
    <w:rsid w:val="731F5D5E"/>
    <w:rsid w:val="73314959"/>
    <w:rsid w:val="736325FA"/>
    <w:rsid w:val="73633A87"/>
    <w:rsid w:val="736C390E"/>
    <w:rsid w:val="737C2005"/>
    <w:rsid w:val="737C34B6"/>
    <w:rsid w:val="73C51AD5"/>
    <w:rsid w:val="73FC4241"/>
    <w:rsid w:val="741E4ACB"/>
    <w:rsid w:val="741E793C"/>
    <w:rsid w:val="745B7B21"/>
    <w:rsid w:val="745E3944"/>
    <w:rsid w:val="746E562F"/>
    <w:rsid w:val="748759BE"/>
    <w:rsid w:val="74BF319B"/>
    <w:rsid w:val="74D63AA0"/>
    <w:rsid w:val="74F57C36"/>
    <w:rsid w:val="75291729"/>
    <w:rsid w:val="754F71E0"/>
    <w:rsid w:val="75691363"/>
    <w:rsid w:val="759251A6"/>
    <w:rsid w:val="75A079DE"/>
    <w:rsid w:val="75B710B1"/>
    <w:rsid w:val="75EF2D13"/>
    <w:rsid w:val="7635099D"/>
    <w:rsid w:val="76407334"/>
    <w:rsid w:val="767C76DD"/>
    <w:rsid w:val="769218F6"/>
    <w:rsid w:val="76C31D59"/>
    <w:rsid w:val="76F04716"/>
    <w:rsid w:val="77020109"/>
    <w:rsid w:val="77377DED"/>
    <w:rsid w:val="77762421"/>
    <w:rsid w:val="779C5A93"/>
    <w:rsid w:val="77AD4519"/>
    <w:rsid w:val="77AF72C1"/>
    <w:rsid w:val="77B56B1F"/>
    <w:rsid w:val="77E75CED"/>
    <w:rsid w:val="77F12352"/>
    <w:rsid w:val="77FC5FED"/>
    <w:rsid w:val="78015F2F"/>
    <w:rsid w:val="780F09F4"/>
    <w:rsid w:val="78111A60"/>
    <w:rsid w:val="7839648A"/>
    <w:rsid w:val="78532FC3"/>
    <w:rsid w:val="7860333A"/>
    <w:rsid w:val="786426FE"/>
    <w:rsid w:val="78702385"/>
    <w:rsid w:val="78984061"/>
    <w:rsid w:val="78A90480"/>
    <w:rsid w:val="78AC64FE"/>
    <w:rsid w:val="78D37E4E"/>
    <w:rsid w:val="79284E3A"/>
    <w:rsid w:val="79521386"/>
    <w:rsid w:val="795A75B2"/>
    <w:rsid w:val="7960267F"/>
    <w:rsid w:val="79BC42B3"/>
    <w:rsid w:val="79F61DC0"/>
    <w:rsid w:val="7A1A0240"/>
    <w:rsid w:val="7A364017"/>
    <w:rsid w:val="7A624B2D"/>
    <w:rsid w:val="7A664E53"/>
    <w:rsid w:val="7A725721"/>
    <w:rsid w:val="7A8265E1"/>
    <w:rsid w:val="7AAC2A0A"/>
    <w:rsid w:val="7AF63F8F"/>
    <w:rsid w:val="7B2127B7"/>
    <w:rsid w:val="7B234AF2"/>
    <w:rsid w:val="7B686D42"/>
    <w:rsid w:val="7B841746"/>
    <w:rsid w:val="7B8849B9"/>
    <w:rsid w:val="7BB20BED"/>
    <w:rsid w:val="7BEC7148"/>
    <w:rsid w:val="7C1053CB"/>
    <w:rsid w:val="7C21011D"/>
    <w:rsid w:val="7C270A3F"/>
    <w:rsid w:val="7C5C66CD"/>
    <w:rsid w:val="7C6C5AC7"/>
    <w:rsid w:val="7C8E41ED"/>
    <w:rsid w:val="7CBC0D5A"/>
    <w:rsid w:val="7CC6544B"/>
    <w:rsid w:val="7CF602B8"/>
    <w:rsid w:val="7D0239FF"/>
    <w:rsid w:val="7D052701"/>
    <w:rsid w:val="7D0F6B89"/>
    <w:rsid w:val="7D124CFF"/>
    <w:rsid w:val="7D127E3C"/>
    <w:rsid w:val="7D415991"/>
    <w:rsid w:val="7D5736B7"/>
    <w:rsid w:val="7D5E40CD"/>
    <w:rsid w:val="7D9D293A"/>
    <w:rsid w:val="7DCD56F2"/>
    <w:rsid w:val="7DE24FAD"/>
    <w:rsid w:val="7DFF7EF9"/>
    <w:rsid w:val="7E0345BF"/>
    <w:rsid w:val="7E325589"/>
    <w:rsid w:val="7E5F60EB"/>
    <w:rsid w:val="7E70748C"/>
    <w:rsid w:val="7E885398"/>
    <w:rsid w:val="7F001CE7"/>
    <w:rsid w:val="7F321638"/>
    <w:rsid w:val="7F860968"/>
    <w:rsid w:val="7FAC0CF8"/>
    <w:rsid w:val="7FBD5861"/>
    <w:rsid w:val="7FCA19E0"/>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99"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autoRedefine/>
    <w:qFormat/>
    <w:locked/>
    <w:uiPriority w:val="0"/>
    <w:pPr>
      <w:keepNext/>
      <w:keepLines/>
      <w:numPr>
        <w:ilvl w:val="2"/>
        <w:numId w:val="1"/>
      </w:numPr>
      <w:spacing w:before="260" w:after="260" w:line="416" w:lineRule="auto"/>
      <w:outlineLvl w:val="2"/>
    </w:pPr>
    <w:rPr>
      <w:b/>
      <w:bCs/>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4">
    <w:name w:val="List 3"/>
    <w:basedOn w:val="1"/>
    <w:next w:val="1"/>
    <w:qFormat/>
    <w:locked/>
    <w:uiPriority w:val="0"/>
    <w:pPr>
      <w:numPr>
        <w:ilvl w:val="4"/>
        <w:numId w:val="2"/>
      </w:numPr>
      <w:tabs>
        <w:tab w:val="left" w:pos="431"/>
        <w:tab w:val="clear" w:pos="0"/>
      </w:tabs>
      <w:spacing w:line="460" w:lineRule="exact"/>
      <w:ind w:left="0" w:firstLine="0"/>
      <w:jc w:val="center"/>
    </w:pPr>
    <w:rPr>
      <w:b/>
      <w:snapToGrid w:val="0"/>
      <w:szCs w:val="22"/>
    </w:rPr>
  </w:style>
  <w:style w:type="paragraph" w:styleId="5">
    <w:name w:val="Normal Indent"/>
    <w:basedOn w:val="1"/>
    <w:autoRedefine/>
    <w:qFormat/>
    <w:locked/>
    <w:uiPriority w:val="0"/>
    <w:pPr>
      <w:ind w:firstLine="420" w:firstLineChars="200"/>
    </w:pPr>
    <w:rPr>
      <w:rFonts w:eastAsia="仿宋_GB2312"/>
    </w:rPr>
  </w:style>
  <w:style w:type="paragraph" w:styleId="6">
    <w:name w:val="Document Map"/>
    <w:basedOn w:val="1"/>
    <w:link w:val="37"/>
    <w:autoRedefine/>
    <w:qFormat/>
    <w:locked/>
    <w:uiPriority w:val="0"/>
    <w:rPr>
      <w:rFonts w:ascii="宋体"/>
      <w:sz w:val="18"/>
      <w:szCs w:val="18"/>
    </w:rPr>
  </w:style>
  <w:style w:type="paragraph" w:styleId="7">
    <w:name w:val="annotation text"/>
    <w:basedOn w:val="1"/>
    <w:link w:val="38"/>
    <w:autoRedefine/>
    <w:semiHidden/>
    <w:qFormat/>
    <w:uiPriority w:val="0"/>
    <w:pPr>
      <w:jc w:val="left"/>
    </w:pPr>
    <w:rPr>
      <w:kern w:val="0"/>
      <w:sz w:val="24"/>
      <w:szCs w:val="20"/>
    </w:rPr>
  </w:style>
  <w:style w:type="paragraph" w:styleId="8">
    <w:name w:val="Body Text"/>
    <w:basedOn w:val="1"/>
    <w:next w:val="9"/>
    <w:link w:val="39"/>
    <w:autoRedefine/>
    <w:qFormat/>
    <w:uiPriority w:val="0"/>
    <w:pPr>
      <w:widowControl/>
      <w:snapToGrid w:val="0"/>
      <w:spacing w:before="60" w:after="160" w:line="259" w:lineRule="auto"/>
      <w:ind w:right="113"/>
    </w:pPr>
    <w:rPr>
      <w:kern w:val="0"/>
      <w:sz w:val="18"/>
      <w:szCs w:val="20"/>
    </w:rPr>
  </w:style>
  <w:style w:type="paragraph" w:styleId="9">
    <w:name w:val="List Bullet 5"/>
    <w:basedOn w:val="1"/>
    <w:autoRedefine/>
    <w:qFormat/>
    <w:locked/>
    <w:uiPriority w:val="0"/>
    <w:pPr>
      <w:numPr>
        <w:ilvl w:val="0"/>
        <w:numId w:val="3"/>
      </w:numPr>
    </w:pPr>
  </w:style>
  <w:style w:type="paragraph" w:styleId="10">
    <w:name w:val="Body Text Indent"/>
    <w:basedOn w:val="1"/>
    <w:next w:val="1"/>
    <w:link w:val="40"/>
    <w:autoRedefine/>
    <w:qFormat/>
    <w:uiPriority w:val="0"/>
    <w:pPr>
      <w:spacing w:after="120"/>
      <w:ind w:left="420" w:leftChars="200"/>
    </w:pPr>
    <w:rPr>
      <w:kern w:val="0"/>
      <w:sz w:val="24"/>
      <w:szCs w:val="20"/>
    </w:rPr>
  </w:style>
  <w:style w:type="paragraph" w:styleId="11">
    <w:name w:val="Block Text"/>
    <w:basedOn w:val="1"/>
    <w:autoRedefine/>
    <w:qFormat/>
    <w:locked/>
    <w:uiPriority w:val="99"/>
    <w:pPr>
      <w:spacing w:after="120"/>
      <w:ind w:left="1440" w:leftChars="700" w:right="1440" w:rightChars="700"/>
    </w:pPr>
  </w:style>
  <w:style w:type="paragraph" w:styleId="12">
    <w:name w:val="Plain Text"/>
    <w:basedOn w:val="1"/>
    <w:autoRedefine/>
    <w:qFormat/>
    <w:locked/>
    <w:uiPriority w:val="0"/>
    <w:pPr>
      <w:widowControl/>
      <w:jc w:val="left"/>
    </w:pPr>
    <w:rPr>
      <w:rFonts w:ascii="宋体" w:hAnsi="Courier New"/>
      <w:kern w:val="0"/>
      <w:szCs w:val="20"/>
    </w:rPr>
  </w:style>
  <w:style w:type="paragraph" w:styleId="13">
    <w:name w:val="Date"/>
    <w:basedOn w:val="1"/>
    <w:next w:val="1"/>
    <w:link w:val="41"/>
    <w:autoRedefine/>
    <w:qFormat/>
    <w:uiPriority w:val="0"/>
    <w:pPr>
      <w:ind w:left="100" w:leftChars="2500"/>
    </w:pPr>
    <w:rPr>
      <w:kern w:val="0"/>
      <w:sz w:val="24"/>
      <w:szCs w:val="20"/>
    </w:rPr>
  </w:style>
  <w:style w:type="paragraph" w:styleId="14">
    <w:name w:val="Body Text Indent 2"/>
    <w:basedOn w:val="1"/>
    <w:autoRedefine/>
    <w:qFormat/>
    <w:locked/>
    <w:uiPriority w:val="0"/>
    <w:pPr>
      <w:spacing w:after="120" w:line="480" w:lineRule="auto"/>
      <w:ind w:left="420" w:leftChars="200"/>
    </w:pPr>
  </w:style>
  <w:style w:type="paragraph" w:styleId="15">
    <w:name w:val="Balloon Text"/>
    <w:basedOn w:val="1"/>
    <w:link w:val="42"/>
    <w:autoRedefine/>
    <w:semiHidden/>
    <w:qFormat/>
    <w:uiPriority w:val="0"/>
    <w:rPr>
      <w:kern w:val="0"/>
      <w:sz w:val="18"/>
      <w:szCs w:val="20"/>
    </w:rPr>
  </w:style>
  <w:style w:type="paragraph" w:styleId="16">
    <w:name w:val="footer"/>
    <w:basedOn w:val="1"/>
    <w:link w:val="43"/>
    <w:autoRedefine/>
    <w:qFormat/>
    <w:uiPriority w:val="99"/>
    <w:pPr>
      <w:tabs>
        <w:tab w:val="center" w:pos="4153"/>
        <w:tab w:val="right" w:pos="8306"/>
      </w:tabs>
      <w:snapToGrid w:val="0"/>
      <w:jc w:val="left"/>
    </w:pPr>
    <w:rPr>
      <w:kern w:val="0"/>
      <w:sz w:val="18"/>
      <w:szCs w:val="20"/>
    </w:rPr>
  </w:style>
  <w:style w:type="paragraph" w:styleId="17">
    <w:name w:val="header"/>
    <w:basedOn w:val="1"/>
    <w:link w:val="44"/>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List"/>
    <w:basedOn w:val="1"/>
    <w:next w:val="1"/>
    <w:qFormat/>
    <w:locked/>
    <w:uiPriority w:val="0"/>
    <w:pPr>
      <w:ind w:left="200" w:hanging="200" w:hangingChars="200"/>
      <w:contextualSpacing/>
    </w:pPr>
  </w:style>
  <w:style w:type="paragraph" w:styleId="19">
    <w:name w:val="Body Text Indent 3"/>
    <w:basedOn w:val="1"/>
    <w:qFormat/>
    <w:locked/>
    <w:uiPriority w:val="0"/>
    <w:pPr>
      <w:spacing w:after="120"/>
      <w:ind w:left="420" w:leftChars="200"/>
    </w:pPr>
    <w:rPr>
      <w:sz w:val="16"/>
      <w:szCs w:val="16"/>
    </w:rPr>
  </w:style>
  <w:style w:type="paragraph" w:styleId="20">
    <w:name w:val="toc 2"/>
    <w:basedOn w:val="1"/>
    <w:next w:val="1"/>
    <w:autoRedefine/>
    <w:qFormat/>
    <w:locked/>
    <w:uiPriority w:val="0"/>
    <w:pPr>
      <w:tabs>
        <w:tab w:val="left" w:pos="1260"/>
        <w:tab w:val="right" w:leader="dot" w:pos="8296"/>
      </w:tabs>
      <w:spacing w:line="360" w:lineRule="exact"/>
      <w:ind w:left="420" w:leftChars="200"/>
    </w:pPr>
  </w:style>
  <w:style w:type="paragraph" w:styleId="21">
    <w:name w:val="Normal (Web)"/>
    <w:basedOn w:val="1"/>
    <w:link w:val="45"/>
    <w:autoRedefine/>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7"/>
    <w:next w:val="7"/>
    <w:link w:val="46"/>
    <w:autoRedefine/>
    <w:semiHidden/>
    <w:qFormat/>
    <w:uiPriority w:val="0"/>
    <w:rPr>
      <w:b/>
      <w:kern w:val="2"/>
    </w:rPr>
  </w:style>
  <w:style w:type="paragraph" w:styleId="23">
    <w:name w:val="Body Text First Indent"/>
    <w:basedOn w:val="8"/>
    <w:next w:val="1"/>
    <w:link w:val="47"/>
    <w:autoRedefine/>
    <w:qFormat/>
    <w:locked/>
    <w:uiPriority w:val="0"/>
    <w:pPr>
      <w:snapToGrid/>
      <w:spacing w:after="120" w:line="240" w:lineRule="auto"/>
      <w:ind w:firstLine="420" w:firstLineChars="100"/>
    </w:pPr>
    <w:rPr>
      <w:sz w:val="21"/>
    </w:rPr>
  </w:style>
  <w:style w:type="paragraph" w:styleId="24">
    <w:name w:val="Body Text First Indent 2"/>
    <w:basedOn w:val="10"/>
    <w:next w:val="23"/>
    <w:autoRedefine/>
    <w:unhideWhenUsed/>
    <w:qFormat/>
    <w:locked/>
    <w:uiPriority w:val="99"/>
    <w:pPr>
      <w:ind w:firstLine="420" w:firstLineChars="200"/>
    </w:pPr>
  </w:style>
  <w:style w:type="table" w:styleId="26">
    <w:name w:val="Table Grid"/>
    <w:basedOn w:val="2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locked/>
    <w:uiPriority w:val="0"/>
    <w:rPr>
      <w:b/>
      <w:bCs/>
    </w:rPr>
  </w:style>
  <w:style w:type="character" w:styleId="29">
    <w:name w:val="page number"/>
    <w:autoRedefine/>
    <w:qFormat/>
    <w:locked/>
    <w:uiPriority w:val="0"/>
  </w:style>
  <w:style w:type="character" w:styleId="30">
    <w:name w:val="Emphasis"/>
    <w:autoRedefine/>
    <w:qFormat/>
    <w:locked/>
    <w:uiPriority w:val="0"/>
    <w:rPr>
      <w:i/>
    </w:rPr>
  </w:style>
  <w:style w:type="character" w:styleId="31">
    <w:name w:val="Hyperlink"/>
    <w:autoRedefine/>
    <w:qFormat/>
    <w:locked/>
    <w:uiPriority w:val="0"/>
    <w:rPr>
      <w:color w:val="0000FF"/>
      <w:u w:val="single"/>
    </w:rPr>
  </w:style>
  <w:style w:type="character" w:styleId="32">
    <w:name w:val="annotation reference"/>
    <w:autoRedefine/>
    <w:semiHidden/>
    <w:qFormat/>
    <w:uiPriority w:val="0"/>
    <w:rPr>
      <w:sz w:val="21"/>
    </w:rPr>
  </w:style>
  <w:style w:type="paragraph" w:customStyle="1" w:styleId="33">
    <w:name w:val="Default"/>
    <w:basedOn w:val="34"/>
    <w:autoRedefine/>
    <w:qFormat/>
    <w:uiPriority w:val="0"/>
    <w:pPr>
      <w:widowControl w:val="0"/>
      <w:autoSpaceDE w:val="0"/>
      <w:autoSpaceDN w:val="0"/>
      <w:adjustRightInd w:val="0"/>
    </w:pPr>
    <w:rPr>
      <w:rFonts w:ascii="黑体" w:eastAsia="黑体" w:cs="黑体"/>
      <w:color w:val="000000"/>
      <w:sz w:val="24"/>
    </w:rPr>
  </w:style>
  <w:style w:type="paragraph" w:customStyle="1" w:styleId="34">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5">
    <w:name w:val="li_正文"/>
    <w:basedOn w:val="1"/>
    <w:autoRedefine/>
    <w:qFormat/>
    <w:uiPriority w:val="0"/>
    <w:pPr>
      <w:tabs>
        <w:tab w:val="left" w:pos="2574"/>
      </w:tabs>
      <w:overflowPunct w:val="0"/>
      <w:topLinePunct/>
      <w:ind w:firstLine="480" w:firstLineChars="200"/>
      <w:jc w:val="left"/>
    </w:pPr>
    <w:rPr>
      <w:sz w:val="28"/>
      <w:szCs w:val="28"/>
    </w:rPr>
  </w:style>
  <w:style w:type="paragraph" w:customStyle="1" w:styleId="36">
    <w:name w:val="纯文本1"/>
    <w:basedOn w:val="1"/>
    <w:autoRedefine/>
    <w:qFormat/>
    <w:uiPriority w:val="0"/>
    <w:pPr>
      <w:adjustRightInd w:val="0"/>
    </w:pPr>
    <w:rPr>
      <w:rFonts w:hAnsi="Courier New"/>
      <w:szCs w:val="20"/>
    </w:rPr>
  </w:style>
  <w:style w:type="character" w:customStyle="1" w:styleId="37">
    <w:name w:val="文档结构图 字符"/>
    <w:basedOn w:val="27"/>
    <w:link w:val="6"/>
    <w:autoRedefine/>
    <w:qFormat/>
    <w:uiPriority w:val="0"/>
    <w:rPr>
      <w:rFonts w:ascii="宋体"/>
      <w:kern w:val="2"/>
      <w:sz w:val="18"/>
      <w:szCs w:val="18"/>
    </w:rPr>
  </w:style>
  <w:style w:type="character" w:customStyle="1" w:styleId="38">
    <w:name w:val="批注文字 字符"/>
    <w:link w:val="7"/>
    <w:autoRedefine/>
    <w:qFormat/>
    <w:locked/>
    <w:uiPriority w:val="0"/>
    <w:rPr>
      <w:rFonts w:ascii="Times New Roman" w:hAnsi="Times New Roman" w:eastAsia="宋体"/>
      <w:sz w:val="24"/>
    </w:rPr>
  </w:style>
  <w:style w:type="character" w:customStyle="1" w:styleId="39">
    <w:name w:val="正文文本 字符"/>
    <w:link w:val="8"/>
    <w:autoRedefine/>
    <w:qFormat/>
    <w:locked/>
    <w:uiPriority w:val="0"/>
    <w:rPr>
      <w:sz w:val="18"/>
    </w:rPr>
  </w:style>
  <w:style w:type="character" w:customStyle="1" w:styleId="40">
    <w:name w:val="正文文本缩进 字符"/>
    <w:link w:val="10"/>
    <w:autoRedefine/>
    <w:semiHidden/>
    <w:qFormat/>
    <w:locked/>
    <w:uiPriority w:val="0"/>
    <w:rPr>
      <w:rFonts w:ascii="Times New Roman" w:hAnsi="Times New Roman" w:eastAsia="宋体"/>
      <w:sz w:val="24"/>
    </w:rPr>
  </w:style>
  <w:style w:type="character" w:customStyle="1" w:styleId="41">
    <w:name w:val="日期 字符1"/>
    <w:link w:val="13"/>
    <w:autoRedefine/>
    <w:qFormat/>
    <w:locked/>
    <w:uiPriority w:val="0"/>
    <w:rPr>
      <w:rFonts w:ascii="Times New Roman" w:hAnsi="Times New Roman" w:eastAsia="宋体"/>
      <w:sz w:val="24"/>
    </w:rPr>
  </w:style>
  <w:style w:type="character" w:customStyle="1" w:styleId="42">
    <w:name w:val="批注框文本 字符"/>
    <w:link w:val="15"/>
    <w:autoRedefine/>
    <w:semiHidden/>
    <w:qFormat/>
    <w:locked/>
    <w:uiPriority w:val="0"/>
    <w:rPr>
      <w:rFonts w:ascii="Times New Roman" w:hAnsi="Times New Roman" w:eastAsia="宋体"/>
      <w:sz w:val="18"/>
    </w:rPr>
  </w:style>
  <w:style w:type="character" w:customStyle="1" w:styleId="43">
    <w:name w:val="页脚 字符1"/>
    <w:link w:val="16"/>
    <w:autoRedefine/>
    <w:qFormat/>
    <w:locked/>
    <w:uiPriority w:val="99"/>
    <w:rPr>
      <w:sz w:val="18"/>
    </w:rPr>
  </w:style>
  <w:style w:type="character" w:customStyle="1" w:styleId="44">
    <w:name w:val="页眉 字符"/>
    <w:link w:val="17"/>
    <w:autoRedefine/>
    <w:qFormat/>
    <w:locked/>
    <w:uiPriority w:val="0"/>
    <w:rPr>
      <w:sz w:val="18"/>
    </w:rPr>
  </w:style>
  <w:style w:type="character" w:customStyle="1" w:styleId="45">
    <w:name w:val="普通(网站) 字符"/>
    <w:link w:val="21"/>
    <w:autoRedefine/>
    <w:qFormat/>
    <w:locked/>
    <w:uiPriority w:val="0"/>
    <w:rPr>
      <w:rFonts w:ascii="宋体" w:hAnsi="宋体" w:eastAsia="宋体"/>
      <w:sz w:val="24"/>
    </w:rPr>
  </w:style>
  <w:style w:type="character" w:customStyle="1" w:styleId="46">
    <w:name w:val="批注主题 字符"/>
    <w:link w:val="22"/>
    <w:autoRedefine/>
    <w:semiHidden/>
    <w:qFormat/>
    <w:locked/>
    <w:uiPriority w:val="0"/>
    <w:rPr>
      <w:rFonts w:ascii="Times New Roman" w:hAnsi="Times New Roman" w:eastAsia="宋体"/>
      <w:b/>
      <w:kern w:val="2"/>
      <w:sz w:val="24"/>
    </w:rPr>
  </w:style>
  <w:style w:type="character" w:customStyle="1" w:styleId="47">
    <w:name w:val="正文文本首行缩进 字符"/>
    <w:link w:val="23"/>
    <w:autoRedefine/>
    <w:qFormat/>
    <w:uiPriority w:val="0"/>
    <w:rPr>
      <w:sz w:val="21"/>
    </w:rPr>
  </w:style>
  <w:style w:type="paragraph" w:customStyle="1" w:styleId="48">
    <w:name w:val="BodyText"/>
    <w:basedOn w:val="1"/>
    <w:autoRedefine/>
    <w:qFormat/>
    <w:uiPriority w:val="0"/>
    <w:pPr>
      <w:spacing w:after="120"/>
      <w:textAlignment w:val="baseline"/>
    </w:pPr>
  </w:style>
  <w:style w:type="character" w:customStyle="1" w:styleId="49">
    <w:name w:val="批注文字 字符1"/>
    <w:autoRedefine/>
    <w:semiHidden/>
    <w:qFormat/>
    <w:uiPriority w:val="0"/>
    <w:rPr>
      <w:rFonts w:ascii="Times New Roman" w:hAnsi="Times New Roman" w:eastAsia="宋体"/>
      <w:sz w:val="24"/>
    </w:rPr>
  </w:style>
  <w:style w:type="character" w:customStyle="1" w:styleId="50">
    <w:name w:val="日期 字符"/>
    <w:autoRedefine/>
    <w:semiHidden/>
    <w:qFormat/>
    <w:uiPriority w:val="0"/>
    <w:rPr>
      <w:rFonts w:ascii="Times New Roman" w:hAnsi="Times New Roman" w:eastAsia="宋体"/>
      <w:sz w:val="24"/>
    </w:rPr>
  </w:style>
  <w:style w:type="character" w:customStyle="1" w:styleId="51">
    <w:name w:val="正文文本 字符1"/>
    <w:autoRedefine/>
    <w:semiHidden/>
    <w:qFormat/>
    <w:uiPriority w:val="0"/>
    <w:rPr>
      <w:rFonts w:ascii="Times New Roman" w:hAnsi="Times New Roman" w:eastAsia="宋体"/>
      <w:sz w:val="24"/>
    </w:rPr>
  </w:style>
  <w:style w:type="character" w:customStyle="1" w:styleId="52">
    <w:name w:val="表格 Char"/>
    <w:link w:val="53"/>
    <w:autoRedefine/>
    <w:qFormat/>
    <w:locked/>
    <w:uiPriority w:val="0"/>
    <w:rPr>
      <w:rFonts w:ascii="宋体"/>
      <w:sz w:val="21"/>
    </w:rPr>
  </w:style>
  <w:style w:type="paragraph" w:customStyle="1" w:styleId="53">
    <w:name w:val="表格"/>
    <w:basedOn w:val="1"/>
    <w:next w:val="1"/>
    <w:link w:val="52"/>
    <w:autoRedefine/>
    <w:qFormat/>
    <w:uiPriority w:val="0"/>
    <w:pPr>
      <w:adjustRightInd w:val="0"/>
      <w:snapToGrid w:val="0"/>
      <w:spacing w:beforeLines="10" w:afterLines="10" w:line="259" w:lineRule="auto"/>
      <w:jc w:val="center"/>
    </w:pPr>
    <w:rPr>
      <w:rFonts w:ascii="宋体"/>
      <w:kern w:val="0"/>
      <w:szCs w:val="20"/>
    </w:rPr>
  </w:style>
  <w:style w:type="character" w:customStyle="1" w:styleId="54">
    <w:name w:val="页脚 字符"/>
    <w:autoRedefine/>
    <w:qFormat/>
    <w:uiPriority w:val="99"/>
  </w:style>
  <w:style w:type="paragraph" w:customStyle="1" w:styleId="55">
    <w:name w:val="样式 ysl04 + 首行缩进:  2 字符"/>
    <w:basedOn w:val="1"/>
    <w:autoRedefine/>
    <w:qFormat/>
    <w:uiPriority w:val="0"/>
    <w:pPr>
      <w:spacing w:line="360" w:lineRule="auto"/>
      <w:ind w:left="210" w:leftChars="100" w:firstLine="562" w:firstLineChars="200"/>
    </w:pPr>
    <w:rPr>
      <w:rFonts w:ascii="宋体" w:hAnsi="宋体" w:cs="宋体"/>
      <w:bCs/>
      <w:sz w:val="28"/>
      <w:szCs w:val="20"/>
    </w:rPr>
  </w:style>
  <w:style w:type="paragraph" w:customStyle="1" w:styleId="56">
    <w:name w:val="xl27"/>
    <w:basedOn w:val="1"/>
    <w:autoRedefine/>
    <w:qFormat/>
    <w:uiPriority w:val="0"/>
    <w:pPr>
      <w:widowControl/>
      <w:pBdr>
        <w:bottom w:val="single" w:color="auto" w:sz="12" w:space="0"/>
      </w:pBdr>
      <w:spacing w:before="100" w:after="100"/>
      <w:jc w:val="center"/>
    </w:pPr>
    <w:rPr>
      <w:rFonts w:ascii="宋体" w:hAnsi="宋体"/>
      <w:kern w:val="0"/>
      <w:szCs w:val="20"/>
    </w:rPr>
  </w:style>
  <w:style w:type="paragraph" w:customStyle="1" w:styleId="57">
    <w:name w:val="1111 表格内容"/>
    <w:basedOn w:val="58"/>
    <w:autoRedefine/>
    <w:qFormat/>
    <w:uiPriority w:val="0"/>
    <w:pPr>
      <w:widowControl w:val="0"/>
    </w:pPr>
  </w:style>
  <w:style w:type="paragraph" w:customStyle="1" w:styleId="58">
    <w:name w:val="01表格正文"/>
    <w:autoRedefine/>
    <w:qFormat/>
    <w:uiPriority w:val="0"/>
    <w:pPr>
      <w:adjustRightInd w:val="0"/>
      <w:snapToGrid w:val="0"/>
      <w:spacing w:line="320" w:lineRule="exact"/>
      <w:jc w:val="center"/>
    </w:pPr>
    <w:rPr>
      <w:rFonts w:ascii="Times New Roman" w:hAnsi="Times New Roman" w:eastAsia="宋体" w:cs="Times New Roman"/>
      <w:kern w:val="2"/>
      <w:sz w:val="21"/>
      <w:szCs w:val="21"/>
      <w:lang w:val="en-US" w:eastAsia="zh-CN" w:bidi="ar-SA"/>
    </w:rPr>
  </w:style>
  <w:style w:type="paragraph" w:customStyle="1" w:styleId="59">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0">
    <w:name w:val="样式 自动设置"/>
    <w:basedOn w:val="1"/>
    <w:link w:val="61"/>
    <w:autoRedefine/>
    <w:qFormat/>
    <w:uiPriority w:val="0"/>
    <w:pPr>
      <w:autoSpaceDE w:val="0"/>
      <w:autoSpaceDN w:val="0"/>
      <w:adjustRightInd w:val="0"/>
      <w:snapToGrid w:val="0"/>
      <w:spacing w:before="50" w:beforeLines="50" w:line="288" w:lineRule="auto"/>
      <w:ind w:firstLine="200" w:firstLineChars="200"/>
    </w:pPr>
    <w:rPr>
      <w:sz w:val="24"/>
    </w:rPr>
  </w:style>
  <w:style w:type="character" w:customStyle="1" w:styleId="61">
    <w:name w:val="样式 自动设置 Char"/>
    <w:link w:val="60"/>
    <w:autoRedefine/>
    <w:qFormat/>
    <w:uiPriority w:val="0"/>
    <w:rPr>
      <w:rFonts w:cs="宋体"/>
      <w:kern w:val="2"/>
      <w:sz w:val="24"/>
      <w:szCs w:val="24"/>
    </w:rPr>
  </w:style>
  <w:style w:type="paragraph" w:customStyle="1" w:styleId="62">
    <w:name w:val="样式 首行缩进:  2 字符1"/>
    <w:basedOn w:val="1"/>
    <w:autoRedefine/>
    <w:qFormat/>
    <w:uiPriority w:val="0"/>
    <w:pPr>
      <w:spacing w:line="420" w:lineRule="exact"/>
      <w:ind w:firstLine="200" w:firstLineChars="200"/>
    </w:pPr>
    <w:rPr>
      <w:rFonts w:cs="宋体"/>
      <w:sz w:val="24"/>
      <w:szCs w:val="20"/>
    </w:rPr>
  </w:style>
  <w:style w:type="paragraph" w:customStyle="1" w:styleId="63">
    <w:name w:val="02表格标题"/>
    <w:basedOn w:val="1"/>
    <w:autoRedefine/>
    <w:qFormat/>
    <w:uiPriority w:val="0"/>
    <w:pPr>
      <w:adjustRightInd w:val="0"/>
      <w:snapToGrid w:val="0"/>
      <w:spacing w:before="50" w:beforeLines="50"/>
      <w:jc w:val="center"/>
    </w:pPr>
    <w:rPr>
      <w:b/>
      <w:sz w:val="24"/>
    </w:rPr>
  </w:style>
  <w:style w:type="paragraph" w:customStyle="1" w:styleId="64">
    <w:name w:val="样式 表格 + 黑色"/>
    <w:basedOn w:val="1"/>
    <w:autoRedefine/>
    <w:qFormat/>
    <w:uiPriority w:val="0"/>
    <w:pPr>
      <w:adjustRightInd w:val="0"/>
      <w:snapToGrid w:val="0"/>
      <w:jc w:val="center"/>
    </w:pPr>
    <w:rPr>
      <w:snapToGrid w:val="0"/>
      <w:color w:val="000000"/>
      <w:spacing w:val="-4"/>
      <w:kern w:val="0"/>
      <w:szCs w:val="21"/>
    </w:rPr>
  </w:style>
  <w:style w:type="paragraph" w:customStyle="1" w:styleId="65">
    <w:name w:val="1  正文"/>
    <w:basedOn w:val="1"/>
    <w:autoRedefine/>
    <w:qFormat/>
    <w:uiPriority w:val="0"/>
    <w:pPr>
      <w:spacing w:line="360" w:lineRule="auto"/>
      <w:ind w:firstLine="480" w:firstLineChars="200"/>
    </w:pPr>
    <w:rPr>
      <w:sz w:val="24"/>
    </w:rPr>
  </w:style>
  <w:style w:type="paragraph" w:customStyle="1" w:styleId="66">
    <w:name w:val="样式 样式 样式 自动设置 + 五号 段前: 0.5 行 行距: 单倍行距 + 段前: 0.5 行"/>
    <w:basedOn w:val="1"/>
    <w:autoRedefine/>
    <w:qFormat/>
    <w:uiPriority w:val="0"/>
    <w:pPr>
      <w:autoSpaceDE w:val="0"/>
      <w:autoSpaceDN w:val="0"/>
      <w:adjustRightInd w:val="0"/>
      <w:snapToGrid w:val="0"/>
    </w:pPr>
    <w:rPr>
      <w:rFonts w:cs="宋体"/>
      <w:szCs w:val="20"/>
    </w:rPr>
  </w:style>
  <w:style w:type="paragraph" w:customStyle="1" w:styleId="67">
    <w:name w:val="图文框"/>
    <w:basedOn w:val="1"/>
    <w:autoRedefine/>
    <w:qFormat/>
    <w:uiPriority w:val="0"/>
    <w:pPr>
      <w:jc w:val="center"/>
    </w:pPr>
    <w:rPr>
      <w:szCs w:val="21"/>
    </w:rPr>
  </w:style>
  <w:style w:type="paragraph" w:customStyle="1" w:styleId="68">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表格文字"/>
    <w:basedOn w:val="1"/>
    <w:autoRedefine/>
    <w:qFormat/>
    <w:uiPriority w:val="0"/>
    <w:pPr>
      <w:jc w:val="center"/>
    </w:pPr>
    <w:rPr>
      <w:rFonts w:ascii="仿宋_GB2312" w:hAnsi="Arial Black" w:eastAsia="仿宋_GB2312"/>
      <w:kern w:val="44"/>
      <w:sz w:val="24"/>
    </w:rPr>
  </w:style>
  <w:style w:type="paragraph" w:customStyle="1" w:styleId="70">
    <w:name w:val="图表文字"/>
    <w:basedOn w:val="1"/>
    <w:autoRedefine/>
    <w:qFormat/>
    <w:uiPriority w:val="0"/>
    <w:pPr>
      <w:jc w:val="center"/>
    </w:pPr>
    <w:rPr>
      <w:rFonts w:ascii="仿宋_GB2312" w:eastAsia="仿宋_GB2312"/>
    </w:rPr>
  </w:style>
  <w:style w:type="paragraph" w:customStyle="1" w:styleId="71">
    <w:name w:val="(文字) (文字)"/>
    <w:basedOn w:val="1"/>
    <w:autoRedefine/>
    <w:qFormat/>
    <w:uiPriority w:val="0"/>
  </w:style>
  <w:style w:type="paragraph" w:customStyle="1" w:styleId="72">
    <w:name w:val="列出段落1"/>
    <w:basedOn w:val="1"/>
    <w:autoRedefine/>
    <w:qFormat/>
    <w:uiPriority w:val="0"/>
    <w:pPr>
      <w:ind w:firstLine="420" w:firstLineChars="200"/>
    </w:pPr>
    <w:rPr>
      <w:rFonts w:ascii="Calibri" w:hAnsi="Calibri"/>
      <w:szCs w:val="21"/>
    </w:rPr>
  </w:style>
  <w:style w:type="character" w:customStyle="1" w:styleId="73">
    <w:name w:val="表格中文字 Char Char"/>
    <w:link w:val="74"/>
    <w:autoRedefine/>
    <w:qFormat/>
    <w:uiPriority w:val="0"/>
    <w:rPr>
      <w:kern w:val="18"/>
      <w:sz w:val="21"/>
      <w:szCs w:val="21"/>
    </w:rPr>
  </w:style>
  <w:style w:type="paragraph" w:customStyle="1" w:styleId="74">
    <w:name w:val="表格中文字"/>
    <w:basedOn w:val="1"/>
    <w:link w:val="73"/>
    <w:autoRedefine/>
    <w:qFormat/>
    <w:uiPriority w:val="0"/>
    <w:pPr>
      <w:adjustRightInd w:val="0"/>
      <w:snapToGrid w:val="0"/>
      <w:jc w:val="center"/>
    </w:pPr>
    <w:rPr>
      <w:kern w:val="18"/>
      <w:szCs w:val="21"/>
    </w:rPr>
  </w:style>
  <w:style w:type="paragraph" w:customStyle="1" w:styleId="75">
    <w:name w:val="表头"/>
    <w:basedOn w:val="1"/>
    <w:autoRedefine/>
    <w:qFormat/>
    <w:uiPriority w:val="0"/>
    <w:pPr>
      <w:adjustRightInd w:val="0"/>
      <w:snapToGrid w:val="0"/>
      <w:spacing w:line="300" w:lineRule="atLeast"/>
      <w:textAlignment w:val="baseline"/>
    </w:pPr>
    <w:rPr>
      <w:rFonts w:ascii="宋体" w:hAnsi="宋体" w:eastAsia="黑体"/>
      <w:kern w:val="0"/>
    </w:rPr>
  </w:style>
  <w:style w:type="paragraph" w:customStyle="1" w:styleId="76">
    <w:name w:val="Char"/>
    <w:basedOn w:val="1"/>
    <w:autoRedefine/>
    <w:qFormat/>
    <w:uiPriority w:val="0"/>
  </w:style>
  <w:style w:type="paragraph" w:customStyle="1" w:styleId="77">
    <w:name w:val="Char Char6"/>
    <w:basedOn w:val="1"/>
    <w:autoRedefine/>
    <w:qFormat/>
    <w:uiPriority w:val="0"/>
    <w:rPr>
      <w:rFonts w:ascii="Tahoma" w:hAnsi="Tahoma"/>
      <w:sz w:val="24"/>
      <w:szCs w:val="20"/>
    </w:rPr>
  </w:style>
  <w:style w:type="character" w:customStyle="1" w:styleId="78">
    <w:name w:val="正文文本 Char"/>
    <w:autoRedefine/>
    <w:qFormat/>
    <w:locked/>
    <w:uiPriority w:val="0"/>
    <w:rPr>
      <w:sz w:val="18"/>
    </w:rPr>
  </w:style>
  <w:style w:type="character" w:customStyle="1" w:styleId="79">
    <w:name w:val="批注文字 Char"/>
    <w:autoRedefine/>
    <w:qFormat/>
    <w:uiPriority w:val="0"/>
    <w:rPr>
      <w:rFonts w:ascii="Times New Roman" w:hAnsi="Times New Roman"/>
      <w:kern w:val="2"/>
      <w:sz w:val="21"/>
      <w:szCs w:val="24"/>
    </w:rPr>
  </w:style>
  <w:style w:type="paragraph" w:customStyle="1" w:styleId="80">
    <w:name w:val="正文 首行缩进:  2 字符"/>
    <w:basedOn w:val="1"/>
    <w:autoRedefine/>
    <w:qFormat/>
    <w:uiPriority w:val="99"/>
    <w:pPr>
      <w:ind w:firstLine="579" w:firstLineChars="200"/>
    </w:pPr>
    <w:rPr>
      <w:rFonts w:cs="宋体"/>
      <w:szCs w:val="20"/>
    </w:rPr>
  </w:style>
  <w:style w:type="paragraph" w:customStyle="1" w:styleId="81">
    <w:name w:val="Table Paragraph"/>
    <w:basedOn w:val="1"/>
    <w:autoRedefine/>
    <w:qFormat/>
    <w:uiPriority w:val="1"/>
    <w:pPr>
      <w:jc w:val="left"/>
    </w:pPr>
    <w:rPr>
      <w:rFonts w:ascii="Calibri" w:hAnsi="Calibri"/>
      <w:kern w:val="0"/>
      <w:sz w:val="22"/>
      <w:szCs w:val="22"/>
      <w:lang w:eastAsia="en-US"/>
    </w:rPr>
  </w:style>
  <w:style w:type="character" w:customStyle="1" w:styleId="82">
    <w:name w:val="批注文字 Char1"/>
    <w:autoRedefine/>
    <w:qFormat/>
    <w:locked/>
    <w:uiPriority w:val="0"/>
    <w:rPr>
      <w:rFonts w:ascii="Times New Roman" w:hAnsi="Times New Roman" w:eastAsia="宋体"/>
      <w:sz w:val="24"/>
    </w:rPr>
  </w:style>
  <w:style w:type="character" w:customStyle="1" w:styleId="83">
    <w:name w:val="日期 Char"/>
    <w:autoRedefine/>
    <w:qFormat/>
    <w:locked/>
    <w:uiPriority w:val="0"/>
    <w:rPr>
      <w:rFonts w:ascii="Times New Roman" w:hAnsi="Times New Roman" w:eastAsia="宋体"/>
      <w:sz w:val="24"/>
    </w:rPr>
  </w:style>
  <w:style w:type="character" w:customStyle="1" w:styleId="84">
    <w:name w:val="页脚 Char"/>
    <w:autoRedefine/>
    <w:qFormat/>
    <w:locked/>
    <w:uiPriority w:val="99"/>
    <w:rPr>
      <w:sz w:val="18"/>
    </w:rPr>
  </w:style>
  <w:style w:type="character" w:customStyle="1" w:styleId="85">
    <w:name w:val="页眉 Char"/>
    <w:autoRedefine/>
    <w:qFormat/>
    <w:locked/>
    <w:uiPriority w:val="0"/>
    <w:rPr>
      <w:sz w:val="18"/>
    </w:rPr>
  </w:style>
  <w:style w:type="character" w:customStyle="1" w:styleId="86">
    <w:name w:val="普通(网站) Char"/>
    <w:autoRedefine/>
    <w:qFormat/>
    <w:locked/>
    <w:uiPriority w:val="0"/>
    <w:rPr>
      <w:rFonts w:ascii="宋体" w:hAnsi="宋体" w:eastAsia="宋体"/>
      <w:sz w:val="24"/>
    </w:rPr>
  </w:style>
  <w:style w:type="paragraph" w:styleId="87">
    <w:name w:val="List Paragraph"/>
    <w:basedOn w:val="1"/>
    <w:autoRedefine/>
    <w:qFormat/>
    <w:uiPriority w:val="1"/>
    <w:pPr>
      <w:autoSpaceDE w:val="0"/>
      <w:autoSpaceDN w:val="0"/>
      <w:adjustRightInd w:val="0"/>
      <w:jc w:val="left"/>
    </w:pPr>
    <w:rPr>
      <w:kern w:val="0"/>
      <w:sz w:val="24"/>
    </w:rPr>
  </w:style>
  <w:style w:type="paragraph" w:customStyle="1" w:styleId="88">
    <w:name w:val="p0"/>
    <w:basedOn w:val="1"/>
    <w:autoRedefine/>
    <w:qFormat/>
    <w:uiPriority w:val="0"/>
    <w:pPr>
      <w:widowControl/>
      <w:snapToGrid w:val="0"/>
      <w:spacing w:line="300" w:lineRule="auto"/>
    </w:pPr>
    <w:rPr>
      <w:rFonts w:ascii="仿宋_GB2312" w:hAnsi="宋体" w:eastAsia="仿宋_GB2312" w:cs="宋体"/>
      <w:kern w:val="0"/>
      <w:sz w:val="28"/>
      <w:szCs w:val="28"/>
    </w:rPr>
  </w:style>
  <w:style w:type="character" w:customStyle="1" w:styleId="89">
    <w:name w:val="NormalCharacter"/>
    <w:link w:val="90"/>
    <w:autoRedefine/>
    <w:semiHidden/>
    <w:qFormat/>
    <w:uiPriority w:val="0"/>
    <w:rPr>
      <w:rFonts w:ascii="Times New Roman" w:hAnsi="Times New Roman"/>
      <w:kern w:val="0"/>
      <w:sz w:val="24"/>
      <w:szCs w:val="20"/>
      <w:lang w:val="en-US" w:eastAsia="zh-CN" w:bidi="ar-SA"/>
    </w:rPr>
  </w:style>
  <w:style w:type="paragraph" w:customStyle="1" w:styleId="90">
    <w:name w:val="UserStyle_75"/>
    <w:basedOn w:val="1"/>
    <w:link w:val="89"/>
    <w:autoRedefine/>
    <w:qFormat/>
    <w:uiPriority w:val="0"/>
    <w:pPr>
      <w:spacing w:line="360" w:lineRule="auto"/>
      <w:textAlignment w:val="baseline"/>
    </w:pPr>
    <w:rPr>
      <w:kern w:val="0"/>
      <w:sz w:val="24"/>
      <w:szCs w:val="20"/>
    </w:rPr>
  </w:style>
  <w:style w:type="paragraph" w:customStyle="1" w:styleId="91">
    <w:name w:val="表表文字"/>
    <w:basedOn w:val="1"/>
    <w:autoRedefine/>
    <w:qFormat/>
    <w:uiPriority w:val="0"/>
    <w:pPr>
      <w:wordWrap w:val="0"/>
      <w:adjustRightInd w:val="0"/>
      <w:snapToGrid w:val="0"/>
      <w:jc w:val="center"/>
    </w:pPr>
    <w:rPr>
      <w:kern w:val="0"/>
      <w:szCs w:val="21"/>
    </w:rPr>
  </w:style>
  <w:style w:type="paragraph" w:customStyle="1" w:styleId="92">
    <w:name w:val="表1"/>
    <w:basedOn w:val="1"/>
    <w:autoRedefine/>
    <w:qFormat/>
    <w:uiPriority w:val="0"/>
    <w:pPr>
      <w:jc w:val="center"/>
    </w:pPr>
    <w:rPr>
      <w:rFonts w:ascii="宋体" w:hAnsi="宋体"/>
      <w:color w:val="000000"/>
    </w:rPr>
  </w:style>
  <w:style w:type="character" w:customStyle="1" w:styleId="93">
    <w:name w:val="text_img"/>
    <w:basedOn w:val="27"/>
    <w:autoRedefine/>
    <w:qFormat/>
    <w:uiPriority w:val="0"/>
  </w:style>
  <w:style w:type="paragraph" w:customStyle="1" w:styleId="94">
    <w:name w:val="样式 样式 样式 四号 左侧:  1.53 厘米 + 首行缩进:  2 字符 + 居中 左侧:  2 字符 首行缩进:  2..."/>
    <w:basedOn w:val="95"/>
    <w:autoRedefine/>
    <w:qFormat/>
    <w:uiPriority w:val="0"/>
    <w:pPr>
      <w:jc w:val="center"/>
    </w:pPr>
  </w:style>
  <w:style w:type="paragraph" w:customStyle="1" w:styleId="95">
    <w:name w:val="样式 样式 四号 左侧:  1.53 厘米 + 首行缩进:  2 字符"/>
    <w:basedOn w:val="96"/>
    <w:autoRedefine/>
    <w:qFormat/>
    <w:uiPriority w:val="0"/>
    <w:pPr>
      <w:ind w:left="200" w:leftChars="200"/>
    </w:pPr>
    <w:rPr>
      <w:szCs w:val="20"/>
    </w:rPr>
  </w:style>
  <w:style w:type="paragraph" w:customStyle="1" w:styleId="96">
    <w:name w:val="样式 四号 左侧:  1.53 厘米"/>
    <w:basedOn w:val="1"/>
    <w:autoRedefine/>
    <w:qFormat/>
    <w:uiPriority w:val="0"/>
    <w:pPr>
      <w:adjustRightInd w:val="0"/>
    </w:pPr>
    <w:rPr>
      <w:w w:val="90"/>
      <w:sz w:val="28"/>
      <w:szCs w:val="28"/>
    </w:rPr>
  </w:style>
  <w:style w:type="paragraph" w:customStyle="1" w:styleId="97">
    <w:name w:val="0正文"/>
    <w:basedOn w:val="10"/>
    <w:autoRedefine/>
    <w:unhideWhenUsed/>
    <w:qFormat/>
    <w:uiPriority w:val="0"/>
    <w:pPr>
      <w:spacing w:line="360" w:lineRule="auto"/>
      <w:ind w:firstLine="720" w:firstLineChars="200"/>
    </w:pPr>
    <w:rPr>
      <w:szCs w:val="22"/>
    </w:rPr>
  </w:style>
  <w:style w:type="paragraph" w:customStyle="1" w:styleId="98">
    <w:name w:val="Z表格标题"/>
    <w:basedOn w:val="1"/>
    <w:next w:val="1"/>
    <w:autoRedefine/>
    <w:qFormat/>
    <w:uiPriority w:val="0"/>
    <w:pPr>
      <w:spacing w:line="400" w:lineRule="exact"/>
      <w:jc w:val="center"/>
    </w:pPr>
    <w:rPr>
      <w:b/>
    </w:rPr>
  </w:style>
  <w:style w:type="paragraph" w:customStyle="1" w:styleId="99">
    <w:name w:val="Z嵌套表格内容"/>
    <w:basedOn w:val="1"/>
    <w:autoRedefine/>
    <w:qFormat/>
    <w:uiPriority w:val="0"/>
    <w:pPr>
      <w:jc w:val="center"/>
    </w:pPr>
    <w:rPr>
      <w:sz w:val="18"/>
    </w:rPr>
  </w:style>
  <w:style w:type="table" w:customStyle="1" w:styleId="100">
    <w:name w:val="maoli1"/>
    <w:basedOn w:val="25"/>
    <w:autoRedefine/>
    <w:qFormat/>
    <w:uiPriority w:val="0"/>
    <w:rPr>
      <w:rFonts w:eastAsia="仿宋_GB2312"/>
      <w:sz w:val="21"/>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101">
    <w:name w:val="01正文"/>
    <w:basedOn w:val="102"/>
    <w:autoRedefine/>
    <w:qFormat/>
    <w:uiPriority w:val="0"/>
    <w:pPr>
      <w:autoSpaceDE w:val="0"/>
      <w:autoSpaceDN w:val="0"/>
    </w:pPr>
    <w:rPr>
      <w:lang w:val="zh-CN"/>
    </w:rPr>
  </w:style>
  <w:style w:type="paragraph" w:customStyle="1" w:styleId="102">
    <w:name w:val="LD正文"/>
    <w:basedOn w:val="1"/>
    <w:autoRedefine/>
    <w:qFormat/>
    <w:uiPriority w:val="0"/>
    <w:pPr>
      <w:adjustRightInd w:val="0"/>
      <w:snapToGrid w:val="0"/>
      <w:spacing w:line="360" w:lineRule="auto"/>
      <w:ind w:firstLine="200" w:firstLineChars="200"/>
    </w:pPr>
    <w:rPr>
      <w:kern w:val="0"/>
      <w:sz w:val="24"/>
    </w:rPr>
  </w:style>
  <w:style w:type="paragraph" w:customStyle="1" w:styleId="103">
    <w:name w:val="彩色列表 - 着色 11"/>
    <w:basedOn w:val="1"/>
    <w:autoRedefine/>
    <w:qFormat/>
    <w:uiPriority w:val="34"/>
    <w:pPr>
      <w:ind w:firstLine="420"/>
    </w:pPr>
  </w:style>
  <w:style w:type="paragraph" w:customStyle="1" w:styleId="104">
    <w:name w:val="正文文本1"/>
    <w:autoRedefine/>
    <w:qFormat/>
    <w:uiPriority w:val="0"/>
    <w:pPr>
      <w:widowControl w:val="0"/>
      <w:shd w:val="clear" w:color="auto" w:fill="FFFFFF"/>
      <w:spacing w:after="300" w:line="0" w:lineRule="atLeast"/>
      <w:jc w:val="distribute"/>
    </w:pPr>
    <w:rPr>
      <w:rFonts w:ascii="宋体" w:hAnsi="宋体" w:eastAsia="宋体" w:cs="宋体"/>
      <w:sz w:val="27"/>
      <w:szCs w:val="27"/>
      <w:lang w:val="en-US" w:eastAsia="zh-CN" w:bidi="ar-SA"/>
    </w:rPr>
  </w:style>
  <w:style w:type="character" w:customStyle="1" w:styleId="105">
    <w:name w:val="正文文本 + 10 pt2"/>
    <w:autoRedefine/>
    <w:qFormat/>
    <w:uiPriority w:val="0"/>
    <w:rPr>
      <w:rFonts w:ascii="宋体" w:hAnsi="宋体" w:eastAsia="宋体" w:cs="宋体"/>
      <w:color w:val="000000"/>
      <w:spacing w:val="0"/>
      <w:w w:val="100"/>
      <w:position w:val="0"/>
      <w:sz w:val="20"/>
      <w:szCs w:val="20"/>
      <w:u w:val="none"/>
      <w:lang w:val="zh-CN"/>
    </w:rPr>
  </w:style>
  <w:style w:type="character" w:customStyle="1" w:styleId="106">
    <w:name w:val="正文文本 + 10 pt"/>
    <w:autoRedefine/>
    <w:qFormat/>
    <w:uiPriority w:val="0"/>
    <w:rPr>
      <w:rFonts w:ascii="宋体" w:hAnsi="宋体" w:eastAsia="宋体" w:cs="宋体"/>
      <w:color w:val="000000"/>
      <w:spacing w:val="-20"/>
      <w:w w:val="100"/>
      <w:position w:val="0"/>
      <w:sz w:val="20"/>
      <w:szCs w:val="20"/>
      <w:u w:val="none"/>
      <w:lang w:val="zh-CN"/>
    </w:rPr>
  </w:style>
  <w:style w:type="paragraph" w:customStyle="1" w:styleId="107">
    <w:name w:val="Z正文"/>
    <w:basedOn w:val="1"/>
    <w:autoRedefine/>
    <w:qFormat/>
    <w:uiPriority w:val="0"/>
    <w:pPr>
      <w:spacing w:line="400" w:lineRule="exact"/>
      <w:ind w:firstLine="600" w:firstLineChars="200"/>
    </w:pPr>
    <w:rPr>
      <w:szCs w:val="20"/>
    </w:rPr>
  </w:style>
  <w:style w:type="paragraph" w:customStyle="1" w:styleId="108">
    <w:name w:val="1正文"/>
    <w:basedOn w:val="1"/>
    <w:autoRedefine/>
    <w:qFormat/>
    <w:uiPriority w:val="99"/>
    <w:pPr>
      <w:autoSpaceDE w:val="0"/>
      <w:autoSpaceDN w:val="0"/>
      <w:adjustRightInd w:val="0"/>
      <w:snapToGrid w:val="0"/>
      <w:spacing w:before="25" w:beforeLines="25" w:after="25" w:afterLines="25" w:line="360" w:lineRule="auto"/>
      <w:ind w:firstLine="200" w:firstLineChars="200"/>
    </w:pPr>
    <w:rPr>
      <w:rFonts w:eastAsia="仿宋"/>
      <w:bCs/>
      <w:spacing w:val="5"/>
      <w:kern w:val="0"/>
      <w:sz w:val="24"/>
      <w:szCs w:val="21"/>
    </w:rPr>
  </w:style>
  <w:style w:type="paragraph" w:customStyle="1" w:styleId="109">
    <w:name w:val="D正文"/>
    <w:basedOn w:val="110"/>
    <w:autoRedefine/>
    <w:qFormat/>
    <w:uiPriority w:val="0"/>
    <w:pPr>
      <w:spacing w:line="360" w:lineRule="auto"/>
      <w:ind w:firstLine="480"/>
      <w:jc w:val="both"/>
    </w:pPr>
  </w:style>
  <w:style w:type="paragraph" w:customStyle="1" w:styleId="110">
    <w:name w:val="正文对的"/>
    <w:basedOn w:val="12"/>
    <w:autoRedefine/>
    <w:qFormat/>
    <w:uiPriority w:val="0"/>
    <w:pPr>
      <w:spacing w:line="500" w:lineRule="exact"/>
      <w:ind w:firstLine="200" w:firstLineChars="200"/>
    </w:pPr>
    <w:rPr>
      <w:rFonts w:hAnsi="宋体"/>
      <w:kern w:val="2"/>
      <w:sz w:val="24"/>
      <w:szCs w:val="24"/>
    </w:rPr>
  </w:style>
  <w:style w:type="paragraph" w:customStyle="1" w:styleId="111">
    <w:name w:val="陈表格标题"/>
    <w:basedOn w:val="1"/>
    <w:next w:val="19"/>
    <w:qFormat/>
    <w:uiPriority w:val="0"/>
    <w:pPr>
      <w:adjustRightInd w:val="0"/>
      <w:snapToGrid w:val="0"/>
      <w:ind w:firstLine="720"/>
      <w:jc w:val="center"/>
    </w:pPr>
    <w:rPr>
      <w:b/>
      <w:kern w:val="0"/>
      <w:szCs w:val="20"/>
    </w:rPr>
  </w:style>
  <w:style w:type="paragraph" w:customStyle="1" w:styleId="112">
    <w:name w:val="陈表格"/>
    <w:basedOn w:val="1"/>
    <w:qFormat/>
    <w:uiPriority w:val="0"/>
    <w:pPr>
      <w:adjustRightInd w:val="0"/>
      <w:snapToGrid w:val="0"/>
      <w:jc w:val="center"/>
    </w:pPr>
    <w:rPr>
      <w:kern w:val="0"/>
      <w:szCs w:val="20"/>
    </w:rPr>
  </w:style>
  <w:style w:type="table" w:customStyle="1" w:styleId="113">
    <w:name w:val="Table Normal"/>
    <w:semiHidden/>
    <w:unhideWhenUsed/>
    <w:qFormat/>
    <w:uiPriority w:val="0"/>
    <w:tblPr>
      <w:tblCellMar>
        <w:top w:w="0" w:type="dxa"/>
        <w:left w:w="0" w:type="dxa"/>
        <w:bottom w:w="0" w:type="dxa"/>
        <w:right w:w="0" w:type="dxa"/>
      </w:tblCellMar>
    </w:tblPr>
  </w:style>
  <w:style w:type="paragraph" w:customStyle="1" w:styleId="114">
    <w:name w:val="Table Text"/>
    <w:basedOn w:val="1"/>
    <w:semiHidden/>
    <w:qFormat/>
    <w:uiPriority w:val="0"/>
    <w:rPr>
      <w:rFonts w:ascii="宋体" w:hAnsi="宋体" w:cs="宋体"/>
      <w:sz w:val="24"/>
      <w:lang w:eastAsia="en-US"/>
    </w:rPr>
  </w:style>
  <w:style w:type="paragraph" w:customStyle="1" w:styleId="115">
    <w:name w:val="表格内容"/>
    <w:basedOn w:val="18"/>
    <w:autoRedefine/>
    <w:qFormat/>
    <w:uiPriority w:val="0"/>
    <w:pPr>
      <w:ind w:firstLine="0" w:firstLineChars="0"/>
      <w:jc w:val="center"/>
    </w:pPr>
    <w:rPr>
      <w:snapToGrid w:val="0"/>
      <w:kern w:val="0"/>
      <w:szCs w:val="21"/>
    </w:rPr>
  </w:style>
  <w:style w:type="paragraph" w:customStyle="1" w:styleId="116">
    <w:name w:val="表格第一行"/>
    <w:basedOn w:val="1"/>
    <w:autoRedefine/>
    <w:qFormat/>
    <w:uiPriority w:val="0"/>
    <w:pPr>
      <w:jc w:val="center"/>
    </w:pPr>
    <w:rPr>
      <w:b/>
      <w:szCs w:val="21"/>
    </w:rPr>
  </w:style>
  <w:style w:type="paragraph" w:customStyle="1" w:styleId="117">
    <w:name w:val="表内表"/>
    <w:basedOn w:val="1"/>
    <w:autoRedefine/>
    <w:qFormat/>
    <w:uiPriority w:val="0"/>
    <w:pPr>
      <w:spacing w:line="240" w:lineRule="atLeast"/>
      <w:jc w:val="center"/>
    </w:pPr>
    <w:rPr>
      <w:bCs/>
      <w:szCs w:val="21"/>
    </w:rPr>
  </w:style>
  <w:style w:type="paragraph" w:customStyle="1" w:styleId="118">
    <w:name w:val="顺源 表头"/>
    <w:basedOn w:val="1"/>
    <w:qFormat/>
    <w:uiPriority w:val="0"/>
    <w:pPr>
      <w:jc w:val="center"/>
    </w:pPr>
    <w:rPr>
      <w:rFonts w:cs="微软雅黑"/>
      <w:b/>
      <w:color w:val="000000"/>
      <w:sz w:val="24"/>
      <w:szCs w:val="22"/>
    </w:rPr>
  </w:style>
  <w:style w:type="paragraph" w:customStyle="1" w:styleId="119">
    <w:name w:val="正文(首行缩进)"/>
    <w:basedOn w:val="1"/>
    <w:autoRedefine/>
    <w:qFormat/>
    <w:uiPriority w:val="0"/>
    <w:pPr>
      <w:spacing w:line="500" w:lineRule="exact"/>
      <w:jc w:val="center"/>
    </w:pPr>
    <w:rPr>
      <w:rFonts w:ascii="宋体" w:hAnsi="宋体"/>
      <w:snapToGrid w:val="0"/>
      <w:color w:val="000000"/>
      <w:kern w:val="0"/>
    </w:rPr>
  </w:style>
  <w:style w:type="paragraph" w:customStyle="1" w:styleId="120">
    <w:name w:val="表格内文字"/>
    <w:basedOn w:val="8"/>
    <w:autoRedefine/>
    <w:qFormat/>
    <w:uiPriority w:val="0"/>
    <w:pPr>
      <w:kinsoku w:val="0"/>
      <w:wordWrap w:val="0"/>
      <w:overflowPunct w:val="0"/>
      <w:jc w:val="center"/>
    </w:pPr>
    <w:rPr>
      <w:snapToGrid w:val="0"/>
      <w:sz w:val="20"/>
    </w:rPr>
  </w:style>
  <w:style w:type="paragraph" w:customStyle="1" w:styleId="121">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wmf"/><Relationship Id="rId23" Type="http://schemas.openxmlformats.org/officeDocument/2006/relationships/oleObject" Target="embeddings/oleObject3.bin"/><Relationship Id="rId22" Type="http://schemas.openxmlformats.org/officeDocument/2006/relationships/image" Target="media/image12.wmf"/><Relationship Id="rId21" Type="http://schemas.openxmlformats.org/officeDocument/2006/relationships/oleObject" Target="embeddings/oleObject2.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91</Pages>
  <Words>123</Words>
  <Characters>150</Characters>
  <Lines>4148</Lines>
  <Paragraphs>4115</Paragraphs>
  <TotalTime>2</TotalTime>
  <ScaleCrop>false</ScaleCrop>
  <LinksUpToDate>false</LinksUpToDate>
  <CharactersWithSpaces>197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2023-02-21T07:38:00Z</dcterms:created>
  <dc:creator>lhj</dc:creator>
  <cp:lastModifiedBy>球球</cp:lastModifiedBy>
  <cp:lastPrinted>2025-07-10T06:02:00Z</cp:lastPrinted>
  <dcterms:modified xsi:type="dcterms:W3CDTF">2026-05-12T06:15:41Z</dcterms:modified>
  <dc:title>附件2</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ED4A7058202B451AA59F866EA035FD87_13</vt:lpwstr>
  </property>
  <property fmtid="{D5CDD505-2E9C-101B-9397-08002B2CF9AE}" pid="4" name="KSOTemplateDocerSaveRecord">
    <vt:lpwstr>eyJoZGlkIjoiYWZhMzA0MTE2MGQ3ODcwOTgyMWY3NzY0ZDhkYzQxODciLCJ1c2VySWQiOiIzODk2NzQyOTcifQ==</vt:lpwstr>
  </property>
</Properties>
</file>