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055CA">
      <w:pPr>
        <w:spacing w:line="570" w:lineRule="exact"/>
        <w:jc w:val="cente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p>
    <w:p w14:paraId="76EC3AE4">
      <w:pPr>
        <w:spacing w:line="570" w:lineRule="exact"/>
        <w:jc w:val="cente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t>其他建设工程</w:t>
      </w: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消防验收备案</w:t>
      </w:r>
      <w:r>
        <w:rPr>
          <w:rFonts w:hint="eastAsia" w:ascii="Times New Roman" w:hAnsi="Times New Roman" w:eastAsia="方正小标宋_GBK"/>
          <w:color w:val="000000" w:themeColor="text1"/>
          <w:sz w:val="44"/>
          <w:szCs w:val="44"/>
          <w:highlight w:val="none"/>
          <w:lang w:val="en-US" w:eastAsia="zh-CN"/>
          <w14:textFill>
            <w14:solidFill>
              <w14:schemeClr w14:val="tx1"/>
            </w14:solidFill>
          </w14:textFill>
        </w:rPr>
        <w:t>抽查</w:t>
      </w:r>
      <w:r>
        <w:rPr>
          <w:rFonts w:hint="eastAsia" w:ascii="Times New Roman" w:hAnsi="Times New Roman" w:eastAsia="方正小标宋_GBK"/>
          <w:color w:val="000000" w:themeColor="text1"/>
          <w:sz w:val="44"/>
          <w:szCs w:val="44"/>
          <w:highlight w:val="none"/>
          <w:lang w:eastAsia="zh-CN"/>
          <w14:textFill>
            <w14:solidFill>
              <w14:schemeClr w14:val="tx1"/>
            </w14:solidFill>
          </w14:textFill>
        </w:rPr>
        <w:t>工作指南</w:t>
      </w:r>
    </w:p>
    <w:p w14:paraId="134FCF75">
      <w:pPr>
        <w:spacing w:line="570" w:lineRule="exact"/>
        <w:jc w:val="center"/>
        <w:rPr>
          <w:rFonts w:ascii="Times New Roman" w:hAnsi="Times New Roman" w:eastAsia="方正楷体_GBK" w:cs="Times New Roman Regular"/>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s="Times New Roman Regular"/>
          <w:color w:val="000000" w:themeColor="text1"/>
          <w:sz w:val="32"/>
          <w:szCs w:val="32"/>
          <w:highlight w:val="none"/>
          <w:lang w:eastAsia="zh-CN"/>
          <w14:textFill>
            <w14:solidFill>
              <w14:schemeClr w14:val="tx1"/>
            </w14:solidFill>
          </w14:textFill>
        </w:rPr>
        <w:t>（告知承诺制）</w:t>
      </w:r>
    </w:p>
    <w:p w14:paraId="0904B1F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p>
    <w:p w14:paraId="2EB54B4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为规范我省其他建设工程消防验收备案抽查工作，根据</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消防法律法规以及</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《江苏省特殊建设工程消防验收现场评定办法》《江苏省其他建设工程消防验收备案分类管理办法》等有关规定，制定本指南。</w:t>
      </w:r>
    </w:p>
    <w:p w14:paraId="09CF3DBA">
      <w:pPr>
        <w:spacing w:line="570" w:lineRule="exact"/>
        <w:ind w:firstLine="640" w:firstLineChars="200"/>
        <w:rPr>
          <w:rFonts w:ascii="Times New Roman" w:hAnsi="Times New Roman" w:eastAsia="方正黑体_GBK" w:cs="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s="方正黑体_GBK"/>
          <w:color w:val="000000" w:themeColor="text1"/>
          <w:sz w:val="32"/>
          <w:szCs w:val="32"/>
          <w:highlight w:val="none"/>
          <w:lang w:val="zh-CN" w:eastAsia="zh-CN"/>
          <w14:textFill>
            <w14:solidFill>
              <w14:schemeClr w14:val="tx1"/>
            </w14:solidFill>
          </w14:textFill>
        </w:rPr>
        <w:t>一、</w:t>
      </w:r>
      <w:r>
        <w:rPr>
          <w:rFonts w:hint="eastAsia" w:ascii="Times New Roman" w:hAnsi="Times New Roman" w:eastAsia="方正黑体_GBK" w:cs="方正黑体_GBK"/>
          <w:color w:val="000000" w:themeColor="text1"/>
          <w:sz w:val="32"/>
          <w:szCs w:val="32"/>
          <w:highlight w:val="none"/>
          <w:lang w:val="en-US" w:eastAsia="zh-CN"/>
          <w14:textFill>
            <w14:solidFill>
              <w14:schemeClr w14:val="tx1"/>
            </w14:solidFill>
          </w14:textFill>
        </w:rPr>
        <w:t>适用</w:t>
      </w:r>
      <w:r>
        <w:rPr>
          <w:rFonts w:hint="eastAsia" w:ascii="Times New Roman" w:hAnsi="Times New Roman" w:eastAsia="方正黑体_GBK" w:cs="方正黑体_GBK"/>
          <w:color w:val="000000" w:themeColor="text1"/>
          <w:sz w:val="32"/>
          <w:szCs w:val="32"/>
          <w:highlight w:val="none"/>
          <w:lang w:val="zh-CN" w:eastAsia="zh-CN"/>
          <w14:textFill>
            <w14:solidFill>
              <w14:schemeClr w14:val="tx1"/>
            </w14:solidFill>
          </w14:textFill>
        </w:rPr>
        <w:t>范围</w:t>
      </w:r>
    </w:p>
    <w:p w14:paraId="16922C0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其他建设工程</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中的一般项目</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37924C6B">
      <w:pPr>
        <w:pStyle w:val="5"/>
        <w:widowControl/>
        <w:numPr>
          <w:ilvl w:val="0"/>
          <w:numId w:val="1"/>
        </w:numPr>
        <w:spacing w:line="570" w:lineRule="exact"/>
        <w:rPr>
          <w:rFonts w:ascii="Times New Roman" w:hAnsi="Times New Roman" w:eastAsia="方正黑体_GBK"/>
          <w:color w:val="000000" w:themeColor="text1"/>
          <w:sz w:val="32"/>
          <w:szCs w:val="32"/>
          <w:highlight w:val="none"/>
          <w14:textFill>
            <w14:solidFill>
              <w14:schemeClr w14:val="tx1"/>
            </w14:solidFill>
          </w14:textFill>
        </w:rPr>
      </w:pPr>
      <w:r>
        <w:rPr>
          <w:rFonts w:hint="eastAsia" w:ascii="Times New Roman" w:hAnsi="Times New Roman" w:eastAsia="方正黑体_GBK"/>
          <w:color w:val="000000" w:themeColor="text1"/>
          <w:sz w:val="32"/>
          <w:szCs w:val="32"/>
          <w:highlight w:val="none"/>
          <w14:textFill>
            <w14:solidFill>
              <w14:schemeClr w14:val="tx1"/>
            </w14:solidFill>
          </w14:textFill>
        </w:rPr>
        <w:t>受理材料</w:t>
      </w:r>
    </w:p>
    <w:p w14:paraId="2C70D682">
      <w:pPr>
        <w:spacing w:line="570" w:lineRule="exact"/>
        <w:ind w:left="643"/>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（一）</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建设工程消防验收备案表；</w:t>
      </w:r>
    </w:p>
    <w:p w14:paraId="6AA123C7">
      <w:pPr>
        <w:spacing w:line="570" w:lineRule="exact"/>
        <w:ind w:left="643"/>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二</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建设工程消防验收备案告知承诺书。</w:t>
      </w:r>
    </w:p>
    <w:p w14:paraId="07BBECFA">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eastAsia="zh-CN"/>
          <w14:textFill>
            <w14:solidFill>
              <w14:schemeClr w14:val="tx1"/>
            </w14:solidFill>
          </w14:textFill>
        </w:rPr>
        <w:t>三、</w:t>
      </w: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完成时限</w:t>
      </w:r>
    </w:p>
    <w:p w14:paraId="69DA8FD6">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备案材料齐全的，应当场予以备案（</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通过江苏省建设工程消防设计审查验收管理系统申报的，应在一个工作日内予以备案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），并抽查确定是否为检查对象。</w:t>
      </w:r>
    </w:p>
    <w:p w14:paraId="6DE801EB">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确定为检查对象的，应自确定为检查对象之日起</w:t>
      </w:r>
      <w:r>
        <w:rPr>
          <w:rFonts w:hint="eastAsia" w:ascii="Times New Roman" w:hAnsi="Times New Roman" w:eastAsia="方正仿宋_GBK"/>
          <w:color w:val="000000" w:themeColor="text1"/>
          <w:sz w:val="32"/>
          <w:szCs w:val="32"/>
          <w:highlight w:val="none"/>
          <w:shd w:val="clear" w:color="auto" w:fill="auto"/>
          <w:lang w:val="zh-CN" w:eastAsia="zh-CN"/>
          <w14:textFill>
            <w14:solidFill>
              <w14:schemeClr w14:val="tx1"/>
            </w14:solidFill>
          </w14:textFill>
        </w:rPr>
        <w:t>三</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个工作日内</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，依据涉及消防的建设工程竣工图纸、国家工程建设消防技术标准和建设工程消防验收现场评定有关规定完成检查</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70C4E94F">
      <w:pPr>
        <w:spacing w:line="570" w:lineRule="exact"/>
        <w:ind w:firstLine="640" w:firstLineChars="200"/>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四、备案（抽查）流程</w:t>
      </w:r>
    </w:p>
    <w:p w14:paraId="434402B5">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（一）备案抽查</w:t>
      </w:r>
    </w:p>
    <w:p w14:paraId="19EE6DD1">
      <w:pPr>
        <w:spacing w:line="570" w:lineRule="exact"/>
        <w:ind w:firstLine="640" w:firstLineChars="200"/>
        <w:rPr>
          <w:rFonts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住房城乡建设主管部门通过江苏省建设工程消防设计审查验收管理系统或行政服务窗口接收消防验收备案材料。申报</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材料齐全完整</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的，出具《</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验收备案凭证》；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依法不需要申报消防验收备案、</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不适用以告知承诺方式申报消防验收备案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、不在本单位职权范围</w:t>
      </w:r>
      <w:r>
        <w:rPr>
          <w:rFonts w:hint="eastAsia" w:ascii="Times New Roman" w:hAnsi="Times New Roman" w:eastAsia="方正黑体_GBK" w:cs="方正黑体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备案材料不符合要求或不齐全的，出具</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备案不予受理凭证》</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w:t>
      </w:r>
    </w:p>
    <w:p w14:paraId="017A56E2">
      <w:pPr>
        <w:spacing w:line="570" w:lineRule="exact"/>
        <w:ind w:firstLine="640" w:firstLineChars="200"/>
        <w:rPr>
          <w:rFonts w:ascii="Times New Roman" w:hAnsi="Times New Roman" w:eastAsia="方正黑体_GBK" w:cs="方正黑体_GBK"/>
          <w:color w:val="000000" w:themeColor="text1"/>
          <w:sz w:val="32"/>
          <w:szCs w:val="32"/>
          <w:highlight w:val="none"/>
          <w:lang w:eastAsia="zh-CN"/>
          <w14:textFill>
            <w14:solidFill>
              <w14:schemeClr w14:val="tx1"/>
            </w14:solidFill>
          </w14:textFill>
        </w:rPr>
      </w:pP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住房城乡建设主管部门</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对</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完成消防验收</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备案的其他建设工程</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中的一般项目</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当场进行抽</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查，抽查比例</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1%</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w:t>
      </w:r>
    </w:p>
    <w:p w14:paraId="5D4DDE4E">
      <w:pPr>
        <w:spacing w:line="570" w:lineRule="exact"/>
        <w:ind w:firstLine="640" w:firstLineChars="200"/>
        <w:rPr>
          <w:rFonts w:ascii="Times New Roman" w:hAnsi="Times New Roman" w:eastAsia="方正楷体_GBK"/>
          <w:color w:val="000000" w:themeColor="text1"/>
          <w:sz w:val="32"/>
          <w:szCs w:val="32"/>
          <w:highlight w:val="none"/>
          <w:lang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eastAsia="zh-CN"/>
          <w14:textFill>
            <w14:solidFill>
              <w14:schemeClr w14:val="tx1"/>
            </w14:solidFill>
          </w14:textFill>
        </w:rPr>
        <w:t>（二）组织检查</w:t>
      </w:r>
    </w:p>
    <w:p w14:paraId="1AE92C80">
      <w:pPr>
        <w:spacing w:line="570" w:lineRule="exact"/>
        <w:ind w:firstLine="640" w:firstLineChars="200"/>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依法需要取得施工许可的一般项目，</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审查工程竣工验收报告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或消防查验情况报告</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是否完备，消防查验内容是否完整、符合要求。其中，房屋建筑和市政基础设施工程的工程竣工验收报告应满足《房屋建筑和市政基础设施工程竣工验收规定》（建质〔</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2013</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171</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号）第七条规定，其他专业建设工程应满足本行业工程建设管理相关要求；</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符合</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《江苏省消防条例》第三十四条第二款</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情形的建设工程，提供的</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消防查验情况报告</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应满足《江苏省建筑工程竣工验收消防查验技术指南》相关要求</w:t>
      </w:r>
      <w:r>
        <w:rPr>
          <w:rFonts w:hint="eastAsia"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p>
    <w:p w14:paraId="04E04CCA">
      <w:pPr>
        <w:spacing w:line="570" w:lineRule="exact"/>
        <w:ind w:firstLine="640" w:firstLineChars="200"/>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依法不需要取得施工许可的一般项目，</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审查消防查验内容是否完整、符合要求；</w:t>
      </w:r>
    </w:p>
    <w:p w14:paraId="49081685">
      <w:pPr>
        <w:spacing w:line="570" w:lineRule="exact"/>
        <w:ind w:firstLine="640" w:firstLineChars="200"/>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3</w:t>
      </w:r>
      <w:r>
        <w:rPr>
          <w:rFonts w:hint="eastAsia"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其</w:t>
      </w:r>
      <w:r>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t>他建设工程消防验收备案告知承诺书内容是否符合要求；</w:t>
      </w:r>
    </w:p>
    <w:p w14:paraId="1A773666">
      <w:pPr>
        <w:spacing w:line="570" w:lineRule="exact"/>
        <w:ind w:firstLine="640" w:firstLineChars="200"/>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是否合格。现场检查包括对建筑防（灭）火设施的外观进行现场抽样查看；通过专业仪器设备对涉及距离、宽度、长度、面积、厚度等可测量的指标进行现场抽样测量；对消防设施的功能进行抽样测试、联调联试消防设施的系统功能等。</w:t>
      </w:r>
    </w:p>
    <w:p w14:paraId="5BC9460B">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1</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）应符合涉及消防的建设工程竣工图纸；</w:t>
      </w:r>
    </w:p>
    <w:p w14:paraId="681AD41F">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2</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）应符合国家工程建设消防技术标准规定的要求；</w:t>
      </w:r>
    </w:p>
    <w:p w14:paraId="527C848D">
      <w:pPr>
        <w:spacing w:line="570" w:lineRule="exact"/>
        <w:ind w:firstLine="640" w:firstLineChars="200"/>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3</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）有距离、高度、宽度、长度、面积、厚度等要求的内容，其与设计图纸标示的数值误差应满足国家工程建设消防技术标准的要求；国家工程建设消防技术标准没有数值误差要求的，误差应不超过</w:t>
      </w:r>
      <w:r>
        <w:rPr>
          <w:rFonts w:hint="default"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%，且不影响正常使用功能和消防安全；</w:t>
      </w:r>
    </w:p>
    <w:p w14:paraId="248A5199">
      <w:pPr>
        <w:spacing w:line="570" w:lineRule="exact"/>
        <w:ind w:firstLine="640" w:firstLineChars="200"/>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4</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）现场检查内容为消防设施性能的，满足设计文件要求并能正常实现；</w:t>
      </w:r>
    </w:p>
    <w:p w14:paraId="10B83AE6">
      <w:pPr>
        <w:spacing w:line="570" w:lineRule="exact"/>
        <w:ind w:firstLine="640" w:firstLineChars="200"/>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shd w:val="clear" w:color="auto" w:fill="auto"/>
          <w:lang w:val="en-US" w:eastAsia="zh-CN"/>
          <w14:textFill>
            <w14:solidFill>
              <w14:schemeClr w14:val="tx1"/>
            </w14:solidFill>
          </w14:textFill>
        </w:rPr>
        <w:t>5</w:t>
      </w:r>
      <w:r>
        <w:rPr>
          <w:rFonts w:ascii="Times New Roman" w:hAnsi="Times New Roman" w:eastAsia="方正仿宋_GBK" w:cs="Times New Roman"/>
          <w:color w:val="000000" w:themeColor="text1"/>
          <w:sz w:val="32"/>
          <w:szCs w:val="32"/>
          <w:highlight w:val="none"/>
          <w:shd w:val="clear" w:color="auto" w:fill="auto"/>
          <w:lang w:val="zh-CN" w:eastAsia="zh-CN"/>
          <w14:textFill>
            <w14:solidFill>
              <w14:schemeClr w14:val="tx1"/>
            </w14:solidFill>
          </w14:textFill>
        </w:rPr>
        <w:t>）</w:t>
      </w:r>
      <w:r>
        <w:rPr>
          <w:rFonts w:ascii="Times New Roman" w:hAnsi="Times New Roman" w:eastAsia="方正仿宋_GBK" w:cs="Times New Roman"/>
          <w:color w:val="000000" w:themeColor="text1"/>
          <w:sz w:val="32"/>
          <w:szCs w:val="32"/>
          <w:highlight w:val="none"/>
          <w:lang w:val="zh-CN" w:eastAsia="zh-CN"/>
          <w14:textFill>
            <w14:solidFill>
              <w14:schemeClr w14:val="tx1"/>
            </w14:solidFill>
          </w14:textFill>
        </w:rPr>
        <w:t>现场检查内容为系统功能的，系统主要功能满足设计文件要求并能正常实现。</w:t>
      </w:r>
    </w:p>
    <w:p w14:paraId="3C6A846B">
      <w:pPr>
        <w:spacing w:line="570" w:lineRule="exact"/>
        <w:ind w:firstLine="640" w:firstLineChars="200"/>
        <w:rPr>
          <w:rFonts w:ascii="Times New Roman" w:hAnsi="Times New Roman" w:eastAsia="方正仿宋_GBK"/>
          <w:color w:val="000000" w:themeColor="text1"/>
          <w:spacing w:val="-6"/>
          <w:sz w:val="32"/>
          <w:szCs w:val="32"/>
          <w:highlight w:val="none"/>
          <w:lang w:val="zh-CN" w:eastAsia="zh-CN"/>
          <w14:textFill>
            <w14:solidFill>
              <w14:schemeClr w14:val="tx1"/>
            </w14:solidFill>
          </w14:textFill>
        </w:rPr>
      </w:pP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现场检查不合格的，应当</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责令其</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停止使用并整改，整改期限为五个工作日。消防</w:t>
      </w:r>
      <w:r>
        <w:rPr>
          <w:rFonts w:hint="eastAsia" w:ascii="Times New Roman" w:hAnsi="Times New Roman" w:eastAsia="方正仿宋_GBK"/>
          <w:color w:val="000000" w:themeColor="text1"/>
          <w:sz w:val="32"/>
          <w:szCs w:val="32"/>
          <w:highlight w:val="none"/>
          <w:lang w:eastAsia="zh-CN"/>
          <w14:textFill>
            <w14:solidFill>
              <w14:schemeClr w14:val="tx1"/>
            </w14:solidFill>
          </w14:textFill>
        </w:rPr>
        <w:t>验收备案抽查不合格的其他建设工程经整改完</w:t>
      </w:r>
      <w:r>
        <w:rPr>
          <w:rFonts w:hint="eastAsia" w:ascii="Times New Roman" w:hAnsi="Times New Roman" w:eastAsia="方正仿宋_GBK"/>
          <w:color w:val="000000" w:themeColor="text1"/>
          <w:spacing w:val="-6"/>
          <w:sz w:val="32"/>
          <w:szCs w:val="32"/>
          <w:highlight w:val="none"/>
          <w:lang w:eastAsia="zh-CN"/>
          <w14:textFill>
            <w14:solidFill>
              <w14:schemeClr w14:val="tx1"/>
            </w14:solidFill>
          </w14:textFill>
        </w:rPr>
        <w:t>成并申请复查的，住房城乡建设主管部门应在收到书面申请之</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日</w:t>
      </w:r>
      <w:r>
        <w:rPr>
          <w:rFonts w:hint="eastAsia" w:ascii="Times New Roman" w:hAnsi="Times New Roman" w:eastAsia="方正仿宋_GBK" w:cs="方正仿宋_GBK"/>
          <w:color w:val="000000" w:themeColor="text1"/>
          <w:spacing w:val="-6"/>
          <w:sz w:val="32"/>
          <w:szCs w:val="32"/>
          <w:highlight w:val="none"/>
          <w:lang w:val="zh-CN" w:eastAsia="zh-CN"/>
          <w14:textFill>
            <w14:solidFill>
              <w14:schemeClr w14:val="tx1"/>
            </w14:solidFill>
          </w14:textFill>
        </w:rPr>
        <w:t>起</w:t>
      </w:r>
      <w:r>
        <w:rPr>
          <w:rFonts w:hint="eastAsia" w:ascii="Times New Roman" w:hAnsi="Times New Roman" w:eastAsia="方正仿宋_GBK" w:cs="方正仿宋_GBK"/>
          <w:color w:val="000000" w:themeColor="text1"/>
          <w:spacing w:val="-6"/>
          <w:sz w:val="32"/>
          <w:szCs w:val="32"/>
          <w:highlight w:val="none"/>
          <w:lang w:eastAsia="zh-CN"/>
          <w14:textFill>
            <w14:solidFill>
              <w14:schemeClr w14:val="tx1"/>
            </w14:solidFill>
          </w14:textFill>
        </w:rPr>
        <w:t>五</w:t>
      </w:r>
      <w:r>
        <w:rPr>
          <w:rFonts w:hint="eastAsia" w:ascii="Times New Roman" w:hAnsi="Times New Roman" w:eastAsia="方正仿宋_GBK" w:cs="方正仿宋_GBK"/>
          <w:color w:val="000000" w:themeColor="text1"/>
          <w:spacing w:val="-6"/>
          <w:sz w:val="32"/>
          <w:szCs w:val="32"/>
          <w:highlight w:val="none"/>
          <w:lang w:val="zh-CN" w:eastAsia="zh-CN"/>
          <w14:textFill>
            <w14:solidFill>
              <w14:schemeClr w14:val="tx1"/>
            </w14:solidFill>
          </w14:textFill>
        </w:rPr>
        <w:t>个工作日内</w:t>
      </w:r>
      <w:r>
        <w:rPr>
          <w:rFonts w:hint="eastAsia" w:ascii="Times New Roman" w:hAnsi="Times New Roman" w:eastAsia="方正仿宋_GBK"/>
          <w:color w:val="000000" w:themeColor="text1"/>
          <w:spacing w:val="-6"/>
          <w:sz w:val="32"/>
          <w:szCs w:val="32"/>
          <w:highlight w:val="none"/>
          <w:lang w:val="zh-CN" w:eastAsia="zh-CN"/>
          <w14:textFill>
            <w14:solidFill>
              <w14:schemeClr w14:val="tx1"/>
            </w14:solidFill>
          </w14:textFill>
        </w:rPr>
        <w:t>进行复查，复查工作应按照本指南检查环节进行。</w:t>
      </w:r>
    </w:p>
    <w:p w14:paraId="67C0380B">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经办人员应如实填写《</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建设工程消防验收备案抽查/复查记录表》和《</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建设工程消防验收备案现场检查记录表》，如委</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托</w:t>
      </w:r>
      <w:r>
        <w:rPr>
          <w:rFonts w:hint="eastAsia" w:ascii="Times New Roman" w:hAnsi="Times New Roman" w:eastAsia="方正仿宋_GBK" w:cs="方正仿宋_GBK"/>
          <w:color w:val="000000" w:themeColor="text1"/>
          <w:sz w:val="32"/>
          <w:szCs w:val="32"/>
          <w:highlight w:val="none"/>
          <w:lang w:eastAsia="zh-CN"/>
          <w14:textFill>
            <w14:solidFill>
              <w14:schemeClr w14:val="tx1"/>
            </w14:solidFill>
          </w14:textFill>
        </w:rPr>
        <w:t>消防审验</w:t>
      </w:r>
      <w:r>
        <w:rPr>
          <w:rFonts w:hint="eastAsia" w:ascii="Times New Roman" w:hAnsi="Times New Roman" w:eastAsia="方正仿宋_GBK" w:cs="方正仿宋_GBK"/>
          <w:color w:val="000000" w:themeColor="text1"/>
          <w:sz w:val="32"/>
          <w:szCs w:val="32"/>
          <w:highlight w:val="none"/>
          <w:lang w:val="zh-CN" w:eastAsia="zh-CN"/>
          <w14:textFill>
            <w14:solidFill>
              <w14:schemeClr w14:val="tx1"/>
            </w14:solidFill>
          </w14:textFill>
        </w:rPr>
        <w:t>技术</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服务机构开展建设工程消防验收备案抽查的，《</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建设工程消防验收备案现场检查记录表》由技术服务机构填写，并</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出具</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报告。住房城乡建设主管部门出具《</w:t>
      </w: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建设工程消防验收备案抽查/复查结果通知书》，抽查/复查结果通知建设单位，并向社会公示。</w:t>
      </w:r>
    </w:p>
    <w:p w14:paraId="22138BBB">
      <w:pPr>
        <w:spacing w:line="570" w:lineRule="exact"/>
        <w:ind w:firstLine="640" w:firstLineChars="200"/>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对于属于公众聚集场所的建设工程，建设单位同步向消防部门申请公众聚集场所投入使用、营业前消防安全检查的，对依法需要进行现场检查的，应与消防部门共同开展现场检查，形成一致意见，按照职责分别办理。</w:t>
      </w:r>
    </w:p>
    <w:p w14:paraId="478E5C52">
      <w:pPr>
        <w:spacing w:line="570" w:lineRule="exact"/>
        <w:ind w:firstLine="640" w:firstLineChars="200"/>
        <w:rPr>
          <w:rFonts w:ascii="Times New Roman" w:hAnsi="Times New Roman" w:eastAsia="方正楷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楷体_GBK"/>
          <w:color w:val="000000" w:themeColor="text1"/>
          <w:sz w:val="32"/>
          <w:szCs w:val="32"/>
          <w:highlight w:val="none"/>
          <w:lang w:val="zh-CN" w:eastAsia="zh-CN"/>
          <w14:textFill>
            <w14:solidFill>
              <w14:schemeClr w14:val="tx1"/>
            </w14:solidFill>
          </w14:textFill>
        </w:rPr>
        <w:t>（三）立卷归档</w:t>
      </w:r>
    </w:p>
    <w:p w14:paraId="1E983D42">
      <w:pPr>
        <w:spacing w:line="570" w:lineRule="exact"/>
        <w:ind w:firstLine="640" w:firstLineChars="200"/>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olor w:val="000000" w:themeColor="text1"/>
          <w:sz w:val="32"/>
          <w:szCs w:val="32"/>
          <w:highlight w:val="none"/>
          <w:lang w:val="en-US" w:eastAsia="zh-CN"/>
          <w14:textFill>
            <w14:solidFill>
              <w14:schemeClr w14:val="tx1"/>
            </w14:solidFill>
          </w14:textFill>
        </w:rPr>
        <w:t>其他</w:t>
      </w:r>
      <w:r>
        <w:rPr>
          <w:rFonts w:hint="eastAsia" w:ascii="Times New Roman" w:hAnsi="Times New Roman" w:eastAsia="方正仿宋_GBK"/>
          <w:color w:val="000000" w:themeColor="text1"/>
          <w:sz w:val="32"/>
          <w:szCs w:val="32"/>
          <w:highlight w:val="none"/>
          <w:lang w:val="zh-CN" w:eastAsia="zh-CN"/>
          <w14:textFill>
            <w14:solidFill>
              <w14:schemeClr w14:val="tx1"/>
            </w14:solidFill>
          </w14:textFill>
        </w:rPr>
        <w:t>建设工程消防验收备案档案应按照一个备案事项（含抽查/复查）一卷的原则立卷，并于三个月内归档。档案资料可用电子档案的形式保存。</w:t>
      </w:r>
    </w:p>
    <w:p w14:paraId="6308E6FD">
      <w:pPr>
        <w:ind w:firstLine="640" w:firstLineChars="200"/>
        <w:jc w:val="left"/>
        <w:rPr>
          <w:rFonts w:ascii="Times New Roman" w:hAnsi="Times New Roman" w:eastAsia="方正黑体_GBK"/>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黑体_GBK"/>
          <w:color w:val="000000" w:themeColor="text1"/>
          <w:sz w:val="32"/>
          <w:szCs w:val="32"/>
          <w:highlight w:val="none"/>
          <w:lang w:val="zh-CN" w:eastAsia="zh-CN"/>
          <w14:textFill>
            <w14:solidFill>
              <w14:schemeClr w14:val="tx1"/>
            </w14:solidFill>
          </w14:textFill>
        </w:rPr>
        <w:t>五、工作流程图</w:t>
      </w:r>
    </w:p>
    <w:p w14:paraId="59D347FA">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方正黑体_GBK"/>
          <w:color w:val="000000" w:themeColor="text1"/>
          <w:sz w:val="32"/>
          <w:szCs w:val="32"/>
          <w:highlight w:val="none"/>
          <w:lang w:val="zh-CN" w:eastAsia="zh-CN"/>
          <w14:textFill>
            <w14:solidFill>
              <w14:schemeClr w14:val="tx1"/>
            </w14:solidFill>
          </w14:textFill>
        </w:rPr>
        <w:sectPr>
          <w:footerReference r:id="rId3" w:type="default"/>
          <w:pgSz w:w="11906" w:h="16838"/>
          <w:pgMar w:top="2098" w:right="1587" w:bottom="1984" w:left="1474" w:header="851" w:footer="992" w:gutter="0"/>
          <w:pgNumType w:fmt="decimal"/>
          <w:cols w:space="0" w:num="1"/>
          <w:docGrid w:type="lines" w:linePitch="312" w:charSpace="0"/>
        </w:sectPr>
      </w:pPr>
      <w:r>
        <w:rPr>
          <w:rFonts w:ascii="Times New Roman" w:hAnsi="Times New Roman"/>
          <w:color w:val="000000" w:themeColor="text1"/>
          <w:sz w:val="36"/>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3131185</wp:posOffset>
                </wp:positionH>
                <wp:positionV relativeFrom="paragraph">
                  <wp:posOffset>34290</wp:posOffset>
                </wp:positionV>
                <wp:extent cx="788035" cy="346075"/>
                <wp:effectExtent l="0" t="0" r="12065" b="15875"/>
                <wp:wrapNone/>
                <wp:docPr id="1" name="文本框 1"/>
                <wp:cNvGraphicFramePr/>
                <a:graphic xmlns:a="http://schemas.openxmlformats.org/drawingml/2006/main">
                  <a:graphicData uri="http://schemas.microsoft.com/office/word/2010/wordprocessingShape">
                    <wps:wsp>
                      <wps:cNvSpPr txBox="1"/>
                      <wps:spPr>
                        <a:xfrm>
                          <a:off x="0" y="0"/>
                          <a:ext cx="788035" cy="346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599391">
                            <w:pPr>
                              <w:jc w:val="center"/>
                              <w:rPr>
                                <w:b w:val="0"/>
                                <w:bCs w:val="0"/>
                                <w:sz w:val="18"/>
                                <w:szCs w:val="18"/>
                              </w:rPr>
                            </w:pPr>
                            <w:r>
                              <w:rPr>
                                <w:rFonts w:hint="eastAsia"/>
                                <w:b w:val="0"/>
                                <w:bCs w:val="0"/>
                                <w:sz w:val="18"/>
                                <w:szCs w:val="18"/>
                              </w:rPr>
                              <w:t>资料接收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55pt;margin-top:2.7pt;height:27.25pt;width:62.05pt;z-index:251660288;mso-width-relative:page;mso-height-relative:page;" fillcolor="#FFFFFF [3201]" filled="t" stroked="f" coordsize="21600,21600" o:gfxdata="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JvWeoNMAAAAIAQAADwAAAAAAAAAB&#10;ACAAAAAiAAAAZHJzL2Rvd25yZXYueG1sUEsBAhQAFAAAAAgAh07iQHl5rs9OAgAAjgQAAA4AAAAA&#10;AAAAAQAgAAAAIgEAAGRycy9lMm9Eb2MueG1sUEsFBgAAAAAGAAYAWQEAAOIFAAAAAA==&#10;">
                <v:fill on="t" focussize="0,0"/>
                <v:stroke on="f" weight="0.5pt"/>
                <v:imagedata o:title=""/>
                <o:lock v:ext="edit" aspectratio="f"/>
                <v:textbox>
                  <w:txbxContent>
                    <w:p w14:paraId="49599391">
                      <w:pPr>
                        <w:jc w:val="center"/>
                        <w:rPr>
                          <w:b w:val="0"/>
                          <w:bCs w:val="0"/>
                          <w:sz w:val="18"/>
                          <w:szCs w:val="18"/>
                        </w:rPr>
                      </w:pPr>
                      <w:r>
                        <w:rPr>
                          <w:rFonts w:hint="eastAsia"/>
                          <w:b w:val="0"/>
                          <w:bCs w:val="0"/>
                          <w:sz w:val="18"/>
                          <w:szCs w:val="18"/>
                        </w:rPr>
                        <w:t>资料接收</w:t>
                      </w:r>
                    </w:p>
                  </w:txbxContent>
                </v:textbox>
              </v:shape>
            </w:pict>
          </mc:Fallback>
        </mc:AlternateContent>
      </w:r>
      <w:r>
        <w:rPr>
          <w:rFonts w:ascii="Times New Roman" w:hAnsi="Times New Roman" w:eastAsia="方正黑体_GBK"/>
          <w:color w:val="000000" w:themeColor="text1"/>
          <w:sz w:val="32"/>
          <w:szCs w:val="32"/>
          <w:highlight w:val="none"/>
          <w:lang w:eastAsia="zh-CN"/>
          <w14:textFill>
            <w14:solidFill>
              <w14:schemeClr w14:val="tx1"/>
            </w14:solidFill>
          </w14:textFill>
        </w:rPr>
        <w:drawing>
          <wp:inline distT="0" distB="0" distL="0" distR="0">
            <wp:extent cx="5396230" cy="4142740"/>
            <wp:effectExtent l="0" t="0" r="13970" b="10160"/>
            <wp:docPr id="2" name="图片 2" descr="F:\新建文件夹 (2)\无水印版\建设工程消防备案抽查流程图（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新建文件夹 (2)\无水印版\建设工程消防备案抽查流程图（改）.jpg"/>
                    <pic:cNvPicPr>
                      <a:picLocks noChangeAspect="1" noChangeArrowheads="1"/>
                    </pic:cNvPicPr>
                  </pic:nvPicPr>
                  <pic:blipFill>
                    <a:blip r:embed="rId5">
                      <a:extLst>
                        <a:ext uri="{28A0092B-C50C-407E-A947-70E740481C1C}">
                          <a14:useLocalDpi xmlns:a14="http://schemas.microsoft.com/office/drawing/2010/main" val="0"/>
                        </a:ext>
                      </a:extLst>
                    </a:blip>
                    <a:srcRect t="1875" b="1620"/>
                    <a:stretch>
                      <a:fillRect/>
                    </a:stretch>
                  </pic:blipFill>
                  <pic:spPr>
                    <a:xfrm>
                      <a:off x="0" y="0"/>
                      <a:ext cx="5396230" cy="4142740"/>
                    </a:xfrm>
                    <a:prstGeom prst="rect">
                      <a:avLst/>
                    </a:prstGeom>
                    <a:noFill/>
                    <a:ln>
                      <a:noFill/>
                    </a:ln>
                  </pic:spPr>
                </pic:pic>
              </a:graphicData>
            </a:graphic>
          </wp:inline>
        </w:drawing>
      </w:r>
    </w:p>
    <w:p w14:paraId="241AA7B4">
      <w:pPr>
        <w:jc w:val="center"/>
        <w:rPr>
          <w:rFonts w:ascii="Times New Roman" w:hAnsi="Times New Roman" w:eastAsia="方正小标宋_GBK"/>
          <w:color w:val="000000" w:themeColor="text1"/>
          <w:sz w:val="36"/>
          <w:szCs w:val="44"/>
          <w:highlight w:val="none"/>
          <w:lang w:eastAsia="zh-CN"/>
          <w14:textFill>
            <w14:solidFill>
              <w14:schemeClr w14:val="tx1"/>
            </w14:solidFill>
          </w14:textFill>
        </w:rPr>
      </w:pPr>
      <w:r>
        <w:rPr>
          <w:rFonts w:hint="eastAsia" w:ascii="Times New Roman" w:hAnsi="Times New Roman" w:eastAsia="方正小标宋_GBK"/>
          <w:color w:val="000000" w:themeColor="text1"/>
          <w:sz w:val="36"/>
          <w:szCs w:val="44"/>
          <w:highlight w:val="none"/>
          <w:lang w:val="en-US" w:eastAsia="zh-CN"/>
          <w14:textFill>
            <w14:solidFill>
              <w14:schemeClr w14:val="tx1"/>
            </w14:solidFill>
          </w14:textFill>
        </w:rPr>
        <w:t>其他</w:t>
      </w:r>
      <w:r>
        <w:rPr>
          <w:rFonts w:ascii="Times New Roman" w:hAnsi="Times New Roman" w:eastAsia="方正小标宋_GBK"/>
          <w:color w:val="000000" w:themeColor="text1"/>
          <w:sz w:val="36"/>
          <w:szCs w:val="44"/>
          <w:highlight w:val="none"/>
          <w:lang w:eastAsia="zh-CN"/>
          <w14:textFill>
            <w14:solidFill>
              <w14:schemeClr w14:val="tx1"/>
            </w14:solidFill>
          </w14:textFill>
        </w:rPr>
        <w:t>建设工程消防验收备案表</w:t>
      </w:r>
    </w:p>
    <w:p w14:paraId="65925742">
      <w:pPr>
        <w:spacing w:line="400" w:lineRule="exact"/>
        <w:jc w:val="both"/>
        <w:rPr>
          <w:rFonts w:ascii="Times New Roman" w:hAnsi="Times New Roman" w:eastAsia="方正楷体_GBK" w:cs="方正小标宋_GBK"/>
          <w:color w:val="000000" w:themeColor="text1"/>
          <w:sz w:val="24"/>
          <w:szCs w:val="24"/>
          <w:highlight w:val="none"/>
          <w:lang w:eastAsia="zh-CN"/>
          <w14:textFill>
            <w14:solidFill>
              <w14:schemeClr w14:val="tx1"/>
            </w14:solidFill>
          </w14:textFill>
        </w:rPr>
      </w:pPr>
      <w:r>
        <w:rPr>
          <w:rFonts w:hint="eastAsia" w:ascii="Times New Roman" w:hAnsi="Times New Roman" w:eastAsia="方正小标宋_GBK" w:cs="方正小标宋_GBK"/>
          <w:color w:val="000000" w:themeColor="text1"/>
          <w:sz w:val="36"/>
          <w:szCs w:val="36"/>
          <w:highlight w:val="none"/>
          <w:lang w:eastAsia="zh-CN"/>
          <w14:textFill>
            <w14:solidFill>
              <w14:schemeClr w14:val="tx1"/>
            </w14:solidFill>
          </w14:textFill>
        </w:rPr>
        <w:t xml:space="preserve">                    </w:t>
      </w:r>
      <w:r>
        <w:rPr>
          <w:rFonts w:hint="eastAsia" w:ascii="Times New Roman" w:hAnsi="Times New Roman" w:eastAsia="方正小标宋_GBK" w:cs="方正小标宋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小标宋_GBK" w:cs="方正小标宋_GBK"/>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方正楷体_GBK" w:cs="方正小标宋_GBK"/>
          <w:color w:val="000000" w:themeColor="text1"/>
          <w:sz w:val="24"/>
          <w:szCs w:val="24"/>
          <w:highlight w:val="none"/>
          <w:lang w:eastAsia="zh-CN"/>
          <w14:textFill>
            <w14:solidFill>
              <w14:schemeClr w14:val="tx1"/>
            </w14:solidFill>
          </w14:textFill>
        </w:rPr>
        <w:t>编    号：</w:t>
      </w:r>
    </w:p>
    <w:p w14:paraId="78E7F393">
      <w:pPr>
        <w:spacing w:line="400" w:lineRule="exact"/>
        <w:rPr>
          <w:rFonts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 xml:space="preserve">建设单位：      </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（印章）</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申</w:t>
      </w:r>
      <w:r>
        <w:rPr>
          <w:rFonts w:hint="eastAsia" w:ascii="Times New Roman" w:hAnsi="Times New Roman" w:eastAsia="方正楷体_GBK"/>
          <w:color w:val="000000" w:themeColor="text1"/>
          <w:sz w:val="24"/>
          <w:szCs w:val="24"/>
          <w:highlight w:val="none"/>
          <w:lang w:val="en-US" w:eastAsia="zh-CN"/>
          <w14:textFill>
            <w14:solidFill>
              <w14:schemeClr w14:val="tx1"/>
            </w14:solidFill>
          </w14:textFill>
        </w:rPr>
        <w:t>报</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日期：  </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 xml:space="preserve">年 </w:t>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月</w:t>
      </w:r>
      <w:r>
        <w:rPr>
          <w:rFonts w:ascii="Times New Roman" w:hAnsi="Times New Roman" w:eastAsia="方正楷体_GBK"/>
          <w:color w:val="000000" w:themeColor="text1"/>
          <w:sz w:val="24"/>
          <w:szCs w:val="24"/>
          <w:highlight w:val="none"/>
          <w:lang w:eastAsia="zh-CN"/>
          <w14:textFill>
            <w14:solidFill>
              <w14:schemeClr w14:val="tx1"/>
            </w14:solidFill>
          </w14:textFill>
        </w:rPr>
        <w:tab/>
      </w:r>
      <w:r>
        <w:rPr>
          <w:rFonts w:ascii="Times New Roman" w:hAnsi="Times New Roman" w:eastAsia="方正楷体_GBK"/>
          <w:color w:val="000000" w:themeColor="text1"/>
          <w:sz w:val="24"/>
          <w:szCs w:val="24"/>
          <w:highlight w:val="none"/>
          <w:lang w:eastAsia="zh-CN"/>
          <w14:textFill>
            <w14:solidFill>
              <w14:schemeClr w14:val="tx1"/>
            </w14:solidFill>
          </w14:textFill>
        </w:rPr>
        <w:t xml:space="preserve"> </w:t>
      </w:r>
      <w:r>
        <w:rPr>
          <w:rFonts w:hint="eastAsia" w:ascii="Times New Roman" w:hAnsi="Times New Roman" w:eastAsia="方正楷体_GBK"/>
          <w:color w:val="000000" w:themeColor="text1"/>
          <w:sz w:val="24"/>
          <w:szCs w:val="24"/>
          <w:highlight w:val="none"/>
          <w:lang w:eastAsia="zh-CN"/>
          <w14:textFill>
            <w14:solidFill>
              <w14:schemeClr w14:val="tx1"/>
            </w14:solidFill>
          </w14:textFill>
        </w:rPr>
        <w:t>日</w:t>
      </w:r>
    </w:p>
    <w:tbl>
      <w:tblPr>
        <w:tblStyle w:val="3"/>
        <w:tblW w:w="10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0"/>
        <w:gridCol w:w="611"/>
        <w:gridCol w:w="173"/>
        <w:gridCol w:w="818"/>
        <w:gridCol w:w="680"/>
        <w:gridCol w:w="975"/>
        <w:gridCol w:w="743"/>
        <w:gridCol w:w="660"/>
        <w:gridCol w:w="557"/>
        <w:gridCol w:w="256"/>
        <w:gridCol w:w="347"/>
        <w:gridCol w:w="539"/>
        <w:gridCol w:w="696"/>
        <w:gridCol w:w="288"/>
        <w:gridCol w:w="366"/>
        <w:gridCol w:w="334"/>
        <w:gridCol w:w="633"/>
      </w:tblGrid>
      <w:tr w14:paraId="4859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01" w:type="dxa"/>
            <w:gridSpan w:val="2"/>
            <w:vAlign w:val="center"/>
          </w:tcPr>
          <w:p w14:paraId="60FA7D9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工程名称</w:t>
            </w:r>
          </w:p>
        </w:tc>
        <w:tc>
          <w:tcPr>
            <w:tcW w:w="2646" w:type="dxa"/>
            <w:gridSpan w:val="4"/>
            <w:vAlign w:val="center"/>
          </w:tcPr>
          <w:p w14:paraId="51D419D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70FB5F3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联系人</w:t>
            </w:r>
          </w:p>
        </w:tc>
        <w:tc>
          <w:tcPr>
            <w:tcW w:w="2359" w:type="dxa"/>
            <w:gridSpan w:val="5"/>
            <w:vAlign w:val="center"/>
          </w:tcPr>
          <w:p w14:paraId="78F019F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03DD9DA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c>
          <w:tcPr>
            <w:tcW w:w="1333" w:type="dxa"/>
            <w:gridSpan w:val="3"/>
            <w:vAlign w:val="center"/>
          </w:tcPr>
          <w:p w14:paraId="2607E10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FFD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2101" w:type="dxa"/>
            <w:gridSpan w:val="2"/>
            <w:vAlign w:val="center"/>
          </w:tcPr>
          <w:p w14:paraId="448FF7C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工程地址</w:t>
            </w:r>
          </w:p>
        </w:tc>
        <w:tc>
          <w:tcPr>
            <w:tcW w:w="2646" w:type="dxa"/>
            <w:gridSpan w:val="4"/>
            <w:vAlign w:val="center"/>
          </w:tcPr>
          <w:p w14:paraId="1C38FB3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02253176">
            <w:pPr>
              <w:keepNext w:val="0"/>
              <w:keepLines w:val="0"/>
              <w:pageBreakBefore w:val="0"/>
              <w:widowControl w:val="0"/>
              <w:tabs>
                <w:tab w:val="left" w:pos="740"/>
              </w:tabs>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  别</w:t>
            </w:r>
          </w:p>
        </w:tc>
        <w:tc>
          <w:tcPr>
            <w:tcW w:w="4676" w:type="dxa"/>
            <w:gridSpan w:val="10"/>
            <w:vAlign w:val="center"/>
          </w:tcPr>
          <w:p w14:paraId="1D716328">
            <w:pPr>
              <w:keepNext w:val="0"/>
              <w:keepLines w:val="0"/>
              <w:pageBreakBefore w:val="0"/>
              <w:widowControl w:val="0"/>
              <w:tabs>
                <w:tab w:val="left" w:pos="740"/>
              </w:tabs>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□新建</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b/>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□改建（含内部装修） □扩建 </w:t>
            </w:r>
          </w:p>
        </w:tc>
      </w:tr>
      <w:tr w14:paraId="7B27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jc w:val="center"/>
        </w:trPr>
        <w:tc>
          <w:tcPr>
            <w:tcW w:w="2101" w:type="dxa"/>
            <w:gridSpan w:val="2"/>
            <w:vAlign w:val="center"/>
          </w:tcPr>
          <w:p w14:paraId="2AE8679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工程投资额（万元）</w:t>
            </w:r>
          </w:p>
        </w:tc>
        <w:tc>
          <w:tcPr>
            <w:tcW w:w="2646" w:type="dxa"/>
            <w:gridSpan w:val="4"/>
            <w:vAlign w:val="center"/>
          </w:tcPr>
          <w:p w14:paraId="4850E4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216" w:type="dxa"/>
            <w:gridSpan w:val="4"/>
            <w:vAlign w:val="center"/>
          </w:tcPr>
          <w:p w14:paraId="46BF0A1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工程总建筑面积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886" w:type="dxa"/>
            <w:gridSpan w:val="2"/>
            <w:vAlign w:val="center"/>
          </w:tcPr>
          <w:p w14:paraId="3139959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50" w:type="dxa"/>
            <w:gridSpan w:val="3"/>
            <w:vAlign w:val="center"/>
          </w:tcPr>
          <w:p w14:paraId="5B58D5D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火灾危险性</w:t>
            </w:r>
          </w:p>
        </w:tc>
        <w:tc>
          <w:tcPr>
            <w:tcW w:w="967" w:type="dxa"/>
            <w:gridSpan w:val="2"/>
            <w:vAlign w:val="center"/>
          </w:tcPr>
          <w:p w14:paraId="6E4796A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852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2101" w:type="dxa"/>
            <w:gridSpan w:val="2"/>
            <w:vAlign w:val="center"/>
          </w:tcPr>
          <w:p w14:paraId="640E694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单位类别</w:t>
            </w:r>
          </w:p>
        </w:tc>
        <w:tc>
          <w:tcPr>
            <w:tcW w:w="1671" w:type="dxa"/>
            <w:gridSpan w:val="3"/>
            <w:vAlign w:val="center"/>
          </w:tcPr>
          <w:p w14:paraId="31AEE11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单位名称</w:t>
            </w:r>
          </w:p>
        </w:tc>
        <w:tc>
          <w:tcPr>
            <w:tcW w:w="975" w:type="dxa"/>
            <w:vAlign w:val="center"/>
          </w:tcPr>
          <w:p w14:paraId="29A44D1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资质等级</w:t>
            </w:r>
          </w:p>
        </w:tc>
        <w:tc>
          <w:tcPr>
            <w:tcW w:w="2563" w:type="dxa"/>
            <w:gridSpan w:val="5"/>
            <w:vAlign w:val="center"/>
          </w:tcPr>
          <w:p w14:paraId="20A242CC">
            <w:pPr>
              <w:keepNext w:val="0"/>
              <w:keepLines w:val="0"/>
              <w:pageBreakBefore w:val="0"/>
              <w:widowControl w:val="0"/>
              <w:kinsoku/>
              <w:wordWrap/>
              <w:overflowPunct/>
              <w:topLinePunct w:val="0"/>
              <w:autoSpaceDE w:val="0"/>
              <w:autoSpaceDN w:val="0"/>
              <w:bidi w:val="0"/>
              <w:adjustRightInd w:val="0"/>
              <w:snapToGrid/>
              <w:spacing w:line="360" w:lineRule="exact"/>
              <w:ind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法定代表人</w:t>
            </w:r>
          </w:p>
          <w:p w14:paraId="453A2523">
            <w:pPr>
              <w:keepNext w:val="0"/>
              <w:keepLines w:val="0"/>
              <w:pageBreakBefore w:val="0"/>
              <w:widowControl w:val="0"/>
              <w:kinsoku/>
              <w:wordWrap/>
              <w:overflowPunct/>
              <w:topLinePunct w:val="0"/>
              <w:autoSpaceDE w:val="0"/>
              <w:autoSpaceDN w:val="0"/>
              <w:bidi w:val="0"/>
              <w:adjustRightInd w:val="0"/>
              <w:snapToGrid/>
              <w:spacing w:line="360" w:lineRule="exact"/>
              <w:ind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523" w:type="dxa"/>
            <w:gridSpan w:val="3"/>
            <w:vAlign w:val="center"/>
          </w:tcPr>
          <w:p w14:paraId="6DF0C27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项目负责人</w:t>
            </w:r>
          </w:p>
          <w:p w14:paraId="6925068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（身份证号）</w:t>
            </w:r>
          </w:p>
        </w:tc>
        <w:tc>
          <w:tcPr>
            <w:tcW w:w="1333" w:type="dxa"/>
            <w:gridSpan w:val="3"/>
            <w:vAlign w:val="center"/>
          </w:tcPr>
          <w:p w14:paraId="781538A8">
            <w:pPr>
              <w:keepNext w:val="0"/>
              <w:keepLines w:val="0"/>
              <w:pageBreakBefore w:val="0"/>
              <w:widowControl w:val="0"/>
              <w:kinsoku/>
              <w:wordWrap/>
              <w:overflowPunct/>
              <w:topLinePunct w:val="0"/>
              <w:autoSpaceDE w:val="0"/>
              <w:autoSpaceDN w:val="0"/>
              <w:bidi w:val="0"/>
              <w:adjustRightInd w:val="0"/>
              <w:snapToGrid/>
              <w:spacing w:line="360" w:lineRule="exact"/>
              <w:ind w:left="0" w:right="0" w:hanging="106"/>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联系电话</w:t>
            </w:r>
          </w:p>
        </w:tc>
      </w:tr>
      <w:tr w14:paraId="086F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2101" w:type="dxa"/>
            <w:gridSpan w:val="2"/>
            <w:vAlign w:val="center"/>
          </w:tcPr>
          <w:p w14:paraId="0C4FE6F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建设单位</w:t>
            </w:r>
          </w:p>
        </w:tc>
        <w:tc>
          <w:tcPr>
            <w:tcW w:w="1671" w:type="dxa"/>
            <w:gridSpan w:val="3"/>
            <w:vAlign w:val="center"/>
          </w:tcPr>
          <w:p w14:paraId="13F4E06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2B3EF27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1B96071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474B770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3D91548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9CD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101" w:type="dxa"/>
            <w:gridSpan w:val="2"/>
            <w:vAlign w:val="center"/>
          </w:tcPr>
          <w:p w14:paraId="1C0A0AD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设计单位</w:t>
            </w:r>
          </w:p>
        </w:tc>
        <w:tc>
          <w:tcPr>
            <w:tcW w:w="1671" w:type="dxa"/>
            <w:gridSpan w:val="3"/>
            <w:vAlign w:val="center"/>
          </w:tcPr>
          <w:p w14:paraId="2D83CAC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68090C6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07E6FF6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22A54BE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65A3CC1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5077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2101" w:type="dxa"/>
            <w:gridSpan w:val="2"/>
            <w:vAlign w:val="center"/>
          </w:tcPr>
          <w:p w14:paraId="7FE0AF9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施工单位</w:t>
            </w:r>
          </w:p>
        </w:tc>
        <w:tc>
          <w:tcPr>
            <w:tcW w:w="1671" w:type="dxa"/>
            <w:gridSpan w:val="3"/>
            <w:vAlign w:val="center"/>
          </w:tcPr>
          <w:p w14:paraId="2439127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01A24F7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24EC3EA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620F50F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04C5649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CD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101" w:type="dxa"/>
            <w:gridSpan w:val="2"/>
            <w:vAlign w:val="center"/>
          </w:tcPr>
          <w:p w14:paraId="6FC11AB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监理单位</w:t>
            </w:r>
          </w:p>
        </w:tc>
        <w:tc>
          <w:tcPr>
            <w:tcW w:w="1671" w:type="dxa"/>
            <w:gridSpan w:val="3"/>
            <w:vAlign w:val="center"/>
          </w:tcPr>
          <w:p w14:paraId="264AC65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21A34B2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44C197E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61C569F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004ACC5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11A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2101" w:type="dxa"/>
            <w:gridSpan w:val="2"/>
            <w:vAlign w:val="center"/>
          </w:tcPr>
          <w:p w14:paraId="0C05CF6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6"/>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6"/>
                <w:kern w:val="0"/>
                <w:sz w:val="21"/>
                <w:szCs w:val="21"/>
                <w:highlight w:val="none"/>
                <w:u w:color="000000"/>
                <w:lang w:val="en-US" w:eastAsia="zh-CN" w:bidi="ar-SA"/>
                <w14:textFill>
                  <w14:solidFill>
                    <w14:schemeClr w14:val="tx1"/>
                  </w14:solidFill>
                </w14:textFill>
              </w:rPr>
              <w:t>消防审验技术服务机构</w:t>
            </w:r>
          </w:p>
        </w:tc>
        <w:tc>
          <w:tcPr>
            <w:tcW w:w="1671" w:type="dxa"/>
            <w:gridSpan w:val="3"/>
            <w:vAlign w:val="center"/>
          </w:tcPr>
          <w:p w14:paraId="0B7ACEF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75" w:type="dxa"/>
            <w:vAlign w:val="center"/>
          </w:tcPr>
          <w:p w14:paraId="7EE1F2D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2563" w:type="dxa"/>
            <w:gridSpan w:val="5"/>
            <w:vAlign w:val="center"/>
          </w:tcPr>
          <w:p w14:paraId="5C1A2DD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523" w:type="dxa"/>
            <w:gridSpan w:val="3"/>
            <w:vAlign w:val="center"/>
          </w:tcPr>
          <w:p w14:paraId="7750124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333" w:type="dxa"/>
            <w:gridSpan w:val="3"/>
            <w:vAlign w:val="center"/>
          </w:tcPr>
          <w:p w14:paraId="45EF4C1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5B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jc w:val="center"/>
        </w:trPr>
        <w:tc>
          <w:tcPr>
            <w:tcW w:w="4747" w:type="dxa"/>
            <w:gridSpan w:val="6"/>
            <w:vAlign w:val="center"/>
          </w:tcPr>
          <w:p w14:paraId="1B4391A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w w:val="95"/>
                <w:kern w:val="0"/>
                <w:sz w:val="21"/>
                <w:szCs w:val="21"/>
                <w:highlight w:val="none"/>
                <w:u w:color="000000"/>
                <w:lang w:val="en-US" w:eastAsia="zh-CN" w:bidi="ar-SA"/>
                <w14:textFill>
                  <w14:solidFill>
                    <w14:schemeClr w14:val="tx1"/>
                  </w14:solidFill>
                </w14:textFill>
              </w:rPr>
              <w:t>建筑工程施工许可证号、批准开工报告编号或证明文件编号（依法需办理的）</w:t>
            </w:r>
          </w:p>
        </w:tc>
        <w:tc>
          <w:tcPr>
            <w:tcW w:w="3102" w:type="dxa"/>
            <w:gridSpan w:val="6"/>
            <w:vAlign w:val="center"/>
          </w:tcPr>
          <w:p w14:paraId="0DA98F7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7C59839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制证日期</w:t>
            </w:r>
          </w:p>
        </w:tc>
        <w:tc>
          <w:tcPr>
            <w:tcW w:w="1333" w:type="dxa"/>
            <w:gridSpan w:val="3"/>
            <w:vAlign w:val="center"/>
          </w:tcPr>
          <w:p w14:paraId="5A484A2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ECC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490" w:type="dxa"/>
            <w:vMerge w:val="restart"/>
            <w:vAlign w:val="center"/>
          </w:tcPr>
          <w:p w14:paraId="3F4B2DF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建筑名称</w:t>
            </w:r>
          </w:p>
        </w:tc>
        <w:tc>
          <w:tcPr>
            <w:tcW w:w="784" w:type="dxa"/>
            <w:gridSpan w:val="2"/>
            <w:vMerge w:val="restart"/>
            <w:vAlign w:val="center"/>
          </w:tcPr>
          <w:p w14:paraId="5E7ACBA1">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结构</w:t>
            </w:r>
          </w:p>
          <w:p w14:paraId="40F0289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类型</w:t>
            </w:r>
          </w:p>
        </w:tc>
        <w:tc>
          <w:tcPr>
            <w:tcW w:w="818" w:type="dxa"/>
            <w:vMerge w:val="restart"/>
            <w:vAlign w:val="center"/>
          </w:tcPr>
          <w:p w14:paraId="40D619D0">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使用</w:t>
            </w:r>
          </w:p>
          <w:p w14:paraId="7E89115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性质</w:t>
            </w:r>
          </w:p>
        </w:tc>
        <w:tc>
          <w:tcPr>
            <w:tcW w:w="1655" w:type="dxa"/>
            <w:gridSpan w:val="2"/>
            <w:vMerge w:val="restart"/>
            <w:vAlign w:val="center"/>
          </w:tcPr>
          <w:p w14:paraId="384AB378">
            <w:pPr>
              <w:keepNext w:val="0"/>
              <w:keepLines w:val="0"/>
              <w:pageBreakBefore w:val="0"/>
              <w:widowControl w:val="0"/>
              <w:kinsoku/>
              <w:wordWrap/>
              <w:overflowPunct/>
              <w:topLinePunct w:val="0"/>
              <w:autoSpaceDE w:val="0"/>
              <w:autoSpaceDN w:val="0"/>
              <w:bidi w:val="0"/>
              <w:snapToGrid/>
              <w:spacing w:line="240" w:lineRule="exact"/>
              <w:ind w:left="0" w:right="0"/>
              <w:jc w:val="center"/>
              <w:textAlignment w:val="auto"/>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耐火</w:t>
            </w:r>
          </w:p>
          <w:p w14:paraId="1BAEFE1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等级</w:t>
            </w:r>
          </w:p>
        </w:tc>
        <w:tc>
          <w:tcPr>
            <w:tcW w:w="1403" w:type="dxa"/>
            <w:gridSpan w:val="2"/>
            <w:vAlign w:val="center"/>
          </w:tcPr>
          <w:p w14:paraId="2A73C8C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3"/>
                <w:kern w:val="0"/>
                <w:sz w:val="21"/>
                <w:szCs w:val="21"/>
                <w:highlight w:val="none"/>
                <w:u w:color="000000"/>
                <w:lang w:val="en-US" w:eastAsia="zh-CN" w:bidi="ar-SA"/>
                <w14:textFill>
                  <w14:solidFill>
                    <w14:schemeClr w14:val="tx1"/>
                  </w14:solidFill>
                </w14:textFill>
              </w:rPr>
              <w:t>层 数</w:t>
            </w:r>
          </w:p>
        </w:tc>
        <w:tc>
          <w:tcPr>
            <w:tcW w:w="813" w:type="dxa"/>
            <w:gridSpan w:val="2"/>
            <w:vAlign w:val="center"/>
          </w:tcPr>
          <w:p w14:paraId="5F524B9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高度</w:t>
            </w:r>
          </w:p>
          <w:p w14:paraId="11A605F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886" w:type="dxa"/>
            <w:gridSpan w:val="2"/>
            <w:vAlign w:val="center"/>
          </w:tcPr>
          <w:p w14:paraId="1374321F">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埋深</w:t>
            </w:r>
          </w:p>
          <w:p w14:paraId="1B990702">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74"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5"/>
                <w:kern w:val="0"/>
                <w:sz w:val="21"/>
                <w:szCs w:val="21"/>
                <w:highlight w:val="none"/>
                <w:u w:color="000000"/>
                <w:lang w:val="en-US" w:eastAsia="zh-CN" w:bidi="ar-SA"/>
                <w14:textFill>
                  <w14:solidFill>
                    <w14:schemeClr w14:val="tx1"/>
                  </w14:solidFill>
                </w14:textFill>
              </w:rPr>
              <w:t>（m）</w:t>
            </w:r>
          </w:p>
        </w:tc>
        <w:tc>
          <w:tcPr>
            <w:tcW w:w="984" w:type="dxa"/>
            <w:gridSpan w:val="2"/>
            <w:vAlign w:val="center"/>
          </w:tcPr>
          <w:p w14:paraId="1AAB27ED">
            <w:pPr>
              <w:keepNext w:val="0"/>
              <w:keepLines w:val="0"/>
              <w:pageBreakBefore w:val="0"/>
              <w:widowControl w:val="0"/>
              <w:kinsoku/>
              <w:wordWrap/>
              <w:overflowPunct/>
              <w:topLinePunct w:val="0"/>
              <w:autoSpaceDE w:val="0"/>
              <w:autoSpaceDN w:val="0"/>
              <w:bidi w:val="0"/>
              <w:adjustRightInd w:val="0"/>
              <w:snapToGrid/>
              <w:spacing w:line="32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占地面积</w:t>
            </w:r>
          </w:p>
          <w:p w14:paraId="28007E68">
            <w:pPr>
              <w:keepNext w:val="0"/>
              <w:keepLines w:val="0"/>
              <w:pageBreakBefore w:val="0"/>
              <w:widowControl w:val="0"/>
              <w:kinsoku/>
              <w:wordWrap/>
              <w:overflowPunct/>
              <w:topLinePunct w:val="0"/>
              <w:autoSpaceDE w:val="0"/>
              <w:autoSpaceDN w:val="0"/>
              <w:bidi w:val="0"/>
              <w:adjustRightInd w:val="0"/>
              <w:snapToGrid/>
              <w:spacing w:line="320" w:lineRule="exact"/>
              <w:ind w:left="0" w:right="0" w:firstLine="74"/>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c>
          <w:tcPr>
            <w:tcW w:w="1333" w:type="dxa"/>
            <w:gridSpan w:val="3"/>
            <w:vAlign w:val="center"/>
          </w:tcPr>
          <w:p w14:paraId="6A1527F6">
            <w:pPr>
              <w:keepNext w:val="0"/>
              <w:keepLines w:val="0"/>
              <w:pageBreakBefore w:val="0"/>
              <w:widowControl w:val="0"/>
              <w:kinsoku/>
              <w:wordWrap/>
              <w:overflowPunct/>
              <w:topLinePunct w:val="0"/>
              <w:autoSpaceDE w:val="0"/>
              <w:autoSpaceDN w:val="0"/>
              <w:bidi w:val="0"/>
              <w:adjustRightInd w:val="0"/>
              <w:snapToGrid/>
              <w:spacing w:line="320" w:lineRule="exact"/>
              <w:ind w:left="0" w:right="0"/>
              <w:jc w:val="center"/>
              <w:textAlignment w:val="auto"/>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kern w:val="0"/>
                <w:sz w:val="21"/>
                <w:szCs w:val="21"/>
                <w:highlight w:val="none"/>
                <w:u w:color="000000"/>
                <w:lang w:val="en-US" w:eastAsia="zh-CN" w:bidi="ar-SA"/>
                <w14:textFill>
                  <w14:solidFill>
                    <w14:schemeClr w14:val="tx1"/>
                  </w14:solidFill>
                </w14:textFill>
              </w:rPr>
              <w:t>建筑面积</w:t>
            </w:r>
          </w:p>
          <w:p w14:paraId="0BA92A3A">
            <w:pPr>
              <w:keepNext w:val="0"/>
              <w:keepLines w:val="0"/>
              <w:pageBreakBefore w:val="0"/>
              <w:widowControl w:val="0"/>
              <w:kinsoku/>
              <w:wordWrap/>
              <w:overflowPunct/>
              <w:topLinePunct w:val="0"/>
              <w:autoSpaceDE w:val="0"/>
              <w:autoSpaceDN w:val="0"/>
              <w:bidi w:val="0"/>
              <w:adjustRightInd w:val="0"/>
              <w:snapToGrid/>
              <w:spacing w:line="32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w:t>
            </w:r>
          </w:p>
        </w:tc>
      </w:tr>
      <w:tr w14:paraId="6C3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continue"/>
            <w:vAlign w:val="center"/>
          </w:tcPr>
          <w:p w14:paraId="3715ECDE">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84" w:type="dxa"/>
            <w:gridSpan w:val="2"/>
            <w:vMerge w:val="continue"/>
            <w:vAlign w:val="center"/>
          </w:tcPr>
          <w:p w14:paraId="58CC18C7">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18" w:type="dxa"/>
            <w:vMerge w:val="continue"/>
            <w:vAlign w:val="center"/>
          </w:tcPr>
          <w:p w14:paraId="1A54D07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55" w:type="dxa"/>
            <w:gridSpan w:val="2"/>
            <w:vMerge w:val="continue"/>
            <w:vAlign w:val="center"/>
          </w:tcPr>
          <w:p w14:paraId="0245CF48">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43" w:type="dxa"/>
            <w:vAlign w:val="center"/>
          </w:tcPr>
          <w:p w14:paraId="6DB2BDA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660" w:type="dxa"/>
            <w:vAlign w:val="center"/>
          </w:tcPr>
          <w:p w14:paraId="133E39E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c>
          <w:tcPr>
            <w:tcW w:w="813" w:type="dxa"/>
            <w:gridSpan w:val="2"/>
            <w:vAlign w:val="center"/>
          </w:tcPr>
          <w:p w14:paraId="3A509186">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886" w:type="dxa"/>
            <w:gridSpan w:val="2"/>
            <w:vAlign w:val="center"/>
          </w:tcPr>
          <w:p w14:paraId="7E3D079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984" w:type="dxa"/>
            <w:gridSpan w:val="2"/>
            <w:vAlign w:val="center"/>
          </w:tcPr>
          <w:p w14:paraId="357A010A">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700" w:type="dxa"/>
            <w:gridSpan w:val="2"/>
            <w:vAlign w:val="center"/>
          </w:tcPr>
          <w:p w14:paraId="171B209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地上</w:t>
            </w:r>
          </w:p>
        </w:tc>
        <w:tc>
          <w:tcPr>
            <w:tcW w:w="633" w:type="dxa"/>
            <w:vAlign w:val="center"/>
          </w:tcPr>
          <w:p w14:paraId="732484E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地下</w:t>
            </w:r>
          </w:p>
        </w:tc>
      </w:tr>
      <w:tr w14:paraId="573C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4F24728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249A09F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559FD05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72B9B2F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1B3D5763">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6C47DED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757C510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7BF3738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0E6188E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A2EFFD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1700A5B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3522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75EBA2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4738554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2213D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3C5AB1A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6FEEEDDB">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5F898A42">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0F5320D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41EAA2DD">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5665583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107A6B5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1936232A">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7F15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Align w:val="center"/>
          </w:tcPr>
          <w:p w14:paraId="75C7374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84" w:type="dxa"/>
            <w:gridSpan w:val="2"/>
            <w:vAlign w:val="center"/>
          </w:tcPr>
          <w:p w14:paraId="637C1C8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8" w:type="dxa"/>
            <w:vAlign w:val="center"/>
          </w:tcPr>
          <w:p w14:paraId="0579F26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655" w:type="dxa"/>
            <w:gridSpan w:val="2"/>
            <w:vAlign w:val="center"/>
          </w:tcPr>
          <w:p w14:paraId="0968AF0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43" w:type="dxa"/>
            <w:vAlign w:val="center"/>
          </w:tcPr>
          <w:p w14:paraId="3EC2497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60" w:type="dxa"/>
            <w:vAlign w:val="center"/>
          </w:tcPr>
          <w:p w14:paraId="27FD2ED4">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13" w:type="dxa"/>
            <w:gridSpan w:val="2"/>
            <w:vAlign w:val="center"/>
          </w:tcPr>
          <w:p w14:paraId="1D78936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886" w:type="dxa"/>
            <w:gridSpan w:val="2"/>
            <w:vAlign w:val="center"/>
          </w:tcPr>
          <w:p w14:paraId="6DFDD80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984" w:type="dxa"/>
            <w:gridSpan w:val="2"/>
            <w:vAlign w:val="center"/>
          </w:tcPr>
          <w:p w14:paraId="671D1287">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700" w:type="dxa"/>
            <w:gridSpan w:val="2"/>
            <w:vAlign w:val="center"/>
          </w:tcPr>
          <w:p w14:paraId="5DD6EE3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633" w:type="dxa"/>
            <w:vAlign w:val="center"/>
          </w:tcPr>
          <w:p w14:paraId="2C548D2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822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1490" w:type="dxa"/>
            <w:vMerge w:val="restart"/>
            <w:vAlign w:val="center"/>
          </w:tcPr>
          <w:p w14:paraId="259A246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□装饰装修</w:t>
            </w:r>
          </w:p>
        </w:tc>
        <w:tc>
          <w:tcPr>
            <w:tcW w:w="1602" w:type="dxa"/>
            <w:gridSpan w:val="3"/>
            <w:vAlign w:val="center"/>
          </w:tcPr>
          <w:p w14:paraId="0BB8F349">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装修部位</w:t>
            </w:r>
          </w:p>
        </w:tc>
        <w:tc>
          <w:tcPr>
            <w:tcW w:w="7074" w:type="dxa"/>
            <w:gridSpan w:val="13"/>
            <w:vAlign w:val="center"/>
          </w:tcPr>
          <w:p w14:paraId="4328F275">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□顶棚 □墙面 □地面 □隔断 □固定家具 □装饰织物 □其他</w:t>
            </w:r>
          </w:p>
        </w:tc>
      </w:tr>
      <w:tr w14:paraId="09C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1490" w:type="dxa"/>
            <w:vMerge w:val="continue"/>
            <w:vAlign w:val="center"/>
          </w:tcPr>
          <w:p w14:paraId="598E77C9">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lang w:eastAsia="zh-CN"/>
                <w14:textFill>
                  <w14:solidFill>
                    <w14:schemeClr w14:val="tx1"/>
                  </w14:solidFill>
                </w14:textFill>
              </w:rPr>
            </w:pPr>
          </w:p>
        </w:tc>
        <w:tc>
          <w:tcPr>
            <w:tcW w:w="1602" w:type="dxa"/>
            <w:gridSpan w:val="3"/>
            <w:vAlign w:val="center"/>
          </w:tcPr>
          <w:p w14:paraId="0E7A8B76">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pacing w:val="-1"/>
                <w:w w:val="99"/>
                <w:kern w:val="0"/>
                <w:sz w:val="21"/>
                <w:szCs w:val="21"/>
                <w:highlight w:val="none"/>
                <w:u w:color="000000"/>
                <w:lang w:val="en-US" w:eastAsia="zh-CN" w:bidi="ar-SA"/>
                <w14:textFill>
                  <w14:solidFill>
                    <w14:schemeClr w14:val="tx1"/>
                  </w14:solidFill>
                </w14:textFill>
              </w:rPr>
              <w:t>装修面积（</w:t>
            </w:r>
            <w:r>
              <w:rPr>
                <w:rFonts w:hint="eastAsia" w:ascii="方正仿宋_GBK" w:hAnsi="方正仿宋_GBK" w:eastAsia="方正仿宋_GBK" w:cs="方正仿宋_GBK"/>
                <w:color w:val="000000" w:themeColor="text1"/>
                <w:spacing w:val="-2"/>
                <w:kern w:val="0"/>
                <w:sz w:val="21"/>
                <w:szCs w:val="21"/>
                <w:highlight w:val="none"/>
                <w:u w:color="000000"/>
                <w:lang w:val="en-US" w:eastAsia="zh-CN" w:bidi="ar-SA"/>
                <w14:textFill>
                  <w14:solidFill>
                    <w14:schemeClr w14:val="tx1"/>
                  </w14:solidFill>
                </w14:textFill>
              </w:rPr>
              <w:t>㎡</w:t>
            </w:r>
            <w:r>
              <w:rPr>
                <w:rFonts w:hint="eastAsia" w:ascii="方正仿宋_GBK" w:hAnsi="方正仿宋_GBK" w:eastAsia="方正仿宋_GBK" w:cs="方正仿宋_GBK"/>
                <w:color w:val="000000" w:themeColor="text1"/>
                <w:w w:val="99"/>
                <w:kern w:val="0"/>
                <w:sz w:val="21"/>
                <w:szCs w:val="21"/>
                <w:highlight w:val="none"/>
                <w:u w:color="000000"/>
                <w:lang w:val="en-US" w:eastAsia="zh-CN" w:bidi="ar-SA"/>
                <w14:textFill>
                  <w14:solidFill>
                    <w14:schemeClr w14:val="tx1"/>
                  </w14:solidFill>
                </w14:textFill>
              </w:rPr>
              <w:t>）</w:t>
            </w:r>
          </w:p>
        </w:tc>
        <w:tc>
          <w:tcPr>
            <w:tcW w:w="3615" w:type="dxa"/>
            <w:gridSpan w:val="5"/>
            <w:vAlign w:val="center"/>
          </w:tcPr>
          <w:p w14:paraId="560A7609">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726378D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装修所在层数</w:t>
            </w:r>
          </w:p>
        </w:tc>
        <w:tc>
          <w:tcPr>
            <w:tcW w:w="1621" w:type="dxa"/>
            <w:gridSpan w:val="4"/>
            <w:vAlign w:val="center"/>
          </w:tcPr>
          <w:p w14:paraId="4F53445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06AD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490" w:type="dxa"/>
            <w:vAlign w:val="center"/>
          </w:tcPr>
          <w:p w14:paraId="7579EF43">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□改变</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功能</w:t>
            </w:r>
          </w:p>
        </w:tc>
        <w:tc>
          <w:tcPr>
            <w:tcW w:w="1602" w:type="dxa"/>
            <w:gridSpan w:val="3"/>
            <w:vAlign w:val="center"/>
          </w:tcPr>
          <w:p w14:paraId="53372319">
            <w:pPr>
              <w:pStyle w:val="6"/>
              <w:keepNext w:val="0"/>
              <w:keepLines w:val="0"/>
              <w:pageBreakBefore w:val="0"/>
              <w:widowControl w:val="0"/>
              <w:kinsoku/>
              <w:wordWrap/>
              <w:overflowPunct/>
              <w:topLinePunct w:val="0"/>
              <w:bidi w:val="0"/>
              <w:snapToGrid/>
              <w:spacing w:line="24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设计使用功能</w:t>
            </w:r>
          </w:p>
        </w:tc>
        <w:tc>
          <w:tcPr>
            <w:tcW w:w="3615" w:type="dxa"/>
            <w:gridSpan w:val="5"/>
            <w:vAlign w:val="center"/>
          </w:tcPr>
          <w:p w14:paraId="06305A02">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2883E614">
            <w:pPr>
              <w:pStyle w:val="6"/>
              <w:keepNext w:val="0"/>
              <w:keepLines w:val="0"/>
              <w:pageBreakBefore w:val="0"/>
              <w:widowControl w:val="0"/>
              <w:kinsoku/>
              <w:wordWrap/>
              <w:overflowPunct/>
              <w:topLinePunct w:val="0"/>
              <w:bidi w:val="0"/>
              <w:snapToGrid/>
              <w:spacing w:line="24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sz w:val="21"/>
                <w:szCs w:val="21"/>
                <w:highlight w:val="none"/>
                <w14:textFill>
                  <w14:solidFill>
                    <w14:schemeClr w14:val="tx1"/>
                  </w14:solidFill>
                </w14:textFill>
              </w:rPr>
              <w:t>原</w:t>
            </w:r>
            <w:r>
              <w:rPr>
                <w:rFonts w:hint="eastAsia" w:ascii="方正仿宋_GBK" w:hAnsi="方正仿宋_GBK" w:eastAsia="方正仿宋_GBK" w:cs="方正仿宋_GBK"/>
                <w:color w:val="000000" w:themeColor="text1"/>
                <w:sz w:val="21"/>
                <w:szCs w:val="21"/>
                <w:highlight w:val="none"/>
                <w:lang w:val="en-US" w:eastAsia="zh-CN"/>
                <w14:textFill>
                  <w14:solidFill>
                    <w14:schemeClr w14:val="tx1"/>
                  </w14:solidFill>
                </w14:textFill>
              </w:rPr>
              <w:t>使用功能</w:t>
            </w:r>
          </w:p>
        </w:tc>
        <w:tc>
          <w:tcPr>
            <w:tcW w:w="1621" w:type="dxa"/>
            <w:gridSpan w:val="4"/>
            <w:vAlign w:val="center"/>
          </w:tcPr>
          <w:p w14:paraId="5B8FE6E6">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263E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90" w:type="dxa"/>
            <w:vMerge w:val="restart"/>
            <w:vAlign w:val="center"/>
          </w:tcPr>
          <w:p w14:paraId="59F38440">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□建筑保温</w:t>
            </w:r>
          </w:p>
        </w:tc>
        <w:tc>
          <w:tcPr>
            <w:tcW w:w="1602" w:type="dxa"/>
            <w:gridSpan w:val="3"/>
            <w:vAlign w:val="center"/>
          </w:tcPr>
          <w:p w14:paraId="294736CA">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材料类别</w:t>
            </w:r>
          </w:p>
        </w:tc>
        <w:tc>
          <w:tcPr>
            <w:tcW w:w="3615" w:type="dxa"/>
            <w:gridSpan w:val="5"/>
            <w:vAlign w:val="center"/>
          </w:tcPr>
          <w:p w14:paraId="2E9847F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□A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xml:space="preserve"> □B</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p>
        </w:tc>
        <w:tc>
          <w:tcPr>
            <w:tcW w:w="1838" w:type="dxa"/>
            <w:gridSpan w:val="4"/>
            <w:vAlign w:val="center"/>
          </w:tcPr>
          <w:p w14:paraId="42F0EC31">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所在层数</w:t>
            </w:r>
          </w:p>
        </w:tc>
        <w:tc>
          <w:tcPr>
            <w:tcW w:w="1621" w:type="dxa"/>
            <w:gridSpan w:val="4"/>
            <w:vAlign w:val="center"/>
          </w:tcPr>
          <w:p w14:paraId="0ADF4CEC">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1A2F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490" w:type="dxa"/>
            <w:vMerge w:val="continue"/>
            <w:vAlign w:val="center"/>
          </w:tcPr>
          <w:p w14:paraId="539E5541">
            <w:pPr>
              <w:keepNext w:val="0"/>
              <w:keepLines w:val="0"/>
              <w:pageBreakBefore w:val="0"/>
              <w:widowControl w:val="0"/>
              <w:kinsoku/>
              <w:wordWrap/>
              <w:overflowPunct/>
              <w:topLinePunct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sz w:val="21"/>
                <w:szCs w:val="21"/>
                <w:highlight w:val="none"/>
                <w14:textFill>
                  <w14:solidFill>
                    <w14:schemeClr w14:val="tx1"/>
                  </w14:solidFill>
                </w14:textFill>
              </w:rPr>
            </w:pPr>
          </w:p>
        </w:tc>
        <w:tc>
          <w:tcPr>
            <w:tcW w:w="1602" w:type="dxa"/>
            <w:gridSpan w:val="3"/>
            <w:vAlign w:val="center"/>
          </w:tcPr>
          <w:p w14:paraId="1D2C3F81">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0" w:firstLineChars="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设置部位</w:t>
            </w:r>
          </w:p>
        </w:tc>
        <w:tc>
          <w:tcPr>
            <w:tcW w:w="3615" w:type="dxa"/>
            <w:gridSpan w:val="5"/>
            <w:vAlign w:val="center"/>
          </w:tcPr>
          <w:p w14:paraId="47ABFFEE">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c>
          <w:tcPr>
            <w:tcW w:w="1838" w:type="dxa"/>
            <w:gridSpan w:val="4"/>
            <w:vAlign w:val="center"/>
          </w:tcPr>
          <w:p w14:paraId="34D1278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保温材料</w:t>
            </w:r>
          </w:p>
        </w:tc>
        <w:tc>
          <w:tcPr>
            <w:tcW w:w="1621" w:type="dxa"/>
            <w:gridSpan w:val="4"/>
            <w:vAlign w:val="center"/>
          </w:tcPr>
          <w:p w14:paraId="707EA908">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center"/>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p>
        </w:tc>
      </w:tr>
      <w:tr w14:paraId="40EC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3" w:hRule="atLeast"/>
          <w:jc w:val="center"/>
        </w:trPr>
        <w:tc>
          <w:tcPr>
            <w:tcW w:w="10166" w:type="dxa"/>
            <w:gridSpan w:val="17"/>
            <w:vAlign w:val="center"/>
          </w:tcPr>
          <w:p w14:paraId="3FFDF246">
            <w:pPr>
              <w:keepNext w:val="0"/>
              <w:keepLines w:val="0"/>
              <w:pageBreakBefore w:val="0"/>
              <w:widowControl w:val="0"/>
              <w:kinsoku/>
              <w:wordWrap/>
              <w:overflowPunct/>
              <w:topLinePunct w:val="0"/>
              <w:autoSpaceDE w:val="0"/>
              <w:autoSpaceDN w:val="0"/>
              <w:bidi w:val="0"/>
              <w:adjustRightInd w:val="0"/>
              <w:snapToGrid/>
              <w:spacing w:line="360" w:lineRule="exact"/>
              <w:ind w:left="0" w:right="0" w:firstLine="210" w:firstLineChars="10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0"/>
                <w:sz w:val="21"/>
                <w:szCs w:val="21"/>
                <w:highlight w:val="none"/>
                <w:u w:color="000000"/>
                <w:lang w:val="en-US" w:eastAsia="zh-CN" w:bidi="ar-SA"/>
                <w14:textFill>
                  <w14:solidFill>
                    <w14:schemeClr w14:val="tx1"/>
                  </w14:solidFill>
                </w14:textFill>
              </w:rPr>
              <w:t>□同步向消防救援机构申报公众聚集场所投入使用、营业前消防安全检查</w:t>
            </w:r>
          </w:p>
        </w:tc>
      </w:tr>
      <w:tr w14:paraId="4C82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3" w:hRule="atLeast"/>
          <w:jc w:val="center"/>
        </w:trPr>
        <w:tc>
          <w:tcPr>
            <w:tcW w:w="10166" w:type="dxa"/>
            <w:gridSpan w:val="17"/>
            <w:vAlign w:val="center"/>
          </w:tcPr>
          <w:p w14:paraId="79BD35EF">
            <w:pPr>
              <w:keepNext w:val="0"/>
              <w:keepLines w:val="0"/>
              <w:pageBreakBefore w:val="0"/>
              <w:widowControl w:val="0"/>
              <w:kinsoku/>
              <w:wordWrap/>
              <w:overflowPunct/>
              <w:topLinePunct w:val="0"/>
              <w:autoSpaceDE w:val="0"/>
              <w:autoSpaceDN w:val="0"/>
              <w:bidi w:val="0"/>
              <w:adjustRightInd w:val="0"/>
              <w:snapToGrid/>
              <w:spacing w:line="360" w:lineRule="exact"/>
              <w:ind w:left="0" w:right="0"/>
              <w:jc w:val="left"/>
              <w:textAlignment w:val="auto"/>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备注：（</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1</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）工程是否跨行政区域等相关情况；（</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2</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 建设工程涉及储罐、堆场的，详细阐述储罐的设置位置、总容量、设置形式、储存形式和储存物质名称，堆场的储量和储存物质名称等；（</w:t>
            </w:r>
            <w:r>
              <w:rPr>
                <w:rFonts w:hint="default" w:ascii="Times New Roman" w:hAnsi="Times New Roman" w:eastAsia="方正仿宋_GBK" w:cs="Times New Roman"/>
                <w:color w:val="000000" w:themeColor="text1"/>
                <w:kern w:val="0"/>
                <w:sz w:val="21"/>
                <w:szCs w:val="21"/>
                <w:highlight w:val="none"/>
                <w:u w:color="000000"/>
                <w:lang w:val="en-US" w:eastAsia="zh-CN" w:bidi="ar-SA"/>
                <w14:textFill>
                  <w14:solidFill>
                    <w14:schemeClr w14:val="tx1"/>
                  </w14:solidFill>
                </w14:textFill>
              </w:rPr>
              <w:t>3</w:t>
            </w:r>
            <w:r>
              <w:rPr>
                <w:rFonts w:hint="eastAsia" w:ascii="方正仿宋_GBK" w:hAnsi="方正仿宋_GBK" w:eastAsia="方正仿宋_GBK" w:cs="方正仿宋_GBK"/>
                <w:color w:val="000000" w:themeColor="text1"/>
                <w:kern w:val="0"/>
                <w:sz w:val="21"/>
                <w:szCs w:val="21"/>
                <w:highlight w:val="none"/>
                <w:u w:color="000000"/>
                <w:lang w:val="en-US" w:eastAsia="zh-CN" w:bidi="ar-SA"/>
                <w14:textFill>
                  <w14:solidFill>
                    <w14:schemeClr w14:val="tx1"/>
                  </w14:solidFill>
                </w14:textFill>
              </w:rPr>
              <w:t>）其他相关情况。</w:t>
            </w:r>
          </w:p>
        </w:tc>
      </w:tr>
    </w:tbl>
    <w:p w14:paraId="076929CA">
      <w:pPr>
        <w:adjustRightInd w:val="0"/>
        <w:snapToGrid w:val="0"/>
        <w:spacing w:line="570" w:lineRule="exact"/>
        <w:jc w:val="center"/>
        <w:rPr>
          <w:rFonts w:ascii="Times New Roman" w:hAnsi="Times New Roman" w:eastAsia="方正小标宋_GBK" w:cs="方正小标宋_GBK"/>
          <w:color w:val="000000" w:themeColor="text1"/>
          <w:sz w:val="36"/>
          <w:szCs w:val="36"/>
          <w:highlight w:val="none"/>
          <w:lang w:eastAsia="zh-CN"/>
          <w14:textFill>
            <w14:solidFill>
              <w14:schemeClr w14:val="tx1"/>
            </w14:solidFill>
          </w14:textFill>
        </w:rPr>
      </w:pPr>
      <w:r>
        <w:rPr>
          <w:rFonts w:hint="eastAsia" w:ascii="Times New Roman" w:hAnsi="Times New Roman" w:eastAsia="方正仿宋_GBK" w:cs="方正仿宋_GBK"/>
          <w:color w:val="000000" w:themeColor="text1"/>
          <w:highlight w:val="none"/>
          <w:lang w:eastAsia="zh-CN"/>
          <w14:textFill>
            <w14:solidFill>
              <w14:schemeClr w14:val="tx1"/>
            </w14:solidFill>
          </w14:textFill>
        </w:rPr>
        <w:br w:type="page"/>
      </w:r>
      <w:r>
        <w:rPr>
          <w:rFonts w:hint="eastAsia" w:ascii="Times New Roman" w:hAnsi="Times New Roman" w:eastAsia="方正小标宋_GBK" w:cs="方正小标宋_GBK"/>
          <w:color w:val="000000" w:themeColor="text1"/>
          <w:sz w:val="36"/>
          <w:szCs w:val="36"/>
          <w:highlight w:val="none"/>
          <w:lang w:val="en-US" w:eastAsia="zh-CN"/>
          <w14:textFill>
            <w14:solidFill>
              <w14:schemeClr w14:val="tx1"/>
            </w14:solidFill>
          </w14:textFill>
        </w:rPr>
        <w:t>其他建设工程消防验收备案告知承诺书（见9.告知承诺书最新）</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Times New Roman Regular">
    <w:altName w:val="Times New Roman"/>
    <w:panose1 w:val="00000000000000000000"/>
    <w:charset w:val="00"/>
    <w:family w:val="auto"/>
    <w:pitch w:val="default"/>
    <w:sig w:usb0="00000000" w:usb1="00000000" w:usb2="00000009" w:usb3="00000000" w:csb0="400001FF" w:csb1="FFFF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A4CC2">
    <w:pPr>
      <w:pStyle w:val="2"/>
      <w:jc w:val="center"/>
      <w:rPr>
        <w:rFonts w:ascii="Times New Roman" w:hAnsi="Times New Roman" w:eastAsia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sz w:val="24"/>
                              <w:szCs w:val="24"/>
                            </w:rPr>
                            <w:id w:val="147480105"/>
                          </w:sdtPr>
                          <w:sdtEndPr>
                            <w:rPr>
                              <w:rFonts w:ascii="Times New Roman" w:hAnsi="Times New Roman" w:eastAsiaTheme="minorEastAsia"/>
                              <w:sz w:val="24"/>
                              <w:szCs w:val="24"/>
                            </w:rPr>
                          </w:sdtEndPr>
                          <w:sdtContent>
                            <w:p w14:paraId="2DA13A25">
                              <w:pPr>
                                <w:pStyle w:val="2"/>
                                <w:jc w:val="center"/>
                                <w:rPr>
                                  <w:rFonts w:ascii="Times New Roman" w:hAnsi="Times New Roman" w:eastAsiaTheme="minorEastAsia"/>
                                  <w:sz w:val="24"/>
                                  <w:szCs w:val="24"/>
                                </w:rPr>
                              </w:pPr>
                              <w:r>
                                <w:rPr>
                                  <w:rFonts w:hint="eastAsia" w:ascii="Times New Roman" w:hAnsi="Times New Roman" w:eastAsiaTheme="minorEastAsia"/>
                                  <w:sz w:val="24"/>
                                  <w:szCs w:val="24"/>
                                  <w:lang w:eastAsia="zh-CN"/>
                                </w:rPr>
                                <w:t xml:space="preserve">— </w:t>
                              </w:r>
                              <w:r>
                                <w:rPr>
                                  <w:rFonts w:ascii="Times New Roman" w:hAnsi="Times New Roman" w:eastAsiaTheme="minorEastAsia"/>
                                  <w:sz w:val="24"/>
                                  <w:szCs w:val="24"/>
                                </w:rPr>
                                <w:fldChar w:fldCharType="begin"/>
                              </w:r>
                              <w:r>
                                <w:rPr>
                                  <w:rFonts w:ascii="Times New Roman" w:hAnsi="Times New Roman" w:eastAsiaTheme="minorEastAsia"/>
                                  <w:sz w:val="24"/>
                                  <w:szCs w:val="24"/>
                                </w:rPr>
                                <w:instrText xml:space="preserve">PAGE   \* MERGEFORMAT</w:instrText>
                              </w:r>
                              <w:r>
                                <w:rPr>
                                  <w:rFonts w:ascii="Times New Roman" w:hAnsi="Times New Roman" w:eastAsiaTheme="minorEastAsia"/>
                                  <w:sz w:val="24"/>
                                  <w:szCs w:val="24"/>
                                </w:rPr>
                                <w:fldChar w:fldCharType="separate"/>
                              </w:r>
                              <w:r>
                                <w:rPr>
                                  <w:rFonts w:ascii="Times New Roman" w:hAnsi="Times New Roman" w:eastAsiaTheme="minorEastAsia"/>
                                  <w:sz w:val="24"/>
                                  <w:szCs w:val="24"/>
                                  <w:lang w:val="zh-CN" w:eastAsia="zh-CN"/>
                                </w:rPr>
                                <w:t>1</w:t>
                              </w:r>
                              <w:r>
                                <w:rPr>
                                  <w:rFonts w:ascii="Times New Roman" w:hAnsi="Times New Roman" w:eastAsiaTheme="minorEastAsia"/>
                                  <w:sz w:val="24"/>
                                  <w:szCs w:val="24"/>
                                </w:rPr>
                                <w:fldChar w:fldCharType="end"/>
                              </w:r>
                              <w:r>
                                <w:rPr>
                                  <w:rFonts w:hint="eastAsia" w:ascii="Times New Roman" w:hAnsi="Times New Roman" w:eastAsiaTheme="minorEastAsia"/>
                                  <w:sz w:val="24"/>
                                  <w:szCs w:val="24"/>
                                  <w:lang w:eastAsia="zh-CN"/>
                                </w:rPr>
                                <w:t xml:space="preserve"> —</w:t>
                              </w:r>
                            </w:p>
                          </w:sdtContent>
                        </w:sdt>
                        <w:p w14:paraId="326E3635">
                          <w:pPr>
                            <w:rPr>
                              <w:rFonts w:ascii="Times New Roman" w:hAnsi="Times New Roman" w:eastAsiaTheme="minorEastAsia"/>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rPr>
                        <w:rFonts w:ascii="Times New Roman" w:hAnsi="Times New Roman"/>
                        <w:sz w:val="24"/>
                        <w:szCs w:val="24"/>
                      </w:rPr>
                      <w:id w:val="147480105"/>
                    </w:sdtPr>
                    <w:sdtEndPr>
                      <w:rPr>
                        <w:rFonts w:ascii="Times New Roman" w:hAnsi="Times New Roman" w:eastAsiaTheme="minorEastAsia"/>
                        <w:sz w:val="24"/>
                        <w:szCs w:val="24"/>
                      </w:rPr>
                    </w:sdtEndPr>
                    <w:sdtContent>
                      <w:p w14:paraId="2DA13A25">
                        <w:pPr>
                          <w:pStyle w:val="2"/>
                          <w:jc w:val="center"/>
                          <w:rPr>
                            <w:rFonts w:ascii="Times New Roman" w:hAnsi="Times New Roman" w:eastAsiaTheme="minorEastAsia"/>
                            <w:sz w:val="24"/>
                            <w:szCs w:val="24"/>
                          </w:rPr>
                        </w:pPr>
                        <w:r>
                          <w:rPr>
                            <w:rFonts w:hint="eastAsia" w:ascii="Times New Roman" w:hAnsi="Times New Roman" w:eastAsiaTheme="minorEastAsia"/>
                            <w:sz w:val="24"/>
                            <w:szCs w:val="24"/>
                            <w:lang w:eastAsia="zh-CN"/>
                          </w:rPr>
                          <w:t xml:space="preserve">— </w:t>
                        </w:r>
                        <w:r>
                          <w:rPr>
                            <w:rFonts w:ascii="Times New Roman" w:hAnsi="Times New Roman" w:eastAsiaTheme="minorEastAsia"/>
                            <w:sz w:val="24"/>
                            <w:szCs w:val="24"/>
                          </w:rPr>
                          <w:fldChar w:fldCharType="begin"/>
                        </w:r>
                        <w:r>
                          <w:rPr>
                            <w:rFonts w:ascii="Times New Roman" w:hAnsi="Times New Roman" w:eastAsiaTheme="minorEastAsia"/>
                            <w:sz w:val="24"/>
                            <w:szCs w:val="24"/>
                          </w:rPr>
                          <w:instrText xml:space="preserve">PAGE   \* MERGEFORMAT</w:instrText>
                        </w:r>
                        <w:r>
                          <w:rPr>
                            <w:rFonts w:ascii="Times New Roman" w:hAnsi="Times New Roman" w:eastAsiaTheme="minorEastAsia"/>
                            <w:sz w:val="24"/>
                            <w:szCs w:val="24"/>
                          </w:rPr>
                          <w:fldChar w:fldCharType="separate"/>
                        </w:r>
                        <w:r>
                          <w:rPr>
                            <w:rFonts w:ascii="Times New Roman" w:hAnsi="Times New Roman" w:eastAsiaTheme="minorEastAsia"/>
                            <w:sz w:val="24"/>
                            <w:szCs w:val="24"/>
                            <w:lang w:val="zh-CN" w:eastAsia="zh-CN"/>
                          </w:rPr>
                          <w:t>1</w:t>
                        </w:r>
                        <w:r>
                          <w:rPr>
                            <w:rFonts w:ascii="Times New Roman" w:hAnsi="Times New Roman" w:eastAsiaTheme="minorEastAsia"/>
                            <w:sz w:val="24"/>
                            <w:szCs w:val="24"/>
                          </w:rPr>
                          <w:fldChar w:fldCharType="end"/>
                        </w:r>
                        <w:r>
                          <w:rPr>
                            <w:rFonts w:hint="eastAsia" w:ascii="Times New Roman" w:hAnsi="Times New Roman" w:eastAsiaTheme="minorEastAsia"/>
                            <w:sz w:val="24"/>
                            <w:szCs w:val="24"/>
                            <w:lang w:eastAsia="zh-CN"/>
                          </w:rPr>
                          <w:t xml:space="preserve"> —</w:t>
                        </w:r>
                      </w:p>
                    </w:sdtContent>
                  </w:sdt>
                  <w:p w14:paraId="326E3635">
                    <w:pPr>
                      <w:rPr>
                        <w:rFonts w:ascii="Times New Roman" w:hAnsi="Times New Roman" w:eastAsiaTheme="minorEastAsia"/>
                        <w:sz w:val="24"/>
                        <w:szCs w:val="24"/>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E0310"/>
    <w:multiLevelType w:val="multilevel"/>
    <w:tmpl w:val="2D1E0310"/>
    <w:lvl w:ilvl="0" w:tentative="0">
      <w:start w:val="2"/>
      <w:numFmt w:val="japaneseCounting"/>
      <w:lvlText w:val="%1、"/>
      <w:lvlJc w:val="left"/>
      <w:pPr>
        <w:ind w:left="1360" w:hanging="720"/>
      </w:pPr>
      <w:rPr>
        <w:rFonts w:hint="default" w:hAnsi="宋体" w:cs="宋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B7EAF"/>
    <w:rsid w:val="15042A82"/>
    <w:rsid w:val="488B7EAF"/>
    <w:rsid w:val="4C95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color="000000"/>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5">
    <w:name w:val="List Paragraph"/>
    <w:basedOn w:val="1"/>
    <w:qFormat/>
    <w:uiPriority w:val="34"/>
    <w:pPr>
      <w:autoSpaceDE w:val="0"/>
      <w:autoSpaceDN w:val="0"/>
      <w:ind w:left="961" w:firstLine="600"/>
      <w:jc w:val="left"/>
    </w:pPr>
    <w:rPr>
      <w:rFonts w:ascii="宋体" w:hAnsi="宋体" w:eastAsia="宋体" w:cs="宋体"/>
      <w:color w:val="auto"/>
      <w:kern w:val="0"/>
      <w:sz w:val="22"/>
      <w:szCs w:val="22"/>
      <w:lang w:val="zh-CN" w:eastAsia="zh-CN" w:bidi="zh-CN"/>
    </w:rPr>
  </w:style>
  <w:style w:type="paragraph" w:customStyle="1" w:styleId="6">
    <w:name w:val="Table Paragraph"/>
    <w:basedOn w:val="1"/>
    <w:qFormat/>
    <w:uiPriority w:val="1"/>
    <w:pPr>
      <w:autoSpaceDE w:val="0"/>
      <w:autoSpaceDN w:val="0"/>
      <w:spacing w:line="570" w:lineRule="exact"/>
      <w:jc w:val="left"/>
    </w:pPr>
    <w:rPr>
      <w:rFonts w:ascii="宋体" w:hAnsi="宋体" w:eastAsia="宋体" w:cs="宋体"/>
      <w:color w:val="auto"/>
      <w:kern w:val="0"/>
      <w:sz w:val="22"/>
      <w:szCs w:val="22"/>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3068</Words>
  <Characters>3089</Characters>
  <Lines>0</Lines>
  <Paragraphs>0</Paragraphs>
  <TotalTime>1</TotalTime>
  <ScaleCrop>false</ScaleCrop>
  <LinksUpToDate>false</LinksUpToDate>
  <CharactersWithSpaces>3259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2025-12-25T06:15:00Z</dcterms:created>
  <dc:creator>吴慧</dc:creator>
  <cp:lastModifiedBy>吴慧</cp:lastModifiedBy>
  <dcterms:modified xsi:type="dcterms:W3CDTF">2026-05-09T02:29:22Z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9607F5798373459B8920A53E482F2F5A_11</vt:lpwstr>
  </property>
  <property fmtid="{D5CDD505-2E9C-101B-9397-08002B2CF9AE}" pid="4" name="KSOTemplateDocerSaveRecord">
    <vt:lpwstr>eyJoZGlkIjoiNGU2YTVlYjJmNjdlNDE3MzdmMmFlMzFlNmVhOWViNDgiLCJ1c2VySWQiOiI4MDIwNzU2NDQifQ==</vt:lpwstr>
  </property>
</Properties>
</file>